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C4149">
      <w:pPr>
        <w:tabs>
          <w:tab w:val="left" w:pos="2940"/>
        </w:tabs>
        <w:spacing w:line="360" w:lineRule="auto"/>
        <w:jc w:val="center"/>
        <w:rPr>
          <w:rFonts w:cs="仿宋_GB2312" w:asciiTheme="minorEastAsia" w:hAnsiTheme="minorEastAsia" w:eastAsiaTheme="minorEastAsia"/>
          <w:b/>
          <w:color w:val="auto"/>
          <w:sz w:val="24"/>
          <w:highlight w:val="none"/>
        </w:rPr>
      </w:pPr>
    </w:p>
    <w:p w14:paraId="2BCBBD98">
      <w:pPr>
        <w:adjustRightInd/>
        <w:spacing w:line="360" w:lineRule="auto"/>
        <w:jc w:val="left"/>
        <w:rPr>
          <w:rFonts w:ascii="宋体" w:hAnsi="宋体" w:cs="宋体"/>
          <w:b/>
          <w:color w:val="auto"/>
          <w:sz w:val="44"/>
          <w:szCs w:val="44"/>
          <w:highlight w:val="none"/>
        </w:rPr>
      </w:pPr>
    </w:p>
    <w:p w14:paraId="44A31642">
      <w:pPr>
        <w:adjustRightInd/>
        <w:spacing w:line="360" w:lineRule="auto"/>
        <w:jc w:val="center"/>
        <w:rPr>
          <w:rFonts w:hint="eastAsia" w:cs="仿宋_GB2312" w:asciiTheme="minorEastAsia" w:hAnsiTheme="minorEastAsia" w:eastAsiaTheme="minorEastAsia"/>
          <w:b/>
          <w:bCs/>
          <w:color w:val="auto"/>
          <w:w w:val="95"/>
          <w:sz w:val="48"/>
          <w:szCs w:val="48"/>
          <w:highlight w:val="none"/>
          <w:lang w:val="zh-CN" w:eastAsia="zh-CN"/>
        </w:rPr>
      </w:pPr>
    </w:p>
    <w:p w14:paraId="2972F8ED">
      <w:pPr>
        <w:adjustRightInd/>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bCs/>
          <w:color w:val="auto"/>
          <w:w w:val="95"/>
          <w:sz w:val="48"/>
          <w:szCs w:val="48"/>
          <w:highlight w:val="none"/>
          <w:lang w:val="zh-CN" w:eastAsia="zh-CN"/>
        </w:rPr>
        <w:t>2025年永嘉县市政道路</w:t>
      </w:r>
      <w:r>
        <w:rPr>
          <w:rFonts w:hint="eastAsia" w:cs="仿宋_GB2312" w:asciiTheme="minorEastAsia" w:hAnsiTheme="minorEastAsia" w:eastAsiaTheme="minorEastAsia"/>
          <w:b/>
          <w:bCs/>
          <w:color w:val="auto"/>
          <w:w w:val="95"/>
          <w:sz w:val="48"/>
          <w:szCs w:val="48"/>
          <w:highlight w:val="none"/>
          <w:lang w:val="zh-CN"/>
        </w:rPr>
        <w:t>、桥梁、隧道检测</w:t>
      </w:r>
      <w:r>
        <w:rPr>
          <w:rFonts w:hint="eastAsia" w:cs="仿宋_GB2312" w:asciiTheme="minorEastAsia" w:hAnsiTheme="minorEastAsia" w:eastAsiaTheme="minorEastAsia"/>
          <w:b/>
          <w:bCs/>
          <w:color w:val="auto"/>
          <w:w w:val="95"/>
          <w:sz w:val="48"/>
          <w:szCs w:val="48"/>
          <w:highlight w:val="none"/>
          <w:lang w:val="zh-CN" w:eastAsia="zh-CN"/>
        </w:rPr>
        <w:t>项目</w:t>
      </w:r>
      <w:r>
        <w:rPr>
          <w:rFonts w:hint="eastAsia" w:cs="仿宋_GB2312" w:asciiTheme="minorEastAsia" w:hAnsiTheme="minorEastAsia" w:eastAsiaTheme="minorEastAsia"/>
          <w:b/>
          <w:bCs/>
          <w:color w:val="auto"/>
          <w:w w:val="95"/>
          <w:sz w:val="48"/>
          <w:szCs w:val="48"/>
          <w:highlight w:val="none"/>
          <w:lang w:val="zh-CN"/>
        </w:rPr>
        <w:t>竞争性磋商</w:t>
      </w:r>
      <w:r>
        <w:rPr>
          <w:rFonts w:hint="eastAsia" w:cs="仿宋_GB2312" w:asciiTheme="minorEastAsia" w:hAnsiTheme="minorEastAsia" w:eastAsiaTheme="minorEastAsia"/>
          <w:b/>
          <w:color w:val="auto"/>
          <w:sz w:val="48"/>
          <w:szCs w:val="48"/>
          <w:highlight w:val="none"/>
        </w:rPr>
        <w:t>文件</w:t>
      </w:r>
    </w:p>
    <w:p w14:paraId="1D9BE9AD">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ascii="宋体" w:hAnsi="宋体" w:eastAsia="宋体" w:cs="宋体"/>
          <w:b w:val="0"/>
          <w:bCs/>
          <w:color w:val="000000"/>
          <w:sz w:val="30"/>
          <w:szCs w:val="30"/>
          <w:highlight w:val="none"/>
          <w:lang w:val="en-US" w:eastAsia="zh-CN"/>
        </w:rPr>
        <w:t>ZJXY-20250605006</w:t>
      </w:r>
    </w:p>
    <w:p w14:paraId="24172C6B">
      <w:pPr>
        <w:adjustRightInd/>
        <w:spacing w:line="360" w:lineRule="auto"/>
        <w:rPr>
          <w:rFonts w:cs="仿宋_GB2312" w:asciiTheme="minorEastAsia" w:hAnsiTheme="minorEastAsia" w:eastAsiaTheme="minorEastAsia"/>
          <w:color w:val="auto"/>
          <w:sz w:val="28"/>
          <w:szCs w:val="20"/>
          <w:highlight w:val="none"/>
        </w:rPr>
      </w:pPr>
    </w:p>
    <w:p w14:paraId="347E9511">
      <w:pPr>
        <w:spacing w:line="360" w:lineRule="auto"/>
        <w:jc w:val="center"/>
        <w:rPr>
          <w:rFonts w:cs="仿宋_GB2312" w:asciiTheme="minorEastAsia" w:hAnsiTheme="minorEastAsia" w:eastAsiaTheme="minorEastAsia"/>
          <w:color w:val="auto"/>
          <w:sz w:val="24"/>
          <w:highlight w:val="none"/>
        </w:rPr>
      </w:pPr>
    </w:p>
    <w:p w14:paraId="00035595">
      <w:pPr>
        <w:spacing w:line="360" w:lineRule="auto"/>
        <w:jc w:val="center"/>
        <w:rPr>
          <w:rFonts w:cs="仿宋_GB2312" w:asciiTheme="minorEastAsia" w:hAnsiTheme="minorEastAsia" w:eastAsiaTheme="minorEastAsia"/>
          <w:color w:val="auto"/>
          <w:sz w:val="24"/>
          <w:highlight w:val="none"/>
        </w:rPr>
      </w:pPr>
    </w:p>
    <w:p w14:paraId="528F51BA">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14:paraId="03146061">
      <w:pPr>
        <w:spacing w:line="360" w:lineRule="auto"/>
        <w:rPr>
          <w:rFonts w:hint="eastAsia" w:cs="仿宋_GB2312" w:asciiTheme="minorEastAsia" w:hAnsiTheme="minorEastAsia" w:eastAsiaTheme="minorEastAsia"/>
          <w:color w:val="auto"/>
          <w:sz w:val="24"/>
          <w:highlight w:val="none"/>
        </w:rPr>
      </w:pPr>
    </w:p>
    <w:p w14:paraId="7A85536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112497AB">
      <w:pPr>
        <w:snapToGrid w:val="0"/>
        <w:spacing w:line="360" w:lineRule="auto"/>
        <w:jc w:val="center"/>
        <w:rPr>
          <w:rFonts w:hint="eastAsia" w:cs="仿宋_GB2312" w:asciiTheme="minorEastAsia" w:hAnsiTheme="minorEastAsia" w:eastAsiaTheme="minorEastAsia"/>
          <w:bCs/>
          <w:color w:val="auto"/>
          <w:sz w:val="32"/>
          <w:szCs w:val="32"/>
          <w:highlight w:val="none"/>
          <w:lang w:val="en-US" w:eastAsia="zh-CN"/>
        </w:rPr>
      </w:pPr>
    </w:p>
    <w:p w14:paraId="27B87776">
      <w:pPr>
        <w:snapToGrid w:val="0"/>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cs="仿宋_GB2312" w:asciiTheme="minorEastAsia" w:hAnsiTheme="minorEastAsia" w:eastAsiaTheme="minorEastAsia"/>
          <w:bCs/>
          <w:color w:val="auto"/>
          <w:sz w:val="32"/>
          <w:szCs w:val="32"/>
          <w:highlight w:val="none"/>
          <w:lang w:eastAsia="zh-CN"/>
        </w:rPr>
        <w:t>永嘉县综合行政执法局</w:t>
      </w:r>
    </w:p>
    <w:p w14:paraId="7797AA78">
      <w:pPr>
        <w:snapToGrid w:val="0"/>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cs="仿宋_GB2312" w:asciiTheme="minorEastAsia" w:hAnsiTheme="minorEastAsia" w:eastAsiaTheme="minorEastAsia"/>
          <w:bCs/>
          <w:color w:val="auto"/>
          <w:sz w:val="32"/>
          <w:szCs w:val="32"/>
          <w:highlight w:val="none"/>
          <w:lang w:eastAsia="zh-CN"/>
        </w:rPr>
        <w:t>浙江新业项目管理有限公司</w:t>
      </w:r>
    </w:p>
    <w:p w14:paraId="1A55250C">
      <w:pPr>
        <w:snapToGrid w:val="0"/>
        <w:spacing w:line="360" w:lineRule="auto"/>
        <w:jc w:val="center"/>
        <w:rPr>
          <w:rFonts w:hint="default" w:cs="仿宋_GB2312" w:asciiTheme="minorEastAsia" w:hAnsiTheme="minorEastAsia" w:eastAsiaTheme="minorEastAsia"/>
          <w:bCs/>
          <w:color w:val="auto"/>
          <w:sz w:val="32"/>
          <w:szCs w:val="32"/>
          <w:highlight w:val="none"/>
          <w:lang w:val="en-US" w:eastAsia="zh-CN"/>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六月</w:t>
      </w:r>
    </w:p>
    <w:p w14:paraId="6862F79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502A40B">
      <w:pPr>
        <w:tabs>
          <w:tab w:val="left" w:pos="2268"/>
        </w:tabs>
        <w:spacing w:line="360" w:lineRule="auto"/>
        <w:jc w:val="center"/>
        <w:rPr>
          <w:rFonts w:cs="仿宋_GB2312" w:asciiTheme="minorEastAsia" w:hAnsiTheme="minorEastAsia" w:eastAsiaTheme="minorEastAsia"/>
          <w:color w:val="auto"/>
          <w:sz w:val="24"/>
          <w:highlight w:val="none"/>
        </w:rPr>
      </w:pPr>
    </w:p>
    <w:p w14:paraId="202CEB0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731148F">
      <w:pPr>
        <w:spacing w:line="360" w:lineRule="auto"/>
        <w:rPr>
          <w:rFonts w:cs="仿宋_GB2312" w:asciiTheme="minorEastAsia" w:hAnsiTheme="minorEastAsia" w:eastAsiaTheme="minorEastAsia"/>
          <w:color w:val="auto"/>
          <w:sz w:val="32"/>
          <w:szCs w:val="32"/>
          <w:highlight w:val="none"/>
        </w:rPr>
      </w:pPr>
    </w:p>
    <w:p w14:paraId="51ECB3CB">
      <w:pPr>
        <w:spacing w:line="360" w:lineRule="auto"/>
        <w:rPr>
          <w:rFonts w:cs="仿宋_GB2312" w:asciiTheme="minorEastAsia" w:hAnsiTheme="minorEastAsia" w:eastAsiaTheme="minorEastAsia"/>
          <w:color w:val="auto"/>
          <w:sz w:val="32"/>
          <w:szCs w:val="32"/>
          <w:highlight w:val="none"/>
        </w:rPr>
      </w:pPr>
    </w:p>
    <w:p w14:paraId="1D20971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1E3465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51C009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931FF0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2B73C5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00C736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63AEB2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994F311">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52A962CF">
      <w:pPr>
        <w:spacing w:line="360" w:lineRule="auto"/>
        <w:ind w:firstLine="549" w:firstLineChars="229"/>
        <w:rPr>
          <w:rFonts w:cs="仿宋_GB2312" w:asciiTheme="minorEastAsia" w:hAnsiTheme="minorEastAsia" w:eastAsiaTheme="minorEastAsia"/>
          <w:color w:val="auto"/>
          <w:sz w:val="24"/>
          <w:highlight w:val="none"/>
        </w:rPr>
      </w:pPr>
    </w:p>
    <w:p w14:paraId="3CD41FB1">
      <w:pPr>
        <w:spacing w:line="360" w:lineRule="auto"/>
        <w:ind w:firstLine="549" w:firstLineChars="229"/>
        <w:rPr>
          <w:rFonts w:cs="仿宋_GB2312" w:asciiTheme="minorEastAsia" w:hAnsiTheme="minorEastAsia" w:eastAsiaTheme="minorEastAsia"/>
          <w:color w:val="auto"/>
          <w:sz w:val="24"/>
          <w:highlight w:val="none"/>
        </w:rPr>
      </w:pPr>
    </w:p>
    <w:p w14:paraId="40108DB5">
      <w:pPr>
        <w:spacing w:line="360" w:lineRule="auto"/>
        <w:ind w:firstLine="549" w:firstLineChars="229"/>
        <w:rPr>
          <w:rFonts w:cs="仿宋_GB2312" w:asciiTheme="minorEastAsia" w:hAnsiTheme="minorEastAsia" w:eastAsiaTheme="minorEastAsia"/>
          <w:color w:val="auto"/>
          <w:sz w:val="24"/>
          <w:highlight w:val="none"/>
        </w:rPr>
      </w:pPr>
    </w:p>
    <w:p w14:paraId="48ACDE97">
      <w:pPr>
        <w:spacing w:line="360" w:lineRule="auto"/>
        <w:ind w:firstLine="549" w:firstLineChars="229"/>
        <w:rPr>
          <w:rFonts w:cs="仿宋_GB2312" w:asciiTheme="minorEastAsia" w:hAnsiTheme="minorEastAsia" w:eastAsiaTheme="minorEastAsia"/>
          <w:color w:val="auto"/>
          <w:sz w:val="24"/>
          <w:highlight w:val="none"/>
        </w:rPr>
      </w:pPr>
    </w:p>
    <w:p w14:paraId="6BD0BA3C">
      <w:pPr>
        <w:spacing w:line="360" w:lineRule="auto"/>
        <w:ind w:firstLine="549" w:firstLineChars="229"/>
        <w:rPr>
          <w:rFonts w:cs="仿宋_GB2312" w:asciiTheme="minorEastAsia" w:hAnsiTheme="minorEastAsia" w:eastAsiaTheme="minorEastAsia"/>
          <w:color w:val="auto"/>
          <w:sz w:val="24"/>
          <w:highlight w:val="none"/>
        </w:rPr>
      </w:pPr>
    </w:p>
    <w:p w14:paraId="11C2DCEB">
      <w:pPr>
        <w:spacing w:line="360" w:lineRule="auto"/>
        <w:ind w:firstLine="549" w:firstLineChars="229"/>
        <w:rPr>
          <w:rFonts w:cs="仿宋_GB2312" w:asciiTheme="minorEastAsia" w:hAnsiTheme="minorEastAsia" w:eastAsiaTheme="minorEastAsia"/>
          <w:color w:val="auto"/>
          <w:sz w:val="24"/>
          <w:highlight w:val="none"/>
        </w:rPr>
      </w:pPr>
    </w:p>
    <w:p w14:paraId="5AF7D1BE">
      <w:pPr>
        <w:spacing w:line="360" w:lineRule="auto"/>
        <w:ind w:firstLine="549" w:firstLineChars="229"/>
        <w:rPr>
          <w:rFonts w:cs="仿宋_GB2312" w:asciiTheme="minorEastAsia" w:hAnsiTheme="minorEastAsia" w:eastAsiaTheme="minorEastAsia"/>
          <w:color w:val="auto"/>
          <w:sz w:val="24"/>
          <w:highlight w:val="none"/>
        </w:rPr>
      </w:pPr>
    </w:p>
    <w:p w14:paraId="0E09BC36">
      <w:pPr>
        <w:spacing w:line="360" w:lineRule="auto"/>
        <w:ind w:firstLine="549" w:firstLineChars="229"/>
        <w:rPr>
          <w:rFonts w:cs="仿宋_GB2312" w:asciiTheme="minorEastAsia" w:hAnsiTheme="minorEastAsia" w:eastAsiaTheme="minorEastAsia"/>
          <w:color w:val="auto"/>
          <w:sz w:val="24"/>
          <w:highlight w:val="none"/>
        </w:rPr>
      </w:pPr>
    </w:p>
    <w:p w14:paraId="0F4F74A3">
      <w:pPr>
        <w:spacing w:line="360" w:lineRule="auto"/>
        <w:ind w:firstLine="549" w:firstLineChars="229"/>
        <w:rPr>
          <w:rFonts w:cs="仿宋_GB2312" w:asciiTheme="minorEastAsia" w:hAnsiTheme="minorEastAsia" w:eastAsiaTheme="minorEastAsia"/>
          <w:color w:val="auto"/>
          <w:sz w:val="24"/>
          <w:highlight w:val="none"/>
        </w:rPr>
      </w:pPr>
    </w:p>
    <w:p w14:paraId="7F4E1A5C">
      <w:pPr>
        <w:spacing w:line="360" w:lineRule="auto"/>
        <w:ind w:firstLine="549" w:firstLineChars="229"/>
        <w:rPr>
          <w:rFonts w:cs="仿宋_GB2312" w:asciiTheme="minorEastAsia" w:hAnsiTheme="minorEastAsia" w:eastAsiaTheme="minorEastAsia"/>
          <w:color w:val="auto"/>
          <w:sz w:val="24"/>
          <w:highlight w:val="none"/>
        </w:rPr>
      </w:pPr>
    </w:p>
    <w:p w14:paraId="1CAB9434">
      <w:pPr>
        <w:spacing w:line="360" w:lineRule="auto"/>
        <w:ind w:firstLine="549" w:firstLineChars="229"/>
        <w:rPr>
          <w:rFonts w:cs="仿宋_GB2312" w:asciiTheme="minorEastAsia" w:hAnsiTheme="minorEastAsia" w:eastAsiaTheme="minorEastAsia"/>
          <w:color w:val="auto"/>
          <w:sz w:val="24"/>
          <w:highlight w:val="none"/>
        </w:rPr>
      </w:pPr>
    </w:p>
    <w:p w14:paraId="2A42A279">
      <w:pPr>
        <w:spacing w:line="360" w:lineRule="auto"/>
        <w:ind w:firstLine="549" w:firstLineChars="229"/>
        <w:rPr>
          <w:rFonts w:cs="仿宋_GB2312" w:asciiTheme="minorEastAsia" w:hAnsiTheme="minorEastAsia" w:eastAsiaTheme="minorEastAsia"/>
          <w:color w:val="auto"/>
          <w:sz w:val="24"/>
          <w:highlight w:val="none"/>
        </w:rPr>
      </w:pPr>
    </w:p>
    <w:p w14:paraId="1D44E400">
      <w:pPr>
        <w:spacing w:line="360" w:lineRule="auto"/>
        <w:rPr>
          <w:rFonts w:cs="仿宋_GB2312" w:asciiTheme="minorEastAsia" w:hAnsiTheme="minorEastAsia" w:eastAsiaTheme="minorEastAsia"/>
          <w:color w:val="auto"/>
          <w:sz w:val="24"/>
          <w:highlight w:val="none"/>
        </w:rPr>
      </w:pPr>
    </w:p>
    <w:p w14:paraId="7F678F6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Style w:val="549"/>
          <w:rFonts w:hint="eastAsia"/>
          <w:color w:val="auto"/>
          <w:highlight w:val="none"/>
        </w:rPr>
        <w:t>第一部分  邀请供应商</w:t>
      </w:r>
    </w:p>
    <w:p w14:paraId="262EB14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92DA915">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2209C4EE">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val="zh-CN" w:eastAsia="zh-CN"/>
        </w:rPr>
        <w:t>2025年永嘉县市政道路、桥梁、隧道检测项目</w:t>
      </w:r>
      <w:r>
        <w:rPr>
          <w:rFonts w:hint="eastAsia" w:ascii="宋体" w:hAnsi="宋体" w:eastAsia="宋体" w:cs="宋体"/>
          <w:color w:val="auto"/>
          <w:sz w:val="22"/>
          <w:szCs w:val="22"/>
          <w:highlight w:val="none"/>
        </w:rPr>
        <w:t>的潜在供应商应在</w:t>
      </w:r>
      <w:r>
        <w:rPr>
          <w:rFonts w:hint="eastAsia" w:ascii="宋体" w:hAnsi="宋体" w:eastAsia="宋体" w:cs="宋体"/>
          <w:color w:val="auto"/>
          <w:sz w:val="22"/>
          <w:szCs w:val="22"/>
          <w:highlight w:val="none"/>
          <w:u w:val="single"/>
        </w:rPr>
        <w:t>政采云平台（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 </w:instrText>
      </w:r>
      <w:r>
        <w:rPr>
          <w:rFonts w:hint="eastAsia" w:ascii="宋体" w:hAnsi="宋体" w:eastAsia="宋体" w:cs="宋体"/>
          <w:color w:val="auto"/>
          <w:sz w:val="22"/>
          <w:szCs w:val="22"/>
          <w:highlight w:val="none"/>
        </w:rPr>
        <w:fldChar w:fldCharType="separate"/>
      </w:r>
      <w:r>
        <w:rPr>
          <w:rStyle w:val="69"/>
          <w:rFonts w:hint="eastAsia" w:ascii="宋体" w:hAnsi="宋体" w:eastAsia="宋体" w:cs="宋体"/>
          <w:color w:val="auto"/>
          <w:sz w:val="22"/>
          <w:szCs w:val="22"/>
          <w:highlight w:val="none"/>
          <w:u w:val="single"/>
        </w:rPr>
        <w:t>https://www.zcygov.cn/</w:t>
      </w:r>
      <w:r>
        <w:rPr>
          <w:rStyle w:val="69"/>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获取采购文件，并于</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06</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17</w:t>
      </w:r>
      <w:bookmarkStart w:id="78" w:name="_GoBack"/>
      <w:bookmarkEnd w:id="78"/>
      <w:r>
        <w:rPr>
          <w:rFonts w:hint="eastAsia" w:ascii="宋体" w:hAnsi="宋体" w:cs="宋体"/>
          <w:color w:val="auto"/>
          <w:sz w:val="22"/>
          <w:szCs w:val="22"/>
          <w:highlight w:val="none"/>
          <w:u w:val="single"/>
          <w:lang w:eastAsia="zh-CN"/>
        </w:rPr>
        <w:t>日</w:t>
      </w:r>
      <w:r>
        <w:rPr>
          <w:rFonts w:hint="eastAsia" w:ascii="宋体" w:hAnsi="宋体" w:eastAsia="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u w:val="single"/>
        </w:rPr>
        <w:t>分00秒</w:t>
      </w:r>
      <w:r>
        <w:rPr>
          <w:rFonts w:hint="eastAsia" w:ascii="宋体" w:hAnsi="宋体" w:eastAsia="宋体" w:cs="宋体"/>
          <w:bCs/>
          <w:color w:val="auto"/>
          <w:sz w:val="22"/>
          <w:szCs w:val="22"/>
          <w:highlight w:val="none"/>
        </w:rPr>
        <w:t>（北京时间）前提交响应文件</w:t>
      </w:r>
      <w:r>
        <w:rPr>
          <w:rFonts w:hint="eastAsia" w:ascii="宋体" w:hAnsi="宋体" w:eastAsia="宋体" w:cs="宋体"/>
          <w:color w:val="auto"/>
          <w:sz w:val="22"/>
          <w:szCs w:val="22"/>
          <w:highlight w:val="none"/>
        </w:rPr>
        <w:t>。</w:t>
      </w:r>
    </w:p>
    <w:p w14:paraId="58C5E8CD">
      <w:pPr>
        <w:spacing w:line="360" w:lineRule="auto"/>
        <w:rPr>
          <w:rFonts w:hint="eastAsia" w:ascii="宋体" w:hAnsi="宋体" w:eastAsia="宋体" w:cs="宋体"/>
          <w:b/>
          <w:bCs/>
          <w:color w:val="auto"/>
          <w:sz w:val="22"/>
          <w:szCs w:val="22"/>
          <w:highlight w:val="none"/>
        </w:rPr>
      </w:pPr>
      <w:bookmarkStart w:id="11" w:name="_Toc28359089"/>
      <w:bookmarkStart w:id="12" w:name="_Toc35393629"/>
      <w:bookmarkStart w:id="13" w:name="_Toc35393798"/>
      <w:bookmarkStart w:id="14" w:name="_Toc28359012"/>
      <w:r>
        <w:rPr>
          <w:rFonts w:hint="eastAsia" w:ascii="宋体" w:hAnsi="宋体" w:eastAsia="宋体" w:cs="宋体"/>
          <w:b/>
          <w:bCs/>
          <w:color w:val="auto"/>
          <w:sz w:val="22"/>
          <w:szCs w:val="22"/>
          <w:highlight w:val="none"/>
        </w:rPr>
        <w:t>一、项目基本情况</w:t>
      </w:r>
      <w:bookmarkEnd w:id="11"/>
      <w:bookmarkEnd w:id="12"/>
      <w:bookmarkEnd w:id="13"/>
      <w:bookmarkEnd w:id="14"/>
    </w:p>
    <w:p w14:paraId="1BEEDA48">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项目编号：</w:t>
      </w:r>
      <w:r>
        <w:rPr>
          <w:rFonts w:hint="eastAsia" w:ascii="宋体" w:hAnsi="宋体" w:eastAsia="宋体" w:cs="宋体"/>
          <w:b w:val="0"/>
          <w:bCs/>
          <w:color w:val="auto"/>
          <w:sz w:val="22"/>
          <w:szCs w:val="22"/>
          <w:highlight w:val="none"/>
          <w:lang w:val="en-US" w:eastAsia="zh-CN"/>
        </w:rPr>
        <w:t>ZJXY-20250605006</w:t>
      </w:r>
    </w:p>
    <w:p w14:paraId="6F23C90E">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r>
        <w:rPr>
          <w:rFonts w:hint="eastAsia" w:ascii="宋体" w:hAnsi="宋体" w:cs="宋体"/>
          <w:b w:val="0"/>
          <w:bCs/>
          <w:color w:val="auto"/>
          <w:sz w:val="22"/>
          <w:szCs w:val="22"/>
          <w:highlight w:val="none"/>
          <w:lang w:val="zh-CN" w:eastAsia="zh-CN"/>
        </w:rPr>
        <w:t>2025年永嘉县市政道路、桥梁、隧道检测项目</w:t>
      </w:r>
    </w:p>
    <w:p w14:paraId="04DF1A4D">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采购方式：</w:t>
      </w:r>
      <w:r>
        <w:rPr>
          <w:rFonts w:hint="eastAsia" w:ascii="宋体" w:hAnsi="宋体" w:eastAsia="宋体" w:cs="宋体"/>
          <w:color w:val="auto"/>
          <w:sz w:val="22"/>
          <w:szCs w:val="22"/>
          <w:highlight w:val="none"/>
        </w:rPr>
        <w:t>竞争性磋商</w:t>
      </w:r>
    </w:p>
    <w:p w14:paraId="68E12143">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预算金额（元）：</w:t>
      </w:r>
      <w:r>
        <w:rPr>
          <w:rFonts w:hint="eastAsia" w:ascii="宋体" w:hAnsi="宋体" w:cs="宋体"/>
          <w:b w:val="0"/>
          <w:bCs/>
          <w:color w:val="auto"/>
          <w:sz w:val="22"/>
          <w:szCs w:val="22"/>
          <w:highlight w:val="none"/>
          <w:lang w:val="en-US" w:eastAsia="zh-CN"/>
        </w:rPr>
        <w:t>1350300</w:t>
      </w:r>
      <w:r>
        <w:rPr>
          <w:rFonts w:hint="eastAsia" w:ascii="宋体" w:hAnsi="宋体" w:eastAsia="宋体" w:cs="宋体"/>
          <w:b w:val="0"/>
          <w:bCs/>
          <w:color w:val="auto"/>
          <w:sz w:val="22"/>
          <w:szCs w:val="22"/>
          <w:highlight w:val="none"/>
        </w:rPr>
        <w:t xml:space="preserve"> </w:t>
      </w:r>
    </w:p>
    <w:p w14:paraId="7EC6C3D7">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最高限价（元）：</w:t>
      </w:r>
      <w:r>
        <w:rPr>
          <w:rFonts w:hint="eastAsia" w:ascii="宋体" w:hAnsi="宋体" w:cs="宋体"/>
          <w:b w:val="0"/>
          <w:bCs/>
          <w:color w:val="auto"/>
          <w:sz w:val="22"/>
          <w:szCs w:val="22"/>
          <w:highlight w:val="none"/>
          <w:lang w:val="en-US" w:eastAsia="zh-CN"/>
        </w:rPr>
        <w:t>1350300</w:t>
      </w:r>
      <w:r>
        <w:rPr>
          <w:rFonts w:hint="eastAsia" w:ascii="宋体" w:hAnsi="宋体" w:eastAsia="宋体" w:cs="宋体"/>
          <w:b w:val="0"/>
          <w:bCs/>
          <w:color w:val="auto"/>
          <w:sz w:val="22"/>
          <w:szCs w:val="22"/>
          <w:highlight w:val="none"/>
        </w:rPr>
        <w:t xml:space="preserve"> </w:t>
      </w:r>
      <w:r>
        <w:rPr>
          <w:rFonts w:hint="eastAsia" w:ascii="宋体" w:hAnsi="宋体" w:eastAsia="宋体" w:cs="宋体"/>
          <w:b/>
          <w:color w:val="auto"/>
          <w:sz w:val="22"/>
          <w:szCs w:val="22"/>
          <w:highlight w:val="none"/>
        </w:rPr>
        <w:t xml:space="preserve">   </w:t>
      </w:r>
    </w:p>
    <w:p w14:paraId="1F16F25C">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采购需求：</w:t>
      </w:r>
      <w:r>
        <w:rPr>
          <w:rFonts w:hint="eastAsia" w:ascii="宋体" w:hAnsi="宋体" w:cs="宋体"/>
          <w:bCs/>
          <w:color w:val="auto"/>
          <w:sz w:val="22"/>
          <w:szCs w:val="22"/>
          <w:highlight w:val="none"/>
          <w:lang w:val="zh-CN" w:eastAsia="zh-CN"/>
        </w:rPr>
        <w:t>2025年永嘉县市政道路、桥梁、隧道检测项目</w:t>
      </w:r>
      <w:r>
        <w:rPr>
          <w:rFonts w:hint="eastAsia" w:ascii="宋体" w:hAnsi="宋体" w:eastAsia="宋体" w:cs="宋体"/>
          <w:bCs/>
          <w:color w:val="auto"/>
          <w:sz w:val="22"/>
          <w:szCs w:val="22"/>
          <w:highlight w:val="none"/>
        </w:rPr>
        <w:t>。详见磋商文件。</w:t>
      </w:r>
    </w:p>
    <w:p w14:paraId="29390DED">
      <w:pPr>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合同履行期限</w:t>
      </w:r>
      <w:r>
        <w:rPr>
          <w:rFonts w:hint="eastAsia" w:ascii="宋体" w:hAnsi="宋体" w:eastAsia="宋体" w:cs="宋体"/>
          <w:color w:val="auto"/>
          <w:sz w:val="22"/>
          <w:szCs w:val="22"/>
          <w:highlight w:val="none"/>
        </w:rPr>
        <w:t>：</w:t>
      </w:r>
      <w:r>
        <w:rPr>
          <w:rFonts w:hint="eastAsia" w:ascii="宋体" w:hAnsi="宋体" w:eastAsia="宋体" w:cs="宋体"/>
          <w:b w:val="0"/>
          <w:bCs/>
          <w:color w:val="auto"/>
          <w:sz w:val="22"/>
          <w:szCs w:val="22"/>
          <w:highlight w:val="none"/>
        </w:rPr>
        <w:t>详见磋商文件。</w:t>
      </w:r>
    </w:p>
    <w:p w14:paraId="3A1D710C">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本项目接受联合体投标：</w:t>
      </w:r>
      <w:sdt>
        <w:sdtPr>
          <w:rPr>
            <w:rFonts w:hint="eastAsia" w:ascii="宋体" w:hAnsi="宋体" w:eastAsia="宋体" w:cs="宋体"/>
            <w:b/>
            <w:color w:val="auto"/>
            <w:sz w:val="22"/>
            <w:szCs w:val="22"/>
            <w:highlight w:val="none"/>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2"/>
            <w:szCs w:val="22"/>
            <w:highlight w:val="none"/>
          </w:rPr>
        </w:sdtEndPr>
        <w:sdtContent>
          <w:r>
            <w:rPr>
              <w:rFonts w:hint="eastAsia" w:ascii="宋体" w:hAnsi="宋体" w:eastAsia="宋体" w:cs="宋体"/>
              <w:b/>
              <w:color w:val="auto"/>
              <w:sz w:val="22"/>
              <w:szCs w:val="22"/>
              <w:highlight w:val="none"/>
            </w:rPr>
            <w:t>☐</w:t>
          </w:r>
        </w:sdtContent>
      </w:sdt>
      <w:r>
        <w:rPr>
          <w:rFonts w:hint="eastAsia" w:ascii="宋体" w:hAnsi="宋体" w:eastAsia="宋体" w:cs="宋体"/>
          <w:b/>
          <w:color w:val="auto"/>
          <w:sz w:val="22"/>
          <w:szCs w:val="22"/>
          <w:highlight w:val="none"/>
        </w:rPr>
        <w:t>是，</w:t>
      </w:r>
      <w:sdt>
        <w:sdtPr>
          <w:rPr>
            <w:rFonts w:hint="eastAsia" w:ascii="宋体" w:hAnsi="宋体" w:eastAsia="宋体" w:cs="宋体"/>
            <w:b/>
            <w:color w:val="auto"/>
            <w:sz w:val="22"/>
            <w:szCs w:val="22"/>
            <w:highlight w:val="none"/>
          </w:rPr>
          <w:id w:val="147455284"/>
          <w14:checkbox>
            <w14:checked w14:val="1"/>
            <w14:checkedState w14:val="00FE" w14:font="Wingdings"/>
            <w14:uncheckedState w14:val="2610" w14:font="MS Gothic"/>
          </w14:checkbox>
        </w:sdtPr>
        <w:sdtEndPr>
          <w:rPr>
            <w:rFonts w:hint="eastAsia" w:ascii="宋体" w:hAnsi="宋体" w:eastAsia="宋体" w:cs="宋体"/>
            <w:b/>
            <w:color w:val="auto"/>
            <w:sz w:val="22"/>
            <w:szCs w:val="22"/>
            <w:highlight w:val="none"/>
          </w:rPr>
        </w:sdtEndPr>
        <w:sdtContent>
          <w:r>
            <w:rPr>
              <w:rFonts w:hint="eastAsia" w:ascii="Wingdings" w:hAnsi="Wingdings" w:eastAsia="宋体" w:cs="宋体"/>
              <w:b/>
              <w:color w:val="auto"/>
              <w:kern w:val="2"/>
              <w:sz w:val="22"/>
              <w:szCs w:val="22"/>
              <w:highlight w:val="none"/>
              <w:lang w:val="en-US" w:eastAsia="zh-CN" w:bidi="ar-SA"/>
            </w:rPr>
            <w:t>þ</w:t>
          </w:r>
        </w:sdtContent>
      </w:sdt>
      <w:r>
        <w:rPr>
          <w:rFonts w:hint="eastAsia" w:ascii="宋体" w:hAnsi="宋体" w:eastAsia="宋体" w:cs="宋体"/>
          <w:b/>
          <w:color w:val="auto"/>
          <w:sz w:val="22"/>
          <w:szCs w:val="22"/>
          <w:highlight w:val="none"/>
        </w:rPr>
        <w:t>否。</w:t>
      </w:r>
    </w:p>
    <w:p w14:paraId="699A99DC">
      <w:pPr>
        <w:spacing w:line="360" w:lineRule="auto"/>
        <w:rPr>
          <w:rFonts w:hint="eastAsia" w:ascii="宋体" w:hAnsi="宋体" w:eastAsia="宋体" w:cs="宋体"/>
          <w:b/>
          <w:bCs/>
          <w:color w:val="auto"/>
          <w:sz w:val="22"/>
          <w:szCs w:val="22"/>
          <w:highlight w:val="none"/>
        </w:rPr>
      </w:pPr>
      <w:bookmarkStart w:id="15" w:name="_Toc35393630"/>
      <w:bookmarkStart w:id="16" w:name="_Toc35393799"/>
      <w:bookmarkStart w:id="17" w:name="_Toc28359013"/>
      <w:bookmarkStart w:id="18" w:name="_Toc28359090"/>
      <w:r>
        <w:rPr>
          <w:rFonts w:hint="eastAsia" w:ascii="宋体" w:hAnsi="宋体" w:eastAsia="宋体" w:cs="宋体"/>
          <w:b/>
          <w:bCs/>
          <w:color w:val="auto"/>
          <w:sz w:val="22"/>
          <w:szCs w:val="22"/>
          <w:highlight w:val="none"/>
        </w:rPr>
        <w:t>二、申请人的资格要求：</w:t>
      </w:r>
      <w:bookmarkEnd w:id="15"/>
      <w:bookmarkEnd w:id="16"/>
      <w:bookmarkEnd w:id="17"/>
      <w:bookmarkEnd w:id="18"/>
    </w:p>
    <w:p w14:paraId="0815A4C2">
      <w:pPr>
        <w:spacing w:line="360" w:lineRule="auto"/>
        <w:ind w:firstLine="440" w:firstLineChars="2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0BE662">
      <w:pPr>
        <w:spacing w:line="360" w:lineRule="auto"/>
        <w:ind w:firstLine="440" w:firstLineChars="2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2.</w:t>
      </w:r>
      <w:r>
        <w:rPr>
          <w:rFonts w:hint="eastAsia" w:ascii="宋体" w:hAnsi="宋体" w:eastAsia="宋体" w:cs="宋体"/>
          <w:color w:val="auto"/>
          <w:sz w:val="22"/>
          <w:szCs w:val="22"/>
          <w:highlight w:val="none"/>
        </w:rPr>
        <w:t xml:space="preserve"> </w:t>
      </w:r>
      <w:r>
        <w:rPr>
          <w:rFonts w:hint="eastAsia" w:ascii="宋体" w:hAnsi="宋体" w:eastAsia="宋体" w:cs="宋体"/>
          <w:snapToGrid w:val="0"/>
          <w:color w:val="auto"/>
          <w:kern w:val="28"/>
          <w:sz w:val="22"/>
          <w:szCs w:val="22"/>
          <w:highlight w:val="none"/>
        </w:rPr>
        <w:t>以联合体形式响应的，提供联合协议(本项目不接受联合体响应或者供应商不以联合体形式响应的，则不需要提供) ；</w:t>
      </w:r>
    </w:p>
    <w:p w14:paraId="0CD034D1">
      <w:pPr>
        <w:spacing w:line="360" w:lineRule="auto"/>
        <w:ind w:firstLine="440" w:firstLineChars="2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3.落实政府采购政策需满足的资格要求：</w:t>
      </w:r>
      <w:r>
        <w:rPr>
          <w:rFonts w:hint="eastAsia" w:ascii="宋体" w:hAnsi="宋体" w:eastAsia="宋体" w:cs="宋体"/>
          <w:snapToGrid w:val="0"/>
          <w:color w:val="auto"/>
          <w:kern w:val="28"/>
          <w:sz w:val="22"/>
          <w:szCs w:val="22"/>
          <w:highlight w:val="none"/>
          <w:lang w:val="en-US" w:eastAsia="zh-CN"/>
        </w:rPr>
        <w:t>专门面向</w:t>
      </w:r>
      <w:r>
        <w:rPr>
          <w:rFonts w:hint="eastAsia" w:ascii="宋体" w:hAnsi="宋体" w:cs="宋体"/>
          <w:snapToGrid w:val="0"/>
          <w:color w:val="auto"/>
          <w:kern w:val="28"/>
          <w:sz w:val="22"/>
          <w:szCs w:val="22"/>
          <w:highlight w:val="none"/>
          <w:lang w:val="en-US" w:eastAsia="zh-CN"/>
        </w:rPr>
        <w:t>中小</w:t>
      </w:r>
      <w:r>
        <w:rPr>
          <w:rFonts w:hint="eastAsia" w:ascii="宋体" w:hAnsi="宋体" w:eastAsia="宋体" w:cs="宋体"/>
          <w:snapToGrid w:val="0"/>
          <w:color w:val="auto"/>
          <w:kern w:val="28"/>
          <w:sz w:val="22"/>
          <w:szCs w:val="22"/>
          <w:highlight w:val="none"/>
          <w:lang w:val="en-US" w:eastAsia="zh-CN"/>
        </w:rPr>
        <w:t>企业采购，供应商为</w:t>
      </w:r>
      <w:r>
        <w:rPr>
          <w:rFonts w:hint="eastAsia" w:ascii="宋体" w:hAnsi="宋体" w:cs="宋体"/>
          <w:snapToGrid w:val="0"/>
          <w:color w:val="auto"/>
          <w:kern w:val="28"/>
          <w:sz w:val="22"/>
          <w:szCs w:val="22"/>
          <w:highlight w:val="none"/>
          <w:lang w:val="en-US" w:eastAsia="zh-CN"/>
        </w:rPr>
        <w:t>中小</w:t>
      </w:r>
      <w:r>
        <w:rPr>
          <w:rFonts w:hint="eastAsia" w:ascii="宋体" w:hAnsi="宋体" w:eastAsia="宋体" w:cs="宋体"/>
          <w:snapToGrid w:val="0"/>
          <w:color w:val="auto"/>
          <w:kern w:val="28"/>
          <w:sz w:val="22"/>
          <w:szCs w:val="22"/>
          <w:highlight w:val="none"/>
          <w:lang w:val="en-US" w:eastAsia="zh-CN"/>
        </w:rPr>
        <w:t>型企业；</w:t>
      </w:r>
    </w:p>
    <w:p w14:paraId="75C0D95D">
      <w:pPr>
        <w:spacing w:line="360" w:lineRule="auto"/>
        <w:ind w:firstLine="440" w:firstLineChars="200"/>
        <w:rPr>
          <w:rFonts w:hint="eastAsia" w:ascii="宋体" w:hAnsi="宋体" w:eastAsia="宋体" w:cs="宋体"/>
          <w:color w:val="auto"/>
          <w:sz w:val="22"/>
          <w:szCs w:val="22"/>
          <w:highlight w:val="none"/>
          <w:lang w:eastAsia="zh-CN"/>
        </w:rPr>
      </w:pPr>
      <w:sdt>
        <w:sdtPr>
          <w:rPr>
            <w:rFonts w:hint="eastAsia" w:ascii="宋体" w:hAnsi="宋体" w:eastAsia="宋体" w:cs="宋体"/>
            <w:color w:val="auto"/>
            <w:kern w:val="0"/>
            <w:sz w:val="22"/>
            <w:szCs w:val="22"/>
            <w:highlight w:val="none"/>
          </w:rPr>
          <w:id w:val="147455149"/>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sz w:val="22"/>
          <w:szCs w:val="22"/>
          <w:highlight w:val="none"/>
        </w:rPr>
        <w:t>无</w:t>
      </w:r>
      <w:r>
        <w:rPr>
          <w:rFonts w:hint="eastAsia" w:ascii="宋体" w:hAnsi="宋体" w:cs="宋体"/>
          <w:color w:val="auto"/>
          <w:sz w:val="22"/>
          <w:szCs w:val="22"/>
          <w:highlight w:val="none"/>
          <w:lang w:eastAsia="zh-CN"/>
        </w:rPr>
        <w:t>；</w:t>
      </w:r>
    </w:p>
    <w:p w14:paraId="497DE36F">
      <w:pPr>
        <w:spacing w:line="360" w:lineRule="auto"/>
        <w:ind w:firstLine="440" w:firstLineChars="200"/>
        <w:rPr>
          <w:rFonts w:hint="eastAsia" w:ascii="宋体" w:hAnsi="宋体" w:eastAsia="宋体" w:cs="宋体"/>
          <w:color w:val="auto"/>
          <w:sz w:val="22"/>
          <w:szCs w:val="22"/>
          <w:highlight w:val="none"/>
          <w:lang w:eastAsia="zh-CN"/>
        </w:rPr>
      </w:pPr>
      <w:sdt>
        <w:sdtPr>
          <w:rPr>
            <w:rFonts w:hint="eastAsia" w:ascii="宋体" w:hAnsi="宋体" w:eastAsia="宋体" w:cs="宋体"/>
            <w:color w:val="auto"/>
            <w:kern w:val="0"/>
            <w:sz w:val="22"/>
            <w:szCs w:val="22"/>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专</w:t>
      </w:r>
      <w:r>
        <w:rPr>
          <w:rFonts w:hint="eastAsia" w:ascii="宋体" w:hAnsi="宋体" w:eastAsia="宋体" w:cs="宋体"/>
          <w:color w:val="auto"/>
          <w:sz w:val="22"/>
          <w:szCs w:val="22"/>
          <w:highlight w:val="none"/>
        </w:rPr>
        <w:t>门面向</w:t>
      </w:r>
      <w:r>
        <w:rPr>
          <w:rFonts w:hint="eastAsia" w:ascii="宋体" w:hAnsi="宋体" w:cs="宋体"/>
          <w:color w:val="auto"/>
          <w:sz w:val="22"/>
          <w:szCs w:val="22"/>
          <w:highlight w:val="none"/>
          <w:lang w:val="en-US" w:eastAsia="zh-CN"/>
        </w:rPr>
        <w:t>中小</w:t>
      </w:r>
      <w:r>
        <w:rPr>
          <w:rFonts w:hint="eastAsia" w:ascii="宋体" w:hAnsi="宋体" w:eastAsia="宋体" w:cs="宋体"/>
          <w:color w:val="auto"/>
          <w:sz w:val="22"/>
          <w:szCs w:val="22"/>
          <w:highlight w:val="none"/>
        </w:rPr>
        <w:t>企业</w:t>
      </w:r>
      <w:r>
        <w:rPr>
          <w:rFonts w:hint="eastAsia" w:ascii="宋体" w:hAnsi="宋体" w:cs="宋体"/>
          <w:color w:val="auto"/>
          <w:sz w:val="22"/>
          <w:szCs w:val="22"/>
          <w:highlight w:val="none"/>
          <w:lang w:eastAsia="zh-CN"/>
        </w:rPr>
        <w:t>：</w:t>
      </w:r>
    </w:p>
    <w:p w14:paraId="4F6CF193">
      <w:pPr>
        <w:spacing w:line="360" w:lineRule="auto"/>
        <w:ind w:firstLine="440" w:firstLineChars="200"/>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sz w:val="22"/>
          <w:szCs w:val="22"/>
          <w:highlight w:val="none"/>
        </w:rPr>
        <w:t>服务全部由符合政策要求的中小企业承接，提供中小企业声明函；</w:t>
      </w:r>
    </w:p>
    <w:p w14:paraId="013B8F74">
      <w:pPr>
        <w:spacing w:line="360" w:lineRule="auto"/>
        <w:ind w:firstLine="440" w:firstLineChars="200"/>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sz w:val="22"/>
          <w:szCs w:val="22"/>
          <w:highlight w:val="none"/>
        </w:rPr>
        <w:t>服务全部由符合政策要求的小微企业承接，提供中小企业声明函；</w:t>
      </w:r>
    </w:p>
    <w:p w14:paraId="4C2D678E">
      <w:pPr>
        <w:spacing w:line="360" w:lineRule="auto"/>
        <w:ind w:firstLine="440" w:firstLineChars="200"/>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sz w:val="22"/>
          <w:szCs w:val="22"/>
          <w:highlight w:val="none"/>
        </w:rPr>
        <w:t>要求以联合体形式参加，提供联合协议和中小企业声明函，联合协议中中小企业合同金额应当达到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%，其中小微企业合同金额应当达到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pacing w:val="8"/>
          <w:kern w:val="0"/>
          <w:sz w:val="22"/>
          <w:szCs w:val="22"/>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2"/>
          <w:szCs w:val="22"/>
          <w:highlight w:val="none"/>
        </w:rPr>
        <w:t>；</w:t>
      </w:r>
    </w:p>
    <w:p w14:paraId="18239530">
      <w:pPr>
        <w:spacing w:line="360" w:lineRule="auto"/>
        <w:ind w:firstLine="440" w:firstLineChars="200"/>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sz w:val="22"/>
          <w:szCs w:val="22"/>
          <w:highlight w:val="none"/>
        </w:rPr>
        <w:t>要求合同分包，提供分包意向协议和中小企业声明函，分包意向协议中中小企业合同金额应当达到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，其中小微企业合同金额应当达到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r>
        <w:rPr>
          <w:rFonts w:hint="eastAsia" w:ascii="宋体" w:hAnsi="宋体" w:eastAsia="宋体" w:cs="宋体"/>
          <w:color w:val="auto"/>
          <w:spacing w:val="8"/>
          <w:kern w:val="0"/>
          <w:sz w:val="22"/>
          <w:szCs w:val="22"/>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2"/>
          <w:szCs w:val="22"/>
          <w:highlight w:val="none"/>
        </w:rPr>
        <w:t>；</w:t>
      </w:r>
    </w:p>
    <w:p w14:paraId="0DFF84B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4.本项目的特定资格要求：（1）投标人资格要求具备①或②资质：①具备建设行政主管部门颁发的检测机构综合资质；②具备建设行政主管部门颁发的市政桥梁检测资质或桥梁及地下工程检测资质；</w:t>
      </w:r>
    </w:p>
    <w:p w14:paraId="2377DCE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(2)具有省级及以上质量技术监督部门颁发的《计量认证证书》,《计量认证证书》 附表中须包含桥梁结构定期检测参数)。</w:t>
      </w:r>
    </w:p>
    <w:p w14:paraId="539C36A7">
      <w:pPr>
        <w:spacing w:line="360" w:lineRule="auto"/>
        <w:rPr>
          <w:rFonts w:hint="eastAsia" w:ascii="宋体" w:hAnsi="宋体" w:eastAsia="宋体" w:cs="宋体"/>
          <w:b/>
          <w:bCs/>
          <w:color w:val="auto"/>
          <w:sz w:val="22"/>
          <w:szCs w:val="22"/>
          <w:highlight w:val="none"/>
        </w:rPr>
      </w:pPr>
      <w:bookmarkStart w:id="19" w:name="_Toc35393800"/>
      <w:bookmarkStart w:id="20" w:name="_Toc35393631"/>
      <w:bookmarkStart w:id="21" w:name="_Toc28359014"/>
      <w:bookmarkStart w:id="22" w:name="_Toc28359091"/>
      <w:r>
        <w:rPr>
          <w:rFonts w:hint="eastAsia" w:ascii="宋体" w:hAnsi="宋体" w:eastAsia="宋体" w:cs="宋体"/>
          <w:b/>
          <w:bCs/>
          <w:color w:val="auto"/>
          <w:sz w:val="22"/>
          <w:szCs w:val="22"/>
          <w:highlight w:val="none"/>
        </w:rPr>
        <w:t>三、获取（下载）采购文件</w:t>
      </w:r>
      <w:bookmarkEnd w:id="19"/>
      <w:bookmarkEnd w:id="20"/>
      <w:bookmarkEnd w:id="21"/>
      <w:bookmarkEnd w:id="22"/>
    </w:p>
    <w:p w14:paraId="59E1EAB7">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时间：</w:t>
      </w:r>
      <w:r>
        <w:rPr>
          <w:rFonts w:hint="eastAsia" w:ascii="宋体" w:hAnsi="宋体" w:eastAsia="宋体" w:cs="宋体"/>
          <w:color w:val="auto"/>
          <w:sz w:val="22"/>
          <w:szCs w:val="22"/>
          <w:highlight w:val="none"/>
        </w:rPr>
        <w:t>/至</w:t>
      </w: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lang w:val="en-US" w:eastAsia="zh-CN"/>
        </w:rPr>
        <w:t>06</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lang w:eastAsia="zh-CN"/>
        </w:rPr>
        <w:t>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14:paraId="2180EC66">
      <w:pPr>
        <w:spacing w:line="360" w:lineRule="auto"/>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地点（网址）：政采云平台（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 </w:instrText>
      </w:r>
      <w:r>
        <w:rPr>
          <w:rFonts w:hint="eastAsia" w:ascii="宋体" w:hAnsi="宋体" w:eastAsia="宋体" w:cs="宋体"/>
          <w:color w:val="auto"/>
          <w:sz w:val="22"/>
          <w:szCs w:val="22"/>
          <w:highlight w:val="none"/>
        </w:rPr>
        <w:fldChar w:fldCharType="separate"/>
      </w:r>
      <w:r>
        <w:rPr>
          <w:rStyle w:val="69"/>
          <w:rFonts w:hint="eastAsia" w:ascii="宋体" w:hAnsi="宋体" w:eastAsia="宋体" w:cs="宋体"/>
          <w:b/>
          <w:color w:val="auto"/>
          <w:sz w:val="22"/>
          <w:szCs w:val="22"/>
          <w:highlight w:val="none"/>
        </w:rPr>
        <w:t>https://www.zcygov.cn/</w:t>
      </w:r>
      <w:r>
        <w:rPr>
          <w:rStyle w:val="69"/>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t>）</w:t>
      </w:r>
    </w:p>
    <w:p w14:paraId="32BC8600">
      <w:pPr>
        <w:spacing w:line="360" w:lineRule="auto"/>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方式：</w:t>
      </w:r>
      <w:r>
        <w:rPr>
          <w:rFonts w:hint="eastAsia" w:ascii="宋体" w:hAnsi="宋体" w:eastAsia="宋体" w:cs="宋体"/>
          <w:color w:val="auto"/>
          <w:sz w:val="22"/>
          <w:szCs w:val="22"/>
          <w:highlight w:val="none"/>
        </w:rPr>
        <w:t>供应商登录政采云平台https://www.zcygov.cn/在线申请获取采购文件（进入“项目采购”应用，在获取采购文件菜单中选择项目，申请获取采购文件）。</w:t>
      </w:r>
    </w:p>
    <w:p w14:paraId="1B5C2092">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售价：</w:t>
      </w:r>
      <w:r>
        <w:rPr>
          <w:rFonts w:hint="eastAsia" w:ascii="宋体" w:hAnsi="宋体" w:eastAsia="宋体" w:cs="宋体"/>
          <w:color w:val="auto"/>
          <w:sz w:val="22"/>
          <w:szCs w:val="22"/>
          <w:highlight w:val="none"/>
        </w:rPr>
        <w:t>免费。</w:t>
      </w:r>
    </w:p>
    <w:p w14:paraId="13E2D9D2">
      <w:pPr>
        <w:spacing w:line="360" w:lineRule="auto"/>
        <w:rPr>
          <w:rFonts w:hint="eastAsia" w:ascii="宋体" w:hAnsi="宋体" w:eastAsia="宋体" w:cs="宋体"/>
          <w:b/>
          <w:bCs/>
          <w:color w:val="auto"/>
          <w:sz w:val="22"/>
          <w:szCs w:val="22"/>
          <w:highlight w:val="none"/>
        </w:rPr>
      </w:pPr>
      <w:bookmarkStart w:id="23" w:name="_Toc35393632"/>
      <w:bookmarkStart w:id="24" w:name="_Toc28359015"/>
      <w:bookmarkStart w:id="25" w:name="_Toc35393801"/>
      <w:bookmarkStart w:id="26" w:name="_Toc28359092"/>
      <w:r>
        <w:rPr>
          <w:rFonts w:hint="eastAsia" w:ascii="宋体" w:hAnsi="宋体" w:eastAsia="宋体" w:cs="宋体"/>
          <w:b/>
          <w:bCs/>
          <w:color w:val="auto"/>
          <w:sz w:val="22"/>
          <w:szCs w:val="22"/>
          <w:highlight w:val="none"/>
        </w:rPr>
        <w:t>四、响应文件提交</w:t>
      </w:r>
      <w:bookmarkEnd w:id="23"/>
      <w:bookmarkEnd w:id="24"/>
      <w:bookmarkEnd w:id="25"/>
      <w:bookmarkEnd w:id="26"/>
      <w:r>
        <w:rPr>
          <w:rFonts w:hint="eastAsia" w:ascii="宋体" w:hAnsi="宋体" w:eastAsia="宋体" w:cs="宋体"/>
          <w:b/>
          <w:bCs/>
          <w:color w:val="auto"/>
          <w:sz w:val="22"/>
          <w:szCs w:val="22"/>
          <w:highlight w:val="none"/>
        </w:rPr>
        <w:t>（上传）</w:t>
      </w:r>
    </w:p>
    <w:p w14:paraId="2B1726D5">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截止时间：</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06</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17</w:t>
      </w:r>
      <w:r>
        <w:rPr>
          <w:rFonts w:hint="eastAsia" w:ascii="宋体" w:hAnsi="宋体" w:cs="宋体"/>
          <w:color w:val="auto"/>
          <w:sz w:val="22"/>
          <w:szCs w:val="22"/>
          <w:highlight w:val="none"/>
          <w:u w:val="single"/>
          <w:lang w:eastAsia="zh-CN"/>
        </w:rPr>
        <w:t>日</w:t>
      </w:r>
      <w:r>
        <w:rPr>
          <w:rFonts w:hint="eastAsia" w:ascii="宋体" w:hAnsi="宋体" w:eastAsia="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u w:val="single"/>
        </w:rPr>
        <w:t>分00秒</w:t>
      </w:r>
      <w:r>
        <w:rPr>
          <w:rFonts w:hint="eastAsia" w:ascii="宋体" w:hAnsi="宋体" w:eastAsia="宋体" w:cs="宋体"/>
          <w:bCs/>
          <w:color w:val="auto"/>
          <w:sz w:val="22"/>
          <w:szCs w:val="22"/>
          <w:highlight w:val="none"/>
        </w:rPr>
        <w:t>（北京时间）</w:t>
      </w:r>
    </w:p>
    <w:p w14:paraId="38A2DACF">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地点：</w:t>
      </w:r>
      <w:r>
        <w:rPr>
          <w:rFonts w:hint="eastAsia" w:ascii="宋体" w:hAnsi="宋体" w:eastAsia="宋体" w:cs="宋体"/>
          <w:b/>
          <w:color w:val="auto"/>
          <w:sz w:val="22"/>
          <w:szCs w:val="22"/>
          <w:highlight w:val="none"/>
        </w:rPr>
        <w:t>政采云平台（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 </w:instrText>
      </w:r>
      <w:r>
        <w:rPr>
          <w:rFonts w:hint="eastAsia" w:ascii="宋体" w:hAnsi="宋体" w:eastAsia="宋体" w:cs="宋体"/>
          <w:color w:val="auto"/>
          <w:sz w:val="22"/>
          <w:szCs w:val="22"/>
          <w:highlight w:val="none"/>
        </w:rPr>
        <w:fldChar w:fldCharType="separate"/>
      </w:r>
      <w:r>
        <w:rPr>
          <w:rStyle w:val="69"/>
          <w:rFonts w:hint="eastAsia" w:ascii="宋体" w:hAnsi="宋体" w:eastAsia="宋体" w:cs="宋体"/>
          <w:b/>
          <w:color w:val="auto"/>
          <w:kern w:val="2"/>
          <w:sz w:val="22"/>
          <w:szCs w:val="22"/>
          <w:highlight w:val="none"/>
        </w:rPr>
        <w:t>https://www.zcygov.cn/</w:t>
      </w:r>
      <w:r>
        <w:rPr>
          <w:rStyle w:val="69"/>
          <w:rFonts w:hint="eastAsia" w:ascii="宋体" w:hAnsi="宋体" w:eastAsia="宋体" w:cs="宋体"/>
          <w:b/>
          <w:color w:val="auto"/>
          <w:kern w:val="2"/>
          <w:sz w:val="22"/>
          <w:szCs w:val="22"/>
          <w:highlight w:val="none"/>
        </w:rPr>
        <w:fldChar w:fldCharType="end"/>
      </w:r>
      <w:r>
        <w:rPr>
          <w:rFonts w:hint="eastAsia" w:ascii="宋体" w:hAnsi="宋体" w:eastAsia="宋体" w:cs="宋体"/>
          <w:b/>
          <w:color w:val="auto"/>
          <w:sz w:val="22"/>
          <w:szCs w:val="22"/>
          <w:highlight w:val="none"/>
        </w:rPr>
        <w:t>）。</w:t>
      </w:r>
    </w:p>
    <w:p w14:paraId="2761421E">
      <w:pPr>
        <w:spacing w:line="360" w:lineRule="auto"/>
        <w:rPr>
          <w:rFonts w:hint="eastAsia" w:ascii="宋体" w:hAnsi="宋体" w:eastAsia="宋体" w:cs="宋体"/>
          <w:b/>
          <w:bCs/>
          <w:color w:val="auto"/>
          <w:sz w:val="22"/>
          <w:szCs w:val="22"/>
          <w:highlight w:val="none"/>
        </w:rPr>
      </w:pPr>
      <w:bookmarkStart w:id="27" w:name="_Toc35393802"/>
      <w:bookmarkStart w:id="28" w:name="_Toc35393633"/>
      <w:bookmarkStart w:id="29" w:name="_Toc28359093"/>
      <w:bookmarkStart w:id="30" w:name="_Toc28359016"/>
      <w:r>
        <w:rPr>
          <w:rFonts w:hint="eastAsia" w:ascii="宋体" w:hAnsi="宋体" w:eastAsia="宋体" w:cs="宋体"/>
          <w:b/>
          <w:bCs/>
          <w:color w:val="auto"/>
          <w:sz w:val="22"/>
          <w:szCs w:val="22"/>
          <w:highlight w:val="none"/>
        </w:rPr>
        <w:t>五、响应文件开启</w:t>
      </w:r>
      <w:bookmarkEnd w:id="27"/>
      <w:bookmarkEnd w:id="28"/>
      <w:bookmarkEnd w:id="29"/>
      <w:bookmarkEnd w:id="30"/>
    </w:p>
    <w:p w14:paraId="15E0B45B">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06</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17</w:t>
      </w:r>
      <w:r>
        <w:rPr>
          <w:rFonts w:hint="eastAsia" w:ascii="宋体" w:hAnsi="宋体" w:cs="宋体"/>
          <w:color w:val="auto"/>
          <w:sz w:val="22"/>
          <w:szCs w:val="22"/>
          <w:highlight w:val="none"/>
          <w:u w:val="single"/>
          <w:lang w:eastAsia="zh-CN"/>
        </w:rPr>
        <w:t>日</w:t>
      </w:r>
      <w:r>
        <w:rPr>
          <w:rFonts w:hint="eastAsia" w:ascii="宋体" w:hAnsi="宋体" w:eastAsia="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u w:val="single"/>
        </w:rPr>
        <w:t>分00秒</w:t>
      </w:r>
      <w:r>
        <w:rPr>
          <w:rFonts w:hint="eastAsia" w:ascii="宋体" w:hAnsi="宋体" w:eastAsia="宋体" w:cs="宋体"/>
          <w:bCs/>
          <w:color w:val="auto"/>
          <w:sz w:val="22"/>
          <w:szCs w:val="22"/>
          <w:highlight w:val="none"/>
        </w:rPr>
        <w:t>（北京时间）</w:t>
      </w:r>
    </w:p>
    <w:p w14:paraId="015E4F04">
      <w:pPr>
        <w:spacing w:line="360" w:lineRule="auto"/>
        <w:ind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地点：政采云平台（https://www.zcygov.cn/）。</w:t>
      </w:r>
    </w:p>
    <w:p w14:paraId="39A4DE49">
      <w:pPr>
        <w:spacing w:line="360" w:lineRule="auto"/>
        <w:rPr>
          <w:rFonts w:hint="eastAsia" w:ascii="宋体" w:hAnsi="宋体" w:eastAsia="宋体" w:cs="宋体"/>
          <w:b/>
          <w:bCs/>
          <w:color w:val="auto"/>
          <w:sz w:val="22"/>
          <w:szCs w:val="22"/>
          <w:highlight w:val="none"/>
        </w:rPr>
      </w:pPr>
      <w:bookmarkStart w:id="31" w:name="_Toc28359017"/>
      <w:bookmarkStart w:id="32" w:name="_Toc35393803"/>
      <w:bookmarkStart w:id="33" w:name="_Toc28359094"/>
      <w:bookmarkStart w:id="34" w:name="_Toc35393634"/>
      <w:r>
        <w:rPr>
          <w:rFonts w:hint="eastAsia" w:ascii="宋体" w:hAnsi="宋体" w:eastAsia="宋体" w:cs="宋体"/>
          <w:b/>
          <w:bCs/>
          <w:color w:val="auto"/>
          <w:sz w:val="22"/>
          <w:szCs w:val="22"/>
          <w:highlight w:val="none"/>
        </w:rPr>
        <w:t>六、公告期限</w:t>
      </w:r>
      <w:bookmarkEnd w:id="31"/>
      <w:bookmarkEnd w:id="32"/>
      <w:bookmarkEnd w:id="33"/>
      <w:bookmarkEnd w:id="34"/>
    </w:p>
    <w:p w14:paraId="036E2285">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自本公告发布之日起3个工作日。</w:t>
      </w:r>
    </w:p>
    <w:p w14:paraId="3B845D24">
      <w:pPr>
        <w:spacing w:line="360" w:lineRule="auto"/>
        <w:rPr>
          <w:rFonts w:hint="eastAsia" w:ascii="宋体" w:hAnsi="宋体" w:eastAsia="宋体" w:cs="宋体"/>
          <w:b/>
          <w:bCs/>
          <w:color w:val="auto"/>
          <w:sz w:val="22"/>
          <w:szCs w:val="22"/>
          <w:highlight w:val="none"/>
        </w:rPr>
      </w:pPr>
      <w:bookmarkStart w:id="35" w:name="_Toc35393635"/>
      <w:bookmarkStart w:id="36" w:name="_Toc35393804"/>
      <w:r>
        <w:rPr>
          <w:rFonts w:hint="eastAsia" w:ascii="宋体" w:hAnsi="宋体" w:eastAsia="宋体" w:cs="宋体"/>
          <w:b/>
          <w:bCs/>
          <w:color w:val="auto"/>
          <w:sz w:val="22"/>
          <w:szCs w:val="22"/>
          <w:highlight w:val="none"/>
        </w:rPr>
        <w:t>七、其他补充事宜</w:t>
      </w:r>
      <w:bookmarkEnd w:id="35"/>
      <w:bookmarkEnd w:id="36"/>
    </w:p>
    <w:p w14:paraId="6D970E9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64166AE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5B647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提出质疑。质疑供应商对采购人、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的答复不满意或者采购人、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未在规定的时间内作出答复的，可以在答复期满后十五个工作日内向同级政府采购监督管理部门投诉。质疑函范本、投诉书范本请到浙江政府采购网下载专区下载。</w:t>
      </w:r>
    </w:p>
    <w:p w14:paraId="4F186F1A">
      <w:pPr>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kern w:val="0"/>
          <w:sz w:val="22"/>
          <w:szCs w:val="22"/>
          <w:highlight w:val="none"/>
        </w:rPr>
        <w:t>4. 其他事项：（1）需要落实的政府采购政策：</w:t>
      </w:r>
      <w:r>
        <w:rPr>
          <w:rFonts w:hint="eastAsia" w:ascii="宋体" w:hAnsi="宋体" w:eastAsia="宋体" w:cs="宋体"/>
          <w:color w:val="auto"/>
          <w:kern w:val="0"/>
          <w:sz w:val="22"/>
          <w:szCs w:val="22"/>
          <w:highlight w:val="none"/>
        </w:rPr>
        <w:t>包括节约资源、保护环境、</w:t>
      </w:r>
      <w:r>
        <w:rPr>
          <w:rFonts w:hint="eastAsia" w:ascii="宋体" w:hAnsi="宋体" w:eastAsia="宋体" w:cs="宋体"/>
          <w:color w:val="auto"/>
          <w:sz w:val="22"/>
          <w:szCs w:val="22"/>
          <w:highlight w:val="none"/>
        </w:rPr>
        <w:t>支持创新、</w:t>
      </w:r>
      <w:r>
        <w:rPr>
          <w:rFonts w:hint="eastAsia" w:ascii="宋体" w:hAnsi="宋体" w:eastAsia="宋体" w:cs="宋体"/>
          <w:color w:val="auto"/>
          <w:kern w:val="0"/>
          <w:sz w:val="22"/>
          <w:szCs w:val="22"/>
          <w:highlight w:val="none"/>
        </w:rPr>
        <w:t>促进中小企业发展等，详见磋商文件第三部分。</w:t>
      </w:r>
      <w:r>
        <w:rPr>
          <w:rFonts w:hint="eastAsia" w:ascii="宋体" w:hAnsi="宋体" w:eastAsia="宋体" w:cs="宋体"/>
          <w:b/>
          <w:color w:val="auto"/>
          <w:kern w:val="0"/>
          <w:sz w:val="22"/>
          <w:szCs w:val="22"/>
          <w:highlight w:val="none"/>
        </w:rPr>
        <w:t>（2）</w:t>
      </w:r>
      <w:r>
        <w:rPr>
          <w:rFonts w:hint="eastAsia" w:ascii="宋体" w:hAnsi="宋体" w:eastAsia="宋体" w:cs="宋体"/>
          <w:b/>
          <w:color w:val="auto"/>
          <w:sz w:val="22"/>
          <w:szCs w:val="22"/>
          <w:highlight w:val="none"/>
        </w:rPr>
        <w:t>电子交易的说明: 1）电子交易：</w:t>
      </w:r>
      <w:r>
        <w:rPr>
          <w:rFonts w:hint="eastAsia" w:ascii="宋体" w:hAnsi="宋体" w:eastAsia="宋体" w:cs="宋体"/>
          <w:color w:val="auto"/>
          <w:sz w:val="22"/>
          <w:szCs w:val="22"/>
          <w:highlight w:val="none"/>
        </w:rPr>
        <w:t>本项目以数据电文形式，依托“政府采购云平台（www.zcygov.cn）”进行采购活动，不接受纸质响应文件。</w:t>
      </w:r>
      <w:r>
        <w:rPr>
          <w:rFonts w:hint="eastAsia" w:ascii="宋体" w:hAnsi="宋体" w:eastAsia="宋体" w:cs="宋体"/>
          <w:b/>
          <w:color w:val="auto"/>
          <w:sz w:val="22"/>
          <w:szCs w:val="22"/>
          <w:highlight w:val="none"/>
        </w:rPr>
        <w:t>2）响应准备：</w:t>
      </w:r>
      <w:r>
        <w:rPr>
          <w:rFonts w:hint="eastAsia" w:ascii="宋体" w:hAnsi="宋体" w:eastAsia="宋体" w:cs="宋体"/>
          <w:color w:val="auto"/>
          <w:sz w:val="22"/>
          <w:szCs w:val="22"/>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2"/>
          <w:szCs w:val="22"/>
          <w:highlight w:val="none"/>
        </w:rPr>
        <w:t>3）磋商文件的获取：</w:t>
      </w:r>
      <w:r>
        <w:rPr>
          <w:rFonts w:hint="eastAsia" w:ascii="宋体" w:hAnsi="宋体" w:eastAsia="宋体" w:cs="宋体"/>
          <w:color w:val="auto"/>
          <w:sz w:val="22"/>
          <w:szCs w:val="22"/>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2"/>
          <w:szCs w:val="22"/>
          <w:highlight w:val="none"/>
        </w:rPr>
        <w:t>4）响应文件的制作：</w:t>
      </w:r>
      <w:r>
        <w:rPr>
          <w:rFonts w:hint="eastAsia" w:ascii="宋体" w:hAnsi="宋体" w:eastAsia="宋体" w:cs="宋体"/>
          <w:color w:val="auto"/>
          <w:sz w:val="22"/>
          <w:szCs w:val="22"/>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2"/>
          <w:szCs w:val="22"/>
          <w:highlight w:val="none"/>
        </w:rPr>
        <w:t>5）</w:t>
      </w: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2"/>
          <w:szCs w:val="22"/>
          <w:highlight w:val="none"/>
        </w:rPr>
        <w:t>6）</w:t>
      </w:r>
      <w:r>
        <w:rPr>
          <w:rFonts w:hint="eastAsia" w:ascii="宋体" w:hAnsi="宋体" w:eastAsia="宋体" w:cs="宋体"/>
          <w:color w:val="auto"/>
          <w:sz w:val="22"/>
          <w:szCs w:val="22"/>
          <w:highlight w:val="none"/>
        </w:rPr>
        <w:t>对未按上述方式获取磋商文件的供应商对该文件提出的质疑，采购人或</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将不予处理</w:t>
      </w:r>
      <w:r>
        <w:rPr>
          <w:rFonts w:hint="eastAsia" w:ascii="宋体" w:hAnsi="宋体" w:eastAsia="宋体" w:cs="宋体"/>
          <w:b/>
          <w:color w:val="auto"/>
          <w:sz w:val="22"/>
          <w:szCs w:val="22"/>
          <w:highlight w:val="none"/>
        </w:rPr>
        <w:t>；7）</w:t>
      </w:r>
      <w:r>
        <w:rPr>
          <w:rFonts w:hint="eastAsia" w:ascii="宋体" w:hAnsi="宋体" w:eastAsia="宋体" w:cs="宋体"/>
          <w:color w:val="auto"/>
          <w:sz w:val="22"/>
          <w:szCs w:val="22"/>
          <w:highlight w:val="none"/>
        </w:rPr>
        <w:t>不提供磋商文件纸质版；</w:t>
      </w:r>
      <w:r>
        <w:rPr>
          <w:rFonts w:hint="eastAsia" w:ascii="宋体" w:hAnsi="宋体" w:eastAsia="宋体" w:cs="宋体"/>
          <w:b/>
          <w:color w:val="auto"/>
          <w:sz w:val="22"/>
          <w:szCs w:val="22"/>
          <w:highlight w:val="none"/>
        </w:rPr>
        <w:t>8）响应文件的传输提交：</w:t>
      </w:r>
      <w:r>
        <w:rPr>
          <w:rFonts w:hint="eastAsia" w:ascii="宋体" w:hAnsi="宋体" w:eastAsia="宋体" w:cs="宋体"/>
          <w:color w:val="auto"/>
          <w:sz w:val="22"/>
          <w:szCs w:val="22"/>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2"/>
          <w:szCs w:val="22"/>
          <w:highlight w:val="none"/>
        </w:rPr>
        <w:t>9）响应文件的解密：</w:t>
      </w:r>
      <w:r>
        <w:rPr>
          <w:rFonts w:hint="eastAsia" w:ascii="宋体" w:hAnsi="宋体" w:eastAsia="宋体" w:cs="宋体"/>
          <w:color w:val="auto"/>
          <w:sz w:val="22"/>
          <w:szCs w:val="22"/>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2"/>
          <w:szCs w:val="22"/>
          <w:highlight w:val="none"/>
        </w:rPr>
        <w:t>）具体操作指南</w:t>
      </w:r>
      <w:r>
        <w:rPr>
          <w:rFonts w:hint="eastAsia" w:ascii="宋体" w:hAnsi="宋体" w:eastAsia="宋体" w:cs="宋体"/>
          <w:color w:val="auto"/>
          <w:sz w:val="22"/>
          <w:szCs w:val="22"/>
          <w:highlight w:val="none"/>
        </w:rPr>
        <w:t>：详见政采云平台“服务中心-帮助文档-项目采购-操作流程-电子招投标-政府采购</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电子交易管理操作指南-供应商”。（磋商文件公告期限与磋商公告的公告期限一致。</w:t>
      </w:r>
      <w:r>
        <w:rPr>
          <w:rFonts w:hint="eastAsia" w:ascii="宋体" w:hAnsi="宋体" w:eastAsia="宋体" w:cs="宋体"/>
          <w:color w:val="auto"/>
          <w:sz w:val="22"/>
          <w:szCs w:val="22"/>
          <w:highlight w:val="none"/>
          <w:lang w:val="en-US" w:eastAsia="zh-CN"/>
        </w:rPr>
        <w:t>)</w:t>
      </w:r>
    </w:p>
    <w:p w14:paraId="26E51495">
      <w:pPr>
        <w:spacing w:line="360" w:lineRule="auto"/>
        <w:rPr>
          <w:rFonts w:hint="eastAsia" w:ascii="宋体" w:hAnsi="宋体" w:eastAsia="宋体" w:cs="宋体"/>
          <w:b/>
          <w:bCs/>
          <w:color w:val="auto"/>
          <w:sz w:val="22"/>
          <w:szCs w:val="22"/>
          <w:highlight w:val="none"/>
        </w:rPr>
      </w:pPr>
      <w:bookmarkStart w:id="37" w:name="_Toc28359018"/>
      <w:bookmarkStart w:id="38" w:name="_Toc28359095"/>
      <w:bookmarkStart w:id="39" w:name="_Toc35393805"/>
      <w:bookmarkStart w:id="40" w:name="_Toc35393636"/>
      <w:r>
        <w:rPr>
          <w:rFonts w:hint="eastAsia" w:ascii="宋体" w:hAnsi="宋体" w:eastAsia="宋体" w:cs="宋体"/>
          <w:b/>
          <w:bCs/>
          <w:color w:val="auto"/>
          <w:sz w:val="22"/>
          <w:szCs w:val="22"/>
          <w:highlight w:val="none"/>
        </w:rPr>
        <w:t>八、凡对本次采购提出询问、质疑、投诉，请按以下方式联系</w:t>
      </w:r>
      <w:bookmarkEnd w:id="37"/>
      <w:bookmarkEnd w:id="38"/>
      <w:bookmarkEnd w:id="39"/>
      <w:bookmarkEnd w:id="40"/>
    </w:p>
    <w:p w14:paraId="624225D9">
      <w:pPr>
        <w:spacing w:line="360" w:lineRule="auto"/>
        <w:ind w:firstLine="442" w:firstLineChars="200"/>
        <w:rPr>
          <w:rFonts w:hint="eastAsia" w:ascii="宋体" w:hAnsi="宋体" w:eastAsia="宋体" w:cs="宋体"/>
          <w:b/>
          <w:bCs/>
          <w:color w:val="auto"/>
          <w:sz w:val="22"/>
          <w:szCs w:val="22"/>
          <w:highlight w:val="none"/>
        </w:rPr>
      </w:pPr>
      <w:bookmarkStart w:id="41" w:name="_Toc28359096"/>
      <w:bookmarkStart w:id="42" w:name="_Toc28359019"/>
      <w:bookmarkStart w:id="43" w:name="_Toc35393806"/>
      <w:bookmarkStart w:id="44" w:name="_Toc35393637"/>
      <w:r>
        <w:rPr>
          <w:rFonts w:hint="eastAsia" w:ascii="宋体" w:hAnsi="宋体" w:eastAsia="宋体" w:cs="宋体"/>
          <w:b/>
          <w:bCs/>
          <w:color w:val="auto"/>
          <w:sz w:val="22"/>
          <w:szCs w:val="22"/>
          <w:highlight w:val="none"/>
        </w:rPr>
        <w:t>1.采购人信息</w:t>
      </w:r>
      <w:bookmarkEnd w:id="41"/>
      <w:bookmarkEnd w:id="42"/>
      <w:bookmarkEnd w:id="43"/>
      <w:bookmarkEnd w:id="44"/>
      <w:r>
        <w:rPr>
          <w:rFonts w:hint="eastAsia" w:ascii="宋体" w:hAnsi="宋体" w:eastAsia="宋体" w:cs="宋体"/>
          <w:b/>
          <w:bCs/>
          <w:color w:val="auto"/>
          <w:sz w:val="22"/>
          <w:szCs w:val="22"/>
          <w:highlight w:val="none"/>
        </w:rPr>
        <w:t>：</w:t>
      </w:r>
    </w:p>
    <w:p w14:paraId="23F1B404">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名称：永嘉县综合行政执法局</w:t>
      </w:r>
    </w:p>
    <w:p w14:paraId="2DD505DD">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地址：永嘉县上塘镇永建路235号</w:t>
      </w:r>
    </w:p>
    <w:p w14:paraId="08F43F3E">
      <w:pPr>
        <w:spacing w:line="360" w:lineRule="auto"/>
        <w:ind w:firstLine="440" w:firstLineChars="200"/>
        <w:rPr>
          <w:rFonts w:hint="eastAsia" w:ascii="宋体" w:hAnsi="宋体" w:eastAsia="宋体" w:cs="宋体"/>
          <w:color w:val="auto"/>
          <w:sz w:val="22"/>
          <w:szCs w:val="22"/>
          <w:highlight w:val="none"/>
          <w:lang w:eastAsia="zh-CN"/>
        </w:rPr>
      </w:pPr>
      <w:bookmarkStart w:id="45" w:name="_Toc28359097"/>
      <w:bookmarkStart w:id="46" w:name="_Toc35393807"/>
      <w:bookmarkStart w:id="47" w:name="_Toc28359020"/>
      <w:bookmarkStart w:id="48" w:name="_Toc35393638"/>
      <w:r>
        <w:rPr>
          <w:rFonts w:hint="eastAsia" w:ascii="宋体" w:hAnsi="宋体" w:eastAsia="宋体" w:cs="宋体"/>
          <w:color w:val="auto"/>
          <w:sz w:val="22"/>
          <w:szCs w:val="22"/>
          <w:highlight w:val="none"/>
          <w:lang w:eastAsia="zh-CN"/>
        </w:rPr>
        <w:t>项目联系人（询问）：麻先生　　　　　　</w:t>
      </w:r>
    </w:p>
    <w:p w14:paraId="5A98C7F7">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项目联系方式（询问）：</w:t>
      </w:r>
      <w:r>
        <w:rPr>
          <w:rFonts w:hint="eastAsia" w:ascii="宋体" w:hAnsi="宋体" w:eastAsia="宋体" w:cs="宋体"/>
          <w:color w:val="auto"/>
          <w:sz w:val="22"/>
          <w:szCs w:val="22"/>
          <w:highlight w:val="none"/>
          <w:lang w:val="en-US" w:eastAsia="zh-CN"/>
        </w:rPr>
        <w:t>0577-67105058</w:t>
      </w:r>
    </w:p>
    <w:p w14:paraId="762E5C66">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质疑联系人：麻先生  </w:t>
      </w:r>
    </w:p>
    <w:p w14:paraId="3B817156">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质疑联系方式：</w:t>
      </w:r>
      <w:r>
        <w:rPr>
          <w:rFonts w:hint="eastAsia" w:ascii="宋体" w:hAnsi="宋体" w:eastAsia="宋体" w:cs="宋体"/>
          <w:color w:val="auto"/>
          <w:sz w:val="22"/>
          <w:szCs w:val="22"/>
          <w:highlight w:val="none"/>
          <w:lang w:val="en-US" w:eastAsia="zh-CN"/>
        </w:rPr>
        <w:t>0577-67105058</w:t>
      </w:r>
    </w:p>
    <w:p w14:paraId="2BA378B3">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eastAsia="zh-CN"/>
        </w:rPr>
        <w:t>代理机构</w:t>
      </w:r>
      <w:r>
        <w:rPr>
          <w:rFonts w:hint="eastAsia" w:ascii="宋体" w:hAnsi="宋体" w:eastAsia="宋体" w:cs="宋体"/>
          <w:b/>
          <w:bCs/>
          <w:color w:val="auto"/>
          <w:sz w:val="22"/>
          <w:szCs w:val="22"/>
          <w:highlight w:val="none"/>
        </w:rPr>
        <w:t>信息</w:t>
      </w:r>
      <w:bookmarkEnd w:id="45"/>
      <w:bookmarkEnd w:id="46"/>
      <w:bookmarkEnd w:id="47"/>
      <w:bookmarkEnd w:id="48"/>
      <w:r>
        <w:rPr>
          <w:rFonts w:hint="eastAsia" w:ascii="宋体" w:hAnsi="宋体" w:eastAsia="宋体" w:cs="宋体"/>
          <w:b/>
          <w:bCs/>
          <w:color w:val="auto"/>
          <w:sz w:val="22"/>
          <w:szCs w:val="22"/>
          <w:highlight w:val="none"/>
        </w:rPr>
        <w:t>：</w:t>
      </w:r>
    </w:p>
    <w:p w14:paraId="29961F9C">
      <w:pPr>
        <w:spacing w:line="360" w:lineRule="auto"/>
        <w:ind w:firstLine="440" w:firstLineChars="200"/>
        <w:rPr>
          <w:rFonts w:hint="eastAsia" w:ascii="宋体" w:eastAsia="宋体"/>
          <w:b w:val="0"/>
          <w:color w:val="auto"/>
          <w:sz w:val="22"/>
          <w:highlight w:val="none"/>
          <w:lang w:val="en-US" w:eastAsia="zh-CN"/>
        </w:rPr>
      </w:pPr>
      <w:r>
        <w:rPr>
          <w:rFonts w:hint="eastAsia" w:ascii="宋体" w:hAnsi="宋体" w:eastAsia="宋体" w:cs="宋体"/>
          <w:color w:val="auto"/>
          <w:sz w:val="22"/>
          <w:szCs w:val="22"/>
          <w:highlight w:val="none"/>
        </w:rPr>
        <w:t>名称：</w:t>
      </w:r>
      <w:r>
        <w:rPr>
          <w:rFonts w:hint="eastAsia" w:ascii="宋体" w:hAnsi="宋体" w:cs="宋体"/>
          <w:color w:val="auto"/>
          <w:sz w:val="22"/>
          <w:szCs w:val="22"/>
          <w:highlight w:val="none"/>
          <w:lang w:eastAsia="zh-CN"/>
        </w:rPr>
        <w:t>浙江新业项目管理有限公司</w:t>
      </w:r>
      <w:r>
        <w:rPr>
          <w:rFonts w:hint="eastAsia" w:ascii="宋体" w:eastAsia="宋体"/>
          <w:b w:val="0"/>
          <w:color w:val="auto"/>
          <w:sz w:val="22"/>
          <w:highlight w:val="none"/>
          <w:lang w:val="en-US" w:eastAsia="zh-CN"/>
        </w:rPr>
        <w:t xml:space="preserve">           </w:t>
      </w:r>
    </w:p>
    <w:p w14:paraId="7E6F798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地址：永嘉县南城街道永兴路建设大厦9楼913室</w:t>
      </w:r>
      <w:r>
        <w:rPr>
          <w:rFonts w:hint="eastAsia" w:ascii="宋体" w:eastAsia="宋体"/>
          <w:b w:val="0"/>
          <w:color w:val="auto"/>
          <w:sz w:val="22"/>
          <w:highlight w:val="none"/>
          <w:lang w:val="en-US" w:eastAsia="zh-CN"/>
        </w:rPr>
        <w:t xml:space="preserve">          </w:t>
      </w:r>
    </w:p>
    <w:p w14:paraId="3FBBE4C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项目联系人（询问）：林先生</w:t>
      </w:r>
    </w:p>
    <w:p w14:paraId="12854C75">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项目联系方式（询问）：13758801566</w:t>
      </w:r>
    </w:p>
    <w:p w14:paraId="5E8C481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 陈芬</w:t>
      </w:r>
      <w:r>
        <w:rPr>
          <w:rFonts w:hint="eastAsia" w:ascii="宋体" w:eastAsia="宋体"/>
          <w:b w:val="0"/>
          <w:color w:val="auto"/>
          <w:sz w:val="22"/>
          <w:highlight w:val="none"/>
          <w:lang w:val="en-US" w:eastAsia="zh-CN"/>
        </w:rPr>
        <w:t xml:space="preserve">               </w:t>
      </w:r>
    </w:p>
    <w:p w14:paraId="3F2D074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质疑联系方式：</w:t>
      </w:r>
      <w:r>
        <w:rPr>
          <w:rFonts w:hint="eastAsia" w:ascii="宋体" w:hAnsi="宋体" w:eastAsia="宋体" w:cs="宋体"/>
          <w:color w:val="auto"/>
          <w:sz w:val="22"/>
          <w:szCs w:val="22"/>
          <w:highlight w:val="none"/>
          <w:lang w:val="en-US" w:eastAsia="zh-CN"/>
        </w:rPr>
        <w:t xml:space="preserve"> 1366252586</w:t>
      </w:r>
    </w:p>
    <w:p w14:paraId="4AA284B7">
      <w:pPr>
        <w:spacing w:line="360" w:lineRule="auto"/>
        <w:ind w:firstLine="442" w:firstLineChars="200"/>
        <w:rPr>
          <w:rFonts w:hint="eastAsia" w:ascii="宋体" w:hAnsi="宋体" w:eastAsia="宋体" w:cs="宋体"/>
          <w:b/>
          <w:color w:val="auto"/>
          <w:sz w:val="22"/>
          <w:szCs w:val="22"/>
          <w:highlight w:val="none"/>
        </w:rPr>
      </w:pPr>
      <w:bookmarkStart w:id="49" w:name="_Toc28359021"/>
      <w:bookmarkStart w:id="50" w:name="_Toc28359098"/>
      <w:bookmarkStart w:id="51" w:name="_Toc35393639"/>
      <w:bookmarkStart w:id="52" w:name="_Toc35393808"/>
      <w:r>
        <w:rPr>
          <w:rFonts w:hint="eastAsia" w:ascii="宋体" w:hAnsi="宋体" w:eastAsia="宋体" w:cs="宋体"/>
          <w:b/>
          <w:bCs/>
          <w:color w:val="auto"/>
          <w:sz w:val="22"/>
          <w:szCs w:val="22"/>
          <w:highlight w:val="none"/>
        </w:rPr>
        <w:t xml:space="preserve">3. 同级政府采购监督管理部门：     </w:t>
      </w:r>
      <w:r>
        <w:rPr>
          <w:rFonts w:hint="eastAsia" w:ascii="宋体" w:hAnsi="宋体" w:eastAsia="宋体" w:cs="宋体"/>
          <w:color w:val="auto"/>
          <w:sz w:val="22"/>
          <w:szCs w:val="22"/>
          <w:highlight w:val="none"/>
        </w:rPr>
        <w:t xml:space="preserve">       </w:t>
      </w:r>
    </w:p>
    <w:bookmarkEnd w:id="49"/>
    <w:bookmarkEnd w:id="50"/>
    <w:bookmarkEnd w:id="51"/>
    <w:bookmarkEnd w:id="52"/>
    <w:p w14:paraId="50057AC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名称：永嘉县财政局（浙江省政府采购行政裁决服务中心（温州））</w:t>
      </w:r>
    </w:p>
    <w:p w14:paraId="2FFFF9C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地址：温州市鹿城区滨江街道瓯江路展银大厦1606室</w:t>
      </w:r>
    </w:p>
    <w:p w14:paraId="011AF264">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 ：李老师、王老师</w:t>
      </w:r>
    </w:p>
    <w:p w14:paraId="6B3EB1E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监督投诉电话：0577-85501561,0577-85501562</w:t>
      </w:r>
    </w:p>
    <w:p w14:paraId="4C518BC0">
      <w:pPr>
        <w:spacing w:line="360" w:lineRule="auto"/>
        <w:ind w:firstLine="440" w:firstLineChars="200"/>
        <w:rPr>
          <w:rFonts w:hint="eastAsia" w:ascii="宋体" w:eastAsia="宋体"/>
          <w:b w:val="0"/>
          <w:color w:val="auto"/>
          <w:sz w:val="22"/>
          <w:highlight w:val="none"/>
        </w:rPr>
      </w:pPr>
    </w:p>
    <w:p w14:paraId="692EB7B9">
      <w:pPr>
        <w:spacing w:line="360" w:lineRule="auto"/>
        <w:ind w:firstLine="440" w:firstLineChars="200"/>
        <w:rPr>
          <w:rFonts w:hint="eastAsia" w:ascii="宋体" w:eastAsia="宋体"/>
          <w:b w:val="0"/>
          <w:color w:val="auto"/>
          <w:sz w:val="22"/>
          <w:highlight w:val="none"/>
        </w:rPr>
      </w:pPr>
    </w:p>
    <w:p w14:paraId="22BA879E">
      <w:pPr>
        <w:spacing w:line="360" w:lineRule="auto"/>
        <w:ind w:firstLine="440" w:firstLineChars="200"/>
        <w:rPr>
          <w:rFonts w:hint="eastAsia" w:ascii="宋体" w:eastAsia="宋体"/>
          <w:b w:val="0"/>
          <w:color w:val="auto"/>
          <w:sz w:val="22"/>
          <w:highlight w:val="none"/>
        </w:rPr>
      </w:pPr>
    </w:p>
    <w:p w14:paraId="74AA58F4">
      <w:pPr>
        <w:spacing w:line="360" w:lineRule="auto"/>
        <w:ind w:firstLine="440" w:firstLineChars="200"/>
        <w:rPr>
          <w:rFonts w:hint="eastAsia" w:ascii="宋体" w:eastAsia="宋体"/>
          <w:b w:val="0"/>
          <w:color w:val="auto"/>
          <w:sz w:val="22"/>
          <w:highlight w:val="none"/>
        </w:rPr>
      </w:pPr>
      <w:r>
        <w:rPr>
          <w:rFonts w:hint="eastAsia" w:ascii="宋体" w:eastAsia="宋体"/>
          <w:b w:val="0"/>
          <w:color w:val="auto"/>
          <w:sz w:val="22"/>
          <w:highlight w:val="none"/>
        </w:rPr>
        <w:t>若对项目采购电子交易系统操作有疑问，可登录政采云（https://www.zcygov.cn/），点击右侧咨询小采，获取采小蜜智能服务管家帮助，或拨打政采云服务热线95763获取热线服务帮助。        </w:t>
      </w:r>
    </w:p>
    <w:p w14:paraId="7DFA2FF8">
      <w:pPr>
        <w:spacing w:line="360" w:lineRule="auto"/>
        <w:ind w:firstLine="440" w:firstLineChars="200"/>
        <w:rPr>
          <w:rFonts w:hint="eastAsia" w:ascii="宋体" w:eastAsia="宋体"/>
          <w:b w:val="0"/>
          <w:color w:val="auto"/>
          <w:sz w:val="22"/>
          <w:highlight w:val="none"/>
        </w:rPr>
      </w:pPr>
      <w:r>
        <w:rPr>
          <w:rFonts w:hint="eastAsia" w:ascii="宋体" w:eastAsia="宋体"/>
          <w:b w:val="0"/>
          <w:color w:val="auto"/>
          <w:sz w:val="22"/>
          <w:highlight w:val="none"/>
        </w:rPr>
        <w:t>CA问题联系电话（人工）：汇信CA 400-888-4636；天谷CA 400-087-8198。</w:t>
      </w:r>
    </w:p>
    <w:p w14:paraId="70E82E32">
      <w:pPr>
        <w:pStyle w:val="35"/>
        <w:spacing w:line="360" w:lineRule="auto"/>
        <w:ind w:firstLine="480" w:firstLineChars="200"/>
        <w:jc w:val="right"/>
        <w:rPr>
          <w:rFonts w:cs="仿宋_GB2312" w:asciiTheme="minorEastAsia" w:hAnsiTheme="minorEastAsia" w:eastAsiaTheme="minorEastAsia"/>
          <w:color w:val="auto"/>
          <w:sz w:val="24"/>
          <w:szCs w:val="24"/>
          <w:highlight w:val="none"/>
        </w:rPr>
      </w:pPr>
    </w:p>
    <w:p w14:paraId="2B6F34F1">
      <w:pPr>
        <w:pStyle w:val="35"/>
        <w:spacing w:line="360" w:lineRule="auto"/>
        <w:ind w:firstLine="480" w:firstLineChars="200"/>
        <w:rPr>
          <w:rFonts w:cs="仿宋_GB2312" w:asciiTheme="minorEastAsia" w:hAnsiTheme="minorEastAsia" w:eastAsiaTheme="minorEastAsia"/>
          <w:color w:val="auto"/>
          <w:sz w:val="24"/>
          <w:szCs w:val="24"/>
          <w:highlight w:val="none"/>
        </w:rPr>
      </w:pPr>
    </w:p>
    <w:p w14:paraId="291A6D3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9A6F21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34537B3">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0" w:firstLine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1.征集供应商</w:t>
      </w:r>
    </w:p>
    <w:p w14:paraId="2EB64E66">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1.1邀请供应商。</w:t>
      </w:r>
    </w:p>
    <w:p w14:paraId="72AF2884">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460" w:lineRule="atLeast"/>
        <w:ind w:left="420" w:leftChars="0" w:hanging="42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采用公告方式邀请供应商的，</w:t>
      </w:r>
      <w:r>
        <w:rPr>
          <w:rFonts w:hint="eastAsia" w:ascii="宋体" w:hAnsi="宋体" w:eastAsia="宋体" w:cs="宋体"/>
          <w:color w:val="auto"/>
          <w:sz w:val="22"/>
          <w:szCs w:val="22"/>
          <w:highlight w:val="none"/>
        </w:rPr>
        <w:t>由采购人、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在省级以上人民政府财政部门指定的政府采购信息发布媒体上发布磋商公告，邀请符合相应资格条件的供应商参与竞争性磋商采购活动。</w:t>
      </w:r>
    </w:p>
    <w:p w14:paraId="2F0EBC52">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460" w:lineRule="atLeast"/>
        <w:ind w:left="420" w:leftChars="0" w:hanging="42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采用随机抽取方式邀请供应商的，</w:t>
      </w:r>
      <w:r>
        <w:rPr>
          <w:rFonts w:hint="eastAsia" w:ascii="宋体" w:hAnsi="宋体" w:eastAsia="宋体" w:cs="宋体"/>
          <w:color w:val="auto"/>
          <w:sz w:val="22"/>
          <w:szCs w:val="22"/>
          <w:highlight w:val="none"/>
        </w:rPr>
        <w:t>由采购人、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从省级以上财政部门建立的供应商库中随机抽取不少于3家符合相应资格条件的供应商参与竞争性磋商采购活动。</w:t>
      </w:r>
    </w:p>
    <w:p w14:paraId="10E566A6">
      <w:pPr>
        <w:pStyle w:val="394"/>
        <w:keepNext w:val="0"/>
        <w:keepLines w:val="0"/>
        <w:pageBreakBefore w:val="0"/>
        <w:widowControl w:val="0"/>
        <w:numPr>
          <w:ilvl w:val="0"/>
          <w:numId w:val="7"/>
        </w:numPr>
        <w:kinsoku/>
        <w:wordWrap/>
        <w:overflowPunct/>
        <w:topLinePunct w:val="0"/>
        <w:autoSpaceDE/>
        <w:autoSpaceDN/>
        <w:bidi w:val="0"/>
        <w:adjustRightInd w:val="0"/>
        <w:snapToGrid/>
        <w:spacing w:before="0" w:line="460" w:lineRule="atLeast"/>
        <w:ind w:left="420" w:leftChars="0" w:hanging="42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采用书面推荐方式邀请供应商的，</w:t>
      </w:r>
      <w:r>
        <w:rPr>
          <w:rFonts w:hint="eastAsia" w:ascii="宋体" w:hAnsi="宋体" w:eastAsia="宋体" w:cs="宋体"/>
          <w:color w:val="auto"/>
          <w:sz w:val="22"/>
          <w:szCs w:val="22"/>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7CDFE0B">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1.2供应商获取磋商文件。</w:t>
      </w:r>
    </w:p>
    <w:p w14:paraId="222E04BB">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1.3组织现场考察或召开答疑会（如果有）。</w:t>
      </w:r>
    </w:p>
    <w:p w14:paraId="5B309F13">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1.4发布更正（延期）公告，澄清或修改磋商文件（如果有）。</w:t>
      </w:r>
    </w:p>
    <w:p w14:paraId="3654B041">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1.5供应商按磋商文件要求编制响应文件。</w:t>
      </w:r>
    </w:p>
    <w:p w14:paraId="6C7E1CE3">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0" w:firstLine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2.响应文件开启与信用信息查询</w:t>
      </w:r>
    </w:p>
    <w:p w14:paraId="382240D1">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2.1供应商依据“提交响应文件的截止时间与地点”通过政采云平台在线提交响应文件。供应商在提交响应文件的截止时间前，可以补充、修改或撤回响应文件。</w:t>
      </w:r>
    </w:p>
    <w:p w14:paraId="1D687515">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kern w:val="0"/>
          <w:sz w:val="22"/>
          <w:szCs w:val="22"/>
          <w:highlight w:val="none"/>
          <w:lang w:eastAsia="zh-CN"/>
        </w:rPr>
        <w:t>代理机构</w:t>
      </w:r>
      <w:r>
        <w:rPr>
          <w:rFonts w:hint="eastAsia" w:ascii="宋体" w:hAnsi="宋体" w:eastAsia="宋体" w:cs="宋体"/>
          <w:color w:val="auto"/>
          <w:kern w:val="0"/>
          <w:sz w:val="22"/>
          <w:szCs w:val="22"/>
          <w:highlight w:val="none"/>
        </w:rPr>
        <w:t>将通过“信用中国”网站(</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Style w:val="69"/>
          <w:rFonts w:hint="eastAsia" w:ascii="宋体" w:hAnsi="宋体" w:eastAsia="宋体" w:cs="宋体"/>
          <w:snapToGrid/>
          <w:color w:val="auto"/>
          <w:sz w:val="22"/>
          <w:szCs w:val="22"/>
          <w:highlight w:val="none"/>
        </w:rPr>
        <w:t>www.creditchina.gov.cn</w:t>
      </w:r>
      <w:r>
        <w:rPr>
          <w:rStyle w:val="69"/>
          <w:rFonts w:hint="eastAsia" w:ascii="宋体" w:hAnsi="宋体" w:eastAsia="宋体" w:cs="宋体"/>
          <w:snapToGrid/>
          <w:color w:val="auto"/>
          <w:sz w:val="22"/>
          <w:szCs w:val="22"/>
          <w:highlight w:val="none"/>
        </w:rPr>
        <w:fldChar w:fldCharType="end"/>
      </w:r>
      <w:r>
        <w:rPr>
          <w:rFonts w:hint="eastAsia" w:ascii="宋体" w:hAnsi="宋体" w:eastAsia="宋体" w:cs="宋体"/>
          <w:color w:val="auto"/>
          <w:kern w:val="0"/>
          <w:sz w:val="22"/>
          <w:szCs w:val="22"/>
          <w:highlight w:val="none"/>
        </w:rPr>
        <w:t>)和中国政府采购网(www.ccgp.gov.cn)渠道查询供应商响应截止时间当日的信用记录。</w:t>
      </w:r>
    </w:p>
    <w:p w14:paraId="0DC4F3E1">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0" w:firstLine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3.磋商与评审</w:t>
      </w:r>
    </w:p>
    <w:p w14:paraId="40E77EF7">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3.1磋商小组签到。</w:t>
      </w:r>
    </w:p>
    <w:p w14:paraId="452581FC">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宣布有关纪律以及磋商、评审工作程序。</w:t>
      </w:r>
    </w:p>
    <w:p w14:paraId="5369FEE0">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3.3磋商小组审查确认磋商文件。磋商文件内容违反国家有关强制性规定的，磋商小组应当停止评审并向</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说明情况。</w:t>
      </w:r>
    </w:p>
    <w:p w14:paraId="2C2BB95D">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3.4磋商小组对供应商的资格进行审查。</w:t>
      </w:r>
    </w:p>
    <w:p w14:paraId="69E56A5F">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3.5磋商小组审查响应文件。</w:t>
      </w:r>
    </w:p>
    <w:p w14:paraId="5FDAAA67">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3.6对于未实质性响应磋商文件的响应文件由磋商小组认定响应无效，并告知该供应商。</w:t>
      </w:r>
    </w:p>
    <w:p w14:paraId="286A6DE5">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54C86CC">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s="宋体"/>
          <w:color w:val="auto"/>
          <w:sz w:val="22"/>
          <w:szCs w:val="22"/>
          <w:highlight w:val="none"/>
          <w:lang w:eastAsia="zh-CN"/>
        </w:rPr>
        <w:t>评审小组</w:t>
      </w:r>
      <w:r>
        <w:rPr>
          <w:rFonts w:hint="eastAsia" w:ascii="宋体" w:hAnsi="宋体" w:eastAsia="宋体" w:cs="宋体"/>
          <w:color w:val="auto"/>
          <w:sz w:val="22"/>
          <w:szCs w:val="22"/>
          <w:highlight w:val="none"/>
        </w:rPr>
        <w:t>利用政采云平台发</w:t>
      </w:r>
      <w:r>
        <w:rPr>
          <w:rFonts w:hint="eastAsia" w:ascii="宋体" w:hAnsi="宋体" w:eastAsia="宋体" w:cs="宋体"/>
          <w:color w:val="auto"/>
          <w:sz w:val="22"/>
          <w:szCs w:val="22"/>
          <w:highlight w:val="none"/>
          <w:lang w:eastAsia="zh-CN"/>
        </w:rPr>
        <w:t>送</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eastAsia="zh-CN"/>
        </w:rPr>
        <w:t>问题函</w:t>
      </w:r>
      <w:r>
        <w:rPr>
          <w:rFonts w:hint="eastAsia" w:ascii="宋体" w:hAnsi="宋体" w:eastAsia="宋体" w:cs="宋体"/>
          <w:color w:val="auto"/>
          <w:sz w:val="22"/>
          <w:szCs w:val="22"/>
          <w:highlight w:val="none"/>
        </w:rPr>
        <w:t>，供应商通过政采云</w:t>
      </w:r>
      <w:r>
        <w:rPr>
          <w:rFonts w:hint="eastAsia" w:ascii="宋体" w:hAnsi="宋体" w:eastAsia="宋体" w:cs="宋体"/>
          <w:color w:val="auto"/>
          <w:sz w:val="22"/>
          <w:szCs w:val="22"/>
          <w:highlight w:val="none"/>
          <w:lang w:eastAsia="zh-CN"/>
        </w:rPr>
        <w:t>回复问题，完成磋商</w:t>
      </w:r>
      <w:r>
        <w:rPr>
          <w:rFonts w:hint="eastAsia" w:ascii="宋体" w:hAnsi="宋体" w:eastAsia="宋体" w:cs="宋体"/>
          <w:color w:val="auto"/>
          <w:sz w:val="22"/>
          <w:szCs w:val="22"/>
          <w:highlight w:val="none"/>
        </w:rPr>
        <w:t>。</w:t>
      </w:r>
    </w:p>
    <w:p w14:paraId="3AE966DF">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3.9经磋商确定磋商文件的变动情况。对磋商文件作出的实质性变动是磋商文件的有效组成部分，磋商小组应当及时以书面形式同时通知所有参加磋商的供应商。</w:t>
      </w:r>
    </w:p>
    <w:p w14:paraId="5941BE0B">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87F4A94">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3.11磋商小组按照下列方式确定提交最后报价的供应商，有特殊规定的从其规定：</w:t>
      </w:r>
    </w:p>
    <w:p w14:paraId="0D17CC1C">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1432C10">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25849A1">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3.12确定进入最后报价的供应商在规定时间内提交最后报价。</w:t>
      </w:r>
    </w:p>
    <w:p w14:paraId="3CA4C20F">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3.13</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唱价。</w:t>
      </w:r>
    </w:p>
    <w:p w14:paraId="4754E486">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606DDD">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3.15磋商小组应当根据综合评分情况，按照评审得分由高到低顺序推荐3名以上成交候选供应商，并编写评审报告。</w:t>
      </w:r>
    </w:p>
    <w:p w14:paraId="46E105D0">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0" w:firstLine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 成交</w:t>
      </w:r>
    </w:p>
    <w:p w14:paraId="3423A7BA">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4.1政府采购项目实行全流程电子化，评审报告送交、采购结果确定和结果公告均在线完成。</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应当依法及时将评审报告在线送交采购人确认。采购人应当在收到评审报告后2个工作日内</w:t>
      </w:r>
      <w:r>
        <w:rPr>
          <w:rFonts w:hint="eastAsia" w:ascii="宋体" w:hAnsi="宋体" w:eastAsia="宋体" w:cs="宋体"/>
          <w:color w:val="auto"/>
          <w:sz w:val="22"/>
          <w:szCs w:val="22"/>
          <w:highlight w:val="none"/>
          <w:lang w:eastAsia="zh-CN"/>
        </w:rPr>
        <w:t>核查中标供应商的中小企业声明函、相关证书、检测报告、业绩等真实性，并</w:t>
      </w:r>
      <w:r>
        <w:rPr>
          <w:rFonts w:hint="eastAsia" w:ascii="宋体" w:hAnsi="宋体" w:eastAsia="宋体" w:cs="宋体"/>
          <w:color w:val="auto"/>
          <w:sz w:val="22"/>
          <w:szCs w:val="22"/>
          <w:highlight w:val="none"/>
        </w:rPr>
        <w:t>从评审报告提出的成交候选供应商中，按照排序由高到低的原则确定成交供应商，采购人也可以书面授权磋商小组直接确定成交供应商。</w:t>
      </w:r>
    </w:p>
    <w:p w14:paraId="5AF9F49E">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DE27059">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0" w:firstLineChars="0"/>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5.合同及履约验收</w:t>
      </w:r>
    </w:p>
    <w:p w14:paraId="4DEB35C9">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5.1采购人与成交供应商应当在成交通知书发出之日起10个工作日内签订政府采购合同。</w:t>
      </w:r>
    </w:p>
    <w:p w14:paraId="4D468A3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5.2成交供应商按照政策要求及合同约定缴纳履约保证金</w:t>
      </w:r>
      <w:r>
        <w:rPr>
          <w:rFonts w:hint="eastAsia" w:ascii="宋体" w:hAnsi="宋体" w:eastAsia="宋体" w:cs="宋体"/>
          <w:color w:val="auto"/>
          <w:sz w:val="22"/>
          <w:szCs w:val="22"/>
          <w:highlight w:val="none"/>
          <w:lang w:eastAsia="zh-CN"/>
        </w:rPr>
        <w:t>（本项目供应商商免缴履约保证金）</w:t>
      </w:r>
      <w:r>
        <w:rPr>
          <w:rFonts w:hint="eastAsia" w:ascii="宋体" w:hAnsi="宋体" w:eastAsia="宋体" w:cs="宋体"/>
          <w:color w:val="auto"/>
          <w:sz w:val="22"/>
          <w:szCs w:val="22"/>
          <w:highlight w:val="none"/>
        </w:rPr>
        <w:t>。</w:t>
      </w:r>
    </w:p>
    <w:p w14:paraId="09C49631">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5.3合同履约。</w:t>
      </w:r>
    </w:p>
    <w:p w14:paraId="2E8B51FE">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5.4采购人组织验收。</w:t>
      </w:r>
      <w:r>
        <w:rPr>
          <w:rFonts w:hint="eastAsia" w:ascii="宋体" w:hAnsi="宋体" w:eastAsia="宋体" w:cs="宋体"/>
          <w:color w:val="auto"/>
          <w:sz w:val="22"/>
          <w:szCs w:val="22"/>
          <w:highlight w:val="none"/>
          <w:lang w:eastAsia="zh-CN"/>
        </w:rPr>
        <w:t>按照《温州市政府采购履约验收办法》(温财采【2020】6号）文件精神组织验收。</w:t>
      </w:r>
    </w:p>
    <w:p w14:paraId="7768265E">
      <w:pPr>
        <w:pStyle w:val="394"/>
        <w:keepNext w:val="0"/>
        <w:keepLines w:val="0"/>
        <w:pageBreakBefore w:val="0"/>
        <w:widowControl w:val="0"/>
        <w:kinsoku/>
        <w:wordWrap/>
        <w:overflowPunct/>
        <w:topLinePunct w:val="0"/>
        <w:autoSpaceDE/>
        <w:autoSpaceDN/>
        <w:bidi w:val="0"/>
        <w:adjustRightInd w:val="0"/>
        <w:snapToGrid/>
        <w:spacing w:before="0" w:line="460" w:lineRule="atLeast"/>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5.5采购人完成线下履约验收后，应在2个工作日内，在政采云上发布履约验收结果。</w:t>
      </w:r>
    </w:p>
    <w:p w14:paraId="6CB08F07">
      <w:pPr>
        <w:widowControl/>
        <w:adjustRightInd/>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5362FD24">
      <w:pPr>
        <w:pStyle w:val="394"/>
        <w:spacing w:before="0"/>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6.竞争性磋商流程图</w:t>
      </w:r>
    </w:p>
    <w:p w14:paraId="47370D1F">
      <w:pPr>
        <w:pStyle w:val="394"/>
        <w:spacing w:before="0"/>
        <w:ind w:firstLine="0" w:firstLineChars="0"/>
        <w:rPr>
          <w:rFonts w:asciiTheme="minorEastAsia" w:hAnsiTheme="minorEastAsia" w:eastAsiaTheme="minorEastAsia"/>
          <w:b/>
          <w:color w:val="auto"/>
          <w:highlight w:val="none"/>
        </w:rPr>
      </w:pPr>
    </w:p>
    <w:p w14:paraId="097EC41A">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410DE7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A20008">
                            <w:pPr>
                              <w:rPr>
                                <w:rFonts w:asciiTheme="minorEastAsia" w:hAnsiTheme="minorEastAsia" w:eastAsiaTheme="minorEastAsia"/>
                              </w:rPr>
                            </w:pPr>
                            <w:r>
                              <w:rPr>
                                <w:rFonts w:hint="eastAsia" w:asciiTheme="minorEastAsia" w:hAnsiTheme="minorEastAsia" w:eastAsiaTheme="minorEastAsia"/>
                              </w:rPr>
                              <w:t>验收</w:t>
                            </w:r>
                          </w:p>
                          <w:p w14:paraId="66114A6A">
                            <w:pPr>
                              <w:rPr>
                                <w:rFonts w:ascii="仿宋_GB2312" w:eastAsia="仿宋_GB2312"/>
                              </w:rPr>
                            </w:pPr>
                            <w:r>
                              <w:rPr>
                                <w:rFonts w:hint="eastAsia" w:ascii="仿宋_GB2312" w:eastAsia="仿宋_GB2312"/>
                              </w:rPr>
                              <w:t>立项</w:t>
                            </w:r>
                          </w:p>
                          <w:p w14:paraId="4FC503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2A20008">
                      <w:pPr>
                        <w:rPr>
                          <w:rFonts w:asciiTheme="minorEastAsia" w:hAnsiTheme="minorEastAsia" w:eastAsiaTheme="minorEastAsia"/>
                        </w:rPr>
                      </w:pPr>
                      <w:r>
                        <w:rPr>
                          <w:rFonts w:hint="eastAsia" w:asciiTheme="minorEastAsia" w:hAnsiTheme="minorEastAsia" w:eastAsiaTheme="minorEastAsia"/>
                        </w:rPr>
                        <w:t>验收</w:t>
                      </w:r>
                    </w:p>
                    <w:p w14:paraId="66114A6A">
                      <w:pPr>
                        <w:rPr>
                          <w:rFonts w:ascii="仿宋_GB2312" w:eastAsia="仿宋_GB2312"/>
                        </w:rPr>
                      </w:pPr>
                      <w:r>
                        <w:rPr>
                          <w:rFonts w:hint="eastAsia" w:ascii="仿宋_GB2312" w:eastAsia="仿宋_GB2312"/>
                        </w:rPr>
                        <w:t>立项</w:t>
                      </w:r>
                    </w:p>
                    <w:p w14:paraId="4FC5039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220F2">
                            <w:pPr>
                              <w:rPr>
                                <w:rFonts w:asciiTheme="minorEastAsia" w:hAnsiTheme="minorEastAsia" w:eastAsiaTheme="minorEastAsia"/>
                              </w:rPr>
                            </w:pPr>
                            <w:r>
                              <w:rPr>
                                <w:rFonts w:hint="eastAsia" w:asciiTheme="minorEastAsia" w:hAnsiTheme="minorEastAsia" w:eastAsiaTheme="minorEastAsia"/>
                              </w:rPr>
                              <w:t>履约</w:t>
                            </w:r>
                          </w:p>
                          <w:p w14:paraId="0D768C03">
                            <w:pPr>
                              <w:rPr>
                                <w:rFonts w:ascii="仿宋_GB2312" w:eastAsia="仿宋_GB2312"/>
                              </w:rPr>
                            </w:pPr>
                            <w:r>
                              <w:rPr>
                                <w:rFonts w:hint="eastAsia" w:ascii="仿宋_GB2312" w:eastAsia="仿宋_GB2312"/>
                              </w:rPr>
                              <w:t>立项</w:t>
                            </w:r>
                          </w:p>
                          <w:p w14:paraId="48B64D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AA220F2">
                      <w:pPr>
                        <w:rPr>
                          <w:rFonts w:asciiTheme="minorEastAsia" w:hAnsiTheme="minorEastAsia" w:eastAsiaTheme="minorEastAsia"/>
                        </w:rPr>
                      </w:pPr>
                      <w:r>
                        <w:rPr>
                          <w:rFonts w:hint="eastAsia" w:asciiTheme="minorEastAsia" w:hAnsiTheme="minorEastAsia" w:eastAsiaTheme="minorEastAsia"/>
                        </w:rPr>
                        <w:t>履约</w:t>
                      </w:r>
                    </w:p>
                    <w:p w14:paraId="0D768C03">
                      <w:pPr>
                        <w:rPr>
                          <w:rFonts w:ascii="仿宋_GB2312" w:eastAsia="仿宋_GB2312"/>
                        </w:rPr>
                      </w:pPr>
                      <w:r>
                        <w:rPr>
                          <w:rFonts w:hint="eastAsia" w:ascii="仿宋_GB2312" w:eastAsia="仿宋_GB2312"/>
                        </w:rPr>
                        <w:t>立项</w:t>
                      </w:r>
                    </w:p>
                    <w:p w14:paraId="48B64DD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BD3E0">
                            <w:pPr>
                              <w:jc w:val="center"/>
                              <w:rPr>
                                <w:rFonts w:asciiTheme="minorEastAsia" w:hAnsiTheme="minorEastAsia" w:eastAsiaTheme="minorEastAsia"/>
                              </w:rPr>
                            </w:pPr>
                            <w:r>
                              <w:rPr>
                                <w:rFonts w:hint="eastAsia" w:asciiTheme="minorEastAsia" w:hAnsiTheme="minorEastAsia" w:eastAsiaTheme="minorEastAsia"/>
                              </w:rPr>
                              <w:t>签订合同</w:t>
                            </w:r>
                          </w:p>
                          <w:p w14:paraId="0F351E3A">
                            <w:pPr>
                              <w:rPr>
                                <w:rFonts w:ascii="仿宋_GB2312" w:eastAsia="仿宋_GB2312"/>
                              </w:rPr>
                            </w:pPr>
                            <w:r>
                              <w:rPr>
                                <w:rFonts w:hint="eastAsia" w:ascii="仿宋_GB2312" w:eastAsia="仿宋_GB2312"/>
                              </w:rPr>
                              <w:t>立项</w:t>
                            </w:r>
                          </w:p>
                          <w:p w14:paraId="6ECF33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F2BD3E0">
                      <w:pPr>
                        <w:jc w:val="center"/>
                        <w:rPr>
                          <w:rFonts w:asciiTheme="minorEastAsia" w:hAnsiTheme="minorEastAsia" w:eastAsiaTheme="minorEastAsia"/>
                        </w:rPr>
                      </w:pPr>
                      <w:r>
                        <w:rPr>
                          <w:rFonts w:hint="eastAsia" w:asciiTheme="minorEastAsia" w:hAnsiTheme="minorEastAsia" w:eastAsiaTheme="minorEastAsia"/>
                        </w:rPr>
                        <w:t>签订合同</w:t>
                      </w:r>
                    </w:p>
                    <w:p w14:paraId="0F351E3A">
                      <w:pPr>
                        <w:rPr>
                          <w:rFonts w:ascii="仿宋_GB2312" w:eastAsia="仿宋_GB2312"/>
                        </w:rPr>
                      </w:pPr>
                      <w:r>
                        <w:rPr>
                          <w:rFonts w:hint="eastAsia" w:ascii="仿宋_GB2312" w:eastAsia="仿宋_GB2312"/>
                        </w:rPr>
                        <w:t>立项</w:t>
                      </w:r>
                    </w:p>
                    <w:p w14:paraId="6ECF33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5D536">
                            <w:pPr>
                              <w:rPr>
                                <w:rFonts w:asciiTheme="minorEastAsia" w:hAnsiTheme="minorEastAsia" w:eastAsiaTheme="minorEastAsia"/>
                              </w:rPr>
                            </w:pPr>
                            <w:r>
                              <w:rPr>
                                <w:rFonts w:hint="eastAsia" w:asciiTheme="minorEastAsia" w:hAnsiTheme="minorEastAsia" w:eastAsiaTheme="minorEastAsia"/>
                              </w:rPr>
                              <w:t>成交公告；成交通知书</w:t>
                            </w:r>
                          </w:p>
                          <w:p w14:paraId="2DDE8FB9">
                            <w:pPr>
                              <w:rPr>
                                <w:rFonts w:ascii="仿宋_GB2312" w:eastAsia="仿宋_GB2312"/>
                              </w:rPr>
                            </w:pPr>
                            <w:r>
                              <w:rPr>
                                <w:rFonts w:hint="eastAsia" w:ascii="仿宋_GB2312" w:eastAsia="仿宋_GB2312"/>
                              </w:rPr>
                              <w:t>立项</w:t>
                            </w:r>
                          </w:p>
                          <w:p w14:paraId="7482CF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845D536">
                      <w:pPr>
                        <w:rPr>
                          <w:rFonts w:asciiTheme="minorEastAsia" w:hAnsiTheme="minorEastAsia" w:eastAsiaTheme="minorEastAsia"/>
                        </w:rPr>
                      </w:pPr>
                      <w:r>
                        <w:rPr>
                          <w:rFonts w:hint="eastAsia" w:asciiTheme="minorEastAsia" w:hAnsiTheme="minorEastAsia" w:eastAsiaTheme="minorEastAsia"/>
                        </w:rPr>
                        <w:t>成交公告；成交通知书</w:t>
                      </w:r>
                    </w:p>
                    <w:p w14:paraId="2DDE8FB9">
                      <w:pPr>
                        <w:rPr>
                          <w:rFonts w:ascii="仿宋_GB2312" w:eastAsia="仿宋_GB2312"/>
                        </w:rPr>
                      </w:pPr>
                      <w:r>
                        <w:rPr>
                          <w:rFonts w:hint="eastAsia" w:ascii="仿宋_GB2312" w:eastAsia="仿宋_GB2312"/>
                        </w:rPr>
                        <w:t>立项</w:t>
                      </w:r>
                    </w:p>
                    <w:p w14:paraId="7482CFC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49F9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AEE1F72">
                            <w:pPr>
                              <w:rPr>
                                <w:rFonts w:ascii="仿宋_GB2312" w:eastAsia="仿宋_GB2312"/>
                              </w:rPr>
                            </w:pPr>
                            <w:r>
                              <w:rPr>
                                <w:rFonts w:hint="eastAsia" w:ascii="仿宋_GB2312" w:eastAsia="仿宋_GB2312"/>
                              </w:rPr>
                              <w:t>立项</w:t>
                            </w:r>
                          </w:p>
                          <w:p w14:paraId="275F57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A49F95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AEE1F72">
                      <w:pPr>
                        <w:rPr>
                          <w:rFonts w:ascii="仿宋_GB2312" w:eastAsia="仿宋_GB2312"/>
                        </w:rPr>
                      </w:pPr>
                      <w:r>
                        <w:rPr>
                          <w:rFonts w:hint="eastAsia" w:ascii="仿宋_GB2312" w:eastAsia="仿宋_GB2312"/>
                        </w:rPr>
                        <w:t>立项</w:t>
                      </w:r>
                    </w:p>
                    <w:p w14:paraId="275F573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F3FFA">
                            <w:pPr>
                              <w:jc w:val="center"/>
                              <w:rPr>
                                <w:rFonts w:asciiTheme="minorEastAsia" w:hAnsiTheme="minorEastAsia" w:eastAsiaTheme="minorEastAsia"/>
                              </w:rPr>
                            </w:pPr>
                            <w:r>
                              <w:rPr>
                                <w:rFonts w:hint="eastAsia" w:asciiTheme="minorEastAsia" w:hAnsiTheme="minorEastAsia" w:eastAsiaTheme="minorEastAsia"/>
                              </w:rPr>
                              <w:t>评审打分</w:t>
                            </w:r>
                          </w:p>
                          <w:p w14:paraId="6760BC33">
                            <w:pPr>
                              <w:rPr>
                                <w:rFonts w:ascii="仿宋_GB2312" w:eastAsia="仿宋_GB2312"/>
                              </w:rPr>
                            </w:pPr>
                            <w:r>
                              <w:rPr>
                                <w:rFonts w:hint="eastAsia" w:ascii="仿宋_GB2312" w:eastAsia="仿宋_GB2312"/>
                              </w:rPr>
                              <w:t>立项</w:t>
                            </w:r>
                          </w:p>
                          <w:p w14:paraId="4A5335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7F3FFA">
                      <w:pPr>
                        <w:jc w:val="center"/>
                        <w:rPr>
                          <w:rFonts w:asciiTheme="minorEastAsia" w:hAnsiTheme="minorEastAsia" w:eastAsiaTheme="minorEastAsia"/>
                        </w:rPr>
                      </w:pPr>
                      <w:r>
                        <w:rPr>
                          <w:rFonts w:hint="eastAsia" w:asciiTheme="minorEastAsia" w:hAnsiTheme="minorEastAsia" w:eastAsiaTheme="minorEastAsia"/>
                        </w:rPr>
                        <w:t>评审打分</w:t>
                      </w:r>
                    </w:p>
                    <w:p w14:paraId="6760BC33">
                      <w:pPr>
                        <w:rPr>
                          <w:rFonts w:ascii="仿宋_GB2312" w:eastAsia="仿宋_GB2312"/>
                        </w:rPr>
                      </w:pPr>
                      <w:r>
                        <w:rPr>
                          <w:rFonts w:hint="eastAsia" w:ascii="仿宋_GB2312" w:eastAsia="仿宋_GB2312"/>
                        </w:rPr>
                        <w:t>立项</w:t>
                      </w:r>
                    </w:p>
                    <w:p w14:paraId="4A5335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FAD2F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15C2FF">
                            <w:pPr>
                              <w:rPr>
                                <w:rFonts w:ascii="仿宋_GB2312" w:eastAsia="仿宋_GB2312"/>
                              </w:rPr>
                            </w:pPr>
                            <w:r>
                              <w:rPr>
                                <w:rFonts w:hint="eastAsia" w:ascii="仿宋_GB2312" w:eastAsia="仿宋_GB2312"/>
                              </w:rPr>
                              <w:t>立项</w:t>
                            </w:r>
                          </w:p>
                          <w:p w14:paraId="4D4ECE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0FAD2F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15C2FF">
                      <w:pPr>
                        <w:rPr>
                          <w:rFonts w:ascii="仿宋_GB2312" w:eastAsia="仿宋_GB2312"/>
                        </w:rPr>
                      </w:pPr>
                      <w:r>
                        <w:rPr>
                          <w:rFonts w:hint="eastAsia" w:ascii="仿宋_GB2312" w:eastAsia="仿宋_GB2312"/>
                        </w:rPr>
                        <w:t>立项</w:t>
                      </w:r>
                    </w:p>
                    <w:p w14:paraId="4D4ECE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1572F">
                            <w:pPr>
                              <w:jc w:val="center"/>
                              <w:rPr>
                                <w:rFonts w:asciiTheme="minorEastAsia" w:hAnsiTheme="minorEastAsia" w:eastAsiaTheme="minorEastAsia"/>
                                <w:highlight w:val="none"/>
                              </w:rPr>
                            </w:pPr>
                            <w:r>
                              <w:rPr>
                                <w:rFonts w:hint="eastAsia" w:asciiTheme="minorEastAsia" w:hAnsiTheme="minorEastAsia" w:eastAsiaTheme="minorEastAsia"/>
                                <w:highlight w:val="none"/>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A81572F">
                      <w:pPr>
                        <w:jc w:val="center"/>
                        <w:rPr>
                          <w:rFonts w:asciiTheme="minorEastAsia" w:hAnsiTheme="minorEastAsia" w:eastAsiaTheme="minorEastAsia"/>
                          <w:highlight w:val="none"/>
                        </w:rPr>
                      </w:pPr>
                      <w:r>
                        <w:rPr>
                          <w:rFonts w:hint="eastAsia" w:asciiTheme="minorEastAsia" w:hAnsiTheme="minorEastAsia" w:eastAsiaTheme="minorEastAsia"/>
                          <w:highlight w:val="none"/>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FF0944">
                            <w:pPr>
                              <w:jc w:val="center"/>
                              <w:rPr>
                                <w:rFonts w:asciiTheme="minorEastAsia" w:hAnsiTheme="minorEastAsia" w:eastAsiaTheme="minorEastAsia"/>
                              </w:rPr>
                            </w:pPr>
                            <w:r>
                              <w:rPr>
                                <w:rFonts w:hint="eastAsia" w:asciiTheme="minorEastAsia" w:hAnsiTheme="minorEastAsia" w:eastAsiaTheme="minorEastAsia"/>
                              </w:rPr>
                              <w:t>资格审查</w:t>
                            </w:r>
                          </w:p>
                          <w:p w14:paraId="7DDE4D8C">
                            <w:pPr>
                              <w:jc w:val="center"/>
                              <w:rPr>
                                <w:rFonts w:ascii="仿宋_GB2312" w:eastAsia="仿宋_GB2312"/>
                              </w:rPr>
                            </w:pPr>
                          </w:p>
                          <w:p w14:paraId="1AC9FF06">
                            <w:pPr>
                              <w:rPr>
                                <w:rFonts w:ascii="仿宋_GB2312" w:eastAsia="仿宋_GB2312"/>
                              </w:rPr>
                            </w:pPr>
                            <w:r>
                              <w:rPr>
                                <w:rFonts w:hint="eastAsia" w:ascii="仿宋_GB2312" w:eastAsia="仿宋_GB2312"/>
                              </w:rPr>
                              <w:t>立项</w:t>
                            </w:r>
                          </w:p>
                          <w:p w14:paraId="038321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EFF0944">
                      <w:pPr>
                        <w:jc w:val="center"/>
                        <w:rPr>
                          <w:rFonts w:asciiTheme="minorEastAsia" w:hAnsiTheme="minorEastAsia" w:eastAsiaTheme="minorEastAsia"/>
                        </w:rPr>
                      </w:pPr>
                      <w:r>
                        <w:rPr>
                          <w:rFonts w:hint="eastAsia" w:asciiTheme="minorEastAsia" w:hAnsiTheme="minorEastAsia" w:eastAsiaTheme="minorEastAsia"/>
                        </w:rPr>
                        <w:t>资格审查</w:t>
                      </w:r>
                    </w:p>
                    <w:p w14:paraId="7DDE4D8C">
                      <w:pPr>
                        <w:jc w:val="center"/>
                        <w:rPr>
                          <w:rFonts w:ascii="仿宋_GB2312" w:eastAsia="仿宋_GB2312"/>
                        </w:rPr>
                      </w:pPr>
                    </w:p>
                    <w:p w14:paraId="1AC9FF06">
                      <w:pPr>
                        <w:rPr>
                          <w:rFonts w:ascii="仿宋_GB2312" w:eastAsia="仿宋_GB2312"/>
                        </w:rPr>
                      </w:pPr>
                      <w:r>
                        <w:rPr>
                          <w:rFonts w:hint="eastAsia" w:ascii="仿宋_GB2312" w:eastAsia="仿宋_GB2312"/>
                        </w:rPr>
                        <w:t>立项</w:t>
                      </w:r>
                    </w:p>
                    <w:p w14:paraId="03832132">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2D46D7">
                            <w:pPr>
                              <w:jc w:val="center"/>
                              <w:rPr>
                                <w:rFonts w:asciiTheme="minorEastAsia" w:hAnsiTheme="minorEastAsia" w:eastAsiaTheme="minorEastAsia"/>
                              </w:rPr>
                            </w:pPr>
                            <w:r>
                              <w:rPr>
                                <w:rFonts w:hint="eastAsia" w:asciiTheme="minorEastAsia" w:hAnsiTheme="minorEastAsia" w:eastAsiaTheme="minorEastAsia"/>
                              </w:rPr>
                              <w:t>编制</w:t>
                            </w:r>
                            <w:r>
                              <w:rPr>
                                <w:rFonts w:hint="eastAsia" w:asciiTheme="minorEastAsia" w:hAnsiTheme="minorEastAsia" w:eastAsiaTheme="minorEastAsia"/>
                                <w:highlight w:val="none"/>
                              </w:rPr>
                              <w:t>磋商</w:t>
                            </w:r>
                            <w:r>
                              <w:rPr>
                                <w:rFonts w:hint="eastAsia" w:asciiTheme="minorEastAsia" w:hAnsiTheme="minorEastAsia" w:eastAsiaTheme="minorEastAsia"/>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D2D46D7">
                      <w:pPr>
                        <w:jc w:val="center"/>
                        <w:rPr>
                          <w:rFonts w:asciiTheme="minorEastAsia" w:hAnsiTheme="minorEastAsia" w:eastAsiaTheme="minorEastAsia"/>
                        </w:rPr>
                      </w:pPr>
                      <w:r>
                        <w:rPr>
                          <w:rFonts w:hint="eastAsia" w:asciiTheme="minorEastAsia" w:hAnsiTheme="minorEastAsia" w:eastAsiaTheme="minorEastAsia"/>
                        </w:rPr>
                        <w:t>编制</w:t>
                      </w:r>
                      <w:r>
                        <w:rPr>
                          <w:rFonts w:hint="eastAsia" w:asciiTheme="minorEastAsia" w:hAnsiTheme="minorEastAsia" w:eastAsiaTheme="minorEastAsia"/>
                          <w:highlight w:val="none"/>
                        </w:rPr>
                        <w:t>磋商</w:t>
                      </w:r>
                      <w:r>
                        <w:rPr>
                          <w:rFonts w:hint="eastAsia" w:asciiTheme="minorEastAsia" w:hAnsiTheme="minorEastAsia" w:eastAsiaTheme="minorEastAsia"/>
                        </w:rPr>
                        <w:t>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3D5D2">
                            <w:pPr>
                              <w:jc w:val="center"/>
                              <w:rPr>
                                <w:rFonts w:asciiTheme="minorEastAsia" w:hAnsiTheme="minorEastAsia" w:eastAsiaTheme="minorEastAsia"/>
                              </w:rPr>
                            </w:pPr>
                            <w:r>
                              <w:rPr>
                                <w:rFonts w:hint="eastAsia" w:asciiTheme="minorEastAsia" w:hAnsiTheme="minorEastAsia" w:eastAsiaTheme="minorEastAsia"/>
                              </w:rPr>
                              <w:t>开启响应文件</w:t>
                            </w:r>
                          </w:p>
                          <w:p w14:paraId="282EB24F">
                            <w:pPr>
                              <w:rPr>
                                <w:rFonts w:ascii="仿宋_GB2312" w:eastAsia="仿宋_GB2312"/>
                              </w:rPr>
                            </w:pPr>
                            <w:r>
                              <w:rPr>
                                <w:rFonts w:hint="eastAsia" w:ascii="仿宋_GB2312" w:eastAsia="仿宋_GB2312"/>
                              </w:rPr>
                              <w:t>立项</w:t>
                            </w:r>
                          </w:p>
                          <w:p w14:paraId="2D4275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D83D5D2">
                      <w:pPr>
                        <w:jc w:val="center"/>
                        <w:rPr>
                          <w:rFonts w:asciiTheme="minorEastAsia" w:hAnsiTheme="minorEastAsia" w:eastAsiaTheme="minorEastAsia"/>
                        </w:rPr>
                      </w:pPr>
                      <w:r>
                        <w:rPr>
                          <w:rFonts w:hint="eastAsia" w:asciiTheme="minorEastAsia" w:hAnsiTheme="minorEastAsia" w:eastAsiaTheme="minorEastAsia"/>
                        </w:rPr>
                        <w:t>开启响应文件</w:t>
                      </w:r>
                    </w:p>
                    <w:p w14:paraId="282EB24F">
                      <w:pPr>
                        <w:rPr>
                          <w:rFonts w:ascii="仿宋_GB2312" w:eastAsia="仿宋_GB2312"/>
                        </w:rPr>
                      </w:pPr>
                      <w:r>
                        <w:rPr>
                          <w:rFonts w:hint="eastAsia" w:ascii="仿宋_GB2312" w:eastAsia="仿宋_GB2312"/>
                        </w:rPr>
                        <w:t>立项</w:t>
                      </w:r>
                    </w:p>
                    <w:p w14:paraId="2D42756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74A63">
                            <w:pPr>
                              <w:jc w:val="center"/>
                              <w:rPr>
                                <w:rFonts w:asciiTheme="minorEastAsia" w:hAnsiTheme="minorEastAsia" w:eastAsiaTheme="minorEastAsia"/>
                              </w:rPr>
                            </w:pPr>
                            <w:r>
                              <w:rPr>
                                <w:rFonts w:hint="eastAsia" w:asciiTheme="minorEastAsia" w:hAnsiTheme="minorEastAsia" w:eastAsiaTheme="minorEastAsia"/>
                              </w:rPr>
                              <w:t>邀请供应商</w:t>
                            </w:r>
                          </w:p>
                          <w:p w14:paraId="4923F2C2">
                            <w:pPr>
                              <w:rPr>
                                <w:rFonts w:ascii="仿宋_GB2312" w:eastAsia="仿宋_GB2312"/>
                              </w:rPr>
                            </w:pPr>
                            <w:r>
                              <w:rPr>
                                <w:rFonts w:hint="eastAsia" w:ascii="仿宋_GB2312" w:eastAsia="仿宋_GB2312"/>
                              </w:rPr>
                              <w:t>立项</w:t>
                            </w:r>
                          </w:p>
                          <w:p w14:paraId="1AC33D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3074A63">
                      <w:pPr>
                        <w:jc w:val="center"/>
                        <w:rPr>
                          <w:rFonts w:asciiTheme="minorEastAsia" w:hAnsiTheme="minorEastAsia" w:eastAsiaTheme="minorEastAsia"/>
                        </w:rPr>
                      </w:pPr>
                      <w:r>
                        <w:rPr>
                          <w:rFonts w:hint="eastAsia" w:asciiTheme="minorEastAsia" w:hAnsiTheme="minorEastAsia" w:eastAsiaTheme="minorEastAsia"/>
                        </w:rPr>
                        <w:t>邀请供应商</w:t>
                      </w:r>
                    </w:p>
                    <w:p w14:paraId="4923F2C2">
                      <w:pPr>
                        <w:rPr>
                          <w:rFonts w:ascii="仿宋_GB2312" w:eastAsia="仿宋_GB2312"/>
                        </w:rPr>
                      </w:pPr>
                      <w:r>
                        <w:rPr>
                          <w:rFonts w:hint="eastAsia" w:ascii="仿宋_GB2312" w:eastAsia="仿宋_GB2312"/>
                        </w:rPr>
                        <w:t>立项</w:t>
                      </w:r>
                    </w:p>
                    <w:p w14:paraId="1AC33DB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5823CD0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697089C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372" w:type="dxa"/>
        <w:tblInd w:w="-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00"/>
        <w:gridCol w:w="1843"/>
        <w:gridCol w:w="6729"/>
      </w:tblGrid>
      <w:tr w14:paraId="13202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375761A2">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533F4A">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事项</w:t>
            </w:r>
          </w:p>
        </w:tc>
        <w:tc>
          <w:tcPr>
            <w:tcW w:w="6729" w:type="dxa"/>
            <w:tcBorders>
              <w:top w:val="single" w:color="000000" w:sz="8" w:space="0"/>
              <w:left w:val="single" w:color="000000" w:sz="2" w:space="0"/>
              <w:bottom w:val="single" w:color="000000" w:sz="8" w:space="0"/>
              <w:right w:val="single" w:color="000000" w:sz="8" w:space="0"/>
            </w:tcBorders>
            <w:vAlign w:val="center"/>
          </w:tcPr>
          <w:p w14:paraId="3733E2C4">
            <w:pPr>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本项目的特别规定</w:t>
            </w:r>
          </w:p>
        </w:tc>
      </w:tr>
      <w:tr w14:paraId="37DCD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3C7BFFE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606B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项目属性</w:t>
            </w:r>
          </w:p>
        </w:tc>
        <w:tc>
          <w:tcPr>
            <w:tcW w:w="6729" w:type="dxa"/>
            <w:tcBorders>
              <w:top w:val="single" w:color="000000" w:sz="8" w:space="0"/>
              <w:left w:val="single" w:color="000000" w:sz="2" w:space="0"/>
              <w:bottom w:val="single" w:color="000000" w:sz="8" w:space="0"/>
              <w:right w:val="single" w:color="000000" w:sz="8" w:space="0"/>
            </w:tcBorders>
            <w:vAlign w:val="center"/>
          </w:tcPr>
          <w:p w14:paraId="3624816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服务类。</w:t>
            </w:r>
          </w:p>
        </w:tc>
      </w:tr>
      <w:tr w14:paraId="1360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67160E0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58607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采购标的及其对应的中小企业划分标准所属行业</w:t>
            </w:r>
          </w:p>
        </w:tc>
        <w:tc>
          <w:tcPr>
            <w:tcW w:w="6729" w:type="dxa"/>
            <w:tcBorders>
              <w:top w:val="single" w:color="000000" w:sz="8" w:space="0"/>
              <w:left w:val="single" w:color="000000" w:sz="2" w:space="0"/>
              <w:bottom w:val="single" w:color="000000" w:sz="8" w:space="0"/>
              <w:right w:val="single" w:color="000000" w:sz="8" w:space="0"/>
            </w:tcBorders>
            <w:vAlign w:val="center"/>
          </w:tcPr>
          <w:p w14:paraId="5A68C36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（1）标的：</w:t>
            </w:r>
            <w:r>
              <w:rPr>
                <w:rFonts w:hint="eastAsia" w:ascii="宋体" w:hAnsi="宋体" w:cs="宋体"/>
                <w:color w:val="auto"/>
                <w:kern w:val="0"/>
                <w:sz w:val="22"/>
                <w:szCs w:val="22"/>
                <w:highlight w:val="none"/>
                <w:u w:val="single"/>
                <w:lang w:val="zh-CN" w:eastAsia="zh-CN"/>
              </w:rPr>
              <w:t>2025年永嘉县市政道路、桥梁、隧道检测项目</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，属于</w:t>
            </w:r>
            <w:r>
              <w:rPr>
                <w:rFonts w:hint="eastAsia" w:ascii="宋体" w:hAnsi="宋体" w:eastAsia="宋体" w:cs="宋体"/>
                <w:b/>
                <w:bCs/>
                <w:color w:val="auto"/>
                <w:kern w:val="0"/>
                <w:sz w:val="22"/>
                <w:szCs w:val="22"/>
                <w:highlight w:val="none"/>
                <w:u w:val="single"/>
                <w:lang w:val="zh-CN"/>
              </w:rPr>
              <w:t>未列明</w:t>
            </w:r>
            <w:r>
              <w:rPr>
                <w:rFonts w:hint="eastAsia" w:ascii="宋体" w:hAnsi="宋体" w:eastAsia="宋体" w:cs="宋体"/>
                <w:color w:val="auto"/>
                <w:kern w:val="0"/>
                <w:sz w:val="22"/>
                <w:szCs w:val="22"/>
                <w:highlight w:val="none"/>
              </w:rPr>
              <w:t>行业；</w:t>
            </w:r>
          </w:p>
          <w:p w14:paraId="7AA5E1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rPr>
              <w:t>中小企业的划分标准</w:t>
            </w:r>
          </w:p>
          <w:tbl>
            <w:tblPr>
              <w:tblStyle w:val="62"/>
              <w:tblW w:w="6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39"/>
              <w:gridCol w:w="755"/>
              <w:gridCol w:w="1001"/>
              <w:gridCol w:w="1249"/>
              <w:gridCol w:w="1089"/>
              <w:gridCol w:w="878"/>
            </w:tblGrid>
            <w:tr w14:paraId="12D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2EDD551">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行业名称</w:t>
                  </w:r>
                </w:p>
              </w:tc>
              <w:tc>
                <w:tcPr>
                  <w:tcW w:w="939" w:type="dxa"/>
                  <w:vAlign w:val="center"/>
                </w:tcPr>
                <w:p w14:paraId="791D3C8B">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指标名称</w:t>
                  </w:r>
                </w:p>
              </w:tc>
              <w:tc>
                <w:tcPr>
                  <w:tcW w:w="755" w:type="dxa"/>
                  <w:vAlign w:val="center"/>
                </w:tcPr>
                <w:p w14:paraId="71A8A292">
                  <w:pPr>
                    <w:widowControl/>
                    <w:spacing w:line="30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p>
                <w:p w14:paraId="6D71B88B">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单位</w:t>
                  </w:r>
                </w:p>
              </w:tc>
              <w:tc>
                <w:tcPr>
                  <w:tcW w:w="1001" w:type="dxa"/>
                  <w:vAlign w:val="center"/>
                </w:tcPr>
                <w:p w14:paraId="3EC18FED">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大型</w:t>
                  </w:r>
                </w:p>
              </w:tc>
              <w:tc>
                <w:tcPr>
                  <w:tcW w:w="1249" w:type="dxa"/>
                  <w:vAlign w:val="center"/>
                </w:tcPr>
                <w:p w14:paraId="22BB5270">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中型</w:t>
                  </w:r>
                </w:p>
              </w:tc>
              <w:tc>
                <w:tcPr>
                  <w:tcW w:w="1089" w:type="dxa"/>
                  <w:vAlign w:val="center"/>
                </w:tcPr>
                <w:p w14:paraId="07565647">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小型</w:t>
                  </w:r>
                </w:p>
              </w:tc>
              <w:tc>
                <w:tcPr>
                  <w:tcW w:w="878" w:type="dxa"/>
                  <w:vAlign w:val="center"/>
                </w:tcPr>
                <w:p w14:paraId="16388F21">
                  <w:pPr>
                    <w:widowControl/>
                    <w:spacing w:line="300" w:lineRule="exact"/>
                    <w:jc w:val="center"/>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微型</w:t>
                  </w:r>
                </w:p>
              </w:tc>
            </w:tr>
            <w:tr w14:paraId="6F7C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7362C603">
                  <w:pPr>
                    <w:widowControl/>
                    <w:spacing w:line="3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未列明</w:t>
                  </w:r>
                </w:p>
              </w:tc>
              <w:tc>
                <w:tcPr>
                  <w:tcW w:w="939" w:type="dxa"/>
                  <w:vAlign w:val="center"/>
                </w:tcPr>
                <w:p w14:paraId="2F535D53">
                  <w:pPr>
                    <w:widowControl/>
                    <w:spacing w:line="30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从业人员(X)</w:t>
                  </w:r>
                </w:p>
              </w:tc>
              <w:tc>
                <w:tcPr>
                  <w:tcW w:w="755" w:type="dxa"/>
                  <w:vAlign w:val="center"/>
                </w:tcPr>
                <w:p w14:paraId="2C2FF2EC">
                  <w:pPr>
                    <w:widowControl/>
                    <w:spacing w:line="30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人</w:t>
                  </w:r>
                </w:p>
              </w:tc>
              <w:tc>
                <w:tcPr>
                  <w:tcW w:w="1001" w:type="dxa"/>
                  <w:vAlign w:val="center"/>
                </w:tcPr>
                <w:p w14:paraId="4687234C">
                  <w:pPr>
                    <w:widowControl/>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X≥300</w:t>
                  </w:r>
                </w:p>
              </w:tc>
              <w:tc>
                <w:tcPr>
                  <w:tcW w:w="1249" w:type="dxa"/>
                  <w:vAlign w:val="center"/>
                </w:tcPr>
                <w:p w14:paraId="4961F319">
                  <w:pPr>
                    <w:widowControl/>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100≤X＜300</w:t>
                  </w:r>
                </w:p>
              </w:tc>
              <w:tc>
                <w:tcPr>
                  <w:tcW w:w="1089" w:type="dxa"/>
                  <w:vAlign w:val="center"/>
                </w:tcPr>
                <w:p w14:paraId="4DB7F3C7">
                  <w:pPr>
                    <w:widowControl/>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10≤X＜100</w:t>
                  </w:r>
                </w:p>
              </w:tc>
              <w:tc>
                <w:tcPr>
                  <w:tcW w:w="878" w:type="dxa"/>
                  <w:vAlign w:val="center"/>
                </w:tcPr>
                <w:p w14:paraId="250FF023">
                  <w:pPr>
                    <w:widowControl/>
                    <w:spacing w:line="3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X＜10</w:t>
                  </w:r>
                </w:p>
              </w:tc>
            </w:tr>
          </w:tbl>
          <w:p w14:paraId="6B7AA0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eastAsia="zh-CN" w:bidi="ar-SA"/>
              </w:rPr>
              <w:t>说明：大型、中型和小型企业须同时满足所列指标的下限，否则下划一档；微型企业只须满足所列指标中的一项即可。</w:t>
            </w:r>
          </w:p>
        </w:tc>
      </w:tr>
      <w:tr w14:paraId="17885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6"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58C7FB9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8BAF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是否允许采购进口产品</w:t>
            </w:r>
          </w:p>
        </w:tc>
        <w:tc>
          <w:tcPr>
            <w:tcW w:w="6729" w:type="dxa"/>
            <w:tcBorders>
              <w:top w:val="single" w:color="000000" w:sz="8" w:space="0"/>
              <w:left w:val="single" w:color="000000" w:sz="2" w:space="0"/>
              <w:bottom w:val="single" w:color="000000" w:sz="8" w:space="0"/>
              <w:right w:val="single" w:color="000000" w:sz="8" w:space="0"/>
            </w:tcBorders>
            <w:vAlign w:val="center"/>
          </w:tcPr>
          <w:p w14:paraId="61EA8E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2"/>
                <w:szCs w:val="22"/>
                <w:highlight w:val="none"/>
              </w:rPr>
            </w:pPr>
            <w:sdt>
              <w:sdtPr>
                <w:rPr>
                  <w:rFonts w:hint="eastAsia" w:ascii="宋体" w:hAnsi="宋体" w:eastAsia="宋体" w:cs="宋体"/>
                  <w:color w:val="auto"/>
                  <w:kern w:val="0"/>
                  <w:sz w:val="22"/>
                  <w:szCs w:val="22"/>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本项目不允许采购进口产品。</w:t>
            </w:r>
          </w:p>
          <w:p w14:paraId="30C85ED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kern w:val="0"/>
                <w:sz w:val="22"/>
                <w:szCs w:val="22"/>
                <w:highlight w:val="none"/>
              </w:rPr>
              <w:t>可以就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采购进口产品。</w:t>
            </w:r>
          </w:p>
        </w:tc>
      </w:tr>
      <w:tr w14:paraId="3B31F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62866E8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32E0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6729" w:type="dxa"/>
            <w:tcBorders>
              <w:top w:val="single" w:color="000000" w:sz="8" w:space="0"/>
              <w:left w:val="single" w:color="000000" w:sz="2" w:space="0"/>
              <w:bottom w:val="single" w:color="000000" w:sz="8" w:space="0"/>
              <w:right w:val="single" w:color="000000" w:sz="8" w:space="0"/>
            </w:tcBorders>
            <w:vAlign w:val="center"/>
          </w:tcPr>
          <w:p w14:paraId="2EB6FC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lang w:val="en-US" w:eastAsia="zh-CN"/>
              </w:rPr>
            </w:pPr>
            <w:sdt>
              <w:sdtPr>
                <w:rPr>
                  <w:rFonts w:hint="eastAsia" w:ascii="宋体" w:hAnsi="宋体" w:eastAsia="宋体" w:cs="宋体"/>
                  <w:color w:val="auto"/>
                  <w:kern w:val="0"/>
                  <w:sz w:val="22"/>
                  <w:szCs w:val="22"/>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kern w:val="0"/>
                <w:sz w:val="22"/>
                <w:szCs w:val="22"/>
                <w:highlight w:val="none"/>
              </w:rPr>
              <w:t xml:space="preserve"> A</w:t>
            </w:r>
            <w:r>
              <w:rPr>
                <w:rFonts w:hint="eastAsia" w:ascii="宋体" w:hAnsi="宋体" w:eastAsia="宋体" w:cs="宋体"/>
                <w:color w:val="auto"/>
                <w:sz w:val="22"/>
                <w:szCs w:val="22"/>
                <w:highlight w:val="none"/>
              </w:rPr>
              <w:t>同意将非主体、非关键性的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工作分包</w:t>
            </w:r>
            <w:r>
              <w:rPr>
                <w:rFonts w:hint="eastAsia" w:ascii="宋体" w:hAnsi="宋体" w:eastAsia="宋体" w:cs="宋体"/>
                <w:color w:val="auto"/>
                <w:sz w:val="22"/>
                <w:szCs w:val="22"/>
                <w:highlight w:val="none"/>
                <w:lang w:val="en-US" w:eastAsia="zh-CN"/>
              </w:rPr>
              <w:t>。</w:t>
            </w:r>
          </w:p>
          <w:p w14:paraId="6A43606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 xml:space="preserve"> B</w:t>
            </w:r>
            <w:r>
              <w:rPr>
                <w:rFonts w:hint="eastAsia" w:ascii="宋体" w:hAnsi="宋体" w:eastAsia="宋体" w:cs="宋体"/>
                <w:color w:val="auto"/>
                <w:sz w:val="22"/>
                <w:szCs w:val="22"/>
                <w:highlight w:val="none"/>
              </w:rPr>
              <w:t>不同意分包。</w:t>
            </w:r>
          </w:p>
          <w:p w14:paraId="5127AF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注：不得限制大中型</w:t>
            </w:r>
            <w:r>
              <w:rPr>
                <w:rFonts w:hint="eastAsia" w:ascii="宋体" w:hAnsi="宋体" w:eastAsia="宋体" w:cs="宋体"/>
                <w:color w:val="auto"/>
                <w:kern w:val="0"/>
                <w:sz w:val="22"/>
                <w:szCs w:val="22"/>
                <w:highlight w:val="none"/>
              </w:rPr>
              <w:t>企业</w:t>
            </w:r>
            <w:r>
              <w:rPr>
                <w:rFonts w:hint="eastAsia" w:ascii="宋体" w:hAnsi="宋体" w:eastAsia="宋体" w:cs="宋体"/>
                <w:color w:val="auto"/>
                <w:sz w:val="22"/>
                <w:szCs w:val="22"/>
                <w:highlight w:val="none"/>
              </w:rPr>
              <w:t>向小微企业合理分包。</w:t>
            </w:r>
          </w:p>
        </w:tc>
      </w:tr>
      <w:tr w14:paraId="17334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0B5F3D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4D3CE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开标前答疑会或现场考察</w:t>
            </w:r>
          </w:p>
        </w:tc>
        <w:tc>
          <w:tcPr>
            <w:tcW w:w="6729" w:type="dxa"/>
            <w:tcBorders>
              <w:top w:val="single" w:color="000000" w:sz="8" w:space="0"/>
              <w:left w:val="single" w:color="000000" w:sz="2" w:space="0"/>
              <w:bottom w:val="single" w:color="000000" w:sz="8" w:space="0"/>
              <w:right w:val="single" w:color="000000" w:sz="8" w:space="0"/>
            </w:tcBorders>
            <w:vAlign w:val="center"/>
          </w:tcPr>
          <w:p w14:paraId="139FED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A</w:t>
            </w:r>
            <w:r>
              <w:rPr>
                <w:rFonts w:hint="eastAsia" w:ascii="宋体" w:hAnsi="宋体" w:eastAsia="宋体" w:cs="宋体"/>
                <w:color w:val="auto"/>
                <w:sz w:val="22"/>
                <w:szCs w:val="22"/>
                <w:highlight w:val="none"/>
              </w:rPr>
              <w:t>不组织。</w:t>
            </w:r>
          </w:p>
          <w:p w14:paraId="51B2B9A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kern w:val="0"/>
                <w:sz w:val="22"/>
                <w:szCs w:val="22"/>
                <w:highlight w:val="none"/>
              </w:rPr>
              <w:t>B组织，</w:t>
            </w: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r>
      <w:tr w14:paraId="7DA34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3CCA8B4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BFB35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样品提供</w:t>
            </w:r>
          </w:p>
        </w:tc>
        <w:tc>
          <w:tcPr>
            <w:tcW w:w="6729" w:type="dxa"/>
            <w:tcBorders>
              <w:top w:val="single" w:color="000000" w:sz="8" w:space="0"/>
              <w:left w:val="single" w:color="000000" w:sz="2" w:space="0"/>
              <w:bottom w:val="single" w:color="000000" w:sz="8" w:space="0"/>
              <w:right w:val="single" w:color="000000" w:sz="8" w:space="0"/>
            </w:tcBorders>
            <w:vAlign w:val="center"/>
          </w:tcPr>
          <w:p w14:paraId="56C49C8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A</w:t>
            </w:r>
            <w:r>
              <w:rPr>
                <w:rFonts w:hint="eastAsia" w:ascii="宋体" w:hAnsi="宋体" w:eastAsia="宋体" w:cs="宋体"/>
                <w:color w:val="auto"/>
                <w:sz w:val="22"/>
                <w:szCs w:val="22"/>
                <w:highlight w:val="none"/>
              </w:rPr>
              <w:t>不要求提供。</w:t>
            </w:r>
          </w:p>
          <w:p w14:paraId="70EB731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sz w:val="22"/>
                <w:szCs w:val="22"/>
                <w:highlight w:val="none"/>
                <w:lang w:eastAsia="zh-CN"/>
              </w:rPr>
            </w:pPr>
            <w:sdt>
              <w:sdtPr>
                <w:rPr>
                  <w:rFonts w:hint="eastAsia" w:ascii="宋体" w:hAnsi="宋体" w:eastAsia="宋体" w:cs="宋体"/>
                  <w:color w:val="auto"/>
                  <w:kern w:val="0"/>
                  <w:sz w:val="22"/>
                  <w:szCs w:val="22"/>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kern w:val="0"/>
                <w:sz w:val="22"/>
                <w:szCs w:val="22"/>
                <w:highlight w:val="none"/>
              </w:rPr>
              <w:t>B要求提供</w:t>
            </w:r>
            <w:r>
              <w:rPr>
                <w:rFonts w:hint="eastAsia" w:ascii="宋体" w:hAnsi="宋体" w:eastAsia="宋体" w:cs="宋体"/>
                <w:color w:val="auto"/>
                <w:kern w:val="0"/>
                <w:sz w:val="22"/>
                <w:szCs w:val="22"/>
                <w:highlight w:val="none"/>
                <w:lang w:eastAsia="zh-CN"/>
              </w:rPr>
              <w:t>。</w:t>
            </w:r>
          </w:p>
        </w:tc>
      </w:tr>
      <w:tr w14:paraId="0EBC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00" w:type="dxa"/>
            <w:tcBorders>
              <w:top w:val="single" w:color="auto" w:sz="4" w:space="0"/>
              <w:left w:val="single" w:color="auto" w:sz="4" w:space="0"/>
              <w:bottom w:val="single" w:color="auto" w:sz="4" w:space="0"/>
              <w:right w:val="single" w:color="auto" w:sz="4" w:space="0"/>
            </w:tcBorders>
            <w:vAlign w:val="center"/>
          </w:tcPr>
          <w:p w14:paraId="513B78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F919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方案讲解演示</w:t>
            </w:r>
          </w:p>
        </w:tc>
        <w:tc>
          <w:tcPr>
            <w:tcW w:w="6729" w:type="dxa"/>
            <w:tcBorders>
              <w:top w:val="single" w:color="000000" w:sz="8" w:space="0"/>
              <w:left w:val="single" w:color="000000" w:sz="2" w:space="0"/>
              <w:bottom w:val="single" w:color="000000" w:sz="8" w:space="0"/>
              <w:right w:val="single" w:color="000000" w:sz="8" w:space="0"/>
            </w:tcBorders>
            <w:vAlign w:val="center"/>
          </w:tcPr>
          <w:p w14:paraId="21F0DE9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sdt>
              <w:sdtPr>
                <w:rPr>
                  <w:rFonts w:hint="eastAsia" w:ascii="宋体" w:hAnsi="宋体" w:eastAsia="宋体" w:cs="宋体"/>
                  <w:color w:val="auto"/>
                  <w:kern w:val="0"/>
                  <w:sz w:val="22"/>
                  <w:szCs w:val="22"/>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A</w:t>
            </w:r>
            <w:r>
              <w:rPr>
                <w:rFonts w:hint="eastAsia" w:ascii="宋体" w:hAnsi="宋体" w:eastAsia="宋体" w:cs="宋体"/>
                <w:color w:val="auto"/>
                <w:sz w:val="22"/>
                <w:szCs w:val="22"/>
                <w:highlight w:val="none"/>
              </w:rPr>
              <w:t>不组织。</w:t>
            </w:r>
          </w:p>
          <w:p w14:paraId="5BAFA9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kern w:val="0"/>
                <w:sz w:val="22"/>
                <w:szCs w:val="22"/>
                <w:highlight w:val="none"/>
                <w:lang w:val="zh-CN"/>
              </w:rPr>
            </w:pPr>
            <w:sdt>
              <w:sdtPr>
                <w:rPr>
                  <w:rFonts w:hint="eastAsia" w:ascii="宋体" w:hAnsi="宋体" w:eastAsia="宋体" w:cs="宋体"/>
                  <w:color w:val="auto"/>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color w:val="auto"/>
                <w:kern w:val="0"/>
                <w:sz w:val="22"/>
                <w:szCs w:val="22"/>
                <w:highlight w:val="none"/>
              </w:rPr>
              <w:t>B组织。</w:t>
            </w:r>
          </w:p>
        </w:tc>
      </w:tr>
      <w:tr w14:paraId="5A701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800" w:type="dxa"/>
            <w:vMerge w:val="restart"/>
            <w:tcBorders>
              <w:top w:val="single" w:color="auto" w:sz="4" w:space="0"/>
              <w:left w:val="single" w:color="auto" w:sz="4" w:space="0"/>
              <w:right w:val="single" w:color="auto" w:sz="4" w:space="0"/>
            </w:tcBorders>
            <w:vAlign w:val="center"/>
          </w:tcPr>
          <w:p w14:paraId="64AEB60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524D8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供应商应当提供的资格、资信证明文件</w:t>
            </w:r>
          </w:p>
        </w:tc>
        <w:tc>
          <w:tcPr>
            <w:tcW w:w="6729" w:type="dxa"/>
            <w:tcBorders>
              <w:top w:val="single" w:color="000000" w:sz="8" w:space="0"/>
              <w:left w:val="single" w:color="000000" w:sz="2" w:space="0"/>
              <w:bottom w:val="single" w:color="auto" w:sz="4" w:space="0"/>
              <w:right w:val="single" w:color="000000" w:sz="8" w:space="0"/>
            </w:tcBorders>
            <w:vAlign w:val="center"/>
          </w:tcPr>
          <w:p w14:paraId="65D507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（1）资格证明文件：</w:t>
            </w:r>
            <w:r>
              <w:rPr>
                <w:rFonts w:hint="eastAsia" w:ascii="宋体" w:hAnsi="宋体" w:eastAsia="宋体" w:cs="宋体"/>
                <w:color w:val="auto"/>
                <w:kern w:val="0"/>
                <w:sz w:val="22"/>
                <w:szCs w:val="22"/>
                <w:highlight w:val="none"/>
                <w:lang w:val="zh-CN"/>
              </w:rPr>
              <w:t>见招标文件第</w:t>
            </w:r>
            <w:r>
              <w:rPr>
                <w:rFonts w:hint="eastAsia" w:ascii="宋体" w:hAnsi="宋体" w:eastAsia="宋体" w:cs="宋体"/>
                <w:color w:val="auto"/>
                <w:kern w:val="0"/>
                <w:sz w:val="22"/>
                <w:szCs w:val="22"/>
                <w:highlight w:val="none"/>
                <w:lang w:val="zh-CN" w:eastAsia="zh-CN"/>
              </w:rPr>
              <w:t>二</w:t>
            </w:r>
            <w:r>
              <w:rPr>
                <w:rFonts w:hint="eastAsia" w:ascii="宋体" w:hAnsi="宋体" w:eastAsia="宋体" w:cs="宋体"/>
                <w:color w:val="auto"/>
                <w:kern w:val="0"/>
                <w:sz w:val="22"/>
                <w:szCs w:val="22"/>
                <w:highlight w:val="none"/>
                <w:lang w:val="zh-CN"/>
              </w:rPr>
              <w:t>部分</w:t>
            </w:r>
            <w:r>
              <w:rPr>
                <w:rFonts w:hint="eastAsia" w:ascii="宋体" w:hAnsi="宋体" w:eastAsia="宋体" w:cs="宋体"/>
                <w:color w:val="auto"/>
                <w:kern w:val="0"/>
                <w:sz w:val="22"/>
                <w:szCs w:val="22"/>
                <w:highlight w:val="none"/>
                <w:lang w:val="zh-CN" w:eastAsia="zh-CN"/>
              </w:rPr>
              <w:t>响应文件的编制</w:t>
            </w:r>
            <w:r>
              <w:rPr>
                <w:rFonts w:hint="eastAsia" w:ascii="宋体" w:hAnsi="宋体" w:eastAsia="宋体" w:cs="宋体"/>
                <w:color w:val="auto"/>
                <w:kern w:val="0"/>
                <w:sz w:val="22"/>
                <w:szCs w:val="22"/>
                <w:highlight w:val="none"/>
                <w:lang w:val="zh-CN"/>
              </w:rPr>
              <w:t>。</w:t>
            </w:r>
          </w:p>
          <w:p w14:paraId="23938B6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color w:val="auto"/>
                <w:kern w:val="0"/>
                <w:sz w:val="22"/>
                <w:szCs w:val="22"/>
                <w:highlight w:val="none"/>
                <w:lang w:val="zh-CN"/>
              </w:rPr>
              <w:t>供应商未提供有效的资格证明文件的，视为供应商不具备磋商文件中规定的资格要求，响应无效。</w:t>
            </w:r>
          </w:p>
        </w:tc>
      </w:tr>
      <w:tr w14:paraId="10621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800" w:type="dxa"/>
            <w:vMerge w:val="continue"/>
            <w:tcBorders>
              <w:left w:val="single" w:color="auto" w:sz="4" w:space="0"/>
              <w:bottom w:val="single" w:color="auto" w:sz="4" w:space="0"/>
              <w:right w:val="single" w:color="auto" w:sz="4" w:space="0"/>
            </w:tcBorders>
            <w:vAlign w:val="center"/>
          </w:tcPr>
          <w:p w14:paraId="43AC9F0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7DEE5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p>
        </w:tc>
        <w:tc>
          <w:tcPr>
            <w:tcW w:w="6729" w:type="dxa"/>
            <w:tcBorders>
              <w:top w:val="single" w:color="auto" w:sz="4" w:space="0"/>
              <w:left w:val="single" w:color="000000" w:sz="2" w:space="0"/>
              <w:bottom w:val="single" w:color="000000" w:sz="8" w:space="0"/>
              <w:right w:val="single" w:color="000000" w:sz="8" w:space="0"/>
            </w:tcBorders>
            <w:vAlign w:val="center"/>
          </w:tcPr>
          <w:p w14:paraId="78250E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（2）资信证明文件：</w:t>
            </w:r>
            <w:r>
              <w:rPr>
                <w:rFonts w:hint="eastAsia" w:ascii="宋体" w:hAnsi="宋体" w:eastAsia="宋体" w:cs="宋体"/>
                <w:color w:val="auto"/>
                <w:kern w:val="0"/>
                <w:sz w:val="22"/>
                <w:szCs w:val="22"/>
                <w:highlight w:val="none"/>
                <w:lang w:val="zh-CN"/>
              </w:rPr>
              <w:t>根据磋商文件第五部分评审标准提供。</w:t>
            </w:r>
          </w:p>
        </w:tc>
      </w:tr>
      <w:tr w14:paraId="4F537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00" w:type="dxa"/>
            <w:tcBorders>
              <w:top w:val="single" w:color="auto" w:sz="4" w:space="0"/>
              <w:left w:val="single" w:color="000000" w:sz="8" w:space="0"/>
              <w:bottom w:val="single" w:color="auto" w:sz="4" w:space="0"/>
              <w:right w:val="single" w:color="000000" w:sz="2" w:space="0"/>
            </w:tcBorders>
            <w:vAlign w:val="center"/>
          </w:tcPr>
          <w:p w14:paraId="24BB7E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4D323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节能产品、环境标志产品</w:t>
            </w:r>
          </w:p>
        </w:tc>
        <w:tc>
          <w:tcPr>
            <w:tcW w:w="6729" w:type="dxa"/>
            <w:tcBorders>
              <w:top w:val="single" w:color="000000" w:sz="8" w:space="0"/>
              <w:left w:val="single" w:color="000000" w:sz="2" w:space="0"/>
              <w:bottom w:val="single" w:color="000000" w:sz="8" w:space="0"/>
              <w:right w:val="single" w:color="000000" w:sz="8" w:space="0"/>
            </w:tcBorders>
            <w:vAlign w:val="center"/>
          </w:tcPr>
          <w:p w14:paraId="398F1A4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采购人拟采购的产品属于品目清单范围的，采购人及其委托的</w:t>
            </w:r>
            <w:r>
              <w:rPr>
                <w:rFonts w:hint="eastAsia" w:ascii="宋体" w:hAnsi="宋体" w:eastAsia="宋体" w:cs="宋体"/>
                <w:color w:val="auto"/>
                <w:kern w:val="0"/>
                <w:sz w:val="22"/>
                <w:szCs w:val="22"/>
                <w:highlight w:val="none"/>
                <w:lang w:eastAsia="zh-CN"/>
              </w:rPr>
              <w:t>代理机构</w:t>
            </w:r>
            <w:r>
              <w:rPr>
                <w:rFonts w:hint="eastAsia" w:ascii="宋体" w:hAnsi="宋体" w:eastAsia="宋体" w:cs="宋体"/>
                <w:color w:val="auto"/>
                <w:kern w:val="0"/>
                <w:sz w:val="22"/>
                <w:szCs w:val="22"/>
                <w:highlight w:val="none"/>
              </w:rPr>
              <w:t>将依据国家确定的认证机构出具的、处于有效期之内的节能产品、环境标志产品认证证书，对获得证书的产品实施政府优先采购或强制采购。</w:t>
            </w:r>
          </w:p>
        </w:tc>
      </w:tr>
      <w:tr w14:paraId="2A94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00" w:type="dxa"/>
            <w:tcBorders>
              <w:top w:val="single" w:color="auto" w:sz="4" w:space="0"/>
              <w:left w:val="single" w:color="000000" w:sz="8" w:space="0"/>
              <w:bottom w:val="single" w:color="auto" w:sz="4" w:space="0"/>
              <w:right w:val="single" w:color="000000" w:sz="2" w:space="0"/>
            </w:tcBorders>
            <w:vAlign w:val="center"/>
          </w:tcPr>
          <w:p w14:paraId="2BDFBA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CF12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最后报价要求</w:t>
            </w:r>
          </w:p>
        </w:tc>
        <w:tc>
          <w:tcPr>
            <w:tcW w:w="6729" w:type="dxa"/>
            <w:tcBorders>
              <w:top w:val="single" w:color="000000" w:sz="8" w:space="0"/>
              <w:left w:val="single" w:color="000000" w:sz="2" w:space="0"/>
              <w:bottom w:val="single" w:color="000000" w:sz="8" w:space="0"/>
              <w:right w:val="single" w:color="000000" w:sz="8" w:space="0"/>
            </w:tcBorders>
            <w:vAlign w:val="center"/>
          </w:tcPr>
          <w:p w14:paraId="703122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lang w:val="zh-CN"/>
              </w:rPr>
              <w:t>有关本项目实施所需的所有费用（含税费）均计入最后报价。《报价</w:t>
            </w:r>
            <w:r>
              <w:rPr>
                <w:rFonts w:hint="eastAsia" w:ascii="宋体" w:hAnsi="宋体" w:eastAsia="宋体" w:cs="宋体"/>
                <w:color w:val="auto"/>
                <w:sz w:val="22"/>
                <w:szCs w:val="22"/>
                <w:highlight w:val="none"/>
              </w:rPr>
              <w:t>一览表</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sz w:val="22"/>
                <w:szCs w:val="22"/>
                <w:highlight w:val="none"/>
              </w:rPr>
              <w:t>是最后报价的唯一载体</w:t>
            </w:r>
            <w:r>
              <w:rPr>
                <w:rFonts w:hint="eastAsia" w:ascii="宋体" w:hAnsi="宋体" w:eastAsia="宋体" w:cs="宋体"/>
                <w:color w:val="auto"/>
                <w:kern w:val="0"/>
                <w:sz w:val="22"/>
                <w:szCs w:val="22"/>
                <w:highlight w:val="none"/>
                <w:lang w:val="zh-CN"/>
              </w:rPr>
              <w:t>。磋商文件中价格全部采用人民币报价。磋商文件未列明，而供应商认为必需的费用也需列入报价。</w:t>
            </w:r>
          </w:p>
          <w:p w14:paraId="7CFEBE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最后报价出现下列情形的，响应无效：</w:t>
            </w:r>
          </w:p>
          <w:p w14:paraId="37CA83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响应文件出现不是唯一的、有选择性的最后报价的；</w:t>
            </w:r>
          </w:p>
          <w:p w14:paraId="50A4A9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
                <w:color w:val="auto"/>
                <w:kern w:val="0"/>
                <w:sz w:val="22"/>
                <w:szCs w:val="22"/>
                <w:highlight w:val="none"/>
                <w:lang w:val="zh-CN"/>
              </w:rPr>
              <w:t>最后报价超过磋商文件中规定的预算金额或者最高限价的;</w:t>
            </w:r>
          </w:p>
          <w:p w14:paraId="70FB09F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2"/>
                <w:szCs w:val="22"/>
                <w:highlight w:val="none"/>
              </w:rPr>
              <w:t>;</w:t>
            </w:r>
          </w:p>
          <w:p w14:paraId="2CF40F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供应商对根据修正原则修正后的报价不确认的</w:t>
            </w:r>
            <w:r>
              <w:rPr>
                <w:rFonts w:hint="eastAsia" w:ascii="宋体" w:hAnsi="宋体" w:eastAsia="宋体" w:cs="宋体"/>
                <w:b/>
                <w:color w:val="auto"/>
                <w:sz w:val="22"/>
                <w:szCs w:val="22"/>
                <w:highlight w:val="none"/>
              </w:rPr>
              <w:t>。</w:t>
            </w:r>
          </w:p>
        </w:tc>
      </w:tr>
      <w:tr w14:paraId="1CB5F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800" w:type="dxa"/>
            <w:tcBorders>
              <w:top w:val="single" w:color="auto" w:sz="4" w:space="0"/>
              <w:left w:val="single" w:color="000000" w:sz="8" w:space="0"/>
              <w:right w:val="single" w:color="000000" w:sz="2" w:space="0"/>
            </w:tcBorders>
            <w:vAlign w:val="center"/>
          </w:tcPr>
          <w:p w14:paraId="04268D4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843" w:type="dxa"/>
            <w:tcBorders>
              <w:top w:val="single" w:color="000000" w:sz="8" w:space="0"/>
              <w:left w:val="single" w:color="000000" w:sz="2" w:space="0"/>
              <w:right w:val="single" w:color="000000" w:sz="8" w:space="0"/>
            </w:tcBorders>
            <w:vAlign w:val="center"/>
          </w:tcPr>
          <w:p w14:paraId="42B6EE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中小企业信用融资</w:t>
            </w:r>
          </w:p>
        </w:tc>
        <w:tc>
          <w:tcPr>
            <w:tcW w:w="6729" w:type="dxa"/>
            <w:tcBorders>
              <w:top w:val="single" w:color="000000" w:sz="8" w:space="0"/>
              <w:left w:val="single" w:color="000000" w:sz="2" w:space="0"/>
              <w:right w:val="single" w:color="000000" w:sz="8" w:space="0"/>
            </w:tcBorders>
            <w:vAlign w:val="center"/>
          </w:tcPr>
          <w:p w14:paraId="01B1A4F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28"/>
                <w:sz w:val="22"/>
                <w:szCs w:val="22"/>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AC7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6" w:hRule="atLeast"/>
          <w:tblHeader/>
        </w:trPr>
        <w:tc>
          <w:tcPr>
            <w:tcW w:w="800" w:type="dxa"/>
            <w:tcBorders>
              <w:top w:val="single" w:color="auto" w:sz="4" w:space="0"/>
              <w:left w:val="single" w:color="000000" w:sz="8" w:space="0"/>
              <w:bottom w:val="single" w:color="auto" w:sz="4" w:space="0"/>
              <w:right w:val="single" w:color="000000" w:sz="2" w:space="0"/>
            </w:tcBorders>
            <w:vAlign w:val="center"/>
          </w:tcPr>
          <w:p w14:paraId="346B2C0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4715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备份响应文件送达地点和签收人员 </w:t>
            </w:r>
          </w:p>
        </w:tc>
        <w:tc>
          <w:tcPr>
            <w:tcW w:w="6729" w:type="dxa"/>
            <w:tcBorders>
              <w:top w:val="single" w:color="000000" w:sz="8" w:space="0"/>
              <w:left w:val="single" w:color="000000" w:sz="2" w:space="0"/>
              <w:bottom w:val="single" w:color="000000" w:sz="8" w:space="0"/>
              <w:right w:val="single" w:color="000000" w:sz="8" w:space="0"/>
            </w:tcBorders>
            <w:vAlign w:val="center"/>
          </w:tcPr>
          <w:p w14:paraId="6A115A3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备份投标文件送达地点：永嘉县南城街道永兴路建设大厦9楼913室；备份投标文件签收人员联系电话：</w:t>
            </w:r>
            <w:r>
              <w:rPr>
                <w:rFonts w:hint="eastAsia" w:ascii="宋体" w:hAnsi="宋体" w:eastAsia="宋体" w:cs="宋体"/>
                <w:b/>
                <w:color w:val="auto"/>
                <w:sz w:val="22"/>
                <w:szCs w:val="22"/>
                <w:highlight w:val="none"/>
                <w:lang w:val="en-US" w:eastAsia="zh-CN"/>
              </w:rPr>
              <w:t>陈芬</w:t>
            </w:r>
            <w:r>
              <w:rPr>
                <w:rFonts w:hint="eastAsia" w:ascii="宋体" w:hAnsi="宋体" w:eastAsia="宋体" w:cs="宋体"/>
                <w:b/>
                <w:color w:val="auto"/>
                <w:sz w:val="22"/>
                <w:szCs w:val="22"/>
                <w:highlight w:val="none"/>
                <w:lang w:eastAsia="zh-CN"/>
              </w:rPr>
              <w:t xml:space="preserve"> </w:t>
            </w:r>
            <w:r>
              <w:rPr>
                <w:rFonts w:hint="eastAsia" w:ascii="宋体" w:hAnsi="宋体" w:eastAsia="宋体" w:cs="宋体"/>
                <w:b/>
                <w:color w:val="auto"/>
                <w:sz w:val="22"/>
                <w:szCs w:val="22"/>
                <w:highlight w:val="none"/>
                <w:lang w:val="en-US" w:eastAsia="zh-CN"/>
              </w:rPr>
              <w:t>13566252586</w:t>
            </w:r>
            <w:r>
              <w:rPr>
                <w:rFonts w:hint="eastAsia" w:ascii="宋体" w:hAnsi="宋体" w:eastAsia="宋体" w:cs="宋体"/>
                <w:b/>
                <w:color w:val="auto"/>
                <w:sz w:val="22"/>
                <w:szCs w:val="22"/>
                <w:highlight w:val="none"/>
                <w:lang w:eastAsia="zh-CN"/>
              </w:rPr>
              <w:t>。</w:t>
            </w:r>
          </w:p>
          <w:p w14:paraId="36F73F8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8"/>
                <w:sz w:val="22"/>
                <w:szCs w:val="22"/>
                <w:highlight w:val="none"/>
              </w:rPr>
            </w:pPr>
            <w:r>
              <w:rPr>
                <w:rFonts w:hint="eastAsia" w:ascii="宋体" w:hAnsi="宋体" w:eastAsia="宋体" w:cs="宋体"/>
                <w:b/>
                <w:color w:val="auto"/>
                <w:sz w:val="22"/>
                <w:szCs w:val="22"/>
                <w:highlight w:val="none"/>
              </w:rPr>
              <w:t>采购人、</w:t>
            </w:r>
            <w:r>
              <w:rPr>
                <w:rFonts w:hint="eastAsia" w:ascii="宋体" w:hAnsi="宋体" w:eastAsia="宋体" w:cs="宋体"/>
                <w:b/>
                <w:color w:val="auto"/>
                <w:sz w:val="22"/>
                <w:szCs w:val="22"/>
                <w:highlight w:val="none"/>
                <w:lang w:eastAsia="zh-CN"/>
              </w:rPr>
              <w:t>采购代理机构</w:t>
            </w:r>
            <w:r>
              <w:rPr>
                <w:rFonts w:hint="eastAsia" w:ascii="宋体" w:hAnsi="宋体" w:eastAsia="宋体" w:cs="宋体"/>
                <w:b/>
                <w:color w:val="auto"/>
                <w:sz w:val="22"/>
                <w:szCs w:val="22"/>
                <w:highlight w:val="none"/>
              </w:rPr>
              <w:t>不强制或变相强制投标人提交备份投标文件。</w:t>
            </w:r>
          </w:p>
        </w:tc>
      </w:tr>
      <w:tr w14:paraId="4C9C6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00" w:type="dxa"/>
            <w:vMerge w:val="restart"/>
            <w:tcBorders>
              <w:top w:val="single" w:color="auto" w:sz="4" w:space="0"/>
              <w:left w:val="single" w:color="000000" w:sz="8" w:space="0"/>
              <w:right w:val="single" w:color="000000" w:sz="2" w:space="0"/>
            </w:tcBorders>
            <w:vAlign w:val="center"/>
          </w:tcPr>
          <w:p w14:paraId="73E81D4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1CF4C1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6729" w:type="dxa"/>
            <w:tcBorders>
              <w:top w:val="single" w:color="000000" w:sz="8" w:space="0"/>
              <w:left w:val="single" w:color="000000" w:sz="2" w:space="0"/>
              <w:bottom w:val="single" w:color="000000" w:sz="8" w:space="0"/>
              <w:right w:val="single" w:color="000000" w:sz="8" w:space="0"/>
            </w:tcBorders>
            <w:vAlign w:val="center"/>
          </w:tcPr>
          <w:p w14:paraId="7482271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rPr>
              <w:t>联合体投标的，联合体各方分别提供与联合体协议中规定的分工内容相应的业绩证明材料，业绩数量以提供材料较少的一方为准。</w:t>
            </w:r>
            <w:r>
              <w:rPr>
                <w:rFonts w:hint="eastAsia" w:ascii="宋体" w:hAnsi="宋体" w:eastAsia="宋体" w:cs="宋体"/>
                <w:snapToGrid w:val="0"/>
                <w:color w:val="auto"/>
                <w:kern w:val="28"/>
                <w:sz w:val="22"/>
                <w:szCs w:val="22"/>
                <w:highlight w:val="none"/>
                <w:lang w:val="en-US" w:eastAsia="zh-CN"/>
              </w:rPr>
              <w:t>(不接受联合体)</w:t>
            </w:r>
          </w:p>
        </w:tc>
      </w:tr>
      <w:tr w14:paraId="368C7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00" w:type="dxa"/>
            <w:vMerge w:val="continue"/>
            <w:tcBorders>
              <w:left w:val="single" w:color="000000" w:sz="8" w:space="0"/>
              <w:bottom w:val="single" w:color="auto" w:sz="4" w:space="0"/>
              <w:right w:val="single" w:color="000000" w:sz="2" w:space="0"/>
            </w:tcBorders>
            <w:vAlign w:val="center"/>
          </w:tcPr>
          <w:p w14:paraId="418485F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B584DF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rPr>
            </w:pPr>
          </w:p>
        </w:tc>
        <w:tc>
          <w:tcPr>
            <w:tcW w:w="6729" w:type="dxa"/>
            <w:tcBorders>
              <w:top w:val="single" w:color="000000" w:sz="8" w:space="0"/>
              <w:left w:val="single" w:color="000000" w:sz="2" w:space="0"/>
              <w:bottom w:val="single" w:color="auto" w:sz="4" w:space="0"/>
              <w:right w:val="single" w:color="000000" w:sz="8" w:space="0"/>
            </w:tcBorders>
            <w:vAlign w:val="center"/>
          </w:tcPr>
          <w:p w14:paraId="4BD435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28"/>
                <w:sz w:val="22"/>
                <w:szCs w:val="22"/>
                <w:highlight w:val="none"/>
              </w:rPr>
            </w:pPr>
            <w:sdt>
              <w:sdtPr>
                <w:rPr>
                  <w:rFonts w:hint="eastAsia" w:ascii="宋体" w:hAnsi="宋体" w:eastAsia="宋体" w:cs="宋体"/>
                  <w:color w:val="auto"/>
                  <w:kern w:val="0"/>
                  <w:sz w:val="22"/>
                  <w:szCs w:val="22"/>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宋体" w:hAnsi="宋体" w:eastAsia="宋体" w:cs="宋体"/>
                    <w:color w:val="auto"/>
                    <w:kern w:val="0"/>
                    <w:sz w:val="22"/>
                    <w:szCs w:val="22"/>
                    <w:highlight w:val="none"/>
                  </w:rPr>
                  <w:t>☐</w:t>
                </w:r>
              </w:sdtContent>
            </w:sdt>
            <w:r>
              <w:rPr>
                <w:rFonts w:hint="eastAsia" w:ascii="宋体" w:hAnsi="宋体" w:eastAsia="宋体" w:cs="宋体"/>
                <w:snapToGrid w:val="0"/>
                <w:color w:val="auto"/>
                <w:kern w:val="28"/>
                <w:sz w:val="22"/>
                <w:szCs w:val="22"/>
                <w:highlight w:val="none"/>
              </w:rPr>
              <w:t>联合体响应的，联合体各方均需按磋商文件第五部分评审标准要求提供资信证明文件，否则视为不符合相关要求。</w:t>
            </w:r>
          </w:p>
          <w:p w14:paraId="56106D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28"/>
                <w:sz w:val="22"/>
                <w:szCs w:val="22"/>
                <w:highlight w:val="none"/>
              </w:rPr>
            </w:pPr>
            <w:sdt>
              <w:sdtPr>
                <w:rPr>
                  <w:rFonts w:hint="eastAsia" w:ascii="宋体" w:hAnsi="宋体" w:eastAsia="宋体" w:cs="宋体"/>
                  <w:color w:val="auto"/>
                  <w:kern w:val="0"/>
                  <w:sz w:val="22"/>
                  <w:szCs w:val="22"/>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snapToGrid w:val="0"/>
                <w:color w:val="auto"/>
                <w:kern w:val="28"/>
                <w:sz w:val="22"/>
                <w:szCs w:val="22"/>
                <w:highlight w:val="none"/>
              </w:rPr>
              <w:t>联合体响应的，联合体中有一方或者联合体成员根据分工按磋商文件第五部分评审标准要求提供资信证明文件的，视为符合了相关要求。</w:t>
            </w:r>
          </w:p>
        </w:tc>
      </w:tr>
      <w:tr w14:paraId="20D6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00" w:type="dxa"/>
            <w:tcBorders>
              <w:top w:val="single" w:color="auto" w:sz="4" w:space="0"/>
              <w:left w:val="single" w:color="auto" w:sz="4" w:space="0"/>
              <w:bottom w:val="single" w:color="auto" w:sz="4" w:space="0"/>
              <w:right w:val="single" w:color="000000" w:sz="2" w:space="0"/>
            </w:tcBorders>
            <w:vAlign w:val="center"/>
          </w:tcPr>
          <w:p w14:paraId="1A28690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379289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代理服务费</w:t>
            </w:r>
          </w:p>
        </w:tc>
        <w:tc>
          <w:tcPr>
            <w:tcW w:w="6729" w:type="dxa"/>
            <w:tcBorders>
              <w:top w:val="single" w:color="auto" w:sz="4" w:space="0"/>
              <w:left w:val="single" w:color="000000" w:sz="2" w:space="0"/>
              <w:bottom w:val="single" w:color="auto" w:sz="4" w:space="0"/>
              <w:right w:val="single" w:color="auto" w:sz="4" w:space="0"/>
            </w:tcBorders>
            <w:shd w:val="clear" w:color="auto" w:fill="auto"/>
            <w:vAlign w:val="center"/>
          </w:tcPr>
          <w:p w14:paraId="18B157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招标代理服务费</w:t>
            </w:r>
            <w:r>
              <w:rPr>
                <w:rFonts w:hint="eastAsia" w:ascii="宋体" w:hAnsi="宋体" w:eastAsia="宋体" w:cs="宋体"/>
                <w:b/>
                <w:bCs/>
                <w:color w:val="auto"/>
                <w:sz w:val="22"/>
                <w:szCs w:val="22"/>
                <w:highlight w:val="none"/>
                <w:lang w:val="en-US" w:eastAsia="zh-CN"/>
              </w:rPr>
              <w:t>参照</w:t>
            </w:r>
            <w:r>
              <w:rPr>
                <w:rFonts w:hint="eastAsia" w:ascii="宋体" w:hAnsi="宋体" w:eastAsia="宋体" w:cs="宋体"/>
                <w:b/>
                <w:bCs/>
                <w:color w:val="auto"/>
                <w:sz w:val="22"/>
                <w:szCs w:val="22"/>
                <w:highlight w:val="none"/>
              </w:rPr>
              <w:t>原国家计委印发的《招标代理服务收费管理暂行办法》计价格【2002】1980号文件（</w:t>
            </w:r>
            <w:r>
              <w:rPr>
                <w:rFonts w:hint="eastAsia" w:ascii="宋体" w:hAnsi="宋体" w:eastAsia="宋体" w:cs="宋体"/>
                <w:b/>
                <w:bCs/>
                <w:color w:val="auto"/>
                <w:sz w:val="22"/>
                <w:szCs w:val="22"/>
                <w:highlight w:val="none"/>
                <w:lang w:val="en-US" w:eastAsia="zh-CN"/>
              </w:rPr>
              <w:t>服务</w:t>
            </w:r>
            <w:r>
              <w:rPr>
                <w:rFonts w:hint="eastAsia" w:ascii="宋体" w:hAnsi="宋体" w:eastAsia="宋体" w:cs="宋体"/>
                <w:b/>
                <w:bCs/>
                <w:color w:val="auto"/>
                <w:sz w:val="22"/>
                <w:szCs w:val="22"/>
                <w:highlight w:val="none"/>
              </w:rPr>
              <w:t>类）收费标准收取</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中标人在领取中标通知书</w:t>
            </w:r>
            <w:r>
              <w:rPr>
                <w:rFonts w:hint="eastAsia" w:ascii="宋体" w:hAnsi="宋体" w:cs="宋体"/>
                <w:b/>
                <w:bCs/>
                <w:color w:val="auto"/>
                <w:sz w:val="22"/>
                <w:szCs w:val="22"/>
                <w:highlight w:val="none"/>
                <w:lang w:val="en-US" w:eastAsia="zh-CN"/>
              </w:rPr>
              <w:t>前</w:t>
            </w:r>
            <w:r>
              <w:rPr>
                <w:rFonts w:hint="eastAsia" w:ascii="宋体" w:hAnsi="宋体" w:eastAsia="宋体" w:cs="宋体"/>
                <w:b/>
                <w:bCs/>
                <w:color w:val="auto"/>
                <w:sz w:val="22"/>
                <w:szCs w:val="22"/>
                <w:highlight w:val="none"/>
              </w:rPr>
              <w:t>向代理机构支付</w:t>
            </w:r>
            <w:r>
              <w:rPr>
                <w:rFonts w:hint="eastAsia" w:ascii="宋体" w:hAnsi="宋体" w:cs="宋体"/>
                <w:b/>
                <w:bCs/>
                <w:color w:val="auto"/>
                <w:sz w:val="22"/>
                <w:szCs w:val="22"/>
                <w:highlight w:val="none"/>
                <w:lang w:val="en-US" w:eastAsia="zh-CN"/>
              </w:rPr>
              <w:t>17000的</w:t>
            </w:r>
            <w:r>
              <w:rPr>
                <w:rFonts w:hint="eastAsia" w:ascii="宋体" w:hAnsi="宋体" w:eastAsia="宋体" w:cs="宋体"/>
                <w:b/>
                <w:bCs/>
                <w:color w:val="auto"/>
                <w:sz w:val="22"/>
                <w:szCs w:val="22"/>
                <w:highlight w:val="none"/>
              </w:rPr>
              <w:t>招标代理服务费</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招标代理服务费汇入以下账号：</w:t>
            </w:r>
          </w:p>
          <w:p w14:paraId="1C44AD8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户名：</w:t>
            </w:r>
            <w:r>
              <w:rPr>
                <w:rFonts w:hint="eastAsia" w:ascii="宋体" w:hAnsi="宋体" w:eastAsia="宋体" w:cs="宋体"/>
                <w:b/>
                <w:bCs/>
                <w:color w:val="auto"/>
                <w:sz w:val="22"/>
                <w:szCs w:val="22"/>
                <w:highlight w:val="none"/>
                <w:lang w:val="en-US" w:eastAsia="zh-CN"/>
              </w:rPr>
              <w:t>浙江新业项目管理有限公司</w:t>
            </w:r>
          </w:p>
          <w:p w14:paraId="65769FD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账号：</w:t>
            </w:r>
            <w:r>
              <w:rPr>
                <w:rFonts w:hint="eastAsia" w:ascii="宋体" w:hAnsi="宋体" w:eastAsia="宋体" w:cs="宋体"/>
                <w:b/>
                <w:bCs/>
                <w:color w:val="auto"/>
                <w:sz w:val="22"/>
                <w:szCs w:val="22"/>
                <w:highlight w:val="none"/>
                <w:lang w:eastAsia="zh-CN"/>
              </w:rPr>
              <w:t>19230401040008015</w:t>
            </w:r>
          </w:p>
          <w:p w14:paraId="53E6FFF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sz w:val="22"/>
                <w:szCs w:val="22"/>
                <w:highlight w:val="none"/>
              </w:rPr>
              <w:t>开户行：</w:t>
            </w:r>
            <w:r>
              <w:rPr>
                <w:rFonts w:hint="eastAsia" w:ascii="宋体" w:hAnsi="宋体" w:eastAsia="宋体" w:cs="宋体"/>
                <w:b/>
                <w:bCs/>
                <w:color w:val="auto"/>
                <w:sz w:val="22"/>
                <w:szCs w:val="22"/>
                <w:highlight w:val="none"/>
                <w:lang w:eastAsia="zh-CN"/>
              </w:rPr>
              <w:t>中国农业银行股份有限公司温州三垟支行</w:t>
            </w:r>
          </w:p>
        </w:tc>
      </w:tr>
    </w:tbl>
    <w:p w14:paraId="65D87628">
      <w:pPr>
        <w:snapToGrid w:val="0"/>
        <w:jc w:val="center"/>
        <w:rPr>
          <w:rFonts w:cs="仿宋_GB2312" w:asciiTheme="minorEastAsia" w:hAnsiTheme="minorEastAsia" w:eastAsiaTheme="minorEastAsia"/>
          <w:b/>
          <w:color w:val="auto"/>
          <w:sz w:val="32"/>
          <w:szCs w:val="20"/>
          <w:highlight w:val="none"/>
        </w:rPr>
      </w:pPr>
    </w:p>
    <w:p w14:paraId="6C4E380D">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sectPr>
          <w:footerReference r:id="rId5" w:type="first"/>
          <w:footerReference r:id="rId3" w:type="default"/>
          <w:footerReference r:id="rId4"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54D111E">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B65820B">
      <w:pPr>
        <w:snapToGrid w:val="0"/>
        <w:spacing w:line="360" w:lineRule="auto"/>
        <w:jc w:val="left"/>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适用范围</w:t>
      </w:r>
    </w:p>
    <w:p w14:paraId="0A8695AE">
      <w:pP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本磋商文件适用于该项目的邀请、响应、开启响应文件、信用信息查询、资格性审查、评审、成交、合同、验收等行为（法律、法规另有规定的，从其规定）。</w:t>
      </w:r>
    </w:p>
    <w:p w14:paraId="64380641">
      <w:pPr>
        <w:adjustRightInd/>
        <w:spacing w:line="360" w:lineRule="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2.定义</w:t>
      </w:r>
    </w:p>
    <w:p w14:paraId="335C6EE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“采购人”系指磋商邀请公告中载明的本项目的采购人。</w:t>
      </w:r>
    </w:p>
    <w:p w14:paraId="575FE95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”系指磋商邀请公告中载明的本项目的</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w:t>
      </w:r>
    </w:p>
    <w:p w14:paraId="7E94A31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“供应商”系指响应磋商、参加本次竞争的法人、其他组织或自然人。</w:t>
      </w:r>
    </w:p>
    <w:p w14:paraId="2D044D7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“负责人”系指法人企业的法定负责人，或其他组织为法律、行政法规规定代表单位行使职权的主要负责人，或自然人本人。</w:t>
      </w:r>
    </w:p>
    <w:p w14:paraId="320411C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“成交人”系指经评审确定的成交供应商。</w:t>
      </w:r>
    </w:p>
    <w:p w14:paraId="6F2C34D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2.6“响应文件”系指供应商提交的商务技术文件。供应商提交最后报价后，最后报价是供应商响应文件的有效组成部分。</w:t>
      </w:r>
    </w:p>
    <w:p w14:paraId="4B072E2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2.7“电子交易平台”</w:t>
      </w:r>
      <w:r>
        <w:rPr>
          <w:rFonts w:hint="eastAsia" w:ascii="宋体" w:hAnsi="宋体" w:eastAsia="宋体" w:cs="宋体"/>
          <w:color w:val="auto"/>
          <w:sz w:val="22"/>
          <w:szCs w:val="22"/>
          <w:highlight w:val="none"/>
          <w:lang w:val="en-US" w:eastAsia="zh-CN"/>
        </w:rPr>
        <w:t>系</w:t>
      </w:r>
      <w:r>
        <w:rPr>
          <w:rFonts w:hint="eastAsia" w:ascii="宋体" w:hAnsi="宋体" w:eastAsia="宋体" w:cs="宋体"/>
          <w:color w:val="auto"/>
          <w:sz w:val="22"/>
          <w:szCs w:val="22"/>
          <w:highlight w:val="none"/>
        </w:rPr>
        <w:t>指本项目政府采购活动所依托的政府采购云平台（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 </w:instrText>
      </w:r>
      <w:r>
        <w:rPr>
          <w:rFonts w:hint="eastAsia" w:ascii="宋体" w:hAnsi="宋体" w:eastAsia="宋体" w:cs="宋体"/>
          <w:color w:val="auto"/>
          <w:sz w:val="22"/>
          <w:szCs w:val="22"/>
          <w:highlight w:val="none"/>
        </w:rPr>
        <w:fldChar w:fldCharType="separate"/>
      </w:r>
      <w:r>
        <w:rPr>
          <w:rStyle w:val="69"/>
          <w:rFonts w:hint="eastAsia" w:ascii="宋体" w:hAnsi="宋体" w:eastAsia="宋体" w:cs="宋体"/>
          <w:snapToGrid/>
          <w:color w:val="auto"/>
          <w:kern w:val="2"/>
          <w:sz w:val="22"/>
          <w:szCs w:val="22"/>
          <w:highlight w:val="none"/>
        </w:rPr>
        <w:t>https://www.zcygov.cn/</w:t>
      </w:r>
      <w:r>
        <w:rPr>
          <w:rStyle w:val="69"/>
          <w:rFonts w:hint="eastAsia" w:ascii="宋体" w:hAnsi="宋体" w:eastAsia="宋体" w:cs="宋体"/>
          <w:snapToGrid/>
          <w:color w:val="auto"/>
          <w:kern w:val="2"/>
          <w:sz w:val="22"/>
          <w:szCs w:val="22"/>
          <w:highlight w:val="none"/>
        </w:rPr>
        <w:fldChar w:fldCharType="end"/>
      </w:r>
      <w:r>
        <w:rPr>
          <w:rFonts w:hint="eastAsia" w:ascii="宋体" w:hAnsi="宋体" w:eastAsia="宋体" w:cs="宋体"/>
          <w:color w:val="auto"/>
          <w:sz w:val="22"/>
          <w:szCs w:val="22"/>
          <w:highlight w:val="none"/>
        </w:rPr>
        <w:t>）。</w:t>
      </w:r>
    </w:p>
    <w:p w14:paraId="529787B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AFAD9AB">
      <w:pPr>
        <w:spacing w:line="360" w:lineRule="auto"/>
        <w:ind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 xml:space="preserve">2.9 </w:t>
      </w:r>
      <w:r>
        <w:rPr>
          <w:rFonts w:hint="eastAsia" w:ascii="宋体" w:hAnsi="宋体" w:eastAsia="宋体" w:cs="宋体"/>
          <w:color w:val="auto"/>
          <w:sz w:val="22"/>
          <w:szCs w:val="22"/>
          <w:highlight w:val="none"/>
          <w:u w:val="none"/>
        </w:rPr>
        <w:t>“书面形式”包括数据电文形式与纸质形式。数据电文形式与纸质形式的采购活动具有同等法律效力。</w:t>
      </w:r>
    </w:p>
    <w:p w14:paraId="7B51B19F">
      <w:pPr>
        <w:snapToGrid w:val="0"/>
        <w:spacing w:line="360" w:lineRule="auto"/>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2.10 “▲” 系指实质性要求条款， “※”系指磋商过程中可能实质性变动的内容， “</w:t>
      </w:r>
      <w:sdt>
        <w:sdtPr>
          <w:rPr>
            <w:rFonts w:hint="eastAsia" w:ascii="宋体" w:hAnsi="宋体" w:eastAsia="宋体" w:cs="宋体"/>
            <w:color w:val="auto"/>
            <w:kern w:val="0"/>
            <w:sz w:val="22"/>
            <w:szCs w:val="22"/>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sz w:val="22"/>
          <w:szCs w:val="22"/>
          <w:highlight w:val="none"/>
        </w:rPr>
        <w:t>” 系指适用本项目的要求，“</w:t>
      </w:r>
      <w:sdt>
        <w:sdtPr>
          <w:rPr>
            <w:rFonts w:hint="eastAsia" w:ascii="宋体" w:hAnsi="宋体" w:eastAsia="宋体" w:cs="宋体"/>
            <w:color w:val="auto"/>
            <w:kern w:val="0"/>
            <w:sz w:val="22"/>
            <w:szCs w:val="22"/>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sz w:val="22"/>
          <w:szCs w:val="22"/>
          <w:highlight w:val="none"/>
        </w:rPr>
        <w:t>” 系指不适用本项目的要求。</w:t>
      </w:r>
    </w:p>
    <w:p w14:paraId="01BA59F3">
      <w:pPr>
        <w:adjustRightInd/>
        <w:spacing w:line="360" w:lineRule="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 响应有效期</w:t>
      </w:r>
    </w:p>
    <w:p w14:paraId="77D61F58">
      <w:pP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▲3.1</w:t>
      </w:r>
      <w:r>
        <w:rPr>
          <w:rFonts w:hint="eastAsia" w:ascii="宋体" w:hAnsi="宋体" w:eastAsia="宋体" w:cs="宋体"/>
          <w:b/>
          <w:color w:val="auto"/>
          <w:sz w:val="22"/>
          <w:szCs w:val="22"/>
          <w:highlight w:val="none"/>
        </w:rPr>
        <w:t>响应有效期为从提交响应文件的截止之日起90天。供应商的响应文件中承诺的响应有效期少于磋商文件中载明的磋商有效期的，响应无效。</w:t>
      </w:r>
    </w:p>
    <w:p w14:paraId="16CC4129">
      <w:pPr>
        <w:pStyle w:val="394"/>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3.2响应文件合格提交后，自响应截止日期起，在响应有效期内有效。</w:t>
      </w:r>
    </w:p>
    <w:p w14:paraId="3DCD75A2">
      <w:pPr>
        <w:pStyle w:val="394"/>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3.3在原定响应有效期满之前，如果出现特殊情况，</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可以以书面形式通知供应商延长响应有效期。供应商同意延长的，不得要求或被允许修改其响应文件;供应商拒绝延长的，其响应无效。拒绝延长磋商有效期的供应商不得再参与该项目后续采购活动。</w:t>
      </w:r>
    </w:p>
    <w:p w14:paraId="1C25A149">
      <w:pPr>
        <w:tabs>
          <w:tab w:val="left" w:pos="378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4．响应费用</w:t>
      </w:r>
    </w:p>
    <w:p w14:paraId="746090B1">
      <w:pPr>
        <w:pStyle w:val="35"/>
        <w:spacing w:line="360" w:lineRule="auto"/>
        <w:ind w:firstLine="330" w:firstLineChars="1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供应商需自行承担涉及响应的一切费用</w:t>
      </w:r>
      <w:r>
        <w:rPr>
          <w:rFonts w:hint="eastAsia" w:ascii="宋体" w:hAnsi="宋体" w:eastAsia="宋体" w:cs="宋体"/>
          <w:color w:val="auto"/>
          <w:sz w:val="22"/>
          <w:szCs w:val="22"/>
          <w:highlight w:val="none"/>
          <w:lang w:val="zh-CN"/>
        </w:rPr>
        <w:t>。</w:t>
      </w:r>
    </w:p>
    <w:p w14:paraId="071B944D">
      <w:pPr>
        <w:spacing w:line="360" w:lineRule="auto"/>
        <w:jc w:val="center"/>
        <w:rPr>
          <w:rFonts w:cs="仿宋_GB2312" w:asciiTheme="minorEastAsia" w:hAnsiTheme="minorEastAsia" w:eastAsiaTheme="minorEastAsia"/>
          <w:b/>
          <w:color w:val="auto"/>
          <w:sz w:val="24"/>
          <w:highlight w:val="none"/>
        </w:rPr>
      </w:pPr>
    </w:p>
    <w:p w14:paraId="5A39D09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422EAF2">
      <w:pPr>
        <w:pStyle w:val="394"/>
        <w:spacing w:before="0"/>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1.是否允许采购进口产品要求</w:t>
      </w:r>
    </w:p>
    <w:p w14:paraId="763C4176">
      <w:pPr>
        <w:pStyle w:val="35"/>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不会对其加以限制，仍将按照公平竞争原则实施采购）；</w:t>
      </w:r>
      <w:r>
        <w:rPr>
          <w:rFonts w:hint="eastAsia" w:ascii="宋体" w:hAnsi="宋体" w:eastAsia="宋体" w:cs="宋体"/>
          <w:color w:val="auto"/>
          <w:kern w:val="0"/>
          <w:sz w:val="22"/>
          <w:szCs w:val="22"/>
          <w:highlight w:val="none"/>
        </w:rPr>
        <w:t>优先采购向我国企业转让技术、与我国企业签订消化吸收再创新方案的供应商的进口产品</w:t>
      </w:r>
      <w:r>
        <w:rPr>
          <w:rFonts w:hint="eastAsia" w:ascii="宋体" w:hAnsi="宋体" w:eastAsia="宋体" w:cs="宋体"/>
          <w:color w:val="auto"/>
          <w:sz w:val="22"/>
          <w:szCs w:val="22"/>
          <w:highlight w:val="none"/>
        </w:rPr>
        <w:t>。</w:t>
      </w:r>
    </w:p>
    <w:p w14:paraId="61FF0E87">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2.支持绿色发展</w:t>
      </w:r>
    </w:p>
    <w:p w14:paraId="47E980AB">
      <w:pP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2.1采购人拟采购的产品属于品目清单范围的，采购人及其委托的</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2"/>
          <w:szCs w:val="22"/>
          <w:highlight w:val="none"/>
        </w:rPr>
        <w:t>▲采购人拟采购的产品属于政府强制采购的节能产品品目清单范围的，供应商相应的响应产品未获得国家确定的认证机构出具的、处于有效期之内的节能产品认证证书的，响应无效。</w:t>
      </w:r>
    </w:p>
    <w:p w14:paraId="32EF363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6BF89C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BEFF5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EDF9212">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3.支持中小企业发展。</w:t>
      </w:r>
    </w:p>
    <w:p w14:paraId="7276797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DBF696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符合中小企业划分标准的个体工商户，在政府采购活动中视同中小企业。</w:t>
      </w:r>
    </w:p>
    <w:p w14:paraId="04B750ED">
      <w:pPr>
        <w:widowControl/>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3.2</w:t>
      </w:r>
      <w:r>
        <w:rPr>
          <w:rFonts w:hint="eastAsia" w:ascii="宋体" w:hAnsi="宋体" w:eastAsia="宋体" w:cs="宋体"/>
          <w:color w:val="auto"/>
          <w:kern w:val="0"/>
          <w:sz w:val="22"/>
          <w:szCs w:val="22"/>
          <w:highlight w:val="none"/>
        </w:rPr>
        <w:t>在政府采购活动中，服务类项目采购，服务由中小企业承接，即提供服务的人员为中小企业依照《中华人民共和国劳动合同法》订立劳动合同的从业人员，享受中小企业扶持政策。</w:t>
      </w:r>
    </w:p>
    <w:p w14:paraId="6FB67DBF">
      <w:pPr>
        <w:widowControl/>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以联合体形式参加政府采购活动，联合体各方均为中小企业的，联合体视同中小企业。其中，联合体各方均为小微企业的，联合体视同小微企业。</w:t>
      </w:r>
    </w:p>
    <w:p w14:paraId="27C185F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303303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3.4符合《关于促进残疾人就业政府采购政策的通知》（财库〔2017〕141号）规定的条件并提供《残疾人福利性单位声明函》（附件3）的残疾人福利性单位视同小型、微型企业；</w:t>
      </w:r>
    </w:p>
    <w:p w14:paraId="4DB1DD9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DA298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111E85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3.7中小企业享受扶持政策获得政府采购合同的，小微企业不得将合同分包给大中型企业，中型企业不得将合同分包给大型企业。</w:t>
      </w:r>
    </w:p>
    <w:p w14:paraId="0F343F81">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bCs/>
          <w:color w:val="auto"/>
          <w:sz w:val="22"/>
          <w:szCs w:val="22"/>
          <w:highlight w:val="none"/>
        </w:rPr>
        <w:t>支持创新发展</w:t>
      </w:r>
    </w:p>
    <w:p w14:paraId="5D11066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采购人优先采购被认定为首台套产品和“制造精品”的自主创新产品。</w:t>
      </w:r>
    </w:p>
    <w:p w14:paraId="3CA2C94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09ACE6">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5.平等对待内外资企业和符合条件的破产重整企业</w:t>
      </w:r>
    </w:p>
    <w:p w14:paraId="03074D58">
      <w:pPr>
        <w:spacing w:line="360" w:lineRule="auto"/>
        <w:ind w:firstLine="440" w:firstLineChars="200"/>
        <w:rPr>
          <w:rFonts w:asciiTheme="minorEastAsia" w:hAnsiTheme="minorEastAsia" w:eastAsiaTheme="minorEastAsia"/>
          <w:color w:val="auto"/>
          <w:sz w:val="24"/>
          <w:highlight w:val="none"/>
        </w:rPr>
      </w:pPr>
      <w:r>
        <w:rPr>
          <w:rFonts w:hint="eastAsia" w:ascii="宋体" w:hAnsi="宋体" w:eastAsia="宋体" w:cs="宋体"/>
          <w:color w:val="auto"/>
          <w:sz w:val="22"/>
          <w:szCs w:val="22"/>
          <w:highlight w:val="none"/>
        </w:rPr>
        <w:t>平等对待内外资企业和符合条件的破产重整企业，切实保障企业公平竞争，平等维护企业的合法利益。</w:t>
      </w:r>
    </w:p>
    <w:p w14:paraId="6AA0026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2DD87B5">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1.在线询问、质疑、投诉</w:t>
      </w:r>
    </w:p>
    <w:p w14:paraId="2E331F1D">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033DE2">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供应商询问</w:t>
      </w:r>
    </w:p>
    <w:p w14:paraId="4CD00A11">
      <w:pPr>
        <w:autoSpaceDE w:val="0"/>
        <w:autoSpaceDN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对政府采购活动事项有疑问的，可以提出询问，采购人或者代理机构应当在3个工作日内对供应商依法提出的询问作出答复，但答复的内容不得涉及商业秘密。供应商提出的询问超出采购人对代理机构委托授权范围的，代理机构应当告知供应商向采购人提出。</w:t>
      </w:r>
    </w:p>
    <w:p w14:paraId="08C1C874">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 供应商质疑</w:t>
      </w:r>
    </w:p>
    <w:p w14:paraId="57FBAFEF">
      <w:pPr>
        <w:pStyle w:val="35"/>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zh-CN"/>
        </w:rPr>
        <w:t>3</w:t>
      </w:r>
      <w:r>
        <w:rPr>
          <w:rFonts w:hint="eastAsia" w:ascii="宋体" w:hAnsi="宋体" w:eastAsia="宋体" w:cs="宋体"/>
          <w:b/>
          <w:color w:val="auto"/>
          <w:sz w:val="22"/>
          <w:szCs w:val="22"/>
          <w:highlight w:val="none"/>
        </w:rPr>
        <w:t>.1质疑提出时效</w:t>
      </w:r>
    </w:p>
    <w:p w14:paraId="7E5B60AB">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3.1.1提出质疑的供应商应当是参与所质疑项目采购活动的供应商。潜在供应商已依法获取其可质疑的采购文件的，可以对该文件提出质疑。</w:t>
      </w:r>
    </w:p>
    <w:p w14:paraId="06909503">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3</w:t>
      </w:r>
      <w:r>
        <w:rPr>
          <w:rFonts w:hint="eastAsia" w:ascii="宋体" w:hAnsi="宋体" w:eastAsia="宋体" w:cs="宋体"/>
          <w:color w:val="auto"/>
          <w:sz w:val="22"/>
          <w:szCs w:val="22"/>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提出质疑，否则，采购人或者</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不予受理：</w:t>
      </w:r>
    </w:p>
    <w:p w14:paraId="032F6C75">
      <w:pPr>
        <w:pStyle w:val="18"/>
        <w:spacing w:line="360" w:lineRule="auto"/>
        <w:ind w:firstLine="398" w:firstLineChars="181"/>
        <w:rPr>
          <w:rFonts w:hint="eastAsia" w:ascii="宋体" w:hAnsi="宋体" w:eastAsia="宋体" w:cs="宋体"/>
          <w:snapToGrid/>
          <w:color w:val="auto"/>
          <w:kern w:val="2"/>
          <w:sz w:val="22"/>
          <w:szCs w:val="22"/>
          <w:highlight w:val="none"/>
        </w:rPr>
      </w:pPr>
      <w:r>
        <w:rPr>
          <w:rFonts w:hint="eastAsia" w:ascii="宋体" w:hAnsi="宋体" w:eastAsia="宋体" w:cs="宋体"/>
          <w:snapToGrid/>
          <w:color w:val="auto"/>
          <w:kern w:val="2"/>
          <w:sz w:val="22"/>
          <w:szCs w:val="22"/>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38EC475">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3.1.2.2对采购过程提出质疑的，质疑期限为各采购程序环节结束之日起计算。</w:t>
      </w:r>
    </w:p>
    <w:p w14:paraId="2CDBBCD1">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3.1.2.3对采购结果提出质疑的，质疑期限自采购结果公告期限届满之日起计算。</w:t>
      </w:r>
    </w:p>
    <w:p w14:paraId="57DA7105">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3.1.2.4对同一采购程序环节的质疑，供应商须一次性提出。</w:t>
      </w:r>
    </w:p>
    <w:p w14:paraId="6DCB0890">
      <w:pPr>
        <w:pStyle w:val="35"/>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3.2质疑答复</w:t>
      </w:r>
    </w:p>
    <w:p w14:paraId="4566D7AB">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3.2.1质疑答复责任主体如下：</w:t>
      </w:r>
    </w:p>
    <w:p w14:paraId="7616CE0E">
      <w:pPr>
        <w:widowControl/>
        <w:adjustRightInd/>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D98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59D12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质疑内容</w:t>
            </w:r>
          </w:p>
        </w:tc>
        <w:tc>
          <w:tcPr>
            <w:tcW w:w="2232" w:type="dxa"/>
            <w:vAlign w:val="center"/>
          </w:tcPr>
          <w:p w14:paraId="30C36A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质疑答复责任主体</w:t>
            </w:r>
          </w:p>
        </w:tc>
      </w:tr>
      <w:tr w14:paraId="1E5A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AEE2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对采购文件提出质疑</w:t>
            </w:r>
          </w:p>
        </w:tc>
        <w:tc>
          <w:tcPr>
            <w:tcW w:w="4536" w:type="dxa"/>
            <w:vAlign w:val="center"/>
          </w:tcPr>
          <w:p w14:paraId="23309BE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对采购文件中特定资格条件、采购需求、评审办法、评审标准提出的质疑</w:t>
            </w:r>
          </w:p>
        </w:tc>
        <w:tc>
          <w:tcPr>
            <w:tcW w:w="2232" w:type="dxa"/>
            <w:vAlign w:val="center"/>
          </w:tcPr>
          <w:p w14:paraId="73E151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r>
      <w:tr w14:paraId="533C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A2BAEBD">
            <w:pPr>
              <w:pStyle w:val="35"/>
              <w:spacing w:line="360" w:lineRule="auto"/>
              <w:jc w:val="center"/>
              <w:rPr>
                <w:rFonts w:hint="eastAsia" w:ascii="宋体" w:hAnsi="宋体" w:eastAsia="宋体" w:cs="宋体"/>
                <w:color w:val="auto"/>
                <w:sz w:val="22"/>
                <w:szCs w:val="22"/>
                <w:highlight w:val="none"/>
              </w:rPr>
            </w:pPr>
          </w:p>
        </w:tc>
        <w:tc>
          <w:tcPr>
            <w:tcW w:w="4536" w:type="dxa"/>
            <w:vAlign w:val="center"/>
          </w:tcPr>
          <w:p w14:paraId="6FC671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对采购文件中其他内容提出的质疑</w:t>
            </w:r>
          </w:p>
        </w:tc>
        <w:tc>
          <w:tcPr>
            <w:tcW w:w="2232" w:type="dxa"/>
            <w:vAlign w:val="center"/>
          </w:tcPr>
          <w:p w14:paraId="2D7186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w:t>
            </w:r>
          </w:p>
        </w:tc>
      </w:tr>
      <w:tr w14:paraId="79D9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08B3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对采购过程提出质疑</w:t>
            </w:r>
          </w:p>
        </w:tc>
        <w:tc>
          <w:tcPr>
            <w:tcW w:w="4536" w:type="dxa"/>
            <w:vAlign w:val="center"/>
          </w:tcPr>
          <w:p w14:paraId="199E392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有关现场考察或开启响应文件前答疑会事项提出的质疑</w:t>
            </w:r>
          </w:p>
        </w:tc>
        <w:tc>
          <w:tcPr>
            <w:tcW w:w="2232" w:type="dxa"/>
            <w:vAlign w:val="center"/>
          </w:tcPr>
          <w:p w14:paraId="59C61E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r>
      <w:tr w14:paraId="112E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20BAF3D">
            <w:pPr>
              <w:pStyle w:val="35"/>
              <w:spacing w:line="360" w:lineRule="auto"/>
              <w:jc w:val="center"/>
              <w:rPr>
                <w:rFonts w:hint="eastAsia" w:ascii="宋体" w:hAnsi="宋体" w:eastAsia="宋体" w:cs="宋体"/>
                <w:color w:val="auto"/>
                <w:sz w:val="22"/>
                <w:szCs w:val="22"/>
                <w:highlight w:val="none"/>
              </w:rPr>
            </w:pPr>
          </w:p>
        </w:tc>
        <w:tc>
          <w:tcPr>
            <w:tcW w:w="4536" w:type="dxa"/>
            <w:vAlign w:val="center"/>
          </w:tcPr>
          <w:p w14:paraId="43C57FC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对采购过程中其它事项提出的质疑</w:t>
            </w:r>
          </w:p>
        </w:tc>
        <w:tc>
          <w:tcPr>
            <w:tcW w:w="2232" w:type="dxa"/>
            <w:vAlign w:val="center"/>
          </w:tcPr>
          <w:p w14:paraId="0155C4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w:t>
            </w:r>
          </w:p>
        </w:tc>
      </w:tr>
      <w:tr w14:paraId="3854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735CC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对采购结果提出质疑</w:t>
            </w:r>
          </w:p>
        </w:tc>
        <w:tc>
          <w:tcPr>
            <w:tcW w:w="4536" w:type="dxa"/>
            <w:vAlign w:val="center"/>
          </w:tcPr>
          <w:p w14:paraId="5022B2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对采购结果提出的质疑</w:t>
            </w:r>
          </w:p>
        </w:tc>
        <w:tc>
          <w:tcPr>
            <w:tcW w:w="2232" w:type="dxa"/>
            <w:vAlign w:val="center"/>
          </w:tcPr>
          <w:p w14:paraId="290D7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w:t>
            </w:r>
          </w:p>
        </w:tc>
      </w:tr>
    </w:tbl>
    <w:p w14:paraId="2BD450A2">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3.2.2采购人或者</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在质疑回复后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在浙江政府采购网的“其他公告”栏目公开质疑答复，答复内容应当完整。质疑函作为附件上传。</w:t>
      </w:r>
    </w:p>
    <w:p w14:paraId="4BC7C808">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2.3询问或者质疑事项可能影响采购结果的，采购人应当暂停签订合同，已经签订合同的，应当中止履行合同。</w:t>
      </w:r>
    </w:p>
    <w:p w14:paraId="582896EE">
      <w:pPr>
        <w:pStyle w:val="35"/>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lang w:val="zh-CN"/>
        </w:rPr>
        <w:t>3.3质疑函</w:t>
      </w:r>
    </w:p>
    <w:p w14:paraId="08CF15C0">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3.3.1供应商提出质疑应当提交质疑函和必要的证明材料。质疑函应当包括下列内容：</w:t>
      </w:r>
    </w:p>
    <w:p w14:paraId="5C9D88AE">
      <w:pPr>
        <w:pStyle w:val="35"/>
        <w:numPr>
          <w:ilvl w:val="0"/>
          <w:numId w:val="4"/>
        </w:numPr>
        <w:tabs>
          <w:tab w:val="left" w:pos="426"/>
          <w:tab w:val="clear" w:pos="840"/>
        </w:tabs>
        <w:spacing w:line="360" w:lineRule="auto"/>
        <w:ind w:left="28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供应商的姓名或者名称、地址、邮编、联系人及联系电话；</w:t>
      </w:r>
    </w:p>
    <w:p w14:paraId="0A290DB1">
      <w:pPr>
        <w:pStyle w:val="35"/>
        <w:numPr>
          <w:ilvl w:val="0"/>
          <w:numId w:val="4"/>
        </w:numPr>
        <w:tabs>
          <w:tab w:val="left" w:pos="426"/>
          <w:tab w:val="clear" w:pos="840"/>
        </w:tabs>
        <w:spacing w:line="360" w:lineRule="auto"/>
        <w:ind w:left="28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质疑项目的名称、编号；</w:t>
      </w:r>
    </w:p>
    <w:p w14:paraId="7CF3B4DE">
      <w:pPr>
        <w:pStyle w:val="35"/>
        <w:numPr>
          <w:ilvl w:val="0"/>
          <w:numId w:val="4"/>
        </w:numPr>
        <w:tabs>
          <w:tab w:val="left" w:pos="426"/>
          <w:tab w:val="clear" w:pos="840"/>
        </w:tabs>
        <w:spacing w:line="360" w:lineRule="auto"/>
        <w:ind w:left="28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具体、明确的质疑事项和与质疑事项相关的请求；</w:t>
      </w:r>
    </w:p>
    <w:p w14:paraId="283A0759">
      <w:pPr>
        <w:pStyle w:val="35"/>
        <w:numPr>
          <w:ilvl w:val="0"/>
          <w:numId w:val="4"/>
        </w:numPr>
        <w:tabs>
          <w:tab w:val="left" w:pos="426"/>
          <w:tab w:val="clear" w:pos="840"/>
        </w:tabs>
        <w:spacing w:line="360" w:lineRule="auto"/>
        <w:ind w:left="28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事实依据；</w:t>
      </w:r>
    </w:p>
    <w:p w14:paraId="566632F5">
      <w:pPr>
        <w:pStyle w:val="35"/>
        <w:numPr>
          <w:ilvl w:val="0"/>
          <w:numId w:val="4"/>
        </w:numPr>
        <w:tabs>
          <w:tab w:val="left" w:pos="426"/>
          <w:tab w:val="clear" w:pos="840"/>
        </w:tabs>
        <w:spacing w:line="360" w:lineRule="auto"/>
        <w:ind w:left="28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必要的法律依据；</w:t>
      </w:r>
    </w:p>
    <w:p w14:paraId="224EA366">
      <w:pPr>
        <w:pStyle w:val="35"/>
        <w:numPr>
          <w:ilvl w:val="0"/>
          <w:numId w:val="4"/>
        </w:numPr>
        <w:tabs>
          <w:tab w:val="left" w:pos="426"/>
          <w:tab w:val="clear" w:pos="840"/>
        </w:tabs>
        <w:spacing w:line="360" w:lineRule="auto"/>
        <w:ind w:left="284"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提出质疑的日期。</w:t>
      </w:r>
    </w:p>
    <w:p w14:paraId="0DFC7C28">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584961E0">
      <w:pPr>
        <w:pStyle w:val="35"/>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质疑函范本及制作说明详见附件1。</w:t>
      </w:r>
    </w:p>
    <w:p w14:paraId="6ACF98E0">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4.供应商投诉</w:t>
      </w:r>
    </w:p>
    <w:p w14:paraId="138E0C57">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4.1质疑供应商对采购人、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的答复不满意或者采购人、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未在规定的时间内作出答复的，可以在答复期满后十五个工作日内向同级政府采购监督管理部门提出投诉。</w:t>
      </w:r>
    </w:p>
    <w:p w14:paraId="3B497478">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4.2供应商投诉的事项不得超出已质疑事项的范围，基于质疑答复内容提出的投诉事项除外。</w:t>
      </w:r>
    </w:p>
    <w:p w14:paraId="78BBAD7A">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4.3供应商投诉应当有明确的请求和必要的证明材料。</w:t>
      </w:r>
    </w:p>
    <w:p w14:paraId="2736821B">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4.4以联合体形式参加政府采购活动的，其投诉应当由组成联合体的所有供应商共同提出。</w:t>
      </w:r>
    </w:p>
    <w:p w14:paraId="012F975B">
      <w:pPr>
        <w:pStyle w:val="35"/>
        <w:spacing w:line="360" w:lineRule="auto"/>
        <w:ind w:firstLine="442" w:firstLineChars="200"/>
        <w:rPr>
          <w:rFonts w:asciiTheme="minorEastAsia" w:hAnsiTheme="minorEastAsia" w:eastAsiaTheme="minorEastAsia"/>
          <w:b/>
          <w:color w:val="auto"/>
          <w:sz w:val="24"/>
          <w:highlight w:val="none"/>
        </w:rPr>
      </w:pPr>
      <w:r>
        <w:rPr>
          <w:rFonts w:hint="eastAsia" w:ascii="宋体" w:hAnsi="宋体" w:eastAsia="宋体" w:cs="宋体"/>
          <w:b/>
          <w:color w:val="auto"/>
          <w:sz w:val="22"/>
          <w:szCs w:val="22"/>
          <w:highlight w:val="none"/>
        </w:rPr>
        <w:t>投诉书范本及制作说明详见附件2。</w:t>
      </w:r>
    </w:p>
    <w:p w14:paraId="682ABF2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F7E5DFB">
      <w:pPr>
        <w:autoSpaceDE w:val="0"/>
        <w:autoSpaceDN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1．磋商文件的构成</w:t>
      </w:r>
    </w:p>
    <w:p w14:paraId="50CD760E">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磋商文件包括下列文件及附件</w:t>
      </w:r>
    </w:p>
    <w:p w14:paraId="3D55955A">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第一部分  供应商邀请</w:t>
      </w:r>
    </w:p>
    <w:p w14:paraId="7D3B40B3">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第二部分  竞争性磋商流程</w:t>
      </w:r>
    </w:p>
    <w:p w14:paraId="67D943C7">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第三部分  供应商须知</w:t>
      </w:r>
    </w:p>
    <w:p w14:paraId="13E6CA2C">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第四部分  采购需求</w:t>
      </w:r>
    </w:p>
    <w:p w14:paraId="3B76E727">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第五部分  评审方法及评审标准</w:t>
      </w:r>
    </w:p>
    <w:p w14:paraId="5D3A7E6A">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第六部分  拟签订的合同文本</w:t>
      </w:r>
    </w:p>
    <w:p w14:paraId="65C7F882">
      <w:pPr>
        <w:pStyle w:val="35"/>
        <w:numPr>
          <w:ilvl w:val="0"/>
          <w:numId w:val="4"/>
        </w:numPr>
        <w:spacing w:line="360" w:lineRule="auto"/>
        <w:ind w:left="839"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第七部分  应提交的有关格式范例</w:t>
      </w:r>
    </w:p>
    <w:p w14:paraId="79322F93">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与本项目有关的</w:t>
      </w:r>
      <w:r>
        <w:rPr>
          <w:rFonts w:hint="eastAsia" w:ascii="宋体" w:hAnsi="宋体" w:eastAsia="宋体" w:cs="宋体"/>
          <w:bCs/>
          <w:color w:val="auto"/>
          <w:sz w:val="22"/>
          <w:szCs w:val="22"/>
          <w:highlight w:val="none"/>
        </w:rPr>
        <w:t>澄清或者修改的内容为磋商文件的组成部分</w:t>
      </w:r>
      <w:r>
        <w:rPr>
          <w:rFonts w:hint="eastAsia" w:ascii="宋体" w:hAnsi="宋体" w:eastAsia="宋体" w:cs="宋体"/>
          <w:color w:val="auto"/>
          <w:sz w:val="22"/>
          <w:szCs w:val="22"/>
          <w:highlight w:val="none"/>
        </w:rPr>
        <w:t>。</w:t>
      </w:r>
    </w:p>
    <w:p w14:paraId="3150B71C">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磋商文件的澄清、修改</w:t>
      </w:r>
    </w:p>
    <w:p w14:paraId="52A6F9DF">
      <w:pPr>
        <w:pStyle w:val="394"/>
        <w:snapToGrid w:val="0"/>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2.1已获取磋商文件的潜在供应商，若有问题需要澄清，应于提交首次响应文件截止时间前，以书面形式向</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提出。</w:t>
      </w:r>
    </w:p>
    <w:p w14:paraId="0F504AF8">
      <w:pPr>
        <w:pStyle w:val="394"/>
        <w:snapToGrid w:val="0"/>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5E71A79">
      <w:pPr>
        <w:pStyle w:val="394"/>
        <w:snapToGrid w:val="0"/>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2.3澄清或者修改的内容可能影响响应文件编制的，采购人、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应当在提交首次响应文件截止时间至少5日前，通过电子交易平台通知所有获取磋商文件的供应商；不足5日的，采购人、</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应当顺延提交首次响应文件截止时间。</w:t>
      </w:r>
    </w:p>
    <w:p w14:paraId="190CC50A">
      <w:pPr>
        <w:pStyle w:val="394"/>
        <w:snapToGrid w:val="0"/>
        <w:spacing w:before="0"/>
        <w:ind w:firstLine="48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▲响应文件未按磋商文件的澄清、修改的内容编制，又不符合实质性要求的，响应无效。</w:t>
      </w:r>
    </w:p>
    <w:p w14:paraId="6CE81940">
      <w:pPr>
        <w:pStyle w:val="25"/>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4C78326">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响应文件的语言</w:t>
      </w:r>
    </w:p>
    <w:p w14:paraId="21911A53">
      <w:pPr>
        <w:pStyle w:val="35"/>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响应文件及供应商与采购有关的来往通知、函件和文件均应使用中文。</w:t>
      </w:r>
    </w:p>
    <w:p w14:paraId="5712326C">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响应文件的组成</w:t>
      </w:r>
    </w:p>
    <w:p w14:paraId="7907A5CF">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响应文件应当包括以下主要内容：资格文件、商务技术文件</w:t>
      </w:r>
      <w:r>
        <w:rPr>
          <w:rFonts w:hint="eastAsia" w:ascii="宋体" w:hAnsi="宋体" w:eastAsia="宋体" w:cs="宋体"/>
          <w:color w:val="auto"/>
          <w:sz w:val="22"/>
          <w:szCs w:val="22"/>
          <w:highlight w:val="none"/>
          <w:lang w:eastAsia="zh-CN"/>
        </w:rPr>
        <w:t>、报价文件三</w:t>
      </w:r>
      <w:r>
        <w:rPr>
          <w:rFonts w:hint="eastAsia" w:ascii="宋体" w:hAnsi="宋体" w:eastAsia="宋体" w:cs="宋体"/>
          <w:color w:val="auto"/>
          <w:sz w:val="22"/>
          <w:szCs w:val="22"/>
          <w:highlight w:val="none"/>
        </w:rPr>
        <w:t>部分组成</w:t>
      </w:r>
    </w:p>
    <w:p w14:paraId="6C919A77">
      <w:pPr>
        <w:pStyle w:val="35"/>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2.1</w:t>
      </w:r>
      <w:r>
        <w:rPr>
          <w:rFonts w:hint="eastAsia" w:ascii="宋体" w:hAnsi="宋体" w:eastAsia="宋体" w:cs="宋体"/>
          <w:b/>
          <w:bCs/>
          <w:color w:val="auto"/>
          <w:sz w:val="22"/>
          <w:szCs w:val="22"/>
          <w:highlight w:val="none"/>
        </w:rPr>
        <w:t>资格文件</w:t>
      </w:r>
    </w:p>
    <w:p w14:paraId="46407132">
      <w:pPr>
        <w:pStyle w:val="35"/>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2.11</w:t>
      </w:r>
      <w:r>
        <w:rPr>
          <w:rFonts w:hint="eastAsia" w:ascii="宋体" w:hAnsi="宋体" w:eastAsia="宋体" w:cs="宋体"/>
          <w:color w:val="auto"/>
          <w:sz w:val="22"/>
          <w:szCs w:val="22"/>
          <w:highlight w:val="none"/>
        </w:rPr>
        <w:t>符合参加政府采购活动应当具备的一般条件的承诺函（如以联合体形式参加政府采购活动的，联合体各方均应提交该承诺函）；</w:t>
      </w:r>
    </w:p>
    <w:p w14:paraId="7A234753">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2.12</w:t>
      </w:r>
      <w:r>
        <w:rPr>
          <w:rFonts w:hint="eastAsia" w:ascii="宋体" w:hAnsi="宋体" w:eastAsia="宋体" w:cs="宋体"/>
          <w:color w:val="auto"/>
          <w:sz w:val="22"/>
          <w:szCs w:val="22"/>
          <w:highlight w:val="none"/>
        </w:rPr>
        <w:t>联合协议（如果有）；</w:t>
      </w:r>
    </w:p>
    <w:p w14:paraId="67DFAC49">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2.13</w:t>
      </w:r>
      <w:r>
        <w:rPr>
          <w:rFonts w:hint="eastAsia" w:ascii="宋体" w:hAnsi="宋体" w:eastAsia="宋体" w:cs="宋体"/>
          <w:color w:val="auto"/>
          <w:sz w:val="22"/>
          <w:szCs w:val="22"/>
          <w:highlight w:val="none"/>
        </w:rPr>
        <w:t>落实政府采购政策需满足的资格要求</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中小企业声明函；</w:t>
      </w:r>
    </w:p>
    <w:p w14:paraId="5377830C">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2.14</w:t>
      </w:r>
      <w:r>
        <w:rPr>
          <w:rFonts w:hint="eastAsia" w:ascii="宋体" w:hAnsi="宋体" w:eastAsia="宋体" w:cs="宋体"/>
          <w:color w:val="auto"/>
          <w:sz w:val="22"/>
          <w:szCs w:val="22"/>
          <w:highlight w:val="none"/>
        </w:rPr>
        <w:t>符合特定资格条件的有关证明材料（如果有）。</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 </w:t>
      </w:r>
    </w:p>
    <w:p w14:paraId="7F2848E0">
      <w:pPr>
        <w:pStyle w:val="35"/>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2.2商务技术文件</w:t>
      </w:r>
    </w:p>
    <w:p w14:paraId="0907C9D0">
      <w:pPr>
        <w:pStyle w:val="35"/>
        <w:spacing w:line="360" w:lineRule="auto"/>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en-US" w:eastAsia="zh-CN"/>
        </w:rPr>
        <w:t xml:space="preserve">2.21 </w:t>
      </w:r>
      <w:r>
        <w:rPr>
          <w:rFonts w:hint="eastAsia" w:ascii="宋体" w:hAnsi="宋体" w:eastAsia="宋体" w:cs="宋体"/>
          <w:color w:val="auto"/>
          <w:sz w:val="22"/>
          <w:szCs w:val="22"/>
          <w:highlight w:val="none"/>
        </w:rPr>
        <w:t>响应函</w:t>
      </w:r>
      <w:r>
        <w:rPr>
          <w:rFonts w:hint="eastAsia" w:ascii="宋体" w:hAnsi="宋体" w:eastAsia="宋体" w:cs="宋体"/>
          <w:color w:val="auto"/>
          <w:sz w:val="22"/>
          <w:szCs w:val="22"/>
          <w:highlight w:val="none"/>
          <w:lang w:eastAsia="zh-CN"/>
        </w:rPr>
        <w:t>；</w:t>
      </w:r>
    </w:p>
    <w:p w14:paraId="627A167F">
      <w:pPr>
        <w:pStyle w:val="35"/>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2.22 </w:t>
      </w:r>
      <w:r>
        <w:rPr>
          <w:rFonts w:hint="eastAsia" w:ascii="宋体" w:hAnsi="宋体" w:eastAsia="宋体" w:cs="宋体"/>
          <w:color w:val="auto"/>
          <w:sz w:val="22"/>
          <w:szCs w:val="22"/>
          <w:highlight w:val="none"/>
        </w:rPr>
        <w:t>授权委托书或法定代表人（单位负责人、自然人本人）身份证明；</w:t>
      </w:r>
    </w:p>
    <w:p w14:paraId="04CE7FB6">
      <w:pPr>
        <w:pStyle w:val="35"/>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en-US" w:eastAsia="zh-CN"/>
        </w:rPr>
        <w:t>2.23</w:t>
      </w:r>
      <w:r>
        <w:rPr>
          <w:rFonts w:hint="eastAsia" w:ascii="宋体" w:hAnsi="宋体" w:eastAsia="宋体" w:cs="宋体"/>
          <w:color w:val="auto"/>
          <w:sz w:val="22"/>
          <w:szCs w:val="22"/>
          <w:highlight w:val="none"/>
        </w:rPr>
        <w:t>分包意向协议</w:t>
      </w:r>
      <w:r>
        <w:rPr>
          <w:rFonts w:hint="eastAsia" w:ascii="宋体" w:hAnsi="宋体" w:eastAsia="宋体" w:cs="宋体"/>
          <w:snapToGrid w:val="0"/>
          <w:color w:val="auto"/>
          <w:kern w:val="28"/>
          <w:sz w:val="22"/>
          <w:szCs w:val="22"/>
          <w:highlight w:val="none"/>
        </w:rPr>
        <w:t>（如果有)</w:t>
      </w:r>
      <w:r>
        <w:rPr>
          <w:rFonts w:hint="eastAsia" w:ascii="宋体" w:hAnsi="宋体" w:eastAsia="宋体" w:cs="宋体"/>
          <w:color w:val="auto"/>
          <w:kern w:val="0"/>
          <w:sz w:val="22"/>
          <w:szCs w:val="22"/>
          <w:highlight w:val="none"/>
          <w:lang w:val="zh-CN"/>
        </w:rPr>
        <w:t>；</w:t>
      </w:r>
    </w:p>
    <w:p w14:paraId="7BFCC5A0">
      <w:pPr>
        <w:pStyle w:val="35"/>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en-US" w:eastAsia="zh-CN"/>
        </w:rPr>
        <w:t>2.24符合性审查资料：按采购文件的商务▲条款的要求提供相关响应资料；</w:t>
      </w:r>
    </w:p>
    <w:p w14:paraId="5F4DAAA8">
      <w:pPr>
        <w:pStyle w:val="35"/>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2.25</w:t>
      </w:r>
      <w:r>
        <w:rPr>
          <w:rFonts w:hint="eastAsia" w:ascii="宋体" w:hAnsi="宋体" w:eastAsia="宋体" w:cs="宋体"/>
          <w:color w:val="auto"/>
          <w:sz w:val="22"/>
          <w:szCs w:val="22"/>
          <w:highlight w:val="none"/>
        </w:rPr>
        <w:t>评标标准相应的商务技术</w:t>
      </w:r>
      <w:r>
        <w:rPr>
          <w:rFonts w:hint="eastAsia" w:ascii="宋体" w:hAnsi="宋体" w:eastAsia="宋体" w:cs="宋体"/>
          <w:color w:val="auto"/>
          <w:sz w:val="22"/>
          <w:szCs w:val="22"/>
          <w:highlight w:val="none"/>
          <w:lang w:eastAsia="zh-CN"/>
        </w:rPr>
        <w:t>资料</w:t>
      </w:r>
      <w:r>
        <w:rPr>
          <w:rFonts w:hint="eastAsia" w:ascii="宋体" w:hAnsi="宋体" w:eastAsia="宋体" w:cs="宋体"/>
          <w:color w:val="auto"/>
          <w:kern w:val="0"/>
          <w:sz w:val="22"/>
          <w:szCs w:val="22"/>
          <w:highlight w:val="none"/>
        </w:rPr>
        <w:t>；</w:t>
      </w:r>
    </w:p>
    <w:p w14:paraId="2AB43DE0">
      <w:pPr>
        <w:pStyle w:val="35"/>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en-US" w:eastAsia="zh-CN"/>
        </w:rPr>
        <w:t>2.26本项目管理团队人员及其它主要技术人员名单</w:t>
      </w:r>
      <w:r>
        <w:rPr>
          <w:rFonts w:hint="eastAsia" w:ascii="宋体" w:hAnsi="宋体" w:eastAsia="宋体" w:cs="宋体"/>
          <w:color w:val="auto"/>
          <w:kern w:val="0"/>
          <w:sz w:val="22"/>
          <w:szCs w:val="22"/>
          <w:highlight w:val="none"/>
          <w:lang w:val="zh-CN"/>
        </w:rPr>
        <w:t>；</w:t>
      </w:r>
    </w:p>
    <w:p w14:paraId="54C7CE32">
      <w:pPr>
        <w:pStyle w:val="35"/>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en-US" w:eastAsia="zh-CN"/>
        </w:rPr>
        <w:t>2.27</w:t>
      </w:r>
      <w:r>
        <w:rPr>
          <w:rFonts w:hint="eastAsia" w:ascii="宋体" w:hAnsi="宋体" w:eastAsia="宋体" w:cs="宋体"/>
          <w:color w:val="auto"/>
          <w:sz w:val="22"/>
          <w:szCs w:val="22"/>
          <w:highlight w:val="none"/>
          <w:lang w:eastAsia="zh-CN"/>
        </w:rPr>
        <w:t>商务技术偏离表；</w:t>
      </w:r>
    </w:p>
    <w:p w14:paraId="633E9B47">
      <w:pPr>
        <w:pStyle w:val="35"/>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en-US" w:eastAsia="zh-CN"/>
        </w:rPr>
        <w:t>2.28</w:t>
      </w:r>
      <w:r>
        <w:rPr>
          <w:rFonts w:hint="eastAsia" w:ascii="宋体" w:hAnsi="宋体" w:eastAsia="宋体" w:cs="宋体"/>
          <w:color w:val="auto"/>
          <w:kern w:val="0"/>
          <w:sz w:val="22"/>
          <w:szCs w:val="22"/>
          <w:highlight w:val="none"/>
          <w:lang w:val="zh-CN"/>
        </w:rPr>
        <w:t>政府采购供应商廉洁自律承诺书。</w:t>
      </w:r>
    </w:p>
    <w:p w14:paraId="78DF9F90">
      <w:pPr>
        <w:pStyle w:val="35"/>
        <w:spacing w:line="360" w:lineRule="auto"/>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2.3</w:t>
      </w:r>
      <w:r>
        <w:rPr>
          <w:rFonts w:hint="eastAsia" w:ascii="宋体" w:hAnsi="宋体" w:eastAsia="宋体" w:cs="宋体"/>
          <w:b/>
          <w:bCs/>
          <w:color w:val="auto"/>
          <w:sz w:val="22"/>
          <w:szCs w:val="22"/>
          <w:highlight w:val="none"/>
          <w:lang w:eastAsia="zh-CN"/>
        </w:rPr>
        <w:t>报价文件</w:t>
      </w:r>
    </w:p>
    <w:p w14:paraId="659662E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2.31最后</w:t>
      </w:r>
      <w:r>
        <w:rPr>
          <w:rFonts w:hint="eastAsia" w:ascii="宋体" w:hAnsi="宋体" w:eastAsia="宋体" w:cs="宋体"/>
          <w:color w:val="auto"/>
          <w:sz w:val="22"/>
          <w:szCs w:val="22"/>
          <w:highlight w:val="none"/>
          <w:lang w:eastAsia="zh-CN"/>
        </w:rPr>
        <w:t>报价</w:t>
      </w:r>
      <w:r>
        <w:rPr>
          <w:rFonts w:hint="eastAsia" w:ascii="宋体" w:hAnsi="宋体" w:eastAsia="宋体" w:cs="宋体"/>
          <w:color w:val="auto"/>
          <w:sz w:val="22"/>
          <w:szCs w:val="22"/>
          <w:highlight w:val="none"/>
        </w:rPr>
        <w:t>一览表；</w:t>
      </w:r>
    </w:p>
    <w:p w14:paraId="22B093E8">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2.32</w:t>
      </w:r>
      <w:r>
        <w:rPr>
          <w:rFonts w:hint="eastAsia" w:ascii="宋体" w:hAnsi="宋体" w:eastAsia="宋体" w:cs="宋体"/>
          <w:color w:val="auto"/>
          <w:sz w:val="22"/>
          <w:szCs w:val="22"/>
          <w:highlight w:val="none"/>
        </w:rPr>
        <w:t>中小企业声明函</w:t>
      </w:r>
      <w:r>
        <w:rPr>
          <w:rFonts w:hint="eastAsia" w:ascii="宋体" w:hAnsi="宋体" w:cs="宋体"/>
          <w:b/>
          <w:bCs/>
          <w:color w:val="auto"/>
          <w:sz w:val="22"/>
          <w:szCs w:val="22"/>
          <w:highlight w:val="none"/>
          <w:lang w:eastAsia="zh-CN"/>
        </w:rPr>
        <w:t>；</w:t>
      </w:r>
    </w:p>
    <w:p w14:paraId="1F9FFEE9">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▲投标文件含有采购人不能接受的附加条件的，投标无效；</w:t>
      </w:r>
    </w:p>
    <w:p w14:paraId="45895534">
      <w:pPr>
        <w:spacing w:line="360" w:lineRule="auto"/>
        <w:ind w:firstLine="442" w:firstLineChars="200"/>
        <w:rPr>
          <w:rFonts w:hint="eastAsia" w:ascii="宋体" w:hAnsi="宋体" w:eastAsia="宋体" w:cs="宋体"/>
          <w:color w:val="auto"/>
          <w:kern w:val="0"/>
          <w:sz w:val="22"/>
          <w:szCs w:val="22"/>
          <w:highlight w:val="none"/>
          <w:lang w:val="zh-CN"/>
        </w:rPr>
      </w:pPr>
      <w:r>
        <w:rPr>
          <w:rFonts w:hint="eastAsia" w:ascii="宋体" w:hAnsi="宋体" w:eastAsia="宋体" w:cs="宋体"/>
          <w:b/>
          <w:color w:val="auto"/>
          <w:sz w:val="22"/>
          <w:szCs w:val="22"/>
          <w:highlight w:val="none"/>
        </w:rPr>
        <w:t>▲投标人提供虚假材料投标的，投标无效。</w:t>
      </w:r>
    </w:p>
    <w:p w14:paraId="3C429AC7">
      <w:pPr>
        <w:pStyle w:val="35"/>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 响应文件的编制和签署</w:t>
      </w:r>
    </w:p>
    <w:p w14:paraId="79F8C18B">
      <w:pP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lang w:val="zh-CN"/>
        </w:rPr>
        <w:t>3.1各供应商在编制响应文件时请按照磋商文件第七部分规定的格式进行，混乱的编排导致响应文件被误读或磋商小组查找不到有效文件是供应商的风险。</w:t>
      </w:r>
    </w:p>
    <w:p w14:paraId="64522217">
      <w:pPr>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344701C">
      <w:pPr>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3.3使用“政采云电子交易客户端”需要提前申领CA数字证书，申领流程请自行前往“浙江政府采购网-下载专区-电子交易客户端-CA驱动和申领流程”进行查阅。</w:t>
      </w:r>
    </w:p>
    <w:p w14:paraId="45F38A07">
      <w:pPr>
        <w:pStyle w:val="394"/>
        <w:snapToGrid w:val="0"/>
        <w:spacing w:before="0"/>
        <w:ind w:firstLine="48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3.4响应文件按照磋商文件第七部分格式要求进行签署、盖章。</w:t>
      </w:r>
      <w:r>
        <w:rPr>
          <w:rFonts w:hint="eastAsia" w:ascii="宋体" w:hAnsi="宋体" w:eastAsia="宋体" w:cs="宋体"/>
          <w:b/>
          <w:color w:val="auto"/>
          <w:sz w:val="22"/>
          <w:szCs w:val="22"/>
          <w:highlight w:val="none"/>
        </w:rPr>
        <w:t>▲供应商的响应文件未按照磋商文件要求签署、盖章的，其响应无效</w:t>
      </w:r>
      <w:r>
        <w:rPr>
          <w:rFonts w:hint="eastAsia" w:ascii="宋体" w:hAnsi="宋体" w:eastAsia="宋体" w:cs="宋体"/>
          <w:color w:val="auto"/>
          <w:sz w:val="22"/>
          <w:szCs w:val="22"/>
          <w:highlight w:val="none"/>
        </w:rPr>
        <w:t>。</w:t>
      </w:r>
    </w:p>
    <w:p w14:paraId="46E39DDF">
      <w:pPr>
        <w:pStyle w:val="394"/>
        <w:snapToGrid w:val="0"/>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3.5为确保网上操作合法、有效和安全，供应商应当在响应截止时间前完成在“政府采购云平台”的身份认证，确保在电子交易过程中能够对相关数据电文进行加密和使用电子签名。</w:t>
      </w:r>
    </w:p>
    <w:p w14:paraId="7D4B3EBD">
      <w:pPr>
        <w:pStyle w:val="394"/>
        <w:snapToGrid w:val="0"/>
        <w:spacing w:before="0"/>
        <w:ind w:firstLine="480"/>
        <w:rPr>
          <w:rFonts w:cs="宋体" w:asciiTheme="minorEastAsia" w:hAnsiTheme="minorEastAsia" w:eastAsiaTheme="minorEastAsia"/>
          <w:color w:val="auto"/>
          <w:szCs w:val="24"/>
          <w:highlight w:val="none"/>
        </w:rPr>
      </w:pPr>
      <w:r>
        <w:rPr>
          <w:rFonts w:hint="eastAsia" w:ascii="宋体" w:hAnsi="宋体" w:eastAsia="宋体" w:cs="宋体"/>
          <w:color w:val="auto"/>
          <w:sz w:val="22"/>
          <w:szCs w:val="22"/>
          <w:highlight w:val="none"/>
        </w:rPr>
        <w:t>3.6磋商文件对响应文件签署、盖章的要求适用于电子签名。</w:t>
      </w:r>
    </w:p>
    <w:p w14:paraId="1740D3E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707705C">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1.响应文件的提交、补充、修改、撤回</w:t>
      </w:r>
    </w:p>
    <w:p w14:paraId="6344044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54AA7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在响应截止时间以后，不能补充、修改响应文件。</w:t>
      </w:r>
    </w:p>
    <w:p w14:paraId="30C4868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在提交“最后报价”后，供应商不能退出磋商。</w:t>
      </w:r>
    </w:p>
    <w:p w14:paraId="7CB39A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电子交易平台收到响应文件，将妥善保存并即时向供应商发出确认回执通知。在响应截止时间前，除供应商补充、修改或者撤回响应文件外，任何单位和个人不得解密或提取响应文件。</w:t>
      </w:r>
    </w:p>
    <w:p w14:paraId="1911B80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1.5 </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可以视情况延长提交响应文件的截止时间。在上述情况下，</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与供应商以前在响应截止期方面的全部权利、责任和义务，将适用于延长至新的响应截止期。</w:t>
      </w:r>
    </w:p>
    <w:p w14:paraId="5E5F7781">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2.备份响应文件</w:t>
      </w:r>
    </w:p>
    <w:p w14:paraId="0596B73D">
      <w:pPr>
        <w:pStyle w:val="35"/>
        <w:spacing w:line="360" w:lineRule="auto"/>
        <w:ind w:firstLine="330" w:firstLineChars="1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2"/>
          <w:szCs w:val="22"/>
          <w:highlight w:val="none"/>
        </w:rPr>
        <w:t>但采购人、</w:t>
      </w:r>
      <w:r>
        <w:rPr>
          <w:rFonts w:hint="eastAsia" w:ascii="宋体" w:hAnsi="宋体" w:eastAsia="宋体" w:cs="宋体"/>
          <w:b/>
          <w:color w:val="auto"/>
          <w:sz w:val="22"/>
          <w:szCs w:val="22"/>
          <w:highlight w:val="none"/>
          <w:lang w:eastAsia="zh-CN"/>
        </w:rPr>
        <w:t>代理机构</w:t>
      </w:r>
      <w:r>
        <w:rPr>
          <w:rFonts w:hint="eastAsia" w:ascii="宋体" w:hAnsi="宋体" w:eastAsia="宋体" w:cs="宋体"/>
          <w:b/>
          <w:color w:val="auto"/>
          <w:sz w:val="22"/>
          <w:szCs w:val="22"/>
          <w:highlight w:val="none"/>
        </w:rPr>
        <w:t>不强制或变相强制供应商提交备份响应文件。</w:t>
      </w:r>
    </w:p>
    <w:p w14:paraId="69D5540D">
      <w:pPr>
        <w:pStyle w:val="35"/>
        <w:spacing w:line="360" w:lineRule="auto"/>
        <w:ind w:firstLine="330" w:firstLineChars="1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2.2 备份响应文件须在“政采云投标客户端”制作生成，并储存在不可修改的</w:t>
      </w:r>
      <w:r>
        <w:rPr>
          <w:rFonts w:hint="eastAsia" w:ascii="宋体" w:hAnsi="宋体" w:eastAsia="宋体" w:cs="宋体"/>
          <w:b/>
          <w:color w:val="auto"/>
          <w:sz w:val="22"/>
          <w:szCs w:val="22"/>
          <w:highlight w:val="none"/>
          <w:u w:val="single"/>
        </w:rPr>
        <w:t>电子光盘</w:t>
      </w:r>
      <w:r>
        <w:rPr>
          <w:rFonts w:hint="eastAsia" w:ascii="宋体" w:hAnsi="宋体" w:eastAsia="宋体" w:cs="宋体"/>
          <w:b/>
          <w:color w:val="auto"/>
          <w:sz w:val="22"/>
          <w:szCs w:val="22"/>
          <w:highlight w:val="none"/>
          <w:u w:val="single"/>
          <w:lang w:val="en-US" w:eastAsia="zh-CN"/>
        </w:rPr>
        <w:t>等存储介质</w:t>
      </w:r>
      <w:r>
        <w:rPr>
          <w:rFonts w:hint="eastAsia" w:ascii="宋体" w:hAnsi="宋体" w:eastAsia="宋体" w:cs="宋体"/>
          <w:color w:val="auto"/>
          <w:sz w:val="22"/>
          <w:szCs w:val="22"/>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2"/>
          <w:szCs w:val="22"/>
          <w:highlight w:val="none"/>
        </w:rPr>
        <w:t>▲不符合上述制作、存储、密封规定的备份响应文件将被视为无效或者被拒绝接收。</w:t>
      </w:r>
    </w:p>
    <w:p w14:paraId="2679E714">
      <w:pPr>
        <w:pStyle w:val="35"/>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将拒绝接受逾期送达的备份响应文件。</w:t>
      </w:r>
    </w:p>
    <w:p w14:paraId="67B918BC">
      <w:pPr>
        <w:pStyle w:val="35"/>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将拒绝接受逾期送达的备份响应文件。邮寄过程中，电子备份响应文件发生泄露、遗失、损坏或延期送达等情况的，由供应商自行负责。</w:t>
      </w:r>
    </w:p>
    <w:p w14:paraId="58F58C67">
      <w:pPr>
        <w:pStyle w:val="35"/>
        <w:spacing w:line="360" w:lineRule="auto"/>
        <w:ind w:firstLine="331" w:firstLineChars="15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2.5 ▲供应商仅提交备份响应文件，未在电子交易平台传输提交响应文件的，响应无效。</w:t>
      </w:r>
    </w:p>
    <w:p w14:paraId="61FE4A1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E754A9C">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开启响应文件</w:t>
      </w:r>
    </w:p>
    <w:p w14:paraId="79995E01">
      <w:pPr>
        <w:pStyle w:val="35"/>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1.1 </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按照磋商文件规定的时间通过电子交易平台组织响应文件开启，所有供应商均应当准时在线参加。</w:t>
      </w:r>
      <w:r>
        <w:rPr>
          <w:rFonts w:hint="eastAsia" w:ascii="宋体" w:hAnsi="宋体" w:eastAsia="宋体" w:cs="宋体"/>
          <w:b/>
          <w:color w:val="auto"/>
          <w:sz w:val="22"/>
          <w:szCs w:val="22"/>
          <w:highlight w:val="none"/>
        </w:rPr>
        <w:t>供应商数量不符合规定的，不得开启响应文件。</w:t>
      </w:r>
    </w:p>
    <w:p w14:paraId="161853AE">
      <w:pPr>
        <w:pStyle w:val="35"/>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1.2开启响应文件时，电子交易平台按开启响应文件时间自动提取所有响应文件。</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依托电子交易平台发起开始解密指令，供应商按照平台提示和磋商文件的规定在半小时内完成在线解密。</w:t>
      </w:r>
    </w:p>
    <w:p w14:paraId="170082D8">
      <w:pPr>
        <w:pStyle w:val="35"/>
        <w:spacing w:line="360" w:lineRule="auto"/>
        <w:ind w:firstLine="331"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1.3响应文件未在规定时间内成功解密的供应商，如提交了备份响应文件的，以备份响应文件作为依据，否则视为响应文件撤回。响应文件解密成功的供应商，其备份响应文件自动失效。</w:t>
      </w:r>
    </w:p>
    <w:p w14:paraId="6D65BA03">
      <w:pPr>
        <w:pStyle w:val="394"/>
        <w:spacing w:before="0"/>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2.信用信息查询</w:t>
      </w:r>
    </w:p>
    <w:p w14:paraId="38B31622">
      <w:pPr>
        <w:pStyle w:val="394"/>
        <w:spacing w:before="0"/>
        <w:ind w:firstLine="495"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2.1信用信息查询渠道及截止时间：</w:t>
      </w:r>
      <w:r>
        <w:rPr>
          <w:rFonts w:hint="eastAsia" w:ascii="宋体" w:hAnsi="宋体" w:eastAsia="宋体" w:cs="宋体"/>
          <w:color w:val="auto"/>
          <w:kern w:val="0"/>
          <w:sz w:val="22"/>
          <w:szCs w:val="22"/>
          <w:highlight w:val="none"/>
          <w:lang w:eastAsia="zh-CN"/>
        </w:rPr>
        <w:t>代理机构</w:t>
      </w:r>
      <w:r>
        <w:rPr>
          <w:rFonts w:hint="eastAsia" w:ascii="宋体" w:hAnsi="宋体" w:eastAsia="宋体" w:cs="宋体"/>
          <w:color w:val="auto"/>
          <w:kern w:val="0"/>
          <w:sz w:val="22"/>
          <w:szCs w:val="22"/>
          <w:highlight w:val="none"/>
        </w:rPr>
        <w:t>将通过“信用中国”网站(</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Style w:val="69"/>
          <w:rFonts w:hint="eastAsia" w:ascii="宋体" w:hAnsi="宋体" w:eastAsia="宋体" w:cs="宋体"/>
          <w:snapToGrid/>
          <w:color w:val="auto"/>
          <w:sz w:val="22"/>
          <w:szCs w:val="22"/>
          <w:highlight w:val="none"/>
        </w:rPr>
        <w:t>www.creditchina.gov.cn</w:t>
      </w:r>
      <w:r>
        <w:rPr>
          <w:rStyle w:val="69"/>
          <w:rFonts w:hint="eastAsia" w:ascii="宋体" w:hAnsi="宋体" w:eastAsia="宋体" w:cs="宋体"/>
          <w:snapToGrid/>
          <w:color w:val="auto"/>
          <w:sz w:val="22"/>
          <w:szCs w:val="22"/>
          <w:highlight w:val="none"/>
        </w:rPr>
        <w:fldChar w:fldCharType="end"/>
      </w:r>
      <w:r>
        <w:rPr>
          <w:rFonts w:hint="eastAsia" w:ascii="宋体" w:hAnsi="宋体" w:eastAsia="宋体" w:cs="宋体"/>
          <w:color w:val="auto"/>
          <w:kern w:val="0"/>
          <w:sz w:val="22"/>
          <w:szCs w:val="22"/>
          <w:highlight w:val="none"/>
        </w:rPr>
        <w:t>)、中国政府采购网(www.ccgp.gov.cn)渠道查询供应商响应截止时间前的信用记录。</w:t>
      </w:r>
    </w:p>
    <w:p w14:paraId="3B6EC300">
      <w:pPr>
        <w:pStyle w:val="394"/>
        <w:spacing w:before="0"/>
        <w:ind w:firstLine="495"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2.2信用信息查询记录的具体方式：现场查询的供应商的信用记录。</w:t>
      </w:r>
    </w:p>
    <w:p w14:paraId="2AF96550">
      <w:pPr>
        <w:pStyle w:val="394"/>
        <w:spacing w:before="0"/>
        <w:ind w:firstLine="495"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2.3信用信息的使用规则：经查询列入失信被执行人名单、重大税收违法案件当事人名单、政府采购严重违法失信行为记录名单的供应商将被拒绝参与政府采购活动。</w:t>
      </w:r>
    </w:p>
    <w:p w14:paraId="6824034C">
      <w:pPr>
        <w:pStyle w:val="394"/>
        <w:spacing w:before="0"/>
        <w:ind w:firstLine="495"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246BCF">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95C01C0">
      <w:pPr>
        <w:snapToGrid w:val="0"/>
        <w:spacing w:line="360" w:lineRule="auto"/>
        <w:rPr>
          <w:rFonts w:cs="仿宋_GB2312" w:asciiTheme="minorEastAsia" w:hAnsiTheme="minorEastAsia" w:eastAsiaTheme="minorEastAsia"/>
          <w:color w:val="auto"/>
          <w:sz w:val="22"/>
          <w:szCs w:val="22"/>
          <w:highlight w:val="none"/>
          <w:u w:val="single"/>
          <w:lang w:val="zh-CN"/>
        </w:rPr>
      </w:pPr>
      <w:r>
        <w:rPr>
          <w:rFonts w:hint="eastAsia" w:asciiTheme="minorEastAsia" w:hAnsiTheme="minorEastAsia" w:eastAsiaTheme="minorEastAsia"/>
          <w:b/>
          <w:color w:val="auto"/>
          <w:sz w:val="22"/>
          <w:szCs w:val="22"/>
          <w:highlight w:val="none"/>
        </w:rPr>
        <w:t>1.</w:t>
      </w:r>
      <w:r>
        <w:rPr>
          <w:rFonts w:hint="eastAsia" w:cs="仿宋_GB2312" w:asciiTheme="minorEastAsia" w:hAnsiTheme="minorEastAsia" w:eastAsiaTheme="minorEastAsia"/>
          <w:color w:val="auto"/>
          <w:sz w:val="22"/>
          <w:szCs w:val="22"/>
          <w:highlight w:val="none"/>
        </w:rPr>
        <w:t>供应商的</w:t>
      </w:r>
      <w:r>
        <w:rPr>
          <w:rFonts w:hint="eastAsia" w:cs="仿宋_GB2312" w:asciiTheme="minorEastAsia" w:hAnsiTheme="minorEastAsia" w:eastAsiaTheme="minorEastAsia"/>
          <w:b/>
          <w:color w:val="auto"/>
          <w:sz w:val="22"/>
          <w:szCs w:val="22"/>
          <w:highlight w:val="none"/>
        </w:rPr>
        <w:t>最后报价文件</w:t>
      </w:r>
      <w:r>
        <w:rPr>
          <w:rFonts w:hint="eastAsia" w:cs="仿宋_GB2312" w:asciiTheme="minorEastAsia" w:hAnsiTheme="minorEastAsia" w:eastAsiaTheme="minorEastAsia"/>
          <w:color w:val="auto"/>
          <w:sz w:val="22"/>
          <w:szCs w:val="22"/>
          <w:highlight w:val="none"/>
        </w:rPr>
        <w:t>应包括以下内容：</w:t>
      </w:r>
    </w:p>
    <w:p w14:paraId="5C43E4BA">
      <w:pPr>
        <w:pStyle w:val="35"/>
        <w:snapToGrid w:val="0"/>
        <w:spacing w:line="360" w:lineRule="auto"/>
        <w:ind w:firstLine="440" w:firstLineChars="200"/>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1.1最后报价一览表；</w:t>
      </w:r>
    </w:p>
    <w:p w14:paraId="42F4FD87">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13B07A4B">
      <w:pPr>
        <w:pStyle w:val="394"/>
        <w:spacing w:before="0"/>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评审方法：</w:t>
      </w:r>
      <w:r>
        <w:rPr>
          <w:rFonts w:hint="eastAsia" w:ascii="宋体" w:hAnsi="宋体" w:eastAsia="宋体" w:cs="宋体"/>
          <w:color w:val="auto"/>
          <w:sz w:val="22"/>
          <w:szCs w:val="22"/>
          <w:highlight w:val="none"/>
        </w:rPr>
        <w:t>综合评分法。</w:t>
      </w:r>
    </w:p>
    <w:p w14:paraId="00C1BE25">
      <w:pPr>
        <w:pStyle w:val="394"/>
        <w:spacing w:before="0"/>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价格分计算方法：</w:t>
      </w:r>
      <w:r>
        <w:rPr>
          <w:rFonts w:hint="eastAsia" w:ascii="宋体" w:hAnsi="宋体" w:eastAsia="宋体" w:cs="宋体"/>
          <w:color w:val="auto"/>
          <w:sz w:val="22"/>
          <w:szCs w:val="22"/>
          <w:highlight w:val="none"/>
        </w:rPr>
        <w:t>低价优先法。</w:t>
      </w:r>
    </w:p>
    <w:p w14:paraId="20BFE757">
      <w:pPr>
        <w:pStyle w:val="394"/>
        <w:spacing w:before="0"/>
        <w:ind w:firstLine="0" w:firstLineChar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 评审要求：</w:t>
      </w:r>
      <w:r>
        <w:rPr>
          <w:rFonts w:hint="eastAsia" w:ascii="宋体" w:hAnsi="宋体" w:eastAsia="宋体" w:cs="宋体"/>
          <w:color w:val="auto"/>
          <w:sz w:val="22"/>
          <w:szCs w:val="22"/>
          <w:highlight w:val="none"/>
        </w:rPr>
        <w:t>详见磋商文件第五部分“评审方法及评审标准”。</w:t>
      </w:r>
    </w:p>
    <w:p w14:paraId="5F88DA6D">
      <w:pPr>
        <w:adjustRightInd/>
        <w:spacing w:line="360" w:lineRule="auto"/>
        <w:jc w:val="center"/>
        <w:outlineLvl w:val="0"/>
        <w:rPr>
          <w:rFonts w:cs="仿宋_GB2312" w:asciiTheme="minorEastAsia" w:hAnsiTheme="minorEastAsia" w:eastAsiaTheme="minorEastAsia"/>
          <w:color w:val="auto"/>
          <w:sz w:val="24"/>
          <w:highlight w:val="none"/>
        </w:rPr>
      </w:pPr>
    </w:p>
    <w:p w14:paraId="647662A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5DF663F">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推荐成交候选供应商</w:t>
      </w:r>
    </w:p>
    <w:p w14:paraId="5CF13094">
      <w:pPr>
        <w:spacing w:line="360" w:lineRule="auto"/>
        <w:ind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69FE6DC">
      <w:pPr>
        <w:pStyle w:val="35"/>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确定成交供应商</w:t>
      </w:r>
    </w:p>
    <w:p w14:paraId="59AB23EB">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政府采购项目实行全流程电子化，评审报告送交、采购结果确定和结果公告均在线完成。为进一步提升采购结果确定效率，</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应当依法及时将评审报告在线送交采购人。</w:t>
      </w:r>
      <w:r>
        <w:rPr>
          <w:rFonts w:hint="eastAsia" w:ascii="宋体" w:hAnsi="宋体" w:eastAsia="宋体" w:cs="宋体"/>
          <w:color w:val="auto"/>
          <w:sz w:val="22"/>
          <w:szCs w:val="22"/>
          <w:highlight w:val="none"/>
          <w:lang w:val="en-US" w:eastAsia="zh-CN"/>
        </w:rPr>
        <w:t>采购单位应当自收到评审报告之日起2个工作日内对中标供应商的中小企业声明函、相关证书、检测报告、业绩等材料的真实性进行核查，并在线确定中标或者成交供应商。</w:t>
      </w:r>
      <w:r>
        <w:rPr>
          <w:rFonts w:hint="eastAsia" w:ascii="宋体" w:hAnsi="宋体" w:eastAsia="宋体" w:cs="宋体"/>
          <w:color w:val="auto"/>
          <w:sz w:val="22"/>
          <w:szCs w:val="22"/>
          <w:highlight w:val="none"/>
        </w:rPr>
        <w:t>成交通知书和成交结果公告应当在规定时间内同时发出。</w:t>
      </w:r>
    </w:p>
    <w:p w14:paraId="17F80ADA">
      <w:pPr>
        <w:tabs>
          <w:tab w:val="left" w:pos="0"/>
        </w:tabs>
        <w:spacing w:line="360" w:lineRule="auto"/>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3．成交通知及成交结果公告</w:t>
      </w:r>
    </w:p>
    <w:p w14:paraId="25D20675">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3.1自成交人确定之日起2个工作日内，</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通过电子交易平台向成交人发出成交通知书，同时编制发布采购成交结果公告。</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也可以以纸质形式进行成交通知。</w:t>
      </w:r>
    </w:p>
    <w:p w14:paraId="375838B5">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3.2成交结果公告内容包括采购人及其委托的</w:t>
      </w:r>
      <w:r>
        <w:rPr>
          <w:rFonts w:hint="eastAsia" w:ascii="宋体" w:hAnsi="宋体" w:eastAsia="宋体" w:cs="宋体"/>
          <w:color w:val="auto"/>
          <w:sz w:val="22"/>
          <w:szCs w:val="22"/>
          <w:highlight w:val="none"/>
          <w:lang w:eastAsia="zh-CN"/>
        </w:rPr>
        <w:t>代理机构</w:t>
      </w:r>
      <w:r>
        <w:rPr>
          <w:rFonts w:hint="eastAsia" w:ascii="宋体" w:hAnsi="宋体" w:eastAsia="宋体" w:cs="宋体"/>
          <w:color w:val="auto"/>
          <w:sz w:val="22"/>
          <w:szCs w:val="22"/>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2"/>
          <w:szCs w:val="22"/>
          <w:highlight w:val="none"/>
        </w:rPr>
        <w:t>资格审查情况、评审专家抽取规则、符合性审查情况、</w:t>
      </w:r>
      <w:bookmarkEnd w:id="53"/>
      <w:r>
        <w:rPr>
          <w:rFonts w:hint="eastAsia" w:ascii="宋体" w:hAnsi="宋体" w:eastAsia="宋体" w:cs="宋体"/>
          <w:color w:val="auto"/>
          <w:sz w:val="22"/>
          <w:szCs w:val="22"/>
          <w:highlight w:val="none"/>
        </w:rPr>
        <w:t>未成交情况说明、成交公告期限以及评审专家名单、评分汇总及明细。</w:t>
      </w:r>
    </w:p>
    <w:p w14:paraId="353F89AD">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3.3公告期限为1个工作日。</w:t>
      </w:r>
    </w:p>
    <w:p w14:paraId="47D6263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DEA4224">
      <w:pPr>
        <w:tabs>
          <w:tab w:val="left" w:pos="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1.合同主要条款：</w:t>
      </w:r>
      <w:r>
        <w:rPr>
          <w:rFonts w:hint="eastAsia" w:ascii="宋体" w:hAnsi="宋体" w:eastAsia="宋体" w:cs="宋体"/>
          <w:color w:val="auto"/>
          <w:sz w:val="22"/>
          <w:szCs w:val="22"/>
          <w:highlight w:val="none"/>
        </w:rPr>
        <w:t>详见“第六部分拟签订的合同文本”。</w:t>
      </w:r>
    </w:p>
    <w:p w14:paraId="3D83E842">
      <w:pPr>
        <w:tabs>
          <w:tab w:val="left" w:pos="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2.合同的签订</w:t>
      </w:r>
    </w:p>
    <w:p w14:paraId="12EDF315">
      <w:pPr>
        <w:widowControl/>
        <w:shd w:val="clear" w:color="auto" w:fill="FFFFFF"/>
        <w:spacing w:line="360" w:lineRule="auto"/>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kern w:val="0"/>
          <w:sz w:val="22"/>
          <w:szCs w:val="22"/>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D057E88">
      <w:pPr>
        <w:pStyle w:val="394"/>
        <w:snapToGrid w:val="0"/>
        <w:spacing w:before="0"/>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B5E96DF">
      <w:pPr>
        <w:spacing w:line="360" w:lineRule="auto"/>
        <w:ind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C931733">
      <w:pPr>
        <w:spacing w:line="360" w:lineRule="auto"/>
        <w:ind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C96596E">
      <w:pPr>
        <w:spacing w:line="360" w:lineRule="auto"/>
        <w:ind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2.5如签订合同并生效后，供应商无故拒绝或延期，除按照合同条款处理外，列入不良行为记录一次，并给予通报。</w:t>
      </w:r>
    </w:p>
    <w:p w14:paraId="412CAA3F">
      <w:pPr>
        <w:pStyle w:val="394"/>
        <w:snapToGrid w:val="0"/>
        <w:spacing w:before="0" w:after="12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2.6采购合同由采购人与成交供应商根据磋商文件、响应文件等内容通过政府采购电子交易平台在线签订，自动备案。</w:t>
      </w:r>
    </w:p>
    <w:p w14:paraId="68F6FA5B">
      <w:pPr>
        <w:numPr>
          <w:ilvl w:val="0"/>
          <w:numId w:val="8"/>
        </w:numPr>
        <w:tabs>
          <w:tab w:val="left" w:pos="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履约保证金</w:t>
      </w:r>
    </w:p>
    <w:p w14:paraId="09F392C3">
      <w:pPr>
        <w:adjustRightInd/>
        <w:spacing w:line="360"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w:t>
      </w:r>
      <w:r>
        <w:rPr>
          <w:rFonts w:hint="eastAsia" w:ascii="宋体" w:hAnsi="宋体" w:eastAsia="宋体" w:cs="宋体"/>
          <w:color w:val="auto"/>
          <w:sz w:val="22"/>
          <w:szCs w:val="22"/>
          <w:highlight w:val="none"/>
          <w:lang w:val="en-US"/>
        </w:rPr>
        <w:t>合同</w:t>
      </w:r>
      <w:r>
        <w:rPr>
          <w:rFonts w:hint="eastAsia" w:ascii="宋体" w:eastAsia="宋体"/>
          <w:b w:val="0"/>
          <w:color w:val="auto"/>
          <w:sz w:val="22"/>
          <w:szCs w:val="22"/>
          <w:highlight w:val="none"/>
        </w:rPr>
        <w:t>约定和法律规定承担相应的赔偿责任。</w:t>
      </w:r>
    </w:p>
    <w:p w14:paraId="337C9169">
      <w:pPr>
        <w:adjustRightInd/>
        <w:spacing w:line="360" w:lineRule="auto"/>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0230BB">
      <w:pPr>
        <w:pStyle w:val="6"/>
        <w:numPr>
          <w:ilvl w:val="255"/>
          <w:numId w:val="0"/>
        </w:numPr>
        <w:ind w:lef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4.预付款</w:t>
      </w:r>
    </w:p>
    <w:p w14:paraId="7C1D491B">
      <w:pPr>
        <w:adjustRightInd/>
        <w:spacing w:line="360" w:lineRule="auto"/>
        <w:ind w:firstLine="440" w:firstLineChars="200"/>
        <w:rPr>
          <w:color w:val="auto"/>
          <w:highlight w:val="none"/>
        </w:rPr>
      </w:pPr>
      <w:r>
        <w:rPr>
          <w:rFonts w:hint="eastAsia" w:ascii="宋体" w:hAnsi="宋体" w:eastAsia="宋体" w:cs="宋体"/>
          <w:b w:val="0"/>
          <w:bCs w:val="0"/>
          <w:color w:val="auto"/>
          <w:sz w:val="22"/>
          <w:szCs w:val="22"/>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2"/>
          <w:szCs w:val="22"/>
          <w:highlight w:val="none"/>
        </w:rPr>
        <w:t>不低于</w:t>
      </w:r>
      <w:r>
        <w:rPr>
          <w:rFonts w:hint="eastAsia" w:ascii="宋体" w:hAnsi="宋体" w:eastAsia="宋体" w:cs="宋体"/>
          <w:b w:val="0"/>
          <w:bCs w:val="0"/>
          <w:color w:val="auto"/>
          <w:sz w:val="22"/>
          <w:szCs w:val="22"/>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ABB4164">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2BA4D88">
      <w:pPr>
        <w:pStyle w:val="3"/>
        <w:spacing w:line="360" w:lineRule="auto"/>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1.验收</w:t>
      </w:r>
    </w:p>
    <w:p w14:paraId="3FF0A082">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97F54B">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1.2采购人可以邀请参加本项目的其他供应商或者第三方机构参与验收。参与验收的供应商或者第三方机构的意见作为验收书的参考资料一并存档。</w:t>
      </w:r>
    </w:p>
    <w:p w14:paraId="5B32C33D">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4E8D17">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C52863">
      <w:pPr>
        <w:pStyle w:val="394"/>
        <w:spacing w:before="0"/>
        <w:ind w:firstLine="480"/>
        <w:rPr>
          <w:rFonts w:hint="eastAsia" w:asciiTheme="minorEastAsia" w:hAnsiTheme="minorEastAsia" w:eastAsiaTheme="minorEastAsia"/>
          <w:color w:val="auto"/>
          <w:szCs w:val="24"/>
          <w:highlight w:val="none"/>
          <w:lang w:val="en-US" w:eastAsia="zh-CN"/>
        </w:rPr>
      </w:pPr>
      <w:r>
        <w:rPr>
          <w:rFonts w:hint="eastAsia" w:ascii="宋体" w:hAnsi="宋体" w:eastAsia="宋体" w:cs="宋体"/>
          <w:color w:val="auto"/>
          <w:kern w:val="0"/>
          <w:sz w:val="22"/>
          <w:szCs w:val="22"/>
          <w:highlight w:val="none"/>
          <w:lang w:val="en-US" w:eastAsia="zh-CN" w:bidi="ar-SA"/>
        </w:rPr>
        <w:t>1.5</w:t>
      </w:r>
      <w:r>
        <w:rPr>
          <w:rFonts w:hint="eastAsia" w:ascii="宋体" w:hAnsi="宋体" w:eastAsia="宋体" w:cs="宋体"/>
          <w:color w:val="auto"/>
          <w:sz w:val="22"/>
          <w:szCs w:val="22"/>
          <w:highlight w:val="none"/>
          <w:lang w:val="en-US" w:eastAsia="zh-CN"/>
        </w:rPr>
        <w:t>采购人完成线下履约验收后，应在2个工作日内，在政采云上公布履约验收结果。</w:t>
      </w:r>
    </w:p>
    <w:p w14:paraId="4C72EAEE">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10270CF">
      <w:pPr>
        <w:tabs>
          <w:tab w:val="left" w:pos="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电子交易活动的中止</w:t>
      </w:r>
    </w:p>
    <w:p w14:paraId="120D719D">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2"/>
          <w:szCs w:val="22"/>
          <w:highlight w:val="none"/>
          <w:lang w:eastAsia="zh-CN"/>
        </w:rPr>
        <w:t>代理机构</w:t>
      </w:r>
      <w:r>
        <w:rPr>
          <w:rFonts w:hint="eastAsia" w:ascii="宋体" w:hAnsi="宋体" w:eastAsia="宋体" w:cs="宋体"/>
          <w:color w:val="auto"/>
          <w:kern w:val="0"/>
          <w:sz w:val="22"/>
          <w:szCs w:val="22"/>
          <w:highlight w:val="none"/>
        </w:rPr>
        <w:t>可中止电子交易活动：</w:t>
      </w:r>
    </w:p>
    <w:p w14:paraId="3A9AF33A">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1.1电子交易平台发生故障而无法登录访问的； </w:t>
      </w:r>
    </w:p>
    <w:p w14:paraId="4906871F">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1.2电子交易平台应用或数据库出现错误，不能进行正常操作的；</w:t>
      </w:r>
    </w:p>
    <w:p w14:paraId="4B1220D0">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1.3电子交易平台发现严重安全漏洞，有潜在泄密危险的；</w:t>
      </w:r>
    </w:p>
    <w:p w14:paraId="0836D6A5">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1.4病毒发作导致不能进行正常操作的； </w:t>
      </w:r>
    </w:p>
    <w:p w14:paraId="2E93B54E">
      <w:pPr>
        <w:tabs>
          <w:tab w:val="left" w:pos="0"/>
        </w:tabs>
        <w:spacing w:line="360" w:lineRule="auto"/>
        <w:ind w:firstLine="48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1.5其他无法保证电子交易的公平、公正和安全的情况。</w:t>
      </w:r>
    </w:p>
    <w:p w14:paraId="7ABCF0B4">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ascii="宋体" w:hAnsi="宋体" w:eastAsia="宋体" w:cs="宋体"/>
          <w:b/>
          <w:color w:val="auto"/>
          <w:kern w:val="0"/>
          <w:sz w:val="22"/>
          <w:szCs w:val="22"/>
          <w:highlight w:val="none"/>
        </w:rPr>
        <w:t>2.</w:t>
      </w:r>
      <w:r>
        <w:rPr>
          <w:rFonts w:hint="eastAsia" w:ascii="宋体" w:hAnsi="宋体" w:eastAsia="宋体" w:cs="宋体"/>
          <w:color w:val="auto"/>
          <w:kern w:val="0"/>
          <w:sz w:val="22"/>
          <w:szCs w:val="22"/>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101"/>
      <w:bookmarkEnd w:id="55"/>
      <w:bookmarkStart w:id="56" w:name="_Hlt74729768"/>
      <w:bookmarkEnd w:id="56"/>
      <w:bookmarkStart w:id="57" w:name="_Hlt68072990"/>
      <w:bookmarkEnd w:id="57"/>
      <w:bookmarkStart w:id="58" w:name="_Hlt75236290"/>
      <w:bookmarkEnd w:id="58"/>
      <w:bookmarkStart w:id="59" w:name="_Hlt74714665"/>
      <w:bookmarkEnd w:id="59"/>
      <w:bookmarkStart w:id="60" w:name="_Hlt74730295"/>
      <w:bookmarkEnd w:id="60"/>
      <w:bookmarkStart w:id="61" w:name="_Hlt74707468"/>
      <w:bookmarkEnd w:id="61"/>
      <w:bookmarkStart w:id="62" w:name="_Hlt75236011"/>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7EA79E4E">
      <w:pPr>
        <w:autoSpaceDE w:val="0"/>
        <w:autoSpaceDN w:val="0"/>
        <w:adjustRightInd w:val="0"/>
        <w:spacing w:line="430" w:lineRule="atLeast"/>
        <w:ind w:firstLine="2168" w:firstLineChars="600"/>
        <w:jc w:val="both"/>
        <w:textAlignment w:val="bottom"/>
        <w:outlineLvl w:val="0"/>
        <w:rPr>
          <w:rFonts w:ascii="宋体" w:eastAsia="宋体" w:cs="Times New Roman"/>
          <w:bCs w:val="0"/>
          <w:kern w:val="2"/>
          <w:sz w:val="36"/>
          <w:szCs w:val="20"/>
        </w:rPr>
      </w:pPr>
      <w:r>
        <w:rPr>
          <w:rFonts w:hint="eastAsia" w:cs="仿宋_GB2312" w:asciiTheme="minorEastAsia" w:hAnsiTheme="minorEastAsia" w:eastAsiaTheme="minorEastAsia"/>
          <w:b/>
          <w:color w:val="auto"/>
          <w:sz w:val="36"/>
          <w:szCs w:val="36"/>
          <w:highlight w:val="none"/>
        </w:rPr>
        <w:t xml:space="preserve">第四部分  </w:t>
      </w:r>
      <w:r>
        <w:rPr>
          <w:rFonts w:ascii="宋体" w:eastAsia="宋体" w:cs="Times New Roman"/>
          <w:bCs w:val="0"/>
          <w:kern w:val="2"/>
          <w:sz w:val="36"/>
          <w:szCs w:val="20"/>
        </w:rPr>
        <w:t>采购内容及技术要求</w:t>
      </w:r>
      <w:bookmarkStart w:id="65" w:name="_Toc157410883"/>
    </w:p>
    <w:bookmarkEnd w:id="65"/>
    <w:p w14:paraId="1A803EBA">
      <w:pPr>
        <w:autoSpaceDE w:val="0"/>
        <w:autoSpaceDN w:val="0"/>
        <w:adjustRightInd w:val="0"/>
        <w:snapToGrid w:val="0"/>
        <w:spacing w:line="454" w:lineRule="atLeast"/>
        <w:rPr>
          <w:rFonts w:ascii="宋体" w:eastAsia="宋体" w:cs="Times New Roman"/>
          <w:bCs w:val="0"/>
          <w:kern w:val="2"/>
          <w:sz w:val="22"/>
          <w:szCs w:val="22"/>
        </w:rPr>
      </w:pPr>
      <w:r>
        <w:rPr>
          <w:rFonts w:ascii="宋体" w:eastAsia="宋体" w:cs="Times New Roman"/>
          <w:bCs w:val="0"/>
          <w:kern w:val="2"/>
          <w:sz w:val="22"/>
          <w:szCs w:val="22"/>
        </w:rPr>
        <w:t>一、总则</w:t>
      </w:r>
    </w:p>
    <w:p w14:paraId="435EE376">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ascii="宋体" w:eastAsia="宋体" w:cs="Times New Roman"/>
          <w:b w:val="0"/>
          <w:bCs w:val="0"/>
          <w:color w:val="auto"/>
          <w:kern w:val="2"/>
          <w:sz w:val="22"/>
          <w:szCs w:val="22"/>
        </w:rPr>
        <w:t>1、供应商必须对所投所有服务进行报价，否则按无效投标处理；</w:t>
      </w:r>
    </w:p>
    <w:p w14:paraId="290EC312">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ascii="宋体" w:eastAsia="宋体" w:cs="Times New Roman"/>
          <w:b w:val="0"/>
          <w:bCs w:val="0"/>
          <w:color w:val="auto"/>
          <w:kern w:val="2"/>
          <w:sz w:val="22"/>
          <w:szCs w:val="22"/>
        </w:rPr>
        <w:t>2、本技术规范要求提出的是最低限度的基本技术要求，并未对所有技术细节作出规定，供应商应提供符合本技术要求和国家标准、行业标准的优质服务。</w:t>
      </w:r>
    </w:p>
    <w:p w14:paraId="7633FF71">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ascii="宋体" w:eastAsia="宋体" w:cs="Times New Roman"/>
          <w:b w:val="0"/>
          <w:bCs w:val="0"/>
          <w:color w:val="auto"/>
          <w:kern w:val="2"/>
          <w:sz w:val="22"/>
          <w:szCs w:val="22"/>
        </w:rPr>
        <w:t>3、供应商服务与本技术要求不一致时，供应商应在谈判响应文件中予以说明，并由谈判采购小组鉴定供应商产品能否达到要求。如供应商没有在谈判响应文件中提出异议，则视为供应商提供的服务完全按照本采购文件要求，并在合同验收时按采购文件要求验收。</w:t>
      </w:r>
    </w:p>
    <w:p w14:paraId="5F6B2CDD">
      <w:pPr>
        <w:autoSpaceDE w:val="0"/>
        <w:autoSpaceDN w:val="0"/>
        <w:adjustRightInd w:val="0"/>
        <w:snapToGrid w:val="0"/>
        <w:spacing w:line="454" w:lineRule="atLeast"/>
        <w:rPr>
          <w:rFonts w:hint="eastAsia" w:ascii="宋体" w:eastAsia="宋体" w:cs="Times New Roman"/>
          <w:bCs w:val="0"/>
          <w:kern w:val="2"/>
          <w:sz w:val="22"/>
          <w:szCs w:val="22"/>
        </w:rPr>
      </w:pPr>
      <w:r>
        <w:rPr>
          <w:rFonts w:hint="eastAsia" w:ascii="宋体" w:eastAsia="宋体" w:cs="Times New Roman"/>
          <w:bCs w:val="0"/>
          <w:kern w:val="2"/>
          <w:sz w:val="22"/>
          <w:szCs w:val="22"/>
        </w:rPr>
        <w:t>二、采购内容及要求</w:t>
      </w:r>
    </w:p>
    <w:p w14:paraId="42FE7157">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（一）招标清单</w:t>
      </w:r>
    </w:p>
    <w:p w14:paraId="020DDCDA">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本次招标</w:t>
      </w:r>
      <w:r>
        <w:rPr>
          <w:rFonts w:ascii="宋体" w:eastAsia="宋体" w:cs="Times New Roman"/>
          <w:b w:val="0"/>
          <w:bCs w:val="0"/>
          <w:color w:val="auto"/>
          <w:kern w:val="2"/>
          <w:sz w:val="22"/>
          <w:szCs w:val="22"/>
        </w:rPr>
        <w:t>内容为</w:t>
      </w:r>
      <w:r>
        <w:rPr>
          <w:rFonts w:hint="eastAsia" w:ascii="宋体" w:eastAsia="宋体" w:cs="Times New Roman"/>
          <w:b w:val="0"/>
          <w:bCs w:val="0"/>
          <w:color w:val="auto"/>
          <w:kern w:val="2"/>
          <w:sz w:val="22"/>
          <w:szCs w:val="22"/>
        </w:rPr>
        <w:t>市政道路、桥梁检测、隧道检测，中标单位需在检测服务合同签订后60日</w:t>
      </w:r>
      <w:r>
        <w:rPr>
          <w:rFonts w:hint="eastAsia" w:ascii="宋体" w:eastAsia="宋体" w:cs="Times New Roman"/>
          <w:b w:val="0"/>
          <w:bCs w:val="0"/>
          <w:color w:val="auto"/>
          <w:kern w:val="2"/>
          <w:sz w:val="22"/>
          <w:szCs w:val="22"/>
          <w:highlight w:val="none"/>
        </w:rPr>
        <w:t>历天</w:t>
      </w:r>
      <w:r>
        <w:rPr>
          <w:rFonts w:hint="eastAsia" w:ascii="宋体" w:eastAsia="宋体" w:cs="Times New Roman"/>
          <w:b w:val="0"/>
          <w:bCs w:val="0"/>
          <w:color w:val="auto"/>
          <w:kern w:val="2"/>
          <w:sz w:val="22"/>
          <w:szCs w:val="22"/>
        </w:rPr>
        <w:t>内完成包括全部桥梁护栏评级在内的所有检测工作，建立桥梁资料卡及一桥一档资料，道路、隧道检测资料，</w:t>
      </w:r>
      <w:r>
        <w:rPr>
          <w:rFonts w:ascii="宋体" w:eastAsia="宋体" w:cs="Times New Roman"/>
          <w:b w:val="0"/>
          <w:bCs w:val="0"/>
          <w:color w:val="auto"/>
          <w:kern w:val="2"/>
          <w:sz w:val="22"/>
          <w:szCs w:val="22"/>
        </w:rPr>
        <w:t>并</w:t>
      </w:r>
      <w:r>
        <w:rPr>
          <w:rFonts w:hint="eastAsia" w:ascii="宋体" w:eastAsia="宋体" w:cs="Times New Roman"/>
          <w:b w:val="0"/>
          <w:bCs w:val="0"/>
          <w:color w:val="auto"/>
          <w:kern w:val="2"/>
          <w:sz w:val="22"/>
          <w:szCs w:val="22"/>
        </w:rPr>
        <w:t>将道路、隧道、桥梁基本信息及检测结果录入采购人指定的信息管理系统，格式以系统格式为准。</w:t>
      </w:r>
    </w:p>
    <w:tbl>
      <w:tblPr>
        <w:tblStyle w:val="61"/>
        <w:tblW w:w="9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20"/>
        <w:gridCol w:w="1121"/>
        <w:gridCol w:w="23"/>
        <w:gridCol w:w="1759"/>
        <w:gridCol w:w="181"/>
        <w:gridCol w:w="992"/>
        <w:gridCol w:w="440"/>
        <w:gridCol w:w="583"/>
        <w:gridCol w:w="358"/>
        <w:gridCol w:w="753"/>
        <w:gridCol w:w="365"/>
        <w:gridCol w:w="952"/>
        <w:gridCol w:w="16"/>
        <w:gridCol w:w="36"/>
        <w:gridCol w:w="1260"/>
      </w:tblGrid>
      <w:tr w14:paraId="397B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33E974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14:paraId="358C5C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乡、镇、街道</w:t>
            </w:r>
          </w:p>
        </w:tc>
        <w:tc>
          <w:tcPr>
            <w:tcW w:w="1963" w:type="dxa"/>
            <w:gridSpan w:val="3"/>
            <w:tcBorders>
              <w:top w:val="single" w:color="auto" w:sz="4" w:space="0"/>
              <w:left w:val="single" w:color="auto" w:sz="4" w:space="0"/>
              <w:bottom w:val="single" w:color="auto" w:sz="4" w:space="0"/>
              <w:right w:val="single" w:color="auto" w:sz="4" w:space="0"/>
            </w:tcBorders>
            <w:noWrap w:val="0"/>
            <w:vAlign w:val="center"/>
          </w:tcPr>
          <w:p w14:paraId="0FFFD5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14:paraId="42409B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类型</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14:paraId="58067A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桥长</w:t>
            </w:r>
          </w:p>
        </w:tc>
        <w:tc>
          <w:tcPr>
            <w:tcW w:w="1118" w:type="dxa"/>
            <w:gridSpan w:val="2"/>
            <w:tcBorders>
              <w:top w:val="single" w:color="auto" w:sz="4" w:space="0"/>
              <w:left w:val="single" w:color="auto" w:sz="4" w:space="0"/>
              <w:bottom w:val="single" w:color="auto" w:sz="4" w:space="0"/>
              <w:right w:val="single" w:color="auto" w:sz="4" w:space="0"/>
            </w:tcBorders>
            <w:noWrap w:val="0"/>
            <w:vAlign w:val="center"/>
          </w:tcPr>
          <w:p w14:paraId="245744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跨径组成</w:t>
            </w:r>
          </w:p>
        </w:tc>
        <w:tc>
          <w:tcPr>
            <w:tcW w:w="968" w:type="dxa"/>
            <w:gridSpan w:val="2"/>
            <w:tcBorders>
              <w:top w:val="single" w:color="auto" w:sz="4" w:space="0"/>
              <w:left w:val="single" w:color="auto" w:sz="4" w:space="0"/>
              <w:bottom w:val="single" w:color="auto" w:sz="4" w:space="0"/>
              <w:right w:val="single" w:color="auto" w:sz="4" w:space="0"/>
            </w:tcBorders>
            <w:noWrap w:val="0"/>
            <w:vAlign w:val="center"/>
          </w:tcPr>
          <w:p w14:paraId="35064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桥宽</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784A63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0F98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737" w:type="dxa"/>
            <w:gridSpan w:val="16"/>
            <w:tcBorders>
              <w:top w:val="single" w:color="auto" w:sz="4" w:space="0"/>
              <w:left w:val="single" w:color="000000" w:sz="8" w:space="0"/>
              <w:bottom w:val="single" w:color="000000" w:sz="4" w:space="0"/>
              <w:right w:val="single" w:color="000000" w:sz="4" w:space="0"/>
            </w:tcBorders>
            <w:noWrap w:val="0"/>
            <w:vAlign w:val="center"/>
          </w:tcPr>
          <w:p w14:paraId="5FBAAFB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一、桥梁常规性检测和结构性检测</w:t>
            </w:r>
          </w:p>
        </w:tc>
      </w:tr>
      <w:tr w14:paraId="4D92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nil"/>
              <w:left w:val="single" w:color="000000" w:sz="8" w:space="0"/>
              <w:bottom w:val="single" w:color="000000" w:sz="4" w:space="0"/>
              <w:right w:val="single" w:color="000000" w:sz="4" w:space="0"/>
            </w:tcBorders>
            <w:noWrap w:val="0"/>
            <w:vAlign w:val="center"/>
          </w:tcPr>
          <w:p w14:paraId="554FAA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1441" w:type="dxa"/>
            <w:gridSpan w:val="2"/>
            <w:tcBorders>
              <w:top w:val="nil"/>
              <w:left w:val="single" w:color="000000" w:sz="4" w:space="0"/>
              <w:bottom w:val="single" w:color="000000" w:sz="4" w:space="0"/>
              <w:right w:val="single" w:color="000000" w:sz="4" w:space="0"/>
            </w:tcBorders>
            <w:noWrap w:val="0"/>
            <w:vAlign w:val="center"/>
          </w:tcPr>
          <w:p w14:paraId="3FEACE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nil"/>
              <w:left w:val="single" w:color="000000" w:sz="4" w:space="0"/>
              <w:bottom w:val="single" w:color="000000" w:sz="4" w:space="0"/>
              <w:right w:val="single" w:color="000000" w:sz="4" w:space="0"/>
            </w:tcBorders>
            <w:noWrap w:val="0"/>
            <w:vAlign w:val="center"/>
          </w:tcPr>
          <w:p w14:paraId="09E75B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千石第一桥</w:t>
            </w:r>
          </w:p>
        </w:tc>
        <w:tc>
          <w:tcPr>
            <w:tcW w:w="1432" w:type="dxa"/>
            <w:gridSpan w:val="2"/>
            <w:tcBorders>
              <w:top w:val="nil"/>
              <w:left w:val="single" w:color="000000" w:sz="4" w:space="0"/>
              <w:bottom w:val="single" w:color="000000" w:sz="4" w:space="0"/>
              <w:right w:val="single" w:color="000000" w:sz="4" w:space="0"/>
            </w:tcBorders>
            <w:noWrap w:val="0"/>
            <w:vAlign w:val="center"/>
          </w:tcPr>
          <w:p w14:paraId="45342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梁桥</w:t>
            </w:r>
          </w:p>
        </w:tc>
        <w:tc>
          <w:tcPr>
            <w:tcW w:w="941" w:type="dxa"/>
            <w:gridSpan w:val="2"/>
            <w:tcBorders>
              <w:top w:val="nil"/>
              <w:left w:val="single" w:color="000000" w:sz="4" w:space="0"/>
              <w:bottom w:val="single" w:color="000000" w:sz="4" w:space="0"/>
              <w:right w:val="single" w:color="000000" w:sz="4" w:space="0"/>
            </w:tcBorders>
            <w:noWrap w:val="0"/>
            <w:vAlign w:val="center"/>
          </w:tcPr>
          <w:p w14:paraId="64E381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nil"/>
              <w:left w:val="single" w:color="000000" w:sz="4" w:space="0"/>
              <w:bottom w:val="single" w:color="000000" w:sz="4" w:space="0"/>
              <w:right w:val="single" w:color="000000" w:sz="4" w:space="0"/>
            </w:tcBorders>
            <w:noWrap w:val="0"/>
            <w:vAlign w:val="center"/>
          </w:tcPr>
          <w:p w14:paraId="7A3FAD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nil"/>
              <w:left w:val="single" w:color="000000" w:sz="4" w:space="0"/>
              <w:bottom w:val="single" w:color="000000" w:sz="4" w:space="0"/>
              <w:right w:val="single" w:color="000000" w:sz="4" w:space="0"/>
            </w:tcBorders>
            <w:noWrap w:val="0"/>
            <w:vAlign w:val="center"/>
          </w:tcPr>
          <w:p w14:paraId="504D87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21m</w:t>
            </w:r>
          </w:p>
        </w:tc>
        <w:tc>
          <w:tcPr>
            <w:tcW w:w="1296" w:type="dxa"/>
            <w:gridSpan w:val="2"/>
            <w:tcBorders>
              <w:top w:val="nil"/>
              <w:left w:val="single" w:color="000000" w:sz="4" w:space="0"/>
              <w:bottom w:val="single" w:color="000000" w:sz="4" w:space="0"/>
              <w:right w:val="single" w:color="000000" w:sz="4" w:space="0"/>
            </w:tcBorders>
            <w:noWrap w:val="0"/>
            <w:vAlign w:val="center"/>
          </w:tcPr>
          <w:p w14:paraId="515D38E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8C0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33DCC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228DF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4EE9C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金河路桥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425AC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2266F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68B30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6DE52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3606E0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599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D3D57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3EBD1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9352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站北桥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34AE7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7A108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C353D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12m+12m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F8E08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8963CD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63E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2FC15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4A766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15C97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夹里村一号桥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88BE1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62C0E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386E9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2678B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5C5DD3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88B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E5BCD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13F83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55EB4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池头村桥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379E1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6199C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EEE06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5A4B1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4C6AB9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10D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494DD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07A89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97ECE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高桥头桥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F09A9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DB4C1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2FFF3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785EA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B5DFAD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B32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37757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160BB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A3054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岭下村一号桥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DD604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9D7D3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16939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1×4m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91B5A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FFED14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1FA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4391A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6ACDC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BFC79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狮子街19</w:t>
            </w:r>
            <w:r>
              <w:rPr>
                <w:rFonts w:hint="eastAsia" w:ascii="宋体" w:hAnsi="宋体" w:eastAsia="宋体" w:cs="宋体"/>
                <w:b w:val="0"/>
                <w:bCs w:val="0"/>
                <w:i w:val="0"/>
                <w:iCs w:val="0"/>
                <w:color w:val="000000"/>
                <w:kern w:val="0"/>
                <w:sz w:val="24"/>
                <w:szCs w:val="24"/>
                <w:u w:val="none"/>
                <w:lang w:val="en-US" w:eastAsia="zh-CN" w:bidi="ar"/>
              </w:rPr>
              <w:t>号路旁桥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01F74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33920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86B7E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1×4m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EDC61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186D4F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6AB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57744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42D0A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D670D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富泉路北桥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6F0B9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7E0C3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5ADBB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69AD1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D68DA3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1D2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55ADB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4B13F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6EC3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老人活动中心前桥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B1483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C98D3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D145B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510A6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3AFFAF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4AA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3A18C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CD7D7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C9977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黄田岙后坑一号桥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7D8EF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51265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E151F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379FC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D268A4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5B6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D09D7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DA22E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C7583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黄田岙后坑二号桥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B81ED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0EF62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13411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2*5.2m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A2BAE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6441CA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0AF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7A30E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334B6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3AA55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兴福桥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00880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94742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FDF7B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F5466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2F43C9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920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C9C09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FD13C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5326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万寿路一桥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6F9A7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559E5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9AD25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532FE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8B8C05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941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83E4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89910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FAE5E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金果路一桥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CE7D2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29F12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E4607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1×4m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5FA41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820593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F61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50622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9D219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32BF1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万寿老人活动中心前桥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E92CE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53A37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7A46B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DC23D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B66050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EDA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489CC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6C303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B867C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东联第三桥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F912E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0F753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D89F6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1×1.9m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A0E4D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6A24EB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605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27869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F6D64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D0139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东联第四桥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060F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D3709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1E106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A6684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6916FF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1EC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758EC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E0AA9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B68F2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奥林桥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E087F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5A829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070E2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F4278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5EBB27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69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81B75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F01BC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E8FBF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繁新桥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28EF0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5A197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EFD0E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C87BB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79D4FB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917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7EC66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37E58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BF7DE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千东南路88</w:t>
            </w:r>
            <w:r>
              <w:rPr>
                <w:rFonts w:hint="eastAsia" w:ascii="宋体" w:hAnsi="宋体" w:eastAsia="宋体" w:cs="宋体"/>
                <w:b w:val="0"/>
                <w:bCs w:val="0"/>
                <w:i w:val="0"/>
                <w:iCs w:val="0"/>
                <w:color w:val="000000"/>
                <w:kern w:val="0"/>
                <w:sz w:val="24"/>
                <w:szCs w:val="24"/>
                <w:u w:val="none"/>
                <w:lang w:val="en-US" w:eastAsia="zh-CN" w:bidi="ar"/>
              </w:rPr>
              <w:t>号前桥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810D5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16899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80011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5C066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4.75m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0A7495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A8F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71F1D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95E9D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A4522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千东南路61</w:t>
            </w:r>
            <w:r>
              <w:rPr>
                <w:rFonts w:hint="eastAsia" w:ascii="宋体" w:hAnsi="宋体" w:eastAsia="宋体" w:cs="宋体"/>
                <w:b w:val="0"/>
                <w:bCs w:val="0"/>
                <w:i w:val="0"/>
                <w:iCs w:val="0"/>
                <w:color w:val="000000"/>
                <w:kern w:val="0"/>
                <w:sz w:val="24"/>
                <w:szCs w:val="24"/>
                <w:u w:val="none"/>
                <w:lang w:val="en-US" w:eastAsia="zh-CN" w:bidi="ar"/>
              </w:rPr>
              <w:t>号前桥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7013C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41C45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4.36m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2CE5A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1×4.36m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DCB3B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ED9BFE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05A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01D06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0EB9F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0E912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东联一桥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2F752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DEC50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7.65m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C0875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1×7.65m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C07C6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C44BF9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A3D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A2B38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45B2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黄田街道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9A14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后垟路一桥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75861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74332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FCB2C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1×9.3m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1F800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3105CF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B91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F4549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12F1B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C0563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三桥路桥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92B7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5C85F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7A62D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2E81E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260F40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5D0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50371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969E5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DE5A1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林垟桥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30C04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5A40F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EE8D9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0B4AF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E79D93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E38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25167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2ADBF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F295E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张堡工业桥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6C381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E872A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82F2E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1901F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E00887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693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3F55A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4E94D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0BFC2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江美桥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6BF76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5498C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E6D4E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5E4D3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86693C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5D4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C0B82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4646A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8DD8C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富民桥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9EABE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1BA81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DF1C8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B721A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9DD1B7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E72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D66BF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85B9E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6561C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堡二行人桥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21270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0752C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C2A4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1×17.5m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A0E4E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C2048E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9B0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5D6C1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24844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F7555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堡二桥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BD20B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7EBF4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1FEAF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ED7D1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78A20D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04E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DF0FD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49829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90B5F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堡二大桥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E5F44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D3B29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DCE27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33628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069F8E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585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AEC13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CA388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4010F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青峰桥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C48E3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FCFA6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5EE24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9C7AD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55EF54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BE3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5C64A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E96A0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A2EB5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红黄蓝桥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D9972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EA842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C5BA5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14m+14m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76310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289579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F88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6CC63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26D88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B3C39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林浦桥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19669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571B0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27.5m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35A89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20m+7.5m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BB12D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049ADA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9B3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3C506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90E51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C8965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和谐侨</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A8A2E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93DCE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1FAB4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80115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A1615A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97D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9CAC6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39766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802ED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礁前桥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D488E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6FDDB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FA2B8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59D51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D5F356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FAC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E8404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96E87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8DEB4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礁下桥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12183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DF046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07EB8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7B3D6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D78C97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06E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ED62F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3F37C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DBF34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千禧桥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36301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FA129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C1756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31389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6D0631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657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05CAD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7E356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574B2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园区大桥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A4253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78A37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44B5F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C718C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9F8E4C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DB6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8518C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AC5A6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FD233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亚龙桥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6E648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ED019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DDFB9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881E5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F2E3EE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E0D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88790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C2426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B5102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祥和物业旁桥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4048A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F30E3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C2C1C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E01F0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416072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034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78B6F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C88F7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79687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和三桥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66A3D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梁桥（9块梁板）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0FCD9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2A2BF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8C8F0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3D8B63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D0E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D96B1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1345F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B3CA6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礁和桥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F24C5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梁桥（9块梁板）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EC5AE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EA393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9DA86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EBB817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EF0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651CE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CB9D4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1F967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林浦桥2</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90817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60646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2C24C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0402F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21E8BC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1FB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8B861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BCB7E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ED165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浦边桥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29BAA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1B118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6F30B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90B54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BF13D9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34A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D2D9C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CC24E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72508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黎扬桥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45E3E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CF6E0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11170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B7120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01C55E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3F5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7FFB2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81C4E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25C56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双塔路桥（统邦集团）</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54AA0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05B92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EF7B2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499CA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A8397B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45F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E7FFC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012C7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1927B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五星桥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7416E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192B9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C1072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263E8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1D0615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8DE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73786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CEC43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0219A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科一桥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38CF3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C1D9F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A61F5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F7E80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F9285A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B01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DB2EA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584E6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61FB7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五星路与河滨东路交叉口</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9DFCF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7ECEE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185A9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1CC7B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43.5m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270AB9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FDA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A660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AD853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6D47B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上河浦（张堡东路）桥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A1CD1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18E9A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5FB13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5427E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63FE0E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0E5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423BF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14A79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704A1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舟山路一号桥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713D9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075A5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32FA9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1B252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FD112D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90B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D51F5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2E171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E99F5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张堡北路桥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86B90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DF8DE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EC7A2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D1999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ABC31F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B6E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35083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BEA3D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2EF42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青峰一号桥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63518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A005C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A3B1A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D4645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51C465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A22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C27C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C5728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3F259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青峰二号桥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711E3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C3F45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E229A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48FD3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672846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33A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88361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16D10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B0072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青峰三号桥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DA800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三跨涵洞</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8668A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33477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3*4.5m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570A8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3AC3BC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834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03E8B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F5D11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446C6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青峰四号桥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17909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三跨涵洞</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CFA6B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3D521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3*4.5m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D3C62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4CF94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1E4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3900C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CF087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D9344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堡一安置房前桥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A02DA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60D48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5E85E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172F7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890BF1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C4B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77504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6BCF3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7D1C7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老罗浮桥(无名桥)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DACF1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CC9B7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2FAA4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44753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3923B4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198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440FA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45312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5E14B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罗浮大桥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868B1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6D815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1DF99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C3F22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3F18C1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F61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48445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50F31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FAB0F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创业桥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C76DE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EB74D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0C5E4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38A66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D80925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AF2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F88EF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F3674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99838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江北一桥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BB464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AF96C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8DEAB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D52FC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3.85m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C018E6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2ED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66B13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50B38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11480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工业桥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6C8BC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5811A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CBCF3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8EC33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432B32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49B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2D221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E1287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2DCE9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龙路新路桥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C188F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EF557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3BD28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3AA69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6E94D5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72E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5C365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57D26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D0A4D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龙塘大桥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B64A4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5E6AF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7CC9D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D966C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68A2D2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613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19975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DF8C5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CB7E2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昌新路桥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BA430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518BA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498DE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9674D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EE4AD5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447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3589E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CFC06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5669C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繁荣桥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19F49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2C67C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AC3E3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5E372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8E7CFD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A52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75259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B7D3D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482A0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赵宅桥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17740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DFB01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2E06F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E969C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37FC21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8A9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121D2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E47E1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A106E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芦桥桥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72ED6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FA949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D6D5A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5395F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AD9935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3F3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FAB28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0149A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BE5F1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吉祥桥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0ADF3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A6795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5E8A7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65C07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801DEC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925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B87C9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6F48F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75B99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江北大街桥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797AF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42F52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498F0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1×6.5m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C7C9D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A5E536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7E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CC960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DD0BB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BA31F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向阳亭大桥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7F6A5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35680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17A2B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C7225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6EB2F6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FBD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27A28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A39C5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4B455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浦东大桥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BD071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321AB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F705E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318AA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0E3436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FC3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34AB9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89E36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1A337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吉利桥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96C54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DA433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316D8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1×11.9m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611F3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EE3FCE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913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4ED1A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B0CD3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B14F3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萧桥头大桥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105F8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9F2B3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486D7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6FB50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C53969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12B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AF910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91739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92F37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浦二一桥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A5832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12D12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0216B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DDF87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8A46C6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C3B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0D253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8D776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8A5BF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后垟桥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EE61C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B8A9B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AD710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D695C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31.25m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686D27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77E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E5A5F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FA018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A0C60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浦二大桥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28BD2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7C8E6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8EAB1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5A816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56BF0C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499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E458B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F204F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55B63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浦西桥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9E7B5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1C789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501C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右</w:t>
            </w:r>
            <w:r>
              <w:rPr>
                <w:rStyle w:val="629"/>
                <w:rFonts w:eastAsia="宋体"/>
                <w:b w:val="0"/>
                <w:bCs w:val="0"/>
                <w:lang w:val="en-US" w:eastAsia="zh-CN" w:bidi="ar"/>
              </w:rPr>
              <w:t>1×9m</w:t>
            </w:r>
            <w:r>
              <w:rPr>
                <w:rStyle w:val="635"/>
                <w:b w:val="0"/>
                <w:bCs w:val="0"/>
                <w:lang w:val="en-US" w:eastAsia="zh-CN" w:bidi="ar"/>
              </w:rPr>
              <w:t>，左</w:t>
            </w:r>
            <w:r>
              <w:rPr>
                <w:rStyle w:val="629"/>
                <w:rFonts w:eastAsia="宋体"/>
                <w:b w:val="0"/>
                <w:bCs w:val="0"/>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D16B8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D55911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C64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4F199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EB2C7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C4AE5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王家坞桥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78742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DD850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BF1C8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CD6B1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39m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EC3937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BD7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0B717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3BAC8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9DD4E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新浦桥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94AED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CA3E3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F5873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4E21C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77B1AE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20F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3456D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6025C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AD9D5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罗浦水闸前桥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4E315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E1D38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C3171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CB663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AF88D9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ED3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031BD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2EF79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CD2A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罗浦西路与双塔路交叉口桥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DCE07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梁桥(两幅）</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E1159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C91FA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05127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D7FD3F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D46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C597F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EC4BE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76721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瓯北二小桥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5B08E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F9AD9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9D74A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19724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2DCAE1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63D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A5884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8C922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25F4A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创新桥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1D911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20924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56AC4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A8272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5851E9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D30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FABFA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A1853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17834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绿岛二桥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F7AE6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D6DE5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6C91F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553B4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FCFAA1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5AA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B2383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FD6DD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D87E7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绿岛桥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6CA5B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BB8FE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2536E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89BF9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A8880D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622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BEC0C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0B30C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9626D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龙桥新桥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51B73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C3518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93572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2A085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000F58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779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A2FFF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58517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EB106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太平桥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FE286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2A3C8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3FB88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E6E26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770DB0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B79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30269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D4062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CDBCA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五中桥（五中学校旁）</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48FB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B240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6F1A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7F75B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7E8B9A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DC0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69E48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F8C29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10E99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昌新路桥（与双塔路交叉口）</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E1680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930FF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9570D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E0E21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AF0F1A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9E6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0EDCE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71368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1EE16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龙浦桥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2D8F1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2A0FC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325D7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078BC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3C5A36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754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63EB4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CE354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8C43F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友谊桥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02ED6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6077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B2869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71661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6A7287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C14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3B416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2D893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4FDAD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江北街二桥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E4644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B46AC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F31BE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0CC1A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25.5m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712B6A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882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5247C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B4400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19528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码道一桥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EDD80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77302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A8411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BE191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1D67B8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31E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663C9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D1581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4CD14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码道二桥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E0077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12F5F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564C0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24F18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E89BCE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C34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66EA4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5D634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58EAB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致富桥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2E213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54435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CA81D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E16CD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D04CD5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44B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F1E3B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D1C56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B79B2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思源桥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9582A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63B7C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E62D9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39A65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F5EAB6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D5A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92DD2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720A8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EA12D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家坞大桥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588E3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A3ED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A38A7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D7E07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3DEA93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03C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804CA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9C431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45BCB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沿河路桥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E1510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67E2D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4A70D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D44C8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C17369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E29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F3D8E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0477B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12D4C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浦西街桥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3AFFA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98C5D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7CE77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71EBC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A8EF4B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3CD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85D69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F3C6A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C3209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十八米桥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3A2DC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938DF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4F96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3A6AC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6D403B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824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DAA38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3FBAD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D0687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佳豪鞋材旁桥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B3103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F377F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813F0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0F221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128506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92A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44920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05CA8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49B9D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红日家具装饰公司旁桥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69695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89BE3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9059C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0BEEB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5F4697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B31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7DE7E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1F88C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06863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罗中桥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89DAD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8D9E8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36970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93658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B95865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EC2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099C5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0B9A0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F9E64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山岙桥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08F28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A0AE1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D4F24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6A66E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38BEFD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703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1EBB3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3CBDC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62304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知泉桥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822D9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梁桥（T梁)</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5A58A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D1104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3B8E6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B0C708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A51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5B429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865D4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7438B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白水三桥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4424F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6D683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AEE73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5m+5m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CC78B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B6822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A4C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C4D43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16106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43E5D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峑澈桥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EAC73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9AAA4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B8C5C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6F8CA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92F18D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928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F3880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A1197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3B5F6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白水一桥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DA063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01EBA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00EC5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10FE3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CC43BF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68D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B3632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D1A7E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C518D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澄鲜桥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15BE7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DB19E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A5331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3.5m*3</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72058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98CC36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8AD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FDC99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2FF75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29F80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马岙村桥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34524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D1F97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5A5F7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D1ABA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AFEA95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C96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4E192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7E268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0F9B8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中华桥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BE255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07783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940F3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C53EB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EE48C4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DBB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9BA21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0B7A1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6E036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奔达桥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9699C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1F166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AF6B4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448B7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DC161E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CAD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82628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FC7AC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瓯北街道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3D698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和二桥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408C5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05697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56437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B914C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C4D9DD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9F0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D4F55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235DE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A7AB9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起步桥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70C95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DDA4A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E85F0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76556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23.1m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19A043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D0B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0D301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7F11F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D42C2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下堡墩前桥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27021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B36DC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C47E2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D8341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90B15B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81B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6CF09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38AB0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3E3C8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新电大前桥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96504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25F9C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C6D3B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8AB94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D106F8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E8F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74361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0F66E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30D44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中塘中心桥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C0022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预应力简支梁桥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228D5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368F8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4*16</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9E36A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AD03FD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134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3E63B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AF1F3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28E2B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县前东路桥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CF0D6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08222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951E5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3CAF0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23781A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E64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97237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B7A69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52D6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鹅浦河桥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37984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D0507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0E6D1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F9E21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3AD912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CAA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707CD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E4C59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54E0D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下堡浦桥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29D63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24897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5AC54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136EF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FDBCD7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342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E1BCE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E3390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D9CF0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永嘉广场旁边桥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D52F1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带肋板式梁</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71D4A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12C0A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BDF89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23.85m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1265A4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710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AC09C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6BA92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4347A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中塘溪公园旁桥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F71C3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DDF08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8B213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C925C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20A7D2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A46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D6F4E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29203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A4376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秀水桥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FE079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预应力简支梁桥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70D24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45216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80AA4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B4EC27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0D1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787EB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1F09B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72FDD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永兴桥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DFA80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预应力简支梁桥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22CF7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91C39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76237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4E8A66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74F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A5E95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1AF3E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A7C17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永兴北路1</w:t>
            </w:r>
            <w:r>
              <w:rPr>
                <w:rFonts w:hint="eastAsia" w:ascii="宋体" w:hAnsi="宋体" w:eastAsia="宋体" w:cs="宋体"/>
                <w:b w:val="0"/>
                <w:bCs w:val="0"/>
                <w:i w:val="0"/>
                <w:iCs w:val="0"/>
                <w:color w:val="000000"/>
                <w:kern w:val="0"/>
                <w:sz w:val="24"/>
                <w:szCs w:val="24"/>
                <w:u w:val="none"/>
                <w:lang w:val="en-US" w:eastAsia="zh-CN" w:bidi="ar"/>
              </w:rPr>
              <w:t>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BC340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4D6D4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F415B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99BF4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29m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188C0A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C06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B701F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2C66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460B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勤奋桥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764589B">
            <w:pPr>
              <w:jc w:val="center"/>
              <w:rPr>
                <w:rFonts w:hint="eastAsia" w:ascii="宋体" w:hAnsi="宋体" w:eastAsia="宋体" w:cs="宋体"/>
                <w:i w:val="0"/>
                <w:iCs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AEB0372">
            <w:pPr>
              <w:jc w:val="center"/>
              <w:rPr>
                <w:rFonts w:hint="default" w:ascii="Times New Roman" w:hAnsi="Times New Roman" w:eastAsia="宋体" w:cs="Times New Roman"/>
                <w:i w:val="0"/>
                <w:iCs w:val="0"/>
                <w:color w:val="000000"/>
                <w:sz w:val="24"/>
                <w:szCs w:val="24"/>
                <w:u w:val="none"/>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905D0A9">
            <w:pPr>
              <w:jc w:val="center"/>
              <w:rPr>
                <w:rFonts w:hint="default" w:ascii="Times New Roman" w:hAnsi="Times New Roman" w:eastAsia="宋体" w:cs="Times New Roman"/>
                <w:i w:val="0"/>
                <w:iCs w:val="0"/>
                <w:color w:val="000000"/>
                <w:sz w:val="20"/>
                <w:szCs w:val="20"/>
                <w:u w:val="none"/>
              </w:rPr>
            </w:pP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B544E27">
            <w:pPr>
              <w:jc w:val="center"/>
              <w:rPr>
                <w:rFonts w:hint="default" w:ascii="Times New Roman" w:hAnsi="Times New Roman" w:eastAsia="宋体" w:cs="Times New Roman"/>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2F0A6A3">
            <w:pPr>
              <w:jc w:val="center"/>
              <w:rPr>
                <w:rFonts w:hint="default" w:ascii="Times New Roman" w:hAnsi="Times New Roman" w:eastAsia="宋体" w:cs="Times New Roman"/>
                <w:i w:val="0"/>
                <w:iCs w:val="0"/>
                <w:color w:val="000000"/>
                <w:sz w:val="24"/>
                <w:szCs w:val="24"/>
                <w:u w:val="none"/>
              </w:rPr>
            </w:pPr>
          </w:p>
        </w:tc>
      </w:tr>
      <w:tr w14:paraId="1599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AA30B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589E8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3E70E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中塘桥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0DB7C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840DC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23351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D4323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BCFB66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9D4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3571C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9FE18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1A528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菜场口桥（沿江路）</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65C39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桁架式拱桥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49700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CF39E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B04A9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B24307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0EB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33DCA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D5A05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37EEC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菜场口桥（永建路）</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9397F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96AD4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A5A4B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6EFEE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1C4021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FEA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E1FF6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321A0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东城街道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854EB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桥汇桥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90024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整体板桥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99A44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10058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EF56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DDDF5C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E4D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D81BA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13313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46E73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中枢桥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AE144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梁桥（7</w:t>
            </w:r>
            <w:r>
              <w:rPr>
                <w:rFonts w:hint="eastAsia" w:ascii="宋体" w:hAnsi="宋体" w:eastAsia="宋体" w:cs="宋体"/>
                <w:b w:val="0"/>
                <w:bCs w:val="0"/>
                <w:i w:val="0"/>
                <w:iCs w:val="0"/>
                <w:color w:val="000000"/>
                <w:kern w:val="0"/>
                <w:sz w:val="24"/>
                <w:szCs w:val="24"/>
                <w:u w:val="none"/>
                <w:lang w:val="en-US" w:eastAsia="zh-CN" w:bidi="ar"/>
              </w:rPr>
              <w:t>块梁板）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92368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49EB2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25338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BB044A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A74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EF8CB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34813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南城街道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EC188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中川桥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9034F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梁桥（8</w:t>
            </w:r>
            <w:r>
              <w:rPr>
                <w:rFonts w:hint="eastAsia" w:ascii="宋体" w:hAnsi="宋体" w:eastAsia="宋体" w:cs="宋体"/>
                <w:b w:val="0"/>
                <w:bCs w:val="0"/>
                <w:i w:val="0"/>
                <w:iCs w:val="0"/>
                <w:color w:val="000000"/>
                <w:kern w:val="0"/>
                <w:sz w:val="24"/>
                <w:szCs w:val="24"/>
                <w:u w:val="none"/>
                <w:lang w:val="en-US" w:eastAsia="zh-CN" w:bidi="ar"/>
              </w:rPr>
              <w:t>块梁板）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DBB4F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72B84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13m+13m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796B3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769C04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5CC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D8A77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4B4FE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界坑乡</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BA22C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天津桥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5DCC8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3C579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39</w:t>
            </w:r>
            <w:r>
              <w:rPr>
                <w:rFonts w:hint="eastAsia" w:ascii="宋体" w:hAnsi="宋体" w:eastAsia="宋体" w:cs="宋体"/>
                <w:b w:val="0"/>
                <w:bCs w:val="0"/>
                <w:i w:val="0"/>
                <w:iCs w:val="0"/>
                <w:color w:val="000000"/>
                <w:kern w:val="0"/>
                <w:sz w:val="24"/>
                <w:szCs w:val="24"/>
                <w:u w:val="none"/>
                <w:lang w:val="en-US" w:eastAsia="zh-CN" w:bidi="ar"/>
              </w:rPr>
              <w:t>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8CE64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13m*3</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40232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8.1m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2AA47A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4D9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5862F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137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D3640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界坑乡</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E7BA94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石桥涵洞</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55F4763">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现浇板梁</w:t>
            </w:r>
            <w:r>
              <w:rPr>
                <w:rFonts w:hint="default" w:ascii="Times New Roman" w:hAnsi="Times New Roman" w:eastAsia="宋体" w:cs="Times New Roman"/>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石拱桥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AB4D921">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B5BB0B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eastAsia" w:ascii="Times New Roman" w:hAnsi="Times New Roman" w:eastAsia="宋体" w:cs="Times New Roman"/>
                <w:b w:val="0"/>
                <w:bCs w:val="0"/>
                <w:i w:val="0"/>
                <w:iCs w:val="0"/>
                <w:color w:val="000000"/>
                <w:kern w:val="0"/>
                <w:sz w:val="20"/>
                <w:szCs w:val="20"/>
                <w:u w:val="none"/>
                <w:lang w:val="en-US" w:eastAsia="zh-CN" w:bidi="ar"/>
              </w:rPr>
              <w:t>1</w:t>
            </w:r>
            <w:r>
              <w:rPr>
                <w:rFonts w:hint="default" w:ascii="Times New Roman" w:hAnsi="Times New Roman" w:eastAsia="宋体" w:cs="Times New Roman"/>
                <w:b w:val="0"/>
                <w:bCs w:val="0"/>
                <w:i w:val="0"/>
                <w:iCs w:val="0"/>
                <w:color w:val="000000"/>
                <w:kern w:val="0"/>
                <w:sz w:val="20"/>
                <w:szCs w:val="20"/>
                <w:u w:val="none"/>
                <w:lang w:val="en-US" w:eastAsia="zh-CN" w:bidi="ar"/>
              </w:rPr>
              <w:t>*</w:t>
            </w:r>
            <w:r>
              <w:rPr>
                <w:rFonts w:hint="eastAsia" w:ascii="Times New Roman" w:hAnsi="Times New Roman" w:eastAsia="宋体" w:cs="Times New Roman"/>
                <w:b w:val="0"/>
                <w:bCs w:val="0"/>
                <w:i w:val="0"/>
                <w:iCs w:val="0"/>
                <w:color w:val="000000"/>
                <w:kern w:val="0"/>
                <w:sz w:val="20"/>
                <w:szCs w:val="20"/>
                <w:u w:val="none"/>
                <w:lang w:val="en-US" w:eastAsia="zh-CN" w:bidi="ar"/>
              </w:rPr>
              <w:t>6</w:t>
            </w:r>
            <w:r>
              <w:rPr>
                <w:rFonts w:hint="default" w:ascii="Times New Roman" w:hAnsi="Times New Roman" w:eastAsia="宋体" w:cs="Times New Roman"/>
                <w:b w:val="0"/>
                <w:bCs w:val="0"/>
                <w:i w:val="0"/>
                <w:iCs w:val="0"/>
                <w:color w:val="000000"/>
                <w:kern w:val="0"/>
                <w:sz w:val="20"/>
                <w:szCs w:val="20"/>
                <w:u w:val="none"/>
                <w:lang w:val="en-US" w:eastAsia="zh-CN" w:bidi="ar"/>
              </w:rPr>
              <w:t>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32C88D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9m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990DED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ED8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C5E95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61396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界坑乡</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330B3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善水桥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D47FB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79024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39</w:t>
            </w:r>
            <w:r>
              <w:rPr>
                <w:rFonts w:hint="eastAsia" w:ascii="宋体" w:hAnsi="宋体" w:eastAsia="宋体" w:cs="宋体"/>
                <w:b w:val="0"/>
                <w:bCs w:val="0"/>
                <w:i w:val="0"/>
                <w:iCs w:val="0"/>
                <w:color w:val="000000"/>
                <w:kern w:val="0"/>
                <w:sz w:val="24"/>
                <w:szCs w:val="24"/>
                <w:u w:val="none"/>
                <w:lang w:val="en-US" w:eastAsia="zh-CN" w:bidi="ar"/>
              </w:rPr>
              <w:t>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57384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566ED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AE3606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EAA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9D714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49247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界坑乡</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875D7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群英桥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2AE0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实腹式圬工拱桥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7624B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42</w:t>
            </w:r>
            <w:r>
              <w:rPr>
                <w:rFonts w:hint="eastAsia" w:ascii="宋体" w:hAnsi="宋体" w:eastAsia="宋体" w:cs="宋体"/>
                <w:b w:val="0"/>
                <w:bCs w:val="0"/>
                <w:i w:val="0"/>
                <w:iCs w:val="0"/>
                <w:color w:val="000000"/>
                <w:kern w:val="0"/>
                <w:sz w:val="24"/>
                <w:szCs w:val="24"/>
                <w:u w:val="none"/>
                <w:lang w:val="en-US" w:eastAsia="zh-CN" w:bidi="ar"/>
              </w:rPr>
              <w:t>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DDDD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14.0m*3</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D564C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91531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711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82FF2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375AD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界坑乡</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92342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崇善桥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36FAB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简支板桥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24D4A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39</w:t>
            </w:r>
            <w:r>
              <w:rPr>
                <w:rFonts w:hint="eastAsia" w:ascii="宋体" w:hAnsi="宋体" w:eastAsia="宋体" w:cs="宋体"/>
                <w:b w:val="0"/>
                <w:bCs w:val="0"/>
                <w:i w:val="0"/>
                <w:iCs w:val="0"/>
                <w:color w:val="000000"/>
                <w:kern w:val="0"/>
                <w:sz w:val="24"/>
                <w:szCs w:val="24"/>
                <w:u w:val="none"/>
                <w:lang w:val="en-US" w:eastAsia="zh-CN" w:bidi="ar"/>
              </w:rPr>
              <w:t>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45052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13m*3</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A8A3F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B0CCFC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4F4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A7F58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65DDA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7F69E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三板桥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0C950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B662E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B6D62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48DEE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FE7F66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E45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594C4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03805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EE4C9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下桥头桥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23E73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85E7F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9A12D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1×4.2m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30C2B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B2E551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565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16B7D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77EB7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B3CF7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石拱桥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C6AA3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ACBBB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2947E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7DCEC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35E25E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26E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2BAF2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936AE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7D266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屿根桥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D7573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E4A7D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02639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1×4m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36C4A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FD4F07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CD0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D7B4A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A4DBD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4576E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石拱桥2</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444E0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FBF70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90AA3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9B721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7EE231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F4A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D00EF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FB8A0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51882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双溪桥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8C3BA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B0570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CD317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4209C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E50EAA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8FA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07CD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F6D98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C7864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天华桥（田洋桥）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FBD86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218AE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01D8E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2×7.5m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212CD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9411BD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DB3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730AE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16F65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1B439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石头桥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4F051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1632B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84E00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9CA8A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5292CE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05E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B1A1F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A382D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483D8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村西桥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37F31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18CC0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7CAC6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C6D28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73BCC6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F99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B4A75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366C0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C6462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下坑边桥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F0808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F9555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21m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BF427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E0D1D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D2BC9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25B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C465F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1031A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巽宅镇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AC96D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巽宅大桥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973DB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8222A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8153E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2×28m+8m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B7B54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8.00m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6ECF06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964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62F83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599BA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巽宅镇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8A59E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巽宅二桥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E9C44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A29F2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4A95B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EF158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CBCB21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310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80E5C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138FC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2AA9B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振兴桥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1483D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梁桥（8块）</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18F6D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B5991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45F56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11.08m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D06C0B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E7E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74A44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CC51C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E91B0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友谊桥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55D67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415A7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E7059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17F75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4D9210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A22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1E201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A504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DC6D5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繁荣桥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8ED50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梁桥（7块）</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A47D4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CAC54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58AFB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4C6B4B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F42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252B6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A4FEA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9DE0E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新宅桥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6AA8E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76DA1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BBCC6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EABAD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DC1170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AA7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59213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96A8D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0E8EF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荣华桥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1E196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B2456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A9745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1×11m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9B8D3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B42BF3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E9D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59AC0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3ED30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7BFFB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祥池东垟桥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78EEF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ACE94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9BF78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FF6E2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B4D459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0CB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46F59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1C67B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6E38D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港归桥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F5E44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双曲拱桥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C5968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8CD2D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147C5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1F928F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FD2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14899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B717F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A09EE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西垟第四桥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E6C1A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BF3AA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6D647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D9EC7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743E37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F9B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FB9FE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231D2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AC3EF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岭下中心桥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6D05B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712F4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E4F98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48E2A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D6BEAB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4FF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6323C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F394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6AB91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鸭鹅桥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5A28B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桥涵</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FB5E2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383C8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1E610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BCEBE8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CE5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124D1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9CA4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3280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陡门头桥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C0D0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简支板桥，</w:t>
            </w:r>
            <w:r>
              <w:rPr>
                <w:rFonts w:hint="default" w:ascii="Times New Roman" w:hAnsi="Times New Roman" w:eastAsia="宋体" w:cs="Times New Roman"/>
                <w:b w:val="0"/>
                <w:bCs w:val="0"/>
                <w:i w:val="0"/>
                <w:iCs w:val="0"/>
                <w:color w:val="000000"/>
                <w:kern w:val="0"/>
                <w:sz w:val="24"/>
                <w:szCs w:val="24"/>
                <w:u w:val="none"/>
                <w:lang w:val="en-US" w:eastAsia="zh-CN" w:bidi="ar"/>
              </w:rPr>
              <w:t>T</w:t>
            </w:r>
            <w:r>
              <w:rPr>
                <w:rFonts w:hint="eastAsia" w:ascii="宋体" w:hAnsi="宋体" w:eastAsia="宋体" w:cs="宋体"/>
                <w:b w:val="0"/>
                <w:bCs w:val="0"/>
                <w:i w:val="0"/>
                <w:iCs w:val="0"/>
                <w:color w:val="000000"/>
                <w:kern w:val="0"/>
                <w:sz w:val="24"/>
                <w:szCs w:val="24"/>
                <w:u w:val="none"/>
                <w:lang w:val="en-US" w:eastAsia="zh-CN" w:bidi="ar"/>
              </w:rPr>
              <w:t>梁</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E8A0A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93.9m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9C964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8m+11.7m+13.5.m*4+13.2m+7.0m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CD45E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9.14m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760478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CE1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B1F3C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5EAF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BA74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埭头桥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2CBD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简支板桥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55D8F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64ADA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1*9.0m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A967F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87B497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9E5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55CC3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33DC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29D6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横岚桥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5BB3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现浇板桥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668DA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81B0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0.4m+9.2m+0.4m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1E432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822C60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64A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1A514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4904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乌牛街道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92AA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庆丰桥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07B5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现浇板梁桥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86F8B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5E4D5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0.25m+5.8m+0.25m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55B94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200F33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B2E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3B820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A7281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枫林镇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191A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黄桥头</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925C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现浇梁桥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1D9CD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78F40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1*12.5m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E21E8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ADF0FA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CE2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5AAD8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DF46B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枫林镇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7F195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时前巷桥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279E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现浇梁桥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C13E3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3.0m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6F846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EE52B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5C4277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B8D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BA2C1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F0AE2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枫林镇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9FC26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后畔溪桥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FA7B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简支梁板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4348F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F0B05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w:t>
            </w:r>
            <w:r>
              <w:rPr>
                <w:rFonts w:hint="eastAsia" w:ascii="宋体" w:hAnsi="宋体" w:eastAsia="宋体" w:cs="宋体"/>
                <w:b w:val="0"/>
                <w:bCs w:val="0"/>
                <w:i w:val="0"/>
                <w:iCs w:val="0"/>
                <w:color w:val="000000"/>
                <w:kern w:val="0"/>
                <w:sz w:val="20"/>
                <w:szCs w:val="20"/>
                <w:u w:val="none"/>
                <w:lang w:val="en-US" w:eastAsia="zh-CN" w:bidi="ar"/>
              </w:rPr>
              <w:t>*16m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8E74D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w:t>
            </w:r>
            <w:r>
              <w:rPr>
                <w:rFonts w:hint="eastAsia" w:ascii="宋体" w:hAnsi="宋体" w:eastAsia="宋体" w:cs="宋体"/>
                <w:b w:val="0"/>
                <w:bCs w:val="0"/>
                <w:i w:val="0"/>
                <w:iCs w:val="0"/>
                <w:color w:val="000000"/>
                <w:kern w:val="0"/>
                <w:sz w:val="24"/>
                <w:szCs w:val="24"/>
                <w:u w:val="none"/>
                <w:lang w:val="en-US" w:eastAsia="zh-CN" w:bidi="ar"/>
              </w:rPr>
              <w:t>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250749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1F0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3DC98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214E4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枫林镇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665FB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大门台下桥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BC40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简支梁板</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179B9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53127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w:t>
            </w:r>
            <w:r>
              <w:rPr>
                <w:rFonts w:hint="eastAsia" w:ascii="宋体" w:hAnsi="宋体" w:eastAsia="宋体" w:cs="宋体"/>
                <w:b w:val="0"/>
                <w:bCs w:val="0"/>
                <w:i w:val="0"/>
                <w:iCs w:val="0"/>
                <w:color w:val="000000"/>
                <w:kern w:val="0"/>
                <w:sz w:val="20"/>
                <w:szCs w:val="20"/>
                <w:u w:val="none"/>
                <w:lang w:val="en-US" w:eastAsia="zh-CN" w:bidi="ar"/>
              </w:rPr>
              <w:t>*16m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77AC1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6.75</w:t>
            </w:r>
            <w:r>
              <w:rPr>
                <w:rFonts w:hint="eastAsia" w:ascii="宋体" w:hAnsi="宋体" w:eastAsia="宋体" w:cs="宋体"/>
                <w:b w:val="0"/>
                <w:bCs w:val="0"/>
                <w:i w:val="0"/>
                <w:iCs w:val="0"/>
                <w:color w:val="000000"/>
                <w:kern w:val="0"/>
                <w:sz w:val="24"/>
                <w:szCs w:val="24"/>
                <w:u w:val="none"/>
                <w:lang w:val="en-US" w:eastAsia="zh-CN" w:bidi="ar"/>
              </w:rPr>
              <w:t>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821C55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DC6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3BA08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6CD19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9F67A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谷联三桥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47352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82629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75E5C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D6066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2EB08F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5B4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794A2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E6F4C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6C217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谷联二桥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5EB01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B5903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27m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FF6DE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3×9m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710FC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13.00m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0CD011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175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3E188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CC5B7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382BC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谷联一桥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31E6DB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4D296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80BC4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941AD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A9DF8E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A4E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B8CEE2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174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438A24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166244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公园路桥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B30AF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5FAA26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3B234B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u w:val="none"/>
                <w:lang w:val="en-US" w:eastAsia="zh-CN" w:bidi="ar"/>
              </w:rPr>
            </w:pPr>
            <w:r>
              <w:rPr>
                <w:rFonts w:hint="default" w:ascii="Times New Roman" w:hAnsi="Times New Roman" w:eastAsia="宋体" w:cs="Times New Roman"/>
                <w:b w:val="0"/>
                <w:bCs w:val="0"/>
                <w:i w:val="0"/>
                <w:iCs w:val="0"/>
                <w:color w:val="000000"/>
                <w:kern w:val="0"/>
                <w:sz w:val="20"/>
                <w:szCs w:val="20"/>
                <w:u w:val="none"/>
                <w:lang w:val="en-US" w:eastAsia="zh-CN" w:bidi="ar"/>
              </w:rPr>
              <w:t>10m+5×20m+10m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00FE50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13.00m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2E8929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eastAsia="宋体" w:cs="Times New Roman"/>
                <w:b w:val="0"/>
                <w:bCs w:val="0"/>
                <w:kern w:val="2"/>
                <w:sz w:val="24"/>
                <w:szCs w:val="20"/>
              </w:rPr>
              <w:t>常规性、结构检测</w:t>
            </w:r>
          </w:p>
        </w:tc>
      </w:tr>
      <w:tr w14:paraId="4089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77C0F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8CF86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84608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桥一菜场桥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9ABB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6E904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3EE63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10m+10m+9m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FBD8C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D69ADB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770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CE1A8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DE0CC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6C02B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柳竹桥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69365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97679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131E7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1×8m+4×10m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017AD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75C9E5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9BC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63161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D16D9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A0369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神堂桥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09364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5E7ED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42A6C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11m+11m+11m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1B187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263A1D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E7C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577FE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178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3E869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115F4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中学桥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E60B5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A0D93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33m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B4295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1×7.0m+2×13m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80448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E821BD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35D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E2CDE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b w:val="0"/>
                <w:bCs w:val="0"/>
                <w:i w:val="0"/>
                <w:iCs w:val="0"/>
                <w:color w:val="000000"/>
                <w:kern w:val="0"/>
                <w:sz w:val="24"/>
                <w:szCs w:val="24"/>
                <w:u w:val="none"/>
                <w:lang w:val="en-US" w:eastAsia="zh-CN" w:bidi="ar"/>
              </w:rPr>
              <w:t>1</w:t>
            </w:r>
            <w:r>
              <w:rPr>
                <w:rFonts w:hint="eastAsia" w:cs="Times New Roman"/>
                <w:b w:val="0"/>
                <w:bCs w:val="0"/>
                <w:i w:val="0"/>
                <w:iCs w:val="0"/>
                <w:color w:val="000000"/>
                <w:kern w:val="0"/>
                <w:sz w:val="24"/>
                <w:szCs w:val="24"/>
                <w:u w:val="none"/>
                <w:lang w:val="en-US" w:eastAsia="zh-CN" w:bidi="ar"/>
              </w:rPr>
              <w:t>79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65189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70E6DF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河尚二桥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6D662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箱涵桥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B1156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A65A9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7m+7m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FD53D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E107C4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9AD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89996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0</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09455BD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4"/>
                <w:szCs w:val="24"/>
                <w:u w:val="none"/>
                <w:lang w:val="en-US" w:eastAsia="zh-CN" w:bidi="ar"/>
                <w14:textFill>
                  <w14:solidFill>
                    <w14:schemeClr w14:val="tx1"/>
                  </w14:solidFill>
                </w14:textFill>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1C38A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4"/>
                <w:szCs w:val="24"/>
                <w:u w:val="none"/>
                <w:lang w:val="en-US" w:eastAsia="zh-CN" w:bidi="ar"/>
                <w14:textFill>
                  <w14:solidFill>
                    <w14:schemeClr w14:val="tx1"/>
                  </w14:solidFill>
                </w14:textFill>
              </w:rPr>
              <w:t>外岙路桥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81ACE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0DB2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92.0m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F3EAA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3×20.0m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165F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t>24.5m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B40AEB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5CC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253B8F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322FB8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4"/>
                <w:szCs w:val="24"/>
                <w:u w:val="none"/>
                <w:lang w:val="en-US" w:eastAsia="zh-CN" w:bidi="ar"/>
                <w14:textFill>
                  <w14:solidFill>
                    <w14:schemeClr w14:val="tx1"/>
                  </w14:solidFill>
                </w14:textFill>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A84C9B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4"/>
                <w:szCs w:val="24"/>
                <w:u w:val="none"/>
                <w:lang w:val="en-US" w:eastAsia="zh-CN" w:bidi="ar"/>
                <w14:textFill>
                  <w14:solidFill>
                    <w14:schemeClr w14:val="tx1"/>
                  </w14:solidFill>
                </w14:textFill>
              </w:rPr>
              <w:t>外洋头桥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FBACD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F40B3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23621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7CEAC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51E85E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805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FA4BE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A9B10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桥头镇</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1F0FFA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桥头大桥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C6A6F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AC3DD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125m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5604B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5*25m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4556F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16.6m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F80032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444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464A4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69EFD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茗岙乡下村</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2E754E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十二间桥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4E2B6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BA761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83E55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AE7C9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1F1C78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B2A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ADE20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45CB0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茗岙乡下村</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CC3A1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峥嵘桥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FB07D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F6FA4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22300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1×8.5m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89E4C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2C48E9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FC5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5F3E9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28F496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茗岙乡下村</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5333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中心桥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6E6AD9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F945D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B80D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1*6.5m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0EF12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08B02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8A4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80FAA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040E7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茗岙乡中村</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BAF2F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介水桥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EF669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E6B86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5AA80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37CA6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3450B6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258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6FE2D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F2B17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茗岙乡上村</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2466F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上水礁桥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4D00F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73D30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76CEAC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1×7.0m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7F635B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EBF119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0BB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4E6D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w:t>
            </w:r>
            <w:r>
              <w:rPr>
                <w:rFonts w:hint="eastAsia" w:cs="Times New Roman"/>
                <w:b w:val="0"/>
                <w:bCs w:val="0"/>
                <w:i w:val="0"/>
                <w:iCs w:val="0"/>
                <w:color w:val="000000"/>
                <w:kern w:val="0"/>
                <w:sz w:val="24"/>
                <w:szCs w:val="24"/>
                <w:u w:val="none"/>
                <w:lang w:val="en-US" w:eastAsia="zh-CN" w:bidi="ar"/>
              </w:rPr>
              <w:t>8</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20B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CA8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C0E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9F1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80m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1D8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5×16m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FA9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18m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CCCF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684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6905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b w:val="0"/>
                <w:bCs w:val="0"/>
                <w:i w:val="0"/>
                <w:iCs w:val="0"/>
                <w:color w:val="000000"/>
                <w:kern w:val="0"/>
                <w:sz w:val="24"/>
                <w:szCs w:val="24"/>
                <w:u w:val="none"/>
                <w:lang w:val="en-US" w:eastAsia="zh-CN" w:bidi="ar"/>
              </w:rPr>
              <w:t>1</w:t>
            </w:r>
            <w:r>
              <w:rPr>
                <w:rFonts w:hint="eastAsia" w:cs="Times New Roman"/>
                <w:b w:val="0"/>
                <w:bCs w:val="0"/>
                <w:i w:val="0"/>
                <w:iCs w:val="0"/>
                <w:color w:val="000000"/>
                <w:kern w:val="0"/>
                <w:sz w:val="24"/>
                <w:szCs w:val="24"/>
                <w:u w:val="none"/>
                <w:lang w:val="en-US" w:eastAsia="zh-CN" w:bidi="ar"/>
              </w:rPr>
              <w:t>89</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6C9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507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桥下二桥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934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E72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2AF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5×15m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EB7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B2FE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3C6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C872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0</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F53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D19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桥下三桥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0BE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172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2E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5*15m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F5A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E518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D8E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3A98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1</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5E0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桥下镇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529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先锋桥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3D1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736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146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5*15m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807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4BA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6B0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B789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2</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482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鹤盛镇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D3B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路廊桥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111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357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56m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BBA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4×14m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BAF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4.5m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F2F9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08D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ADCE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3</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29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鹤盛镇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270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沙亭桥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508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1D5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951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2*7.5m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762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6EA1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6E4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B177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4</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889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鹤盛镇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0EC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坑边桥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634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1CB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B8D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w:t>
            </w:r>
            <w:r>
              <w:rPr>
                <w:rStyle w:val="635"/>
                <w:b w:val="0"/>
                <w:bCs w:val="0"/>
                <w:lang w:val="en-US" w:eastAsia="zh-CN" w:bidi="ar"/>
              </w:rPr>
              <w:t>*10m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D41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7.00m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8D40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6297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308A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5</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4CF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沙头镇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1CC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花二大桥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87F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梁桥(5块)</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04A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70m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97A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5×14m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ABE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5.60m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7DEB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6D6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3E7D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6</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70D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大若岩镇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278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李茅大桥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7CA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0DD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165m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A0F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11*15.0m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AFB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57B4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226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E64B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7</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A70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岩坦镇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961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小舟垟桥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E19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F42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730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5×15m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C50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6224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125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B7C6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19</w:t>
            </w:r>
            <w:r>
              <w:rPr>
                <w:rFonts w:hint="eastAsia" w:cs="Times New Roman"/>
                <w:b w:val="0"/>
                <w:bCs w:val="0"/>
                <w:i w:val="0"/>
                <w:iCs w:val="0"/>
                <w:color w:val="000000"/>
                <w:kern w:val="0"/>
                <w:sz w:val="24"/>
                <w:szCs w:val="24"/>
                <w:u w:val="none"/>
                <w:lang w:val="en-US" w:eastAsia="zh-CN" w:bidi="ar"/>
              </w:rPr>
              <w:t>8</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23A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碧莲镇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C76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健康桥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07F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A54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52m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488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4×13m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85F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11.1m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54CA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773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0502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cs="Times New Roman"/>
                <w:b w:val="0"/>
                <w:bCs w:val="0"/>
                <w:i w:val="0"/>
                <w:iCs w:val="0"/>
                <w:color w:val="000000"/>
                <w:kern w:val="0"/>
                <w:sz w:val="24"/>
                <w:szCs w:val="24"/>
                <w:u w:val="none"/>
                <w:lang w:val="en-US" w:eastAsia="zh-CN" w:bidi="ar"/>
              </w:rPr>
              <w:t>199</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FB3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碧莲镇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B15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碧东桥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39C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BD8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42m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1B5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3*14m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B1D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6.65m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A62A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0B3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E4CC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0</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6EA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碧莲镇</w:t>
            </w:r>
          </w:p>
        </w:tc>
        <w:tc>
          <w:tcPr>
            <w:tcW w:w="1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E4A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龙珠桥</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340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2FB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24.9m</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C91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9.5m+8.1m+7.3m</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160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6.46m</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7933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022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F5781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1</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E8F6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溪下乡</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FB78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村头桥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DE40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D6855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549F2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3*12m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313D24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5.45m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FF101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7C1F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4019D5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2</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8421D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AFB17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开垟桥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0016D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箱涵桥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2E9CB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72C6B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FC594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219F9C0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B27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0A6373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3</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11857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811D4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罗溪桥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2470A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E4015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A92A7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2*7.0m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0B6C3F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FD2D87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66A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3E0EC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4</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1ECD22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0899E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江头村祥和桥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755AEC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钢架桥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792BE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684C4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1*3.0m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93258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9.4m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383C736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04EB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6E46DD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5</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7BAAC6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FE5F0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北岙桥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C5025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0B8DA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692C8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F27FE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7.5m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67EF8C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410B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1F539A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6</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22767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3A462A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缪北桥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BD8A9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0B52E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E7303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2.0m+4.0m+2.0m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9D9C6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15.8m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68279E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171C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0622C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7</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65929A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483E4E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北岙变电所桥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37D7E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CAAB4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22.2m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C0DDD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1*10.3m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0C9A6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4915097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3DF2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5D7FB0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20</w:t>
            </w:r>
            <w:r>
              <w:rPr>
                <w:rFonts w:hint="eastAsia" w:cs="Times New Roman"/>
                <w:b w:val="0"/>
                <w:bCs w:val="0"/>
                <w:i w:val="0"/>
                <w:iCs w:val="0"/>
                <w:color w:val="000000"/>
                <w:kern w:val="0"/>
                <w:sz w:val="24"/>
                <w:szCs w:val="24"/>
                <w:u w:val="none"/>
                <w:lang w:val="en-US" w:eastAsia="zh-CN" w:bidi="ar"/>
              </w:rPr>
              <w:t>8</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49EEA4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59C16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箬隆村兴隆村</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7D5FB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梁桥</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6B46D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03CD9E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202A9B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13.3m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7C8020C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5BE2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784D6E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b w:val="0"/>
                <w:bCs w:val="0"/>
                <w:i w:val="0"/>
                <w:iCs w:val="0"/>
                <w:color w:val="000000"/>
                <w:kern w:val="0"/>
                <w:sz w:val="24"/>
                <w:szCs w:val="24"/>
                <w:u w:val="none"/>
                <w:lang w:val="en-US" w:eastAsia="zh-CN" w:bidi="ar"/>
              </w:rPr>
              <w:t>2</w:t>
            </w:r>
            <w:r>
              <w:rPr>
                <w:rFonts w:hint="eastAsia" w:cs="Times New Roman"/>
                <w:b w:val="0"/>
                <w:bCs w:val="0"/>
                <w:i w:val="0"/>
                <w:iCs w:val="0"/>
                <w:color w:val="000000"/>
                <w:kern w:val="0"/>
                <w:sz w:val="24"/>
                <w:szCs w:val="24"/>
                <w:u w:val="none"/>
                <w:lang w:val="en-US" w:eastAsia="zh-CN" w:bidi="ar"/>
              </w:rPr>
              <w:t>09</w:t>
            </w:r>
          </w:p>
        </w:tc>
        <w:tc>
          <w:tcPr>
            <w:tcW w:w="1441" w:type="dxa"/>
            <w:gridSpan w:val="2"/>
            <w:tcBorders>
              <w:top w:val="single" w:color="000000" w:sz="4" w:space="0"/>
              <w:left w:val="single" w:color="000000" w:sz="4" w:space="0"/>
              <w:bottom w:val="single" w:color="000000" w:sz="4" w:space="0"/>
              <w:right w:val="single" w:color="000000" w:sz="4" w:space="0"/>
            </w:tcBorders>
            <w:noWrap w:val="0"/>
            <w:vAlign w:val="center"/>
          </w:tcPr>
          <w:p w14:paraId="5EF4C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三江街道</w:t>
            </w: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14:paraId="6B3C3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楠溪江一桥（清水浦大桥）</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C3E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预应力钢筋混凝</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49278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446m</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5D730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15.0m+</w:t>
            </w:r>
            <w:r>
              <w:rPr>
                <w:rFonts w:hint="default" w:ascii="Times New Roman" w:hAnsi="Times New Roman" w:eastAsia="宋体" w:cs="Times New Roman"/>
                <w:b w:val="0"/>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val="0"/>
                <w:i w:val="0"/>
                <w:iCs w:val="0"/>
                <w:color w:val="000000"/>
                <w:kern w:val="0"/>
                <w:sz w:val="20"/>
                <w:szCs w:val="20"/>
                <w:u w:val="none"/>
                <w:lang w:val="en-US" w:eastAsia="zh-CN" w:bidi="ar"/>
              </w:rPr>
              <w:t>13×25.0m+2×53.0m</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115EB1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1347EA6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r>
      <w:tr w14:paraId="2203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8" w:type="dxa"/>
            <w:tcBorders>
              <w:top w:val="single" w:color="000000" w:sz="4" w:space="0"/>
              <w:left w:val="single" w:color="000000" w:sz="8" w:space="0"/>
              <w:bottom w:val="single" w:color="000000" w:sz="4" w:space="0"/>
              <w:right w:val="single" w:color="000000" w:sz="4" w:space="0"/>
            </w:tcBorders>
            <w:noWrap w:val="0"/>
            <w:vAlign w:val="center"/>
          </w:tcPr>
          <w:p w14:paraId="3E19344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eastAsia="宋体" w:cs="Times New Roman"/>
                <w:b w:val="0"/>
                <w:bCs w:val="0"/>
                <w:i w:val="0"/>
                <w:iCs w:val="0"/>
                <w:color w:val="000000"/>
                <w:kern w:val="0"/>
                <w:sz w:val="24"/>
                <w:szCs w:val="24"/>
                <w:u w:val="none"/>
                <w:lang w:val="en-US" w:eastAsia="zh-CN" w:bidi="ar"/>
              </w:rPr>
              <w:t>21</w:t>
            </w:r>
            <w:r>
              <w:rPr>
                <w:rFonts w:hint="eastAsia" w:cs="Times New Roman"/>
                <w:b w:val="0"/>
                <w:bCs w:val="0"/>
                <w:i w:val="0"/>
                <w:iCs w:val="0"/>
                <w:color w:val="000000"/>
                <w:kern w:val="0"/>
                <w:sz w:val="24"/>
                <w:szCs w:val="24"/>
                <w:u w:val="none"/>
                <w:lang w:val="en-US" w:eastAsia="zh-CN" w:bidi="ar"/>
              </w:rPr>
              <w:t>0</w:t>
            </w:r>
          </w:p>
        </w:tc>
        <w:tc>
          <w:tcPr>
            <w:tcW w:w="7863" w:type="dxa"/>
            <w:gridSpan w:val="13"/>
            <w:tcBorders>
              <w:top w:val="single" w:color="000000" w:sz="4" w:space="0"/>
              <w:left w:val="single" w:color="000000" w:sz="4" w:space="0"/>
              <w:bottom w:val="single" w:color="000000" w:sz="4" w:space="0"/>
              <w:right w:val="single" w:color="000000" w:sz="4" w:space="0"/>
            </w:tcBorders>
            <w:noWrap w:val="0"/>
            <w:vAlign w:val="center"/>
          </w:tcPr>
          <w:p w14:paraId="5845E58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桥梁结构检测</w:t>
            </w:r>
            <w:r>
              <w:rPr>
                <w:rFonts w:hint="eastAsia" w:ascii="Times New Roman" w:hAnsi="Times New Roman" w:eastAsia="宋体" w:cs="Times New Roman"/>
                <w:b w:val="0"/>
                <w:bCs w:val="0"/>
                <w:i w:val="0"/>
                <w:iCs w:val="0"/>
                <w:color w:val="000000"/>
                <w:kern w:val="0"/>
                <w:sz w:val="24"/>
                <w:szCs w:val="24"/>
                <w:u w:val="none"/>
                <w:lang w:val="en-US" w:eastAsia="zh-CN" w:bidi="ar"/>
              </w:rPr>
              <w:t>，</w:t>
            </w:r>
            <w:r>
              <w:rPr>
                <w:rFonts w:hint="eastAsia" w:cs="Times New Roman"/>
                <w:b w:val="0"/>
                <w:bCs w:val="0"/>
                <w:i w:val="0"/>
                <w:iCs w:val="0"/>
                <w:color w:val="000000"/>
                <w:kern w:val="0"/>
                <w:sz w:val="24"/>
                <w:szCs w:val="24"/>
                <w:u w:val="none"/>
                <w:lang w:val="en-US" w:eastAsia="zh-CN" w:bidi="ar"/>
              </w:rPr>
              <w:t>至少</w:t>
            </w:r>
            <w:r>
              <w:rPr>
                <w:rFonts w:hint="eastAsia" w:ascii="Times New Roman" w:hAnsi="Times New Roman" w:eastAsia="宋体" w:cs="Times New Roman"/>
                <w:b w:val="0"/>
                <w:bCs w:val="0"/>
                <w:kern w:val="2"/>
                <w:sz w:val="24"/>
                <w:szCs w:val="20"/>
                <w:lang w:val="en-US" w:eastAsia="zh-CN"/>
              </w:rPr>
              <w:t>20座</w:t>
            </w:r>
            <w:r>
              <w:rPr>
                <w:rFonts w:hint="eastAsia" w:cs="Times New Roman"/>
                <w:b w:val="0"/>
                <w:bCs w:val="0"/>
                <w:kern w:val="2"/>
                <w:sz w:val="24"/>
                <w:szCs w:val="20"/>
                <w:lang w:val="en-US" w:eastAsia="zh-CN"/>
              </w:rPr>
              <w:t>(暂定），</w:t>
            </w:r>
            <w:r>
              <w:rPr>
                <w:rFonts w:hint="eastAsia" w:ascii="Times New Roman" w:hAnsi="Times New Roman" w:eastAsia="宋体" w:cs="Times New Roman"/>
                <w:b w:val="0"/>
                <w:bCs w:val="0"/>
                <w:i w:val="0"/>
                <w:iCs w:val="0"/>
                <w:color w:val="000000"/>
                <w:kern w:val="0"/>
                <w:sz w:val="24"/>
                <w:szCs w:val="24"/>
                <w:u w:val="none"/>
                <w:lang w:val="en-US" w:eastAsia="zh-CN" w:bidi="ar"/>
              </w:rPr>
              <w:t>具体桥梁以采购人确定为准。</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519036BF">
            <w:pPr>
              <w:keepNext w:val="0"/>
              <w:keepLines w:val="0"/>
              <w:widowControl/>
              <w:suppressLineNumbers w:val="0"/>
              <w:jc w:val="center"/>
              <w:textAlignment w:val="center"/>
              <w:rPr>
                <w:rFonts w:hint="default" w:ascii="Times New Roman" w:hAnsi="Times New Roman" w:eastAsia="宋体" w:cs="Times New Roman"/>
                <w:b w:val="0"/>
                <w:bCs w:val="0"/>
                <w:kern w:val="2"/>
                <w:sz w:val="24"/>
                <w:szCs w:val="20"/>
                <w:lang w:val="en-US" w:eastAsia="zh-CN"/>
              </w:rPr>
            </w:pPr>
          </w:p>
        </w:tc>
      </w:tr>
      <w:tr w14:paraId="1256B9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65" w:hRule="atLeast"/>
        </w:trPr>
        <w:tc>
          <w:tcPr>
            <w:tcW w:w="9737" w:type="dxa"/>
            <w:gridSpan w:val="1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554236">
            <w:pPr>
              <w:widowControl/>
              <w:jc w:val="left"/>
              <w:textAlignment w:val="center"/>
              <w:rPr>
                <w:rFonts w:ascii="Times New Roman" w:hAnsi="Times New Roman" w:eastAsia="宋体" w:cs="Times New Roman"/>
                <w:b w:val="0"/>
                <w:bCs w:val="0"/>
                <w:sz w:val="24"/>
                <w:szCs w:val="24"/>
                <w:lang w:bidi="ar"/>
              </w:rPr>
            </w:pPr>
            <w:r>
              <w:rPr>
                <w:rFonts w:hint="eastAsia" w:ascii="Times New Roman" w:hAnsi="Times New Roman" w:eastAsia="宋体" w:cs="Times New Roman"/>
                <w:b/>
                <w:bCs/>
                <w:sz w:val="24"/>
                <w:szCs w:val="24"/>
                <w:lang w:bidi="ar"/>
              </w:rPr>
              <w:t>二、隧道检测</w:t>
            </w:r>
          </w:p>
        </w:tc>
      </w:tr>
      <w:tr w14:paraId="1A910C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97" w:hRule="atLeast"/>
        </w:trPr>
        <w:tc>
          <w:tcPr>
            <w:tcW w:w="89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893083">
            <w:pPr>
              <w:keepNext w:val="0"/>
              <w:keepLines w:val="0"/>
              <w:widowControl/>
              <w:suppressLineNumbers w:val="0"/>
              <w:jc w:val="center"/>
              <w:textAlignment w:val="center"/>
              <w:rPr>
                <w:rFonts w:hint="eastAsia" w:ascii="宋体" w:hAnsi="宋体" w:eastAsia="宋体" w:cs="宋体"/>
                <w:b w:val="0"/>
                <w:bCs w:val="0"/>
                <w:sz w:val="24"/>
                <w:szCs w:val="24"/>
                <w:lang w:bidi="ar"/>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1144" w:type="dxa"/>
            <w:gridSpan w:val="2"/>
            <w:tcBorders>
              <w:top w:val="single" w:color="000000" w:sz="8" w:space="0"/>
              <w:left w:val="single" w:color="000000" w:sz="8" w:space="0"/>
              <w:bottom w:val="single" w:color="000000" w:sz="8" w:space="0"/>
              <w:right w:val="single" w:color="auto" w:sz="4" w:space="0"/>
            </w:tcBorders>
            <w:noWrap w:val="0"/>
            <w:tcMar>
              <w:top w:w="15" w:type="dxa"/>
              <w:left w:w="15" w:type="dxa"/>
              <w:right w:w="15" w:type="dxa"/>
            </w:tcMar>
            <w:vAlign w:val="center"/>
          </w:tcPr>
          <w:p w14:paraId="1CA90601">
            <w:pPr>
              <w:keepNext w:val="0"/>
              <w:keepLines w:val="0"/>
              <w:widowControl/>
              <w:suppressLineNumbers w:val="0"/>
              <w:jc w:val="center"/>
              <w:textAlignment w:val="center"/>
              <w:rPr>
                <w:rFonts w:hint="eastAsia" w:ascii="宋体" w:eastAsia="宋体"/>
                <w:b w:val="0"/>
                <w:bCs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东城街道</w:t>
            </w:r>
          </w:p>
        </w:tc>
        <w:tc>
          <w:tcPr>
            <w:tcW w:w="1759" w:type="dxa"/>
            <w:tcBorders>
              <w:top w:val="single" w:color="000000" w:sz="8" w:space="0"/>
              <w:left w:val="single" w:color="auto" w:sz="4" w:space="0"/>
              <w:bottom w:val="single" w:color="000000" w:sz="8" w:space="0"/>
              <w:right w:val="single" w:color="auto" w:sz="4" w:space="0"/>
            </w:tcBorders>
            <w:noWrap w:val="0"/>
            <w:tcMar>
              <w:top w:w="15" w:type="dxa"/>
              <w:left w:w="15" w:type="dxa"/>
              <w:right w:w="15" w:type="dxa"/>
            </w:tcMar>
            <w:vAlign w:val="center"/>
          </w:tcPr>
          <w:p w14:paraId="72AC8FE6">
            <w:pPr>
              <w:keepNext w:val="0"/>
              <w:keepLines w:val="0"/>
              <w:widowControl/>
              <w:suppressLineNumbers w:val="0"/>
              <w:jc w:val="center"/>
              <w:textAlignment w:val="center"/>
              <w:rPr>
                <w:rFonts w:hint="eastAsia" w:ascii="宋体" w:eastAsia="宋体"/>
                <w:b w:val="0"/>
                <w:bCs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龙山隧道</w:t>
            </w:r>
          </w:p>
        </w:tc>
        <w:tc>
          <w:tcPr>
            <w:tcW w:w="1173" w:type="dxa"/>
            <w:gridSpan w:val="2"/>
            <w:tcBorders>
              <w:top w:val="single" w:color="000000" w:sz="8" w:space="0"/>
              <w:left w:val="single" w:color="auto" w:sz="4" w:space="0"/>
              <w:bottom w:val="single" w:color="000000" w:sz="8" w:space="0"/>
              <w:right w:val="single" w:color="auto" w:sz="4" w:space="0"/>
            </w:tcBorders>
            <w:noWrap w:val="0"/>
            <w:tcMar>
              <w:top w:w="15" w:type="dxa"/>
              <w:left w:w="15" w:type="dxa"/>
              <w:right w:w="15" w:type="dxa"/>
            </w:tcMar>
            <w:vAlign w:val="center"/>
          </w:tcPr>
          <w:p w14:paraId="0F6D846F">
            <w:pPr>
              <w:keepNext w:val="0"/>
              <w:keepLines w:val="0"/>
              <w:widowControl/>
              <w:suppressLineNumbers w:val="0"/>
              <w:jc w:val="center"/>
              <w:textAlignment w:val="center"/>
              <w:rPr>
                <w:rFonts w:hint="eastAsia" w:ascii="宋体" w:eastAsia="宋体"/>
                <w:b w:val="0"/>
                <w:bCs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隧道</w:t>
            </w:r>
          </w:p>
        </w:tc>
        <w:tc>
          <w:tcPr>
            <w:tcW w:w="1023" w:type="dxa"/>
            <w:gridSpan w:val="2"/>
            <w:tcBorders>
              <w:top w:val="single" w:color="000000" w:sz="8" w:space="0"/>
              <w:left w:val="single" w:color="auto" w:sz="4" w:space="0"/>
              <w:bottom w:val="single" w:color="000000" w:sz="8" w:space="0"/>
              <w:right w:val="single" w:color="auto" w:sz="4" w:space="0"/>
            </w:tcBorders>
            <w:noWrap w:val="0"/>
            <w:tcMar>
              <w:top w:w="15" w:type="dxa"/>
              <w:left w:w="15" w:type="dxa"/>
              <w:right w:w="15" w:type="dxa"/>
            </w:tcMar>
            <w:vAlign w:val="center"/>
          </w:tcPr>
          <w:p w14:paraId="36EC1B24">
            <w:pPr>
              <w:keepNext w:val="0"/>
              <w:keepLines w:val="0"/>
              <w:widowControl/>
              <w:suppressLineNumbers w:val="0"/>
              <w:jc w:val="center"/>
              <w:textAlignment w:val="center"/>
              <w:rPr>
                <w:rFonts w:hint="eastAsia" w:ascii="宋体" w:eastAsia="宋体"/>
                <w:b w:val="0"/>
                <w:bCs w:val="0"/>
                <w:sz w:val="24"/>
                <w:szCs w:val="24"/>
                <w:lang w:bidi="ar"/>
              </w:rPr>
            </w:pPr>
            <w:r>
              <w:rPr>
                <w:rFonts w:hint="default" w:ascii="Times New Roman" w:hAnsi="Times New Roman" w:eastAsia="宋体" w:cs="Times New Roman"/>
                <w:b w:val="0"/>
                <w:bCs w:val="0"/>
                <w:i w:val="0"/>
                <w:iCs w:val="0"/>
                <w:color w:val="000000"/>
                <w:kern w:val="0"/>
                <w:sz w:val="24"/>
                <w:szCs w:val="24"/>
                <w:u w:val="none"/>
                <w:lang w:val="en-US" w:eastAsia="zh-CN" w:bidi="ar"/>
              </w:rPr>
              <w:t>496m</w:t>
            </w:r>
          </w:p>
        </w:tc>
        <w:tc>
          <w:tcPr>
            <w:tcW w:w="1111" w:type="dxa"/>
            <w:gridSpan w:val="2"/>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14:paraId="76EDFC32">
            <w:pPr>
              <w:keepNext w:val="0"/>
              <w:keepLines w:val="0"/>
              <w:widowControl/>
              <w:suppressLineNumbers w:val="0"/>
              <w:jc w:val="center"/>
              <w:textAlignment w:val="center"/>
              <w:rPr>
                <w:rFonts w:hint="eastAsia" w:ascii="宋体" w:eastAsia="宋体"/>
                <w:b w:val="0"/>
                <w:bCs w:val="0"/>
                <w:sz w:val="24"/>
                <w:szCs w:val="24"/>
                <w:lang w:bidi="ar"/>
              </w:rPr>
            </w:pPr>
            <w:r>
              <w:rPr>
                <w:rFonts w:hint="default" w:ascii="Times New Roman" w:hAnsi="Times New Roman" w:eastAsia="宋体" w:cs="Times New Roman"/>
                <w:b w:val="0"/>
                <w:bCs w:val="0"/>
                <w:i w:val="0"/>
                <w:iCs w:val="0"/>
                <w:color w:val="000000"/>
                <w:kern w:val="0"/>
                <w:sz w:val="20"/>
                <w:szCs w:val="20"/>
                <w:u w:val="none"/>
                <w:lang w:val="en-US" w:eastAsia="zh-CN" w:bidi="ar"/>
              </w:rPr>
              <w:t>1*496m</w:t>
            </w:r>
          </w:p>
        </w:tc>
        <w:tc>
          <w:tcPr>
            <w:tcW w:w="131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F49704">
            <w:pPr>
              <w:keepNext w:val="0"/>
              <w:keepLines w:val="0"/>
              <w:widowControl/>
              <w:suppressLineNumbers w:val="0"/>
              <w:jc w:val="center"/>
              <w:textAlignment w:val="center"/>
              <w:rPr>
                <w:rFonts w:hint="eastAsia" w:ascii="宋体" w:eastAsia="宋体"/>
                <w:sz w:val="24"/>
                <w:szCs w:val="24"/>
                <w:lang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12m</w:t>
            </w:r>
          </w:p>
        </w:tc>
        <w:tc>
          <w:tcPr>
            <w:tcW w:w="1312"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0B518F">
            <w:pPr>
              <w:widowControl/>
              <w:jc w:val="center"/>
              <w:textAlignment w:val="center"/>
              <w:rPr>
                <w:rFonts w:ascii="Times New Roman" w:hAnsi="Times New Roman" w:eastAsia="宋体" w:cs="Times New Roman"/>
                <w:b w:val="0"/>
                <w:bCs w:val="0"/>
                <w:sz w:val="24"/>
                <w:szCs w:val="24"/>
                <w:lang w:bidi="ar"/>
              </w:rPr>
            </w:pPr>
          </w:p>
        </w:tc>
      </w:tr>
      <w:tr w14:paraId="244996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65" w:hRule="atLeast"/>
        </w:trPr>
        <w:tc>
          <w:tcPr>
            <w:tcW w:w="9737" w:type="dxa"/>
            <w:gridSpan w:val="1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E0F42D">
            <w:pPr>
              <w:widowControl/>
              <w:jc w:val="left"/>
              <w:textAlignment w:val="center"/>
              <w:rPr>
                <w:rFonts w:hint="eastAsia" w:ascii="Times New Roman" w:hAnsi="Times New Roman" w:eastAsia="宋体" w:cs="Times New Roman"/>
                <w:b w:val="0"/>
                <w:bCs w:val="0"/>
                <w:sz w:val="24"/>
                <w:szCs w:val="24"/>
                <w:lang w:eastAsia="zh-CN" w:bidi="ar"/>
              </w:rPr>
            </w:pPr>
            <w:r>
              <w:rPr>
                <w:rFonts w:hint="eastAsia" w:ascii="宋体" w:eastAsia="宋体"/>
                <w:b/>
                <w:bCs/>
                <w:sz w:val="24"/>
                <w:szCs w:val="24"/>
                <w:lang w:eastAsia="zh-CN" w:bidi="ar"/>
              </w:rPr>
              <w:t>三、</w:t>
            </w:r>
            <w:r>
              <w:rPr>
                <w:rFonts w:hint="eastAsia" w:ascii="宋体" w:eastAsia="宋体"/>
                <w:b/>
                <w:bCs/>
                <w:sz w:val="24"/>
                <w:szCs w:val="24"/>
                <w:lang w:bidi="ar"/>
              </w:rPr>
              <w:t>道路</w:t>
            </w:r>
            <w:r>
              <w:rPr>
                <w:rFonts w:hint="eastAsia" w:ascii="宋体" w:eastAsia="宋体"/>
                <w:b/>
                <w:bCs/>
                <w:sz w:val="24"/>
                <w:szCs w:val="24"/>
                <w:lang w:eastAsia="zh-CN" w:bidi="ar"/>
              </w:rPr>
              <w:t>常规性和脱空检测</w:t>
            </w:r>
          </w:p>
        </w:tc>
      </w:tr>
      <w:tr w14:paraId="690D06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78" w:hRule="atLeast"/>
        </w:trPr>
        <w:tc>
          <w:tcPr>
            <w:tcW w:w="89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9E7CA9">
            <w:pPr>
              <w:widowControl/>
              <w:jc w:val="center"/>
              <w:textAlignment w:val="center"/>
              <w:rPr>
                <w:rFonts w:ascii="Times New Roman" w:hAnsi="Times New Roman" w:eastAsia="宋体" w:cs="Times New Roman"/>
                <w:b w:val="0"/>
                <w:bCs w:val="0"/>
                <w:sz w:val="24"/>
                <w:szCs w:val="24"/>
                <w:lang w:bidi="ar"/>
              </w:rPr>
            </w:pPr>
            <w:r>
              <w:rPr>
                <w:rFonts w:hint="eastAsia" w:ascii="Times New Roman" w:hAnsi="Times New Roman" w:eastAsia="宋体" w:cs="Times New Roman"/>
                <w:b w:val="0"/>
                <w:bCs w:val="0"/>
                <w:sz w:val="24"/>
                <w:szCs w:val="24"/>
                <w:lang w:bidi="ar"/>
              </w:rPr>
              <w:t>1</w:t>
            </w:r>
          </w:p>
        </w:tc>
        <w:tc>
          <w:tcPr>
            <w:tcW w:w="7579" w:type="dxa"/>
            <w:gridSpan w:val="13"/>
            <w:tcBorders>
              <w:top w:val="single" w:color="000000" w:sz="8" w:space="0"/>
              <w:left w:val="single" w:color="000000" w:sz="8" w:space="0"/>
              <w:bottom w:val="single" w:color="000000" w:sz="8" w:space="0"/>
              <w:right w:val="single" w:color="auto" w:sz="4" w:space="0"/>
            </w:tcBorders>
            <w:noWrap w:val="0"/>
            <w:tcMar>
              <w:top w:w="15" w:type="dxa"/>
              <w:left w:w="15" w:type="dxa"/>
              <w:right w:w="15" w:type="dxa"/>
            </w:tcMar>
            <w:vAlign w:val="center"/>
          </w:tcPr>
          <w:p w14:paraId="58497A0E">
            <w:pPr>
              <w:widowControl/>
              <w:jc w:val="left"/>
              <w:textAlignment w:val="center"/>
              <w:rPr>
                <w:rFonts w:hint="eastAsia" w:ascii="宋体" w:eastAsia="宋体"/>
                <w:b w:val="0"/>
                <w:bCs w:val="0"/>
                <w:sz w:val="24"/>
                <w:szCs w:val="24"/>
                <w:lang w:eastAsia="zh-CN" w:bidi="ar"/>
              </w:rPr>
            </w:pPr>
            <w:r>
              <w:rPr>
                <w:rFonts w:hint="eastAsia" w:ascii="宋体" w:eastAsia="宋体"/>
                <w:b w:val="0"/>
                <w:bCs w:val="0"/>
                <w:sz w:val="24"/>
                <w:szCs w:val="24"/>
                <w:lang w:bidi="ar"/>
              </w:rPr>
              <w:t>道路常规检测暂按</w:t>
            </w:r>
            <w:r>
              <w:rPr>
                <w:rFonts w:hint="eastAsia" w:ascii="宋体" w:eastAsia="宋体"/>
                <w:b w:val="0"/>
                <w:bCs w:val="0"/>
                <w:sz w:val="24"/>
                <w:szCs w:val="24"/>
                <w:lang w:val="en-US" w:eastAsia="zh-CN" w:bidi="ar"/>
              </w:rPr>
              <w:t>90</w:t>
            </w:r>
            <w:r>
              <w:rPr>
                <w:rFonts w:hint="eastAsia" w:ascii="宋体" w:eastAsia="宋体"/>
                <w:b w:val="0"/>
                <w:bCs w:val="0"/>
                <w:sz w:val="24"/>
                <w:szCs w:val="24"/>
                <w:lang w:bidi="ar"/>
              </w:rPr>
              <w:t>km（单车道公里数）</w:t>
            </w:r>
            <w:r>
              <w:rPr>
                <w:rFonts w:hint="eastAsia" w:ascii="宋体" w:eastAsia="宋体"/>
                <w:b w:val="0"/>
                <w:bCs w:val="0"/>
                <w:sz w:val="24"/>
                <w:szCs w:val="24"/>
                <w:lang w:eastAsia="zh-CN" w:bidi="ar"/>
              </w:rPr>
              <w:t>，具体检测数量、检测清单由</w:t>
            </w:r>
            <w:r>
              <w:rPr>
                <w:rFonts w:hint="eastAsia" w:ascii="Times New Roman" w:hAnsi="Times New Roman" w:eastAsia="宋体" w:cs="Times New Roman"/>
                <w:b w:val="0"/>
                <w:bCs w:val="0"/>
                <w:i w:val="0"/>
                <w:iCs w:val="0"/>
                <w:color w:val="000000"/>
                <w:kern w:val="0"/>
                <w:sz w:val="24"/>
                <w:szCs w:val="24"/>
                <w:u w:val="none"/>
                <w:lang w:val="en-US" w:eastAsia="zh-CN" w:bidi="ar"/>
              </w:rPr>
              <w:t>采购人</w:t>
            </w:r>
            <w:r>
              <w:rPr>
                <w:rFonts w:hint="eastAsia" w:ascii="宋体" w:eastAsia="宋体"/>
                <w:b w:val="0"/>
                <w:bCs w:val="0"/>
                <w:sz w:val="24"/>
                <w:szCs w:val="24"/>
                <w:lang w:eastAsia="zh-CN" w:bidi="ar"/>
              </w:rPr>
              <w:t>选定。</w:t>
            </w:r>
          </w:p>
        </w:tc>
        <w:tc>
          <w:tcPr>
            <w:tcW w:w="126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14:paraId="7CC647E2">
            <w:pPr>
              <w:widowControl/>
              <w:jc w:val="center"/>
              <w:textAlignment w:val="center"/>
              <w:rPr>
                <w:rFonts w:hint="eastAsia" w:ascii="宋体" w:eastAsia="宋体"/>
                <w:b w:val="0"/>
                <w:bCs w:val="0"/>
                <w:sz w:val="24"/>
                <w:szCs w:val="24"/>
                <w:lang w:bidi="ar"/>
              </w:rPr>
            </w:pPr>
            <w:r>
              <w:rPr>
                <w:rFonts w:hint="eastAsia" w:ascii="宋体" w:eastAsia="宋体"/>
                <w:b w:val="0"/>
                <w:bCs w:val="0"/>
                <w:sz w:val="24"/>
                <w:szCs w:val="24"/>
                <w:lang w:val="en-US" w:eastAsia="zh-CN" w:bidi="ar"/>
              </w:rPr>
              <w:t>90</w:t>
            </w:r>
            <w:r>
              <w:rPr>
                <w:rFonts w:hint="eastAsia" w:ascii="宋体" w:eastAsia="宋体"/>
                <w:b w:val="0"/>
                <w:bCs w:val="0"/>
                <w:sz w:val="24"/>
                <w:szCs w:val="24"/>
                <w:lang w:bidi="ar"/>
              </w:rPr>
              <w:t>km</w:t>
            </w:r>
          </w:p>
        </w:tc>
      </w:tr>
      <w:tr w14:paraId="0F5DFC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56" w:hRule="atLeast"/>
        </w:trPr>
        <w:tc>
          <w:tcPr>
            <w:tcW w:w="89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5281BC">
            <w:pPr>
              <w:widowControl/>
              <w:jc w:val="center"/>
              <w:textAlignment w:val="center"/>
              <w:rPr>
                <w:rFonts w:ascii="Times New Roman" w:hAnsi="Times New Roman" w:eastAsia="宋体" w:cs="Times New Roman"/>
                <w:b w:val="0"/>
                <w:bCs w:val="0"/>
                <w:sz w:val="24"/>
                <w:szCs w:val="24"/>
                <w:lang w:bidi="ar"/>
              </w:rPr>
            </w:pPr>
            <w:r>
              <w:rPr>
                <w:rFonts w:hint="eastAsia" w:ascii="Times New Roman" w:hAnsi="Times New Roman" w:eastAsia="宋体" w:cs="Times New Roman"/>
                <w:b w:val="0"/>
                <w:bCs w:val="0"/>
                <w:sz w:val="24"/>
                <w:szCs w:val="24"/>
                <w:lang w:bidi="ar"/>
              </w:rPr>
              <w:t>2</w:t>
            </w:r>
          </w:p>
        </w:tc>
        <w:tc>
          <w:tcPr>
            <w:tcW w:w="7579" w:type="dxa"/>
            <w:gridSpan w:val="13"/>
            <w:tcBorders>
              <w:top w:val="single" w:color="000000" w:sz="8" w:space="0"/>
              <w:left w:val="single" w:color="000000" w:sz="8" w:space="0"/>
              <w:bottom w:val="single" w:color="000000" w:sz="8" w:space="0"/>
              <w:right w:val="single" w:color="auto" w:sz="4" w:space="0"/>
            </w:tcBorders>
            <w:noWrap w:val="0"/>
            <w:tcMar>
              <w:top w:w="15" w:type="dxa"/>
              <w:left w:w="15" w:type="dxa"/>
              <w:right w:w="15" w:type="dxa"/>
            </w:tcMar>
            <w:vAlign w:val="center"/>
          </w:tcPr>
          <w:p w14:paraId="517707C9">
            <w:pPr>
              <w:widowControl/>
              <w:jc w:val="left"/>
              <w:textAlignment w:val="center"/>
              <w:rPr>
                <w:rFonts w:hint="eastAsia" w:ascii="宋体" w:eastAsia="宋体"/>
                <w:b w:val="0"/>
                <w:bCs w:val="0"/>
                <w:sz w:val="24"/>
                <w:szCs w:val="24"/>
                <w:lang w:bidi="ar"/>
              </w:rPr>
            </w:pPr>
            <w:r>
              <w:rPr>
                <w:rFonts w:hint="eastAsia" w:ascii="宋体" w:eastAsia="宋体"/>
                <w:b w:val="0"/>
                <w:bCs w:val="0"/>
                <w:sz w:val="24"/>
                <w:szCs w:val="24"/>
                <w:lang w:bidi="ar"/>
              </w:rPr>
              <w:t>道路脱空</w:t>
            </w:r>
            <w:r>
              <w:rPr>
                <w:rFonts w:hint="eastAsia" w:ascii="宋体" w:eastAsia="宋体"/>
                <w:b w:val="0"/>
                <w:bCs w:val="0"/>
                <w:sz w:val="24"/>
                <w:szCs w:val="24"/>
                <w:lang w:val="en-US" w:eastAsia="zh-CN" w:bidi="ar"/>
              </w:rPr>
              <w:t>(空洞）</w:t>
            </w:r>
            <w:r>
              <w:rPr>
                <w:rFonts w:hint="eastAsia" w:ascii="宋体" w:eastAsia="宋体"/>
                <w:b w:val="0"/>
                <w:bCs w:val="0"/>
                <w:sz w:val="24"/>
                <w:szCs w:val="24"/>
                <w:lang w:bidi="ar"/>
              </w:rPr>
              <w:t>检测</w:t>
            </w:r>
            <w:r>
              <w:rPr>
                <w:rFonts w:hint="eastAsia" w:ascii="宋体" w:eastAsia="宋体"/>
                <w:b w:val="0"/>
                <w:bCs w:val="0"/>
                <w:sz w:val="24"/>
                <w:szCs w:val="24"/>
                <w:lang w:eastAsia="zh-CN" w:bidi="ar"/>
              </w:rPr>
              <w:t>暂按</w:t>
            </w:r>
            <w:r>
              <w:rPr>
                <w:rFonts w:hint="eastAsia" w:ascii="宋体" w:eastAsia="宋体"/>
                <w:b w:val="0"/>
                <w:bCs w:val="0"/>
                <w:sz w:val="24"/>
                <w:szCs w:val="24"/>
                <w:lang w:val="en-US" w:eastAsia="zh-CN" w:bidi="ar"/>
              </w:rPr>
              <w:t>70</w:t>
            </w:r>
            <w:r>
              <w:rPr>
                <w:rFonts w:hint="eastAsia" w:ascii="宋体" w:eastAsia="宋体"/>
                <w:b w:val="0"/>
                <w:bCs w:val="0"/>
                <w:sz w:val="24"/>
                <w:szCs w:val="24"/>
                <w:lang w:bidi="ar"/>
              </w:rPr>
              <w:t>km（单车道公里数），具体检测数量、检测清单由</w:t>
            </w:r>
            <w:r>
              <w:rPr>
                <w:rFonts w:hint="eastAsia" w:ascii="Times New Roman" w:hAnsi="Times New Roman" w:eastAsia="宋体" w:cs="Times New Roman"/>
                <w:b w:val="0"/>
                <w:bCs w:val="0"/>
                <w:i w:val="0"/>
                <w:iCs w:val="0"/>
                <w:color w:val="000000"/>
                <w:kern w:val="0"/>
                <w:sz w:val="24"/>
                <w:szCs w:val="24"/>
                <w:u w:val="none"/>
                <w:lang w:val="en-US" w:eastAsia="zh-CN" w:bidi="ar"/>
              </w:rPr>
              <w:t>采购人</w:t>
            </w:r>
            <w:r>
              <w:rPr>
                <w:rFonts w:hint="eastAsia" w:ascii="宋体" w:eastAsia="宋体"/>
                <w:b w:val="0"/>
                <w:bCs w:val="0"/>
                <w:sz w:val="24"/>
                <w:szCs w:val="24"/>
                <w:lang w:bidi="ar"/>
              </w:rPr>
              <w:t>选定。</w:t>
            </w:r>
          </w:p>
        </w:tc>
        <w:tc>
          <w:tcPr>
            <w:tcW w:w="126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14:paraId="4BEBF42F">
            <w:pPr>
              <w:widowControl/>
              <w:jc w:val="center"/>
              <w:textAlignment w:val="center"/>
              <w:rPr>
                <w:rFonts w:hint="eastAsia" w:ascii="宋体" w:eastAsia="宋体"/>
                <w:b w:val="0"/>
                <w:bCs w:val="0"/>
                <w:sz w:val="24"/>
                <w:szCs w:val="24"/>
                <w:lang w:val="en-US" w:eastAsia="zh-CN" w:bidi="ar"/>
              </w:rPr>
            </w:pPr>
            <w:r>
              <w:rPr>
                <w:rFonts w:hint="eastAsia" w:ascii="宋体" w:eastAsia="宋体"/>
                <w:b w:val="0"/>
                <w:bCs w:val="0"/>
                <w:sz w:val="24"/>
                <w:szCs w:val="24"/>
                <w:lang w:val="en-US" w:eastAsia="zh-CN" w:bidi="ar"/>
              </w:rPr>
              <w:t>70</w:t>
            </w:r>
            <w:r>
              <w:rPr>
                <w:rFonts w:hint="eastAsia" w:ascii="宋体" w:eastAsia="宋体"/>
                <w:b w:val="0"/>
                <w:bCs w:val="0"/>
                <w:sz w:val="24"/>
                <w:szCs w:val="24"/>
                <w:lang w:bidi="ar"/>
              </w:rPr>
              <w:t>km</w:t>
            </w:r>
          </w:p>
        </w:tc>
      </w:tr>
    </w:tbl>
    <w:p w14:paraId="7BC0593C">
      <w:pPr>
        <w:autoSpaceDE w:val="0"/>
        <w:autoSpaceDN w:val="0"/>
        <w:adjustRightInd w:val="0"/>
        <w:spacing w:line="430" w:lineRule="atLeast"/>
        <w:ind w:firstLine="521" w:firstLineChars="237"/>
        <w:textAlignment w:val="bottom"/>
        <w:rPr>
          <w:rFonts w:hint="eastAsia" w:ascii="宋体" w:eastAsia="宋体" w:cs="Times New Roman"/>
          <w:b w:val="0"/>
          <w:bCs w:val="0"/>
          <w:color w:val="FF0000"/>
          <w:kern w:val="2"/>
          <w:sz w:val="22"/>
          <w:szCs w:val="22"/>
          <w:lang w:eastAsia="zh-CN"/>
        </w:rPr>
      </w:pPr>
      <w:r>
        <w:rPr>
          <w:rFonts w:hint="eastAsia" w:ascii="宋体" w:eastAsia="宋体" w:cs="Times New Roman"/>
          <w:b w:val="0"/>
          <w:bCs w:val="0"/>
          <w:color w:val="auto"/>
          <w:kern w:val="2"/>
          <w:sz w:val="22"/>
          <w:szCs w:val="22"/>
        </w:rPr>
        <w:t>注：以上采购范围清单，若有调整，需业主同意，具体检测量按实计算，单价按投标报价。</w:t>
      </w:r>
      <w:r>
        <w:rPr>
          <w:rFonts w:hint="eastAsia" w:ascii="宋体" w:eastAsia="宋体" w:cs="Times New Roman"/>
          <w:b w:val="0"/>
          <w:bCs w:val="0"/>
          <w:color w:val="000000" w:themeColor="text1"/>
          <w:kern w:val="2"/>
          <w:sz w:val="22"/>
          <w:szCs w:val="22"/>
          <w14:textFill>
            <w14:solidFill>
              <w14:schemeClr w14:val="tx1"/>
            </w14:solidFill>
          </w14:textFill>
        </w:rPr>
        <w:t>“温州市永嘉县城市道路设施统计表”见附件下载</w:t>
      </w:r>
      <w:r>
        <w:rPr>
          <w:rFonts w:hint="eastAsia" w:ascii="宋体" w:cs="Times New Roman"/>
          <w:b w:val="0"/>
          <w:bCs w:val="0"/>
          <w:color w:val="000000" w:themeColor="text1"/>
          <w:kern w:val="2"/>
          <w:sz w:val="22"/>
          <w:szCs w:val="22"/>
          <w:lang w:eastAsia="zh-CN"/>
          <w14:textFill>
            <w14:solidFill>
              <w14:schemeClr w14:val="tx1"/>
            </w14:solidFill>
          </w14:textFill>
        </w:rPr>
        <w:t>。</w:t>
      </w:r>
    </w:p>
    <w:p w14:paraId="6BCDA269">
      <w:pPr>
        <w:autoSpaceDE w:val="0"/>
        <w:autoSpaceDN w:val="0"/>
        <w:adjustRightInd w:val="0"/>
        <w:spacing w:line="430" w:lineRule="atLeast"/>
        <w:ind w:firstLine="523" w:firstLineChars="237"/>
        <w:textAlignment w:val="bottom"/>
        <w:rPr>
          <w:rFonts w:ascii="宋体" w:eastAsia="宋体" w:cs="Times New Roman"/>
          <w:b/>
          <w:bCs/>
          <w:color w:val="auto"/>
          <w:kern w:val="2"/>
          <w:sz w:val="22"/>
          <w:szCs w:val="22"/>
        </w:rPr>
      </w:pPr>
      <w:r>
        <w:rPr>
          <w:rFonts w:hint="eastAsia" w:ascii="宋体" w:eastAsia="宋体" w:cs="Times New Roman"/>
          <w:b/>
          <w:bCs/>
          <w:color w:val="auto"/>
          <w:kern w:val="2"/>
          <w:sz w:val="22"/>
          <w:szCs w:val="22"/>
        </w:rPr>
        <w:t>（二）检测依据的标准及规范</w:t>
      </w:r>
    </w:p>
    <w:p w14:paraId="6ED2A425">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1．本技术规格书只是对本次招标服务内容的一些原则性规定，并不是详尽的要求，投标方有责任对提供的服务符合技术规格书要求负责。</w:t>
      </w:r>
    </w:p>
    <w:p w14:paraId="60ECEBFB">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2．有关技术标准及规范等都应符合下列最新版本的国家标准/规范要求。包括但不限于如下：</w:t>
      </w:r>
    </w:p>
    <w:p w14:paraId="570D31FF">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《城镇道路养护技术规范》CJJ36-2016</w:t>
      </w:r>
    </w:p>
    <w:p w14:paraId="38A105FF">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《城市桥梁养护技术标准》CJJ99-2017</w:t>
      </w:r>
    </w:p>
    <w:p w14:paraId="114D472A">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《城市桥梁检测与评定技术规范》CJJ T 233-2015</w:t>
      </w:r>
    </w:p>
    <w:p w14:paraId="70020164">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《公路桥涵养护规范》</w:t>
      </w:r>
    </w:p>
    <w:p w14:paraId="6042647E">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《公路工程质量检验评定标准 土建工程》 JTG F80/I-2004</w:t>
      </w:r>
    </w:p>
    <w:p w14:paraId="19E37CEA">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《公路工程技术标准》JTG B01-2003</w:t>
      </w:r>
    </w:p>
    <w:p w14:paraId="08A66CB9">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《公路桥涵设计通用规范》JTG D60-2004</w:t>
      </w:r>
    </w:p>
    <w:p w14:paraId="62E1BFC0">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《公路钢筋混凝土及预应力混凝土桥涵设计规范》JTG D62-2004</w:t>
      </w:r>
    </w:p>
    <w:p w14:paraId="22EFD6D9">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《公路桥涵地基与基础设计规范》JTG D63-2007</w:t>
      </w:r>
    </w:p>
    <w:p w14:paraId="28A3CA7E">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《公路隧道设计规范》（JTGD70-2004）</w:t>
      </w:r>
    </w:p>
    <w:p w14:paraId="470C5148">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《公路隧道养护技术规范》（JTG H12-2015）</w:t>
      </w:r>
    </w:p>
    <w:p w14:paraId="06958797">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《超声回弹综合法检测混凝土强度技术规程》（CECS02：2005）</w:t>
      </w:r>
    </w:p>
    <w:p w14:paraId="443D9E94">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《建筑变形测量规程》（JGJ/T 8-2007）</w:t>
      </w:r>
    </w:p>
    <w:p w14:paraId="3E290707">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《混凝土强度检验评定标准》（GB/T50107-2010）</w:t>
      </w:r>
    </w:p>
    <w:p w14:paraId="14A3C6D4">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《超声波检测混凝土缺陷技术规程》（CECS21：2000）</w:t>
      </w:r>
    </w:p>
    <w:p w14:paraId="222FEC23">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《回弹法检测混凝土抗压强度技术规程》JGJ/T 23-2001</w:t>
      </w:r>
    </w:p>
    <w:p w14:paraId="232F85DB">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《城市桥梁养护技术规范》CJJ99-2003建设部</w:t>
      </w:r>
    </w:p>
    <w:p w14:paraId="7097205C">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《城市桥梁设计荷载标准》CJJ77-1998</w:t>
      </w:r>
    </w:p>
    <w:p w14:paraId="7671EE8C">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《大跨径混凝土桥梁的实验方法》交通部 1982</w:t>
      </w:r>
    </w:p>
    <w:p w14:paraId="3CB6989A">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《公路旧桥承载能力鉴定方法（试行）》交通部公路局1988</w:t>
      </w:r>
    </w:p>
    <w:p w14:paraId="67D2AFF4">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《城市桥梁检测和养护维修管理办法》（建设部令118号）</w:t>
      </w:r>
    </w:p>
    <w:p w14:paraId="6354AEB7">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《公路旧桥承载能力鉴定方法》交通部1988年</w:t>
      </w:r>
    </w:p>
    <w:p w14:paraId="6F494E8C">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《公路桥涵设计规范》（合订本）交通部</w:t>
      </w:r>
    </w:p>
    <w:p w14:paraId="14C1C8BE">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《公路桥梁承载能力检测评定规程》（报批稿）</w:t>
      </w:r>
    </w:p>
    <w:p w14:paraId="42B1D84F">
      <w:pPr>
        <w:autoSpaceDE w:val="0"/>
        <w:autoSpaceDN w:val="0"/>
        <w:adjustRightInd w:val="0"/>
        <w:spacing w:line="430" w:lineRule="atLeast"/>
        <w:ind w:firstLine="521" w:firstLineChars="237"/>
        <w:textAlignment w:val="bottom"/>
        <w:rPr>
          <w:rFonts w:hint="eastAsia" w:ascii="宋体" w:eastAsia="宋体" w:cs="Times New Roman"/>
          <w:b w:val="0"/>
          <w:bCs w:val="0"/>
          <w:kern w:val="2"/>
          <w:sz w:val="22"/>
          <w:szCs w:val="22"/>
        </w:rPr>
      </w:pPr>
      <w:r>
        <w:rPr>
          <w:rFonts w:hint="eastAsia" w:ascii="宋体" w:eastAsia="宋体" w:cs="Times New Roman"/>
          <w:b w:val="0"/>
          <w:bCs w:val="0"/>
          <w:kern w:val="2"/>
          <w:sz w:val="22"/>
          <w:szCs w:val="22"/>
        </w:rPr>
        <w:t>《浙江省城市桥梁护栏升级改造专项工作技术导则》</w:t>
      </w:r>
    </w:p>
    <w:p w14:paraId="0AC7D0B9">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《城市工程地球物理探测标准》（CJJ/T7-2017）；</w:t>
      </w:r>
    </w:p>
    <w:p w14:paraId="57A655D4">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《城镇道路养护技术规范》（CJJ 36-2006）</w:t>
      </w:r>
    </w:p>
    <w:p w14:paraId="39C25823">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《城市地下管线探测技术规程》（CJJ 61-2003）；</w:t>
      </w:r>
    </w:p>
    <w:p w14:paraId="56668020">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《城市工程管线综合规划规范》（GB50289-98）；</w:t>
      </w:r>
    </w:p>
    <w:p w14:paraId="43EE7C0A">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《城市测量规范》（CJJ/T8-2011）；</w:t>
      </w:r>
    </w:p>
    <w:p w14:paraId="2D2D1656">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《道路塌陷隐患雷达检测技术导则》（RISN-TG024-2016）；</w:t>
      </w:r>
    </w:p>
    <w:p w14:paraId="2B9C73FF">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《道路塌陷隐患雷达检测技术规范》（T/CMEA 2-2018）。</w:t>
      </w:r>
    </w:p>
    <w:p w14:paraId="1513F44D">
      <w:pPr>
        <w:numPr>
          <w:ilvl w:val="0"/>
          <w:numId w:val="9"/>
        </w:numPr>
        <w:autoSpaceDE w:val="0"/>
        <w:autoSpaceDN w:val="0"/>
        <w:adjustRightInd w:val="0"/>
        <w:spacing w:line="430" w:lineRule="atLeast"/>
        <w:ind w:firstLine="523" w:firstLineChars="237"/>
        <w:textAlignment w:val="bottom"/>
        <w:rPr>
          <w:rFonts w:hint="eastAsia" w:ascii="宋体" w:eastAsia="宋体" w:cs="Times New Roman"/>
          <w:b/>
          <w:bCs/>
          <w:color w:val="auto"/>
          <w:kern w:val="2"/>
          <w:sz w:val="22"/>
          <w:szCs w:val="22"/>
        </w:rPr>
      </w:pPr>
      <w:r>
        <w:rPr>
          <w:rFonts w:ascii="宋体" w:eastAsia="宋体" w:cs="Times New Roman"/>
          <w:b/>
          <w:bCs/>
          <w:color w:val="auto"/>
          <w:kern w:val="2"/>
          <w:sz w:val="22"/>
          <w:szCs w:val="22"/>
        </w:rPr>
        <w:t>检测</w:t>
      </w:r>
      <w:r>
        <w:rPr>
          <w:rFonts w:hint="eastAsia" w:ascii="宋体" w:eastAsia="宋体" w:cs="Times New Roman"/>
          <w:b/>
          <w:bCs/>
          <w:color w:val="auto"/>
          <w:kern w:val="2"/>
          <w:sz w:val="22"/>
          <w:szCs w:val="22"/>
        </w:rPr>
        <w:t>内容</w:t>
      </w:r>
    </w:p>
    <w:p w14:paraId="510D0795">
      <w:pPr>
        <w:numPr>
          <w:ilvl w:val="0"/>
          <w:numId w:val="0"/>
        </w:numPr>
        <w:autoSpaceDE w:val="0"/>
        <w:autoSpaceDN w:val="0"/>
        <w:adjustRightInd w:val="0"/>
        <w:spacing w:line="430" w:lineRule="atLeast"/>
        <w:ind w:firstLine="663" w:firstLineChars="300"/>
        <w:textAlignment w:val="bottom"/>
        <w:rPr>
          <w:rFonts w:hint="eastAsia" w:ascii="宋体" w:hAnsi="宋体" w:eastAsia="宋体" w:cs="Times New Roman"/>
          <w:b/>
          <w:bCs/>
          <w:color w:val="auto"/>
          <w:kern w:val="2"/>
          <w:sz w:val="22"/>
          <w:szCs w:val="22"/>
        </w:rPr>
      </w:pPr>
      <w:r>
        <w:rPr>
          <w:rFonts w:hint="eastAsia" w:ascii="宋体" w:hAnsi="宋体" w:eastAsia="宋体" w:cs="Times New Roman"/>
          <w:b/>
          <w:bCs/>
          <w:color w:val="auto"/>
          <w:kern w:val="2"/>
          <w:sz w:val="22"/>
          <w:szCs w:val="22"/>
        </w:rPr>
        <w:t>1．桥梁常规定期检测：</w:t>
      </w:r>
    </w:p>
    <w:p w14:paraId="3D0E5EC0">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（1）对照城市桥梁资料卡和设备量年报表现场校核城市桥梁的基本数据，并符合标准附录要求。</w:t>
      </w:r>
    </w:p>
    <w:p w14:paraId="75D676B4">
      <w:pPr>
        <w:autoSpaceDE w:val="0"/>
        <w:autoSpaceDN w:val="0"/>
        <w:adjustRightInd w:val="0"/>
        <w:spacing w:line="430" w:lineRule="atLeast"/>
        <w:ind w:firstLine="521" w:firstLineChars="237"/>
        <w:textAlignment w:val="bottom"/>
        <w:rPr>
          <w:rFonts w:ascii="宋体" w:eastAsia="宋体" w:cs="Times New Roman"/>
          <w:b w:val="0"/>
          <w:bCs w:val="0"/>
          <w:kern w:val="2"/>
          <w:sz w:val="22"/>
          <w:szCs w:val="22"/>
        </w:rPr>
      </w:pPr>
      <w:r>
        <w:rPr>
          <w:rFonts w:hint="eastAsia" w:ascii="宋体" w:eastAsia="宋体" w:cs="Times New Roman"/>
          <w:b w:val="0"/>
          <w:bCs w:val="0"/>
          <w:kern w:val="2"/>
          <w:sz w:val="22"/>
          <w:szCs w:val="22"/>
        </w:rPr>
        <w:t>（2）根据《浙江省城市桥梁护栏升级改造专项工作技术导则》》3.3 分类标准，将既有城市桥梁护栏按处置优先顺序分为“Ⅲ、Ⅱ、Ⅰ”三类</w:t>
      </w:r>
    </w:p>
    <w:p w14:paraId="47A36FBE">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（3）对桥梁（含桥头引道）的外观状态进行全面检测，记录病害状况，实地判断损坏原因，估计维修范围和方案。</w:t>
      </w:r>
    </w:p>
    <w:p w14:paraId="743EBF6D">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（4）对难以判断其损坏程度和原因的构件，提出作特殊检测的建议。</w:t>
      </w:r>
    </w:p>
    <w:p w14:paraId="1E8EB524">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（5）对损坏严重、危及安全的城市桥梁，提出限载以致暂时限制交通的建议。</w:t>
      </w:r>
    </w:p>
    <w:p w14:paraId="50ADB672">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（6）根据城市桥梁技术状况，确定下次检测的时间。</w:t>
      </w:r>
    </w:p>
    <w:p w14:paraId="4072BEF0">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检测范围为：</w:t>
      </w:r>
    </w:p>
    <w:p w14:paraId="542F1BAB">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①桥面系包括桥面铺装、桥头搭板、伸缩装置、排水系统、人行道、栏杆或护栏；</w:t>
      </w:r>
    </w:p>
    <w:p w14:paraId="7408EC27">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②上部结构包括主梁、主桁架、主拱圈、横梁、横向联系、主节点、挂梁、连接件等；</w:t>
      </w:r>
    </w:p>
    <w:p w14:paraId="3462AB13">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③下部结构包括支座、盖梁、墩身、台帽、台身、基础、挡土墙、护坡及河床冲刷情况等。</w:t>
      </w:r>
    </w:p>
    <w:p w14:paraId="7863D350">
      <w:pPr>
        <w:autoSpaceDE w:val="0"/>
        <w:autoSpaceDN w:val="0"/>
        <w:adjustRightInd w:val="0"/>
        <w:spacing w:line="430" w:lineRule="atLeast"/>
        <w:ind w:firstLine="521" w:firstLineChars="237"/>
        <w:textAlignment w:val="bottom"/>
        <w:rPr>
          <w:rFonts w:ascii="宋体" w:eastAsia="宋体" w:cs="Times New Roman"/>
          <w:b w:val="0"/>
          <w:bCs w:val="0"/>
          <w:kern w:val="2"/>
          <w:sz w:val="22"/>
          <w:szCs w:val="22"/>
        </w:rPr>
      </w:pPr>
      <w:r>
        <w:rPr>
          <w:rFonts w:hint="eastAsia" w:ascii="宋体" w:eastAsia="宋体" w:cs="Times New Roman"/>
          <w:b w:val="0"/>
          <w:bCs w:val="0"/>
          <w:kern w:val="2"/>
          <w:sz w:val="22"/>
          <w:szCs w:val="22"/>
        </w:rPr>
        <w:t>检测内容包括：</w:t>
      </w:r>
    </w:p>
    <w:p w14:paraId="629F1AD9">
      <w:pPr>
        <w:autoSpaceDE w:val="0"/>
        <w:autoSpaceDN w:val="0"/>
        <w:adjustRightInd w:val="0"/>
        <w:spacing w:line="430" w:lineRule="atLeast"/>
        <w:ind w:firstLine="521" w:firstLineChars="237"/>
        <w:textAlignment w:val="bottom"/>
        <w:rPr>
          <w:rFonts w:ascii="宋体" w:eastAsia="宋体" w:cs="Times New Roman"/>
          <w:b w:val="0"/>
          <w:bCs w:val="0"/>
          <w:kern w:val="2"/>
          <w:sz w:val="22"/>
          <w:szCs w:val="22"/>
        </w:rPr>
      </w:pPr>
      <w:r>
        <w:rPr>
          <w:rFonts w:hint="eastAsia" w:ascii="宋体" w:eastAsia="宋体" w:cs="Times New Roman"/>
          <w:b w:val="0"/>
          <w:bCs w:val="0"/>
          <w:kern w:val="2"/>
          <w:sz w:val="22"/>
          <w:szCs w:val="22"/>
        </w:rPr>
        <w:t>①桥梁的基本几何尺寸调查，包括界面尺寸、跨径等。</w:t>
      </w:r>
    </w:p>
    <w:p w14:paraId="011CB73D">
      <w:pPr>
        <w:autoSpaceDE w:val="0"/>
        <w:autoSpaceDN w:val="0"/>
        <w:adjustRightInd w:val="0"/>
        <w:spacing w:line="430" w:lineRule="atLeast"/>
        <w:ind w:firstLine="521" w:firstLineChars="237"/>
        <w:textAlignment w:val="bottom"/>
        <w:rPr>
          <w:rFonts w:ascii="宋体" w:eastAsia="宋体" w:cs="Times New Roman"/>
          <w:b w:val="0"/>
          <w:bCs w:val="0"/>
          <w:kern w:val="2"/>
          <w:sz w:val="22"/>
          <w:szCs w:val="22"/>
        </w:rPr>
      </w:pPr>
      <w:r>
        <w:rPr>
          <w:rFonts w:hint="eastAsia" w:ascii="宋体" w:eastAsia="宋体" w:cs="Times New Roman"/>
          <w:b w:val="0"/>
          <w:bCs w:val="0"/>
          <w:kern w:val="2"/>
          <w:sz w:val="22"/>
          <w:szCs w:val="22"/>
        </w:rPr>
        <w:t>②桥梁实际承担的车辆荷载及交通流量分析。</w:t>
      </w:r>
    </w:p>
    <w:p w14:paraId="46B14597">
      <w:pPr>
        <w:autoSpaceDE w:val="0"/>
        <w:autoSpaceDN w:val="0"/>
        <w:adjustRightInd w:val="0"/>
        <w:spacing w:line="430" w:lineRule="atLeast"/>
        <w:ind w:firstLine="521" w:firstLineChars="237"/>
        <w:textAlignment w:val="bottom"/>
        <w:rPr>
          <w:rFonts w:ascii="宋体" w:eastAsia="宋体" w:cs="Times New Roman"/>
          <w:b w:val="0"/>
          <w:bCs w:val="0"/>
          <w:kern w:val="2"/>
          <w:sz w:val="22"/>
          <w:szCs w:val="22"/>
        </w:rPr>
      </w:pPr>
      <w:r>
        <w:rPr>
          <w:rFonts w:hint="eastAsia" w:ascii="宋体" w:eastAsia="宋体" w:cs="Times New Roman"/>
          <w:b w:val="0"/>
          <w:bCs w:val="0"/>
          <w:kern w:val="2"/>
          <w:sz w:val="22"/>
          <w:szCs w:val="22"/>
        </w:rPr>
        <w:t>③Ⅰ类养护的桥梁结构变位测量，应包括下列内容：一是桥面结构纵向线形，桥面标高和墩（台）顶的水平变位；塔顶变位，主缆线形；拱轴线侧向偏离，拱肋矢高等。二是桥梁墩台基础竖向沉降、水平变位和转角。</w:t>
      </w:r>
    </w:p>
    <w:p w14:paraId="32248067">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Ⅰ类养护的桥梁拉力索力和吊杆拉力测量。系杆拱桥、悬索桥及斜拉桥通过吊杆振动频率测试，对比分析历年吊杆力；检查悬索桥吊杆上端与主缆索的索夹是否有松动、移位，下端与梁连接的螺栓有无松动等问题。</w:t>
      </w:r>
    </w:p>
    <w:p w14:paraId="1A6CD32E">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拱桥及软弱地基桥梁的沉降测量；独柱式墩桥梁墩柱的侧向倾角及梁体相对水平位移值测量。</w:t>
      </w:r>
    </w:p>
    <w:p w14:paraId="436626E9">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④Ⅰ类养护城市桥梁应按影响结构安全状况进行评估；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14:paraId="454948CE">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⑤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14:paraId="6808993F">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⑥支座检测。检查桥梁支座是否正常工作，有无错位、断裂或脱空等情况，描述支座病害，做病害记录。</w:t>
      </w:r>
    </w:p>
    <w:p w14:paraId="45A87CD0">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⑦伸缩装置检测。检查伸缩装置与桥面铺装是否存在高差；检查伸缩装置是否完好，结构缝宽是否存在异常，有否卡死，有否异常声响。</w:t>
      </w:r>
    </w:p>
    <w:p w14:paraId="5E088D73">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⑧检测中发现的桥梁病害应作记录，重要病害应在现场做出标记，超标的裂缝应该设永久裂缝观测标记、以便以后观测。</w:t>
      </w:r>
    </w:p>
    <w:p w14:paraId="52846C03">
      <w:pPr>
        <w:autoSpaceDE w:val="0"/>
        <w:autoSpaceDN w:val="0"/>
        <w:adjustRightInd w:val="0"/>
        <w:spacing w:line="360" w:lineRule="auto"/>
        <w:ind w:firstLine="523" w:firstLineChars="237"/>
        <w:textAlignment w:val="bottom"/>
        <w:rPr>
          <w:rFonts w:hint="eastAsia" w:ascii="宋体" w:hAnsi="宋体" w:eastAsia="宋体" w:cs="Times New Roman"/>
          <w:b/>
          <w:bCs/>
          <w:color w:val="auto"/>
          <w:kern w:val="2"/>
          <w:sz w:val="22"/>
          <w:szCs w:val="22"/>
          <w:highlight w:val="none"/>
        </w:rPr>
      </w:pPr>
      <w:r>
        <w:rPr>
          <w:rFonts w:hint="eastAsia" w:ascii="宋体" w:hAnsi="宋体" w:eastAsia="宋体" w:cs="Times New Roman"/>
          <w:b/>
          <w:bCs/>
          <w:color w:val="auto"/>
          <w:kern w:val="2"/>
          <w:sz w:val="22"/>
          <w:szCs w:val="22"/>
          <w:highlight w:val="none"/>
        </w:rPr>
        <w:t>2.桥梁结构定期检测：</w:t>
      </w:r>
    </w:p>
    <w:p w14:paraId="3D2BDCCB">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（1）查阅历年检测报告和常规定期检测中提出的建议。</w:t>
      </w:r>
    </w:p>
    <w:p w14:paraId="1D9150E9">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（2）根据常规定期检测中桥梁状况评定结果，进行梁体线形、墩柱沉降及结构构建的检测。</w:t>
      </w:r>
    </w:p>
    <w:p w14:paraId="0C3AA695">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3）通过现场检测试验确定材料特性、退化程度和退化性质。对桥梁的梁板、墩柱、桥台等主要构件进行无损检测。检测不得对桥梁结构造成损坏，对桥梁混凝土及表面涂装必要的布局损坏，在检测结束后负责原样恢复。</w:t>
      </w:r>
    </w:p>
    <w:p w14:paraId="513FF598">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无损检测内容至少应该包含以下内容：</w:t>
      </w:r>
    </w:p>
    <w:p w14:paraId="6931036E">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①桥梁结构几何参数检测。检测内容包括构件长度与截面尺寸，桥面铺装厚度，结构验算需采用的其他几何参数。</w:t>
      </w:r>
    </w:p>
    <w:p w14:paraId="7D99A624">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②检测混凝土的强度、碳化深度。砼强度检测每个构件不少于5个测区；碳化深度检测每个构件不少于5个测点。</w:t>
      </w:r>
    </w:p>
    <w:p w14:paraId="1A241D89">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③探测混凝土保护层厚度，每个构件不少于5个测点。</w:t>
      </w:r>
    </w:p>
    <w:p w14:paraId="63D293AD">
      <w:pPr>
        <w:autoSpaceDE w:val="0"/>
        <w:autoSpaceDN w:val="0"/>
        <w:adjustRightInd w:val="0"/>
        <w:spacing w:line="360" w:lineRule="auto"/>
        <w:ind w:firstLine="440" w:firstLineChars="200"/>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 xml:space="preserve"> ④通过检测判断钢筋锈蚀状况的可能性，每个构件不少于5个测区。</w:t>
      </w:r>
    </w:p>
    <w:p w14:paraId="0E965185">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⑤混凝土构件缺损程度评定，运用碳化深度数据推定构件剩余使用年限和对钢筋锈蚀的影响，根据桥梁外观检查结果对钢筋的锈蚀情况进行检测。</w:t>
      </w:r>
    </w:p>
    <w:p w14:paraId="34B220EB">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（4）箱梁裂缝检查及箱梁内窥镜检查。内窥镜检测内容：需通过现有箱梁排水孔或排气孔探入摄像头，初查箱梁内积水、破损状况。</w:t>
      </w:r>
    </w:p>
    <w:p w14:paraId="72579B9F">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 xml:space="preserve"> （5）吊杆拉力测量，与往年吊杆拉力进行对比分析；检查吊杆上端的索夹、下端与梁体连接的螺栓有否松动、锈蚀等问题。</w:t>
      </w:r>
    </w:p>
    <w:p w14:paraId="5172F4A2">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（6）Ⅰ类养护的桥梁（单跨跨径较大或特殊结构桥梁）需进行结构线性与变位检测。检测内容应包括桥面标高和墩（台）顶的水平变位，桥梁墩台基础竖向沉降、水平变位和转角。</w:t>
      </w:r>
    </w:p>
    <w:p w14:paraId="1962EA1D">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7）对桥梁进行结构检算，包括承载力检算、稳定性检算和刚度验算。检算主要构件能否达到设计荷载标准，根据相关规范对桥梁的承载力和耐久性进行评估。桥梁结构检算评定时，所用构件的几何尺寸、变位、材料强度值、缺损程度宜以结构实体检测结果为依据。</w:t>
      </w:r>
    </w:p>
    <w:p w14:paraId="0D0F3386">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（8）根据现场检测结果，分析确定退化的原因，以及对结构性能的耐久性的影响。根据《标准》第4.3.14条内容，对桥梁构件进行侵蚀环境分类。</w:t>
      </w:r>
    </w:p>
    <w:p w14:paraId="4EA8ED57">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（9）对可能影响结构正常工作的构件，评价其在下一次检测之前的可能退化情况；如构件在下一次检测前可能失效，需立即报告桥梁养护管理部门。</w:t>
      </w:r>
    </w:p>
    <w:p w14:paraId="211168C3">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（10）检测河道的淤积、冲刷等现象，记录水位。</w:t>
      </w:r>
    </w:p>
    <w:p w14:paraId="70FA948A">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（11）必要时对桥梁进行荷载试验和分析评估。城市桥梁的荷载试验评估按有关标准进行。</w:t>
      </w:r>
    </w:p>
    <w:p w14:paraId="14D3DBBD">
      <w:pPr>
        <w:autoSpaceDE w:val="0"/>
        <w:autoSpaceDN w:val="0"/>
        <w:adjustRightInd w:val="0"/>
        <w:spacing w:line="360" w:lineRule="auto"/>
        <w:ind w:firstLine="521" w:firstLineChars="237"/>
        <w:textAlignment w:val="bottom"/>
        <w:rPr>
          <w:rFonts w:hint="eastAsia" w:ascii="宋体" w:hAns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（12）通过综合检测评定，确定具有潜在退化可能或已处于退化状况的桥梁构件，提出相应的养护措施。</w:t>
      </w:r>
    </w:p>
    <w:p w14:paraId="6540E5B1">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hAnsi="宋体" w:eastAsia="宋体" w:cs="Times New Roman"/>
          <w:b w:val="0"/>
          <w:bCs w:val="0"/>
          <w:color w:val="auto"/>
          <w:kern w:val="2"/>
          <w:sz w:val="22"/>
          <w:szCs w:val="22"/>
        </w:rPr>
        <w:t>（13）系杆拱桥、悬索桥、斜拉桥应进行动力特性及重要部位的内力静载试验检测。检测报告应结合历年各项检测结果综合分析。</w:t>
      </w:r>
    </w:p>
    <w:p w14:paraId="6679D231">
      <w:pPr>
        <w:autoSpaceDE w:val="0"/>
        <w:autoSpaceDN w:val="0"/>
        <w:adjustRightInd w:val="0"/>
        <w:spacing w:line="360" w:lineRule="auto"/>
        <w:ind w:firstLine="442" w:firstLineChars="200"/>
        <w:jc w:val="left"/>
        <w:rPr>
          <w:rFonts w:hint="eastAsia" w:ascii="宋体" w:eastAsia="宋体"/>
          <w:b/>
          <w:bCs/>
          <w:color w:val="auto"/>
          <w:sz w:val="22"/>
          <w:szCs w:val="22"/>
        </w:rPr>
      </w:pPr>
      <w:r>
        <w:rPr>
          <w:rFonts w:hint="eastAsia" w:ascii="宋体" w:eastAsia="宋体"/>
          <w:b/>
          <w:bCs/>
          <w:color w:val="auto"/>
          <w:sz w:val="22"/>
          <w:szCs w:val="22"/>
          <w:lang w:val="en-US" w:eastAsia="zh-CN"/>
        </w:rPr>
        <w:t>3、</w:t>
      </w:r>
      <w:r>
        <w:rPr>
          <w:rFonts w:hint="eastAsia" w:ascii="宋体" w:eastAsia="宋体"/>
          <w:b/>
          <w:bCs/>
          <w:color w:val="auto"/>
          <w:sz w:val="22"/>
          <w:szCs w:val="22"/>
        </w:rPr>
        <w:t>道路检测内容（应满足《城镇道路养护技术规范》CJJ36-2016道路检测相关要求）：</w:t>
      </w:r>
    </w:p>
    <w:p w14:paraId="214E073F">
      <w:pPr>
        <w:spacing w:line="360" w:lineRule="auto"/>
        <w:ind w:firstLine="539" w:firstLineChars="245"/>
        <w:rPr>
          <w:rFonts w:hint="eastAsia" w:ascii="宋体" w:eastAsia="宋体"/>
          <w:b w:val="0"/>
          <w:bCs w:val="0"/>
          <w:color w:val="auto"/>
          <w:sz w:val="22"/>
          <w:szCs w:val="22"/>
        </w:rPr>
      </w:pPr>
      <w:r>
        <w:rPr>
          <w:rFonts w:hint="eastAsia" w:ascii="宋体" w:eastAsia="宋体"/>
          <w:b w:val="0"/>
          <w:bCs w:val="0"/>
          <w:color w:val="auto"/>
          <w:sz w:val="22"/>
          <w:szCs w:val="22"/>
        </w:rPr>
        <w:t>1）检测内容包括常规检测（路面病害状况调查、平整度、抗滑性能检测。进行路面技术状况评价，包括路面行驶质量RQI、路面损坏状况PCI、抗滑性能（BPN、TD、SFC）和路面综合评价指数PQI;进行道路养护状况评定）。</w:t>
      </w:r>
    </w:p>
    <w:p w14:paraId="0077EFD1">
      <w:pPr>
        <w:spacing w:line="360" w:lineRule="auto"/>
        <w:ind w:firstLine="539" w:firstLineChars="245"/>
        <w:rPr>
          <w:rFonts w:hint="eastAsia" w:ascii="宋体" w:eastAsia="宋体"/>
          <w:b w:val="0"/>
          <w:bCs w:val="0"/>
          <w:color w:val="auto"/>
          <w:sz w:val="22"/>
          <w:szCs w:val="22"/>
        </w:rPr>
      </w:pPr>
      <w:r>
        <w:rPr>
          <w:rFonts w:hint="eastAsia" w:ascii="宋体" w:eastAsia="宋体"/>
          <w:b w:val="0"/>
          <w:bCs w:val="0"/>
          <w:color w:val="auto"/>
          <w:sz w:val="22"/>
          <w:szCs w:val="22"/>
        </w:rPr>
        <w:t>2）道路脱空检测采用探地雷达法（深度5~7m）应符合《城市地下病害体综合探测与风险评估技术标准》JGJ/T 437、《道路塌陷隐患雷达检测技术规程》T/CEMA 2、《道路塌陷隐患雷达检测技术导则》RSIN-TG024的相关规定。</w:t>
      </w:r>
    </w:p>
    <w:p w14:paraId="57401AC7">
      <w:pPr>
        <w:spacing w:line="360" w:lineRule="auto"/>
        <w:ind w:firstLine="539" w:firstLineChars="245"/>
        <w:rPr>
          <w:rFonts w:hint="eastAsia" w:ascii="宋体"/>
          <w:b w:val="0"/>
          <w:bCs w:val="0"/>
          <w:color w:val="auto"/>
          <w:sz w:val="22"/>
          <w:szCs w:val="22"/>
        </w:rPr>
      </w:pPr>
      <w:r>
        <w:rPr>
          <w:rFonts w:hint="eastAsia" w:ascii="宋体" w:eastAsia="宋体"/>
          <w:b w:val="0"/>
          <w:bCs w:val="0"/>
          <w:color w:val="auto"/>
          <w:sz w:val="22"/>
          <w:szCs w:val="22"/>
        </w:rPr>
        <w:t>形成检测结果（判明检测道路存在的土体疏松、富水区、脱空、空洞等缺陷情况，明确病害的位置、大小及埋深，对形成原因进行初步分析），并分析现存隐患可能产生的影响程度，提出相应的处理和维修方案</w:t>
      </w:r>
      <w:r>
        <w:rPr>
          <w:rFonts w:hint="eastAsia"/>
          <w:b w:val="0"/>
          <w:bCs w:val="0"/>
          <w:color w:val="auto"/>
        </w:rPr>
        <w:t>。</w:t>
      </w:r>
    </w:p>
    <w:p w14:paraId="68E86408">
      <w:pPr>
        <w:spacing w:line="360" w:lineRule="auto"/>
        <w:ind w:firstLine="539" w:firstLineChars="245"/>
        <w:rPr>
          <w:rFonts w:hint="eastAsia" w:ascii="宋体" w:eastAsia="宋体"/>
          <w:b w:val="0"/>
          <w:bCs w:val="0"/>
          <w:color w:val="auto"/>
          <w:sz w:val="22"/>
          <w:szCs w:val="22"/>
        </w:rPr>
      </w:pPr>
      <w:r>
        <w:rPr>
          <w:rFonts w:hint="eastAsia" w:ascii="宋体"/>
          <w:b w:val="0"/>
          <w:bCs w:val="0"/>
          <w:color w:val="auto"/>
          <w:sz w:val="22"/>
          <w:szCs w:val="22"/>
        </w:rPr>
        <w:t>3</w:t>
      </w:r>
      <w:r>
        <w:rPr>
          <w:rFonts w:hint="eastAsia" w:ascii="宋体" w:eastAsia="宋体"/>
          <w:b w:val="0"/>
          <w:bCs w:val="0"/>
          <w:color w:val="auto"/>
          <w:sz w:val="22"/>
          <w:szCs w:val="22"/>
        </w:rPr>
        <w:t>）实地判断损坏原因，估计维修范围和方案；</w:t>
      </w:r>
    </w:p>
    <w:p w14:paraId="7698AD23">
      <w:pPr>
        <w:spacing w:line="360" w:lineRule="auto"/>
        <w:ind w:firstLine="539" w:firstLineChars="245"/>
        <w:rPr>
          <w:rFonts w:hint="eastAsia" w:ascii="宋体" w:eastAsia="宋体"/>
          <w:b w:val="0"/>
          <w:bCs w:val="0"/>
          <w:color w:val="auto"/>
          <w:sz w:val="22"/>
          <w:szCs w:val="22"/>
        </w:rPr>
      </w:pPr>
      <w:r>
        <w:rPr>
          <w:rFonts w:hint="eastAsia" w:ascii="宋体"/>
          <w:b w:val="0"/>
          <w:bCs w:val="0"/>
          <w:color w:val="auto"/>
          <w:sz w:val="22"/>
          <w:szCs w:val="22"/>
        </w:rPr>
        <w:t>4</w:t>
      </w:r>
      <w:r>
        <w:rPr>
          <w:rFonts w:hint="eastAsia" w:ascii="宋体" w:eastAsia="宋体"/>
          <w:b w:val="0"/>
          <w:bCs w:val="0"/>
          <w:color w:val="auto"/>
          <w:sz w:val="22"/>
          <w:szCs w:val="22"/>
        </w:rPr>
        <w:t>）对难以判断其损坏程度和原因的道路，提出作特殊检测的建议；</w:t>
      </w:r>
    </w:p>
    <w:p w14:paraId="07E73795">
      <w:pPr>
        <w:spacing w:line="360" w:lineRule="auto"/>
        <w:ind w:firstLine="539" w:firstLineChars="245"/>
        <w:rPr>
          <w:rFonts w:hint="eastAsia" w:ascii="宋体" w:eastAsia="宋体"/>
          <w:b w:val="0"/>
          <w:bCs w:val="0"/>
          <w:color w:val="auto"/>
          <w:sz w:val="22"/>
          <w:szCs w:val="22"/>
        </w:rPr>
      </w:pPr>
      <w:r>
        <w:rPr>
          <w:rFonts w:hint="eastAsia" w:ascii="宋体"/>
          <w:b w:val="0"/>
          <w:bCs w:val="0"/>
          <w:color w:val="auto"/>
          <w:sz w:val="22"/>
          <w:szCs w:val="22"/>
        </w:rPr>
        <w:t>5</w:t>
      </w:r>
      <w:r>
        <w:rPr>
          <w:rFonts w:hint="eastAsia" w:ascii="宋体" w:eastAsia="宋体"/>
          <w:b w:val="0"/>
          <w:bCs w:val="0"/>
          <w:color w:val="auto"/>
          <w:sz w:val="22"/>
          <w:szCs w:val="22"/>
        </w:rPr>
        <w:t>）根据城市道路技术状况，给出下次检测时间的建议；</w:t>
      </w:r>
    </w:p>
    <w:p w14:paraId="2F89604B">
      <w:pPr>
        <w:autoSpaceDE w:val="0"/>
        <w:autoSpaceDN w:val="0"/>
        <w:adjustRightInd w:val="0"/>
        <w:spacing w:line="360" w:lineRule="auto"/>
        <w:ind w:firstLine="523" w:firstLineChars="237"/>
        <w:textAlignment w:val="bottom"/>
        <w:rPr>
          <w:rFonts w:hint="eastAsia" w:ascii="宋体" w:eastAsia="宋体" w:cs="Times New Roman"/>
          <w:b/>
          <w:bCs/>
          <w:color w:val="auto"/>
          <w:kern w:val="2"/>
          <w:sz w:val="22"/>
          <w:szCs w:val="22"/>
        </w:rPr>
      </w:pPr>
      <w:r>
        <w:rPr>
          <w:rFonts w:hint="eastAsia" w:ascii="宋体" w:eastAsia="宋体" w:cs="Times New Roman"/>
          <w:b/>
          <w:bCs/>
          <w:color w:val="auto"/>
          <w:kern w:val="2"/>
          <w:sz w:val="22"/>
          <w:szCs w:val="22"/>
          <w:lang w:val="en-US" w:eastAsia="zh-CN"/>
        </w:rPr>
        <w:t>4、</w:t>
      </w:r>
      <w:r>
        <w:rPr>
          <w:rFonts w:hint="eastAsia" w:ascii="宋体" w:eastAsia="宋体" w:cs="Times New Roman"/>
          <w:b/>
          <w:bCs/>
          <w:color w:val="auto"/>
          <w:kern w:val="2"/>
          <w:sz w:val="22"/>
          <w:szCs w:val="22"/>
        </w:rPr>
        <w:t>隧道常规检测内容：</w:t>
      </w:r>
    </w:p>
    <w:p w14:paraId="0276E4F7">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1)衬砌强度检测：用回弹仪或超声波没做中、短隧道测区不少于50个，特长、长隧道测区不少于100个测区。</w:t>
      </w:r>
    </w:p>
    <w:p w14:paraId="21D8315E">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2)衬砌质量检测：衬砌裂缝、渗水、破损等外观检测质量检测。</w:t>
      </w:r>
    </w:p>
    <w:p w14:paraId="65442018">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3)隧道宽度检测：每座中、短隧道测5-10点，长隧道测10-20点，特长隧道测不少于20点。</w:t>
      </w:r>
    </w:p>
    <w:p w14:paraId="59D30F9F">
      <w:pPr>
        <w:autoSpaceDE w:val="0"/>
        <w:autoSpaceDN w:val="0"/>
        <w:adjustRightInd w:val="0"/>
        <w:spacing w:line="360" w:lineRule="auto"/>
        <w:ind w:firstLine="521" w:firstLineChars="237"/>
        <w:textAlignment w:val="bottom"/>
        <w:rPr>
          <w:rFonts w:hint="eastAsia"/>
        </w:rPr>
      </w:pPr>
      <w:r>
        <w:rPr>
          <w:rFonts w:hint="eastAsia" w:ascii="宋体" w:eastAsia="宋体" w:cs="Times New Roman"/>
          <w:b w:val="0"/>
          <w:bCs w:val="0"/>
          <w:color w:val="auto"/>
          <w:kern w:val="2"/>
          <w:sz w:val="22"/>
          <w:szCs w:val="22"/>
        </w:rPr>
        <w:t>4)每座中、短隧道测5-10点，长隧道测10-20点，特长隧道测不少于20点。</w:t>
      </w:r>
    </w:p>
    <w:p w14:paraId="1F3FA8BA">
      <w:pPr>
        <w:autoSpaceDE w:val="0"/>
        <w:autoSpaceDN w:val="0"/>
        <w:adjustRightInd w:val="0"/>
        <w:spacing w:line="430" w:lineRule="atLeast"/>
        <w:ind w:firstLine="523" w:firstLineChars="237"/>
        <w:textAlignment w:val="bottom"/>
        <w:rPr>
          <w:rFonts w:ascii="宋体" w:eastAsia="宋体" w:cs="Times New Roman"/>
          <w:b/>
          <w:bCs/>
          <w:color w:val="auto"/>
          <w:kern w:val="2"/>
          <w:sz w:val="22"/>
          <w:szCs w:val="22"/>
        </w:rPr>
      </w:pPr>
      <w:r>
        <w:rPr>
          <w:rFonts w:hint="eastAsia" w:ascii="宋体" w:eastAsia="宋体" w:cs="Times New Roman"/>
          <w:b/>
          <w:bCs/>
          <w:color w:val="auto"/>
          <w:kern w:val="2"/>
          <w:sz w:val="22"/>
          <w:szCs w:val="22"/>
        </w:rPr>
        <w:t>（四）检测成果</w:t>
      </w:r>
    </w:p>
    <w:p w14:paraId="6686104F">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1.</w:t>
      </w:r>
      <w:r>
        <w:rPr>
          <w:rFonts w:ascii="宋体" w:eastAsia="宋体" w:cs="Times New Roman"/>
          <w:b w:val="0"/>
          <w:bCs w:val="0"/>
          <w:color w:val="auto"/>
          <w:kern w:val="2"/>
          <w:sz w:val="22"/>
          <w:szCs w:val="22"/>
        </w:rPr>
        <w:t>检测评估机构应当根据有关技术规范，提供真实、准确的检测数据和评估结论，评定</w:t>
      </w:r>
      <w:r>
        <w:rPr>
          <w:rFonts w:hint="eastAsia" w:ascii="宋体" w:eastAsia="宋体" w:cs="Times New Roman"/>
          <w:b w:val="0"/>
          <w:bCs w:val="0"/>
          <w:color w:val="auto"/>
          <w:kern w:val="2"/>
          <w:sz w:val="22"/>
          <w:szCs w:val="22"/>
          <w:lang w:eastAsia="zh-CN"/>
        </w:rPr>
        <w:t>道路、隧道、</w:t>
      </w:r>
      <w:r>
        <w:rPr>
          <w:rFonts w:ascii="宋体" w:eastAsia="宋体" w:cs="Times New Roman"/>
          <w:b w:val="0"/>
          <w:bCs w:val="0"/>
          <w:color w:val="auto"/>
          <w:kern w:val="2"/>
          <w:sz w:val="22"/>
          <w:szCs w:val="22"/>
        </w:rPr>
        <w:t>桥梁的技术等级。</w:t>
      </w:r>
    </w:p>
    <w:p w14:paraId="63514871">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2.检测单位出具分析评价报告，并承担分析评价报告的法律责任。</w:t>
      </w:r>
    </w:p>
    <w:p w14:paraId="397C6146">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3.评估报告包括以下内容（但不限于）：</w:t>
      </w:r>
    </w:p>
    <w:p w14:paraId="5E60DD68">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（1）桥梁概况，含《城市桥梁养护技术标准》（CJJ99-20</w:t>
      </w:r>
      <w:r>
        <w:rPr>
          <w:rFonts w:ascii="宋体" w:eastAsia="宋体" w:cs="Times New Roman"/>
          <w:b w:val="0"/>
          <w:bCs w:val="0"/>
          <w:color w:val="auto"/>
          <w:kern w:val="2"/>
          <w:sz w:val="22"/>
          <w:szCs w:val="22"/>
        </w:rPr>
        <w:t>17</w:t>
      </w:r>
      <w:r>
        <w:rPr>
          <w:rFonts w:hint="eastAsia" w:ascii="宋体" w:eastAsia="宋体" w:cs="Times New Roman"/>
          <w:b w:val="0"/>
          <w:bCs w:val="0"/>
          <w:color w:val="auto"/>
          <w:kern w:val="2"/>
          <w:sz w:val="22"/>
          <w:szCs w:val="22"/>
        </w:rPr>
        <w:t>）附录B城市桥梁资料卡（B</w:t>
      </w:r>
      <w:r>
        <w:rPr>
          <w:rFonts w:ascii="宋体" w:eastAsia="宋体" w:cs="Times New Roman"/>
          <w:b w:val="0"/>
          <w:bCs w:val="0"/>
          <w:color w:val="auto"/>
          <w:kern w:val="2"/>
          <w:sz w:val="22"/>
          <w:szCs w:val="22"/>
        </w:rPr>
        <w:t>-1</w:t>
      </w:r>
      <w:r>
        <w:rPr>
          <w:rFonts w:hint="eastAsia" w:ascii="宋体" w:eastAsia="宋体" w:cs="Times New Roman"/>
          <w:b w:val="0"/>
          <w:bCs w:val="0"/>
          <w:color w:val="auto"/>
          <w:kern w:val="2"/>
          <w:sz w:val="22"/>
          <w:szCs w:val="22"/>
        </w:rPr>
        <w:t>）和桥梁概况（B</w:t>
      </w:r>
      <w:r>
        <w:rPr>
          <w:rFonts w:ascii="宋体" w:eastAsia="宋体" w:cs="Times New Roman"/>
          <w:b w:val="0"/>
          <w:bCs w:val="0"/>
          <w:color w:val="auto"/>
          <w:kern w:val="2"/>
          <w:sz w:val="22"/>
          <w:szCs w:val="22"/>
        </w:rPr>
        <w:t>-2</w:t>
      </w:r>
      <w:r>
        <w:rPr>
          <w:rFonts w:hint="eastAsia" w:ascii="宋体" w:eastAsia="宋体" w:cs="Times New Roman"/>
          <w:b w:val="0"/>
          <w:bCs w:val="0"/>
          <w:color w:val="auto"/>
          <w:kern w:val="2"/>
          <w:sz w:val="22"/>
          <w:szCs w:val="22"/>
        </w:rPr>
        <w:t>）；</w:t>
      </w:r>
    </w:p>
    <w:p w14:paraId="614FA309">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（2）检测的方法、人员投入、仪器设备等；</w:t>
      </w:r>
    </w:p>
    <w:p w14:paraId="4843304F">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（3）桥梁病害情况及产生原因分析，处理对策及病害照片；</w:t>
      </w:r>
    </w:p>
    <w:p w14:paraId="155CC802">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（4）结构裂缝情况和变化情况。应提供裂缝位置、长度、宽度和深度，并画出键入，达到下一次检测时可进行对比分析的程度；</w:t>
      </w:r>
    </w:p>
    <w:p w14:paraId="0AE4BDE2">
      <w:pPr>
        <w:autoSpaceDE w:val="0"/>
        <w:autoSpaceDN w:val="0"/>
        <w:adjustRightInd w:val="0"/>
        <w:spacing w:line="430" w:lineRule="atLeast"/>
        <w:ind w:firstLine="521" w:firstLineChars="237"/>
        <w:textAlignment w:val="bottom"/>
        <w:rPr>
          <w:rFonts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（5）对桥梁状况进行评估，</w:t>
      </w:r>
      <w:r>
        <w:rPr>
          <w:rFonts w:ascii="宋体" w:eastAsia="宋体" w:cs="Times New Roman"/>
          <w:b w:val="0"/>
          <w:bCs w:val="0"/>
          <w:color w:val="auto"/>
          <w:kern w:val="2"/>
          <w:sz w:val="22"/>
          <w:szCs w:val="22"/>
        </w:rPr>
        <w:t xml:space="preserve">I </w:t>
      </w:r>
      <w:r>
        <w:rPr>
          <w:rFonts w:hint="eastAsia" w:ascii="宋体" w:eastAsia="宋体" w:cs="Times New Roman"/>
          <w:b w:val="0"/>
          <w:bCs w:val="0"/>
          <w:color w:val="auto"/>
          <w:kern w:val="2"/>
          <w:sz w:val="22"/>
          <w:szCs w:val="22"/>
        </w:rPr>
        <w:t>类养护的城市桥梁按影响结构安全状况进行评估；Ⅱ</w:t>
      </w:r>
      <w:r>
        <w:rPr>
          <w:rFonts w:ascii="宋体" w:eastAsia="宋体" w:cs="Times New Roman"/>
          <w:b w:val="0"/>
          <w:bCs w:val="0"/>
          <w:color w:val="auto"/>
          <w:kern w:val="2"/>
          <w:sz w:val="22"/>
          <w:szCs w:val="22"/>
        </w:rPr>
        <w:t>-</w:t>
      </w:r>
      <w:r>
        <w:rPr>
          <w:rFonts w:hint="eastAsia" w:ascii="宋体" w:eastAsia="宋体" w:cs="Times New Roman"/>
          <w:b w:val="0"/>
          <w:bCs w:val="0"/>
          <w:color w:val="auto"/>
          <w:kern w:val="2"/>
          <w:sz w:val="22"/>
          <w:szCs w:val="22"/>
        </w:rPr>
        <w:t>Ⅴ类养护的城市桥梁按《城市桥梁养护技术标准》（CJJ99-20</w:t>
      </w:r>
      <w:r>
        <w:rPr>
          <w:rFonts w:ascii="宋体" w:eastAsia="宋体" w:cs="Times New Roman"/>
          <w:b w:val="0"/>
          <w:bCs w:val="0"/>
          <w:color w:val="auto"/>
          <w:kern w:val="2"/>
          <w:sz w:val="22"/>
          <w:szCs w:val="22"/>
        </w:rPr>
        <w:t>17</w:t>
      </w:r>
      <w:r>
        <w:rPr>
          <w:rFonts w:hint="eastAsia" w:ascii="宋体" w:eastAsia="宋体" w:cs="Times New Roman"/>
          <w:b w:val="0"/>
          <w:bCs w:val="0"/>
          <w:color w:val="auto"/>
          <w:kern w:val="2"/>
          <w:sz w:val="22"/>
          <w:szCs w:val="22"/>
        </w:rPr>
        <w:t>）相关规定对桥面系、上部结构、下部结构制作评分表进行评估，并根据常规定期检测结果对城市桥梁进行技术状况评估分级。</w:t>
      </w:r>
    </w:p>
    <w:p w14:paraId="73E495AF">
      <w:pPr>
        <w:autoSpaceDE w:val="0"/>
        <w:autoSpaceDN w:val="0"/>
        <w:adjustRightInd w:val="0"/>
        <w:spacing w:line="430" w:lineRule="atLeast"/>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（6）对特殊检测、下次的常规定期检测时间及检测要求提出意见，对损坏严重、危及安全的城市桥梁，提出限载以至暂时限制交通的建议。</w:t>
      </w:r>
    </w:p>
    <w:p w14:paraId="393C4CF1">
      <w:pPr>
        <w:spacing w:line="460" w:lineRule="exact"/>
        <w:ind w:left="0" w:leftChars="0" w:firstLine="381" w:firstLineChars="158"/>
        <w:rPr>
          <w:rFonts w:hint="eastAsia" w:ascii="宋体" w:hAnsi="宋体" w:eastAsia="宋体" w:cs="Times New Roman"/>
          <w:b/>
          <w:bCs/>
          <w:kern w:val="2"/>
          <w:sz w:val="24"/>
          <w:szCs w:val="20"/>
        </w:rPr>
      </w:pPr>
      <w:r>
        <w:rPr>
          <w:rFonts w:hint="eastAsia" w:ascii="宋体" w:hAnsi="宋体" w:eastAsia="宋体" w:cs="Times New Roman"/>
          <w:b/>
          <w:bCs/>
          <w:kern w:val="2"/>
          <w:sz w:val="24"/>
          <w:szCs w:val="20"/>
        </w:rPr>
        <w:t>（2）桥梁结构定期检测成果</w:t>
      </w:r>
    </w:p>
    <w:p w14:paraId="2AAAD90C">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①桥梁概况，含《城市桥梁养护技术标准》（CJJ99-2017）附录B城市桥梁资料卡（B-1）和桥梁概况（B-2）；</w:t>
      </w:r>
    </w:p>
    <w:p w14:paraId="7E2817C0">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②结构定期检测有现场记录，应按《城市桥梁养护技术标准》（CJJ99-2017）附录F填写结构定期检测现场记录表（F-1）、特殊构件信息表（F-2）、照片记录表（F-3）。记录所有桥梁构件的侵蚀环境情况；构件的实测损坏类型和程度；损坏状况描述应包含：损坏位置、程度、产生的原因和可能的退化、照片编号、所有材料试验的细节和材料在结构中的部位。</w:t>
      </w:r>
    </w:p>
    <w:p w14:paraId="3B3A9693">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③结构裂缝情况和变化情况。应提供裂缝位置、长度、宽度和深度，并画出键入，达到下一次检测时可进行对比分析的程度；</w:t>
      </w:r>
    </w:p>
    <w:p w14:paraId="13F3E626">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④采用相关技术标准或数据分析，确定桥梁承载能力、抗倾覆能力及耐久性能；</w:t>
      </w:r>
    </w:p>
    <w:p w14:paraId="72D1F519">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 xml:space="preserve">⑤结构使用限制，其中包括荷载、机动车通行或车道数限制； </w:t>
      </w:r>
    </w:p>
    <w:p w14:paraId="30A60487">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 xml:space="preserve">⑥养护维修加固措施； </w:t>
      </w:r>
    </w:p>
    <w:p w14:paraId="309EBFF0">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⑦进一步检测、试验、结构分析评估及建议；</w:t>
      </w:r>
    </w:p>
    <w:p w14:paraId="40E97216">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⑧新老检测报告数据分析。</w:t>
      </w:r>
    </w:p>
    <w:p w14:paraId="3AEBB620">
      <w:pPr>
        <w:autoSpaceDE w:val="0"/>
        <w:autoSpaceDN w:val="0"/>
        <w:adjustRightInd w:val="0"/>
        <w:spacing w:line="430" w:lineRule="atLeast"/>
        <w:ind w:firstLine="523" w:firstLineChars="237"/>
        <w:textAlignment w:val="bottom"/>
        <w:rPr>
          <w:rFonts w:hint="eastAsia" w:ascii="宋体" w:hAnsi="宋体" w:eastAsia="宋体" w:cs="Times New Roman"/>
          <w:b/>
          <w:bCs w:val="0"/>
          <w:kern w:val="2"/>
          <w:sz w:val="22"/>
          <w:szCs w:val="22"/>
          <w:u w:val="single"/>
        </w:rPr>
      </w:pPr>
      <w:r>
        <w:rPr>
          <w:rFonts w:hint="eastAsia" w:ascii="宋体" w:hAnsi="宋体" w:eastAsia="宋体" w:cs="Times New Roman"/>
          <w:b/>
          <w:bCs w:val="0"/>
          <w:kern w:val="2"/>
          <w:sz w:val="22"/>
          <w:szCs w:val="22"/>
          <w:u w:val="single"/>
        </w:rPr>
        <w:t>（3）道路定期检测成果</w:t>
      </w:r>
    </w:p>
    <w:p w14:paraId="1E7F9F49">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①道路概况（含《城镇道路养护技术规范》（CJJ36-2016）附录B 城镇道路资料卡中的表B-1、B-2、B-3）；</w:t>
      </w:r>
    </w:p>
    <w:p w14:paraId="5DEB28A5">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②道路病害情况及产生原因分析，处理对策及病害照片；</w:t>
      </w:r>
    </w:p>
    <w:p w14:paraId="4BF30FA1">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③沥青路面和人行道路面的损坏类型应符合《城镇道路养护技术规范》（CJJ36-2016）附录C的规定，并应分别按附录D和附录E填写损坏单项扣分表和损坏调查表。根据定期检测的结果，应按《城镇道路养护技术规范》（CJJ36-2016）第4.5节进行道路评价和定级。</w:t>
      </w:r>
    </w:p>
    <w:p w14:paraId="38A708A9">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④结构强度检测部分，对路面回弹弯沉值数据进行分析，对道路结构整体性能、功能状况进行分析；调查道路结构破坏原因。</w:t>
      </w:r>
    </w:p>
    <w:p w14:paraId="3ACA0B04">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⑤对特殊检测、下次的常规定期检测时间及检测要求提出建议。</w:t>
      </w:r>
    </w:p>
    <w:p w14:paraId="59DCCCCC">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⑥道路脱空检测报告，道路脱空检测情况及相应处置对策。</w:t>
      </w:r>
    </w:p>
    <w:p w14:paraId="52E11739">
      <w:pPr>
        <w:autoSpaceDE w:val="0"/>
        <w:autoSpaceDN w:val="0"/>
        <w:adjustRightInd w:val="0"/>
        <w:spacing w:line="430" w:lineRule="atLeast"/>
        <w:ind w:firstLine="523" w:firstLineChars="237"/>
        <w:textAlignment w:val="bottom"/>
        <w:rPr>
          <w:rFonts w:hint="eastAsia" w:ascii="宋体" w:hAnsi="宋体" w:eastAsia="宋体" w:cs="Times New Roman"/>
          <w:b/>
          <w:bCs w:val="0"/>
          <w:kern w:val="2"/>
          <w:sz w:val="22"/>
          <w:szCs w:val="22"/>
          <w:u w:val="single"/>
        </w:rPr>
      </w:pPr>
      <w:r>
        <w:rPr>
          <w:rFonts w:hint="eastAsia" w:ascii="宋体" w:hAnsi="宋体" w:eastAsia="宋体" w:cs="Times New Roman"/>
          <w:b/>
          <w:bCs w:val="0"/>
          <w:kern w:val="2"/>
          <w:sz w:val="22"/>
          <w:szCs w:val="22"/>
          <w:u w:val="single"/>
        </w:rPr>
        <w:t>（4）隧道定期检测成果</w:t>
      </w:r>
    </w:p>
    <w:p w14:paraId="6CE495D7">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①隧道概况；</w:t>
      </w:r>
    </w:p>
    <w:p w14:paraId="24798AB9">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②检查的主要经过，包含检查的组织实施、时间和主要工作过程；</w:t>
      </w:r>
    </w:p>
    <w:p w14:paraId="36B42AE8">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③检查记录、隧道展示图及相关调查资料等；</w:t>
      </w:r>
    </w:p>
    <w:p w14:paraId="707F37DF">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④病害情况及产生原因分析，处理对策及病害照片。结构裂缝应提供裂缝位置、长度、宽度和深度，并画出键入，达到下一次检测时可进行对比分析的程度；</w:t>
      </w:r>
    </w:p>
    <w:p w14:paraId="10A83D19">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⑤对隧道土建结构的技术状况评定；</w:t>
      </w:r>
    </w:p>
    <w:p w14:paraId="242CC2A1">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⑥对有关技术资料和档案进行调查，并对隧道周围的地质及地表环境开展实地调查，结合设施病害表现，分析病害成因</w:t>
      </w:r>
    </w:p>
    <w:p w14:paraId="47B0A7B0">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⑦对隧道土建结构的养护维修状况的评价及建议；</w:t>
      </w:r>
    </w:p>
    <w:p w14:paraId="110B85DA">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⑧需要实施专项检查的建议；</w:t>
      </w:r>
    </w:p>
    <w:p w14:paraId="286E008C">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 xml:space="preserve"> ⑨维修处置对策、技术等建议。</w:t>
      </w:r>
    </w:p>
    <w:p w14:paraId="56132A35">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（5）隔音屏安全检测成果</w:t>
      </w:r>
    </w:p>
    <w:p w14:paraId="0FF7A219">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①隔音屏概况；</w:t>
      </w:r>
    </w:p>
    <w:p w14:paraId="76F2B43E">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②根据《声屏障结构技术标准》8.4章内容，对声屏障的立柱、屏体、弹簧卡件、防坠落、罩板、地脚螺栓、基础及导墙和防雷等设施进行外观检测、结构防腐检测和基础强度检测，并记录病害。</w:t>
      </w:r>
    </w:p>
    <w:p w14:paraId="7C67F0AC">
      <w:pPr>
        <w:autoSpaceDE w:val="0"/>
        <w:autoSpaceDN w:val="0"/>
        <w:adjustRightInd w:val="0"/>
        <w:spacing w:line="430" w:lineRule="atLeast"/>
        <w:ind w:firstLine="521" w:firstLineChars="237"/>
        <w:textAlignment w:val="bottom"/>
        <w:rPr>
          <w:rFonts w:hint="eastAsia" w:ascii="宋体" w:hAnsi="宋体" w:eastAsia="宋体" w:cs="Times New Roman"/>
          <w:b w:val="0"/>
          <w:bCs/>
          <w:kern w:val="2"/>
          <w:sz w:val="22"/>
          <w:szCs w:val="22"/>
          <w:u w:val="single"/>
        </w:rPr>
      </w:pPr>
      <w:r>
        <w:rPr>
          <w:rFonts w:hint="eastAsia" w:ascii="宋体" w:hAnsi="宋体" w:eastAsia="宋体" w:cs="Times New Roman"/>
          <w:b w:val="0"/>
          <w:bCs/>
          <w:kern w:val="2"/>
          <w:sz w:val="22"/>
          <w:szCs w:val="22"/>
          <w:u w:val="single"/>
        </w:rPr>
        <w:t>③根据检测结果和声屏障维护保养要求，提出维修建议及保养要点。</w:t>
      </w:r>
    </w:p>
    <w:p w14:paraId="183B23B7">
      <w:pPr>
        <w:autoSpaceDE w:val="0"/>
        <w:autoSpaceDN w:val="0"/>
        <w:adjustRightInd w:val="0"/>
        <w:spacing w:line="430" w:lineRule="atLeast"/>
        <w:ind w:firstLine="521" w:firstLineChars="237"/>
        <w:textAlignment w:val="bottom"/>
        <w:rPr>
          <w:rFonts w:hint="eastAsia" w:ascii="宋体" w:hAnsi="宋体" w:eastAsia="宋体" w:cs="Times New Roman"/>
          <w:b w:val="0"/>
          <w:bCs/>
          <w:color w:val="000000" w:themeColor="text1"/>
          <w:kern w:val="2"/>
          <w:sz w:val="22"/>
          <w:szCs w:val="22"/>
          <w:u w:val="single"/>
          <w:lang w:eastAsia="zh-CN"/>
          <w14:textFill>
            <w14:solidFill>
              <w14:schemeClr w14:val="tx1"/>
            </w14:solidFill>
          </w14:textFill>
        </w:rPr>
      </w:pPr>
      <w:r>
        <w:rPr>
          <w:rFonts w:hint="eastAsia" w:ascii="宋体" w:hAnsi="宋体" w:cs="Times New Roman"/>
          <w:b w:val="0"/>
          <w:bCs/>
          <w:color w:val="000000" w:themeColor="text1"/>
          <w:kern w:val="2"/>
          <w:sz w:val="22"/>
          <w:szCs w:val="22"/>
          <w:u w:val="single"/>
          <w:lang w:eastAsia="zh-CN"/>
          <w14:textFill>
            <w14:solidFill>
              <w14:schemeClr w14:val="tx1"/>
            </w14:solidFill>
          </w14:textFill>
        </w:rPr>
        <w:t>此次检查内容报告可作为后期开展</w:t>
      </w:r>
      <w:r>
        <w:rPr>
          <w:rFonts w:hint="eastAsia" w:ascii="宋体" w:hAnsi="宋体" w:eastAsia="宋体" w:cs="Times New Roman"/>
          <w:b w:val="0"/>
          <w:bCs/>
          <w:color w:val="000000" w:themeColor="text1"/>
          <w:kern w:val="2"/>
          <w:sz w:val="22"/>
          <w:szCs w:val="22"/>
          <w:u w:val="single"/>
          <w14:textFill>
            <w14:solidFill>
              <w14:schemeClr w14:val="tx1"/>
            </w14:solidFill>
          </w14:textFill>
        </w:rPr>
        <w:t>远程巡检检测</w:t>
      </w:r>
      <w:r>
        <w:rPr>
          <w:rFonts w:hint="eastAsia" w:ascii="宋体" w:hAnsi="宋体" w:cs="Times New Roman"/>
          <w:b w:val="0"/>
          <w:bCs/>
          <w:color w:val="000000" w:themeColor="text1"/>
          <w:kern w:val="2"/>
          <w:sz w:val="22"/>
          <w:szCs w:val="22"/>
          <w:u w:val="single"/>
          <w:lang w:eastAsia="zh-CN"/>
          <w14:textFill>
            <w14:solidFill>
              <w14:schemeClr w14:val="tx1"/>
            </w14:solidFill>
          </w14:textFill>
        </w:rPr>
        <w:t>提供依据。</w:t>
      </w:r>
    </w:p>
    <w:p w14:paraId="2828F244">
      <w:pPr>
        <w:autoSpaceDE w:val="0"/>
        <w:autoSpaceDN w:val="0"/>
        <w:adjustRightInd w:val="0"/>
        <w:snapToGrid w:val="0"/>
        <w:spacing w:line="454" w:lineRule="atLeast"/>
        <w:rPr>
          <w:rFonts w:ascii="宋体" w:eastAsia="宋体" w:cs="Times New Roman"/>
          <w:b w:val="0"/>
          <w:bCs w:val="0"/>
          <w:kern w:val="2"/>
          <w:sz w:val="22"/>
          <w:szCs w:val="22"/>
        </w:rPr>
      </w:pPr>
      <w:r>
        <w:rPr>
          <w:rFonts w:hint="eastAsia" w:ascii="宋体" w:eastAsia="宋体" w:cs="Times New Roman"/>
          <w:b w:val="0"/>
          <w:bCs w:val="0"/>
          <w:kern w:val="2"/>
          <w:sz w:val="22"/>
          <w:szCs w:val="22"/>
        </w:rPr>
        <w:t>三. 商务条款</w:t>
      </w:r>
    </w:p>
    <w:p w14:paraId="5069F06F">
      <w:pPr>
        <w:autoSpaceDE w:val="0"/>
        <w:autoSpaceDN w:val="0"/>
        <w:adjustRightInd w:val="0"/>
        <w:spacing w:line="430" w:lineRule="atLeast"/>
        <w:ind w:firstLine="521" w:firstLineChars="237"/>
        <w:textAlignment w:val="bottom"/>
        <w:rPr>
          <w:rFonts w:hint="eastAsia" w:ascii="宋体" w:eastAsia="宋体" w:cs="Times New Roman"/>
          <w:b w:val="0"/>
          <w:kern w:val="2"/>
          <w:sz w:val="22"/>
          <w:szCs w:val="22"/>
          <w:u w:val="single"/>
        </w:rPr>
      </w:pPr>
      <w:r>
        <w:rPr>
          <w:rFonts w:hint="eastAsia" w:ascii="宋体" w:eastAsia="宋体" w:cs="Times New Roman"/>
          <w:b w:val="0"/>
          <w:kern w:val="2"/>
          <w:sz w:val="22"/>
          <w:szCs w:val="22"/>
          <w:u w:val="single"/>
        </w:rPr>
        <w:t>1、▲服务期限：合同签订后60日</w:t>
      </w:r>
      <w:r>
        <w:rPr>
          <w:rFonts w:hint="eastAsia" w:ascii="宋体" w:eastAsia="宋体" w:cs="Times New Roman"/>
          <w:b w:val="0"/>
          <w:kern w:val="2"/>
          <w:sz w:val="22"/>
          <w:szCs w:val="22"/>
          <w:u w:val="single"/>
          <w:lang w:eastAsia="zh-CN"/>
        </w:rPr>
        <w:t>历</w:t>
      </w:r>
      <w:r>
        <w:rPr>
          <w:rFonts w:hint="eastAsia" w:ascii="宋体" w:eastAsia="宋体" w:cs="Times New Roman"/>
          <w:b w:val="0"/>
          <w:kern w:val="2"/>
          <w:sz w:val="22"/>
          <w:szCs w:val="22"/>
          <w:u w:val="single"/>
        </w:rPr>
        <w:t>天内完成所有工作。</w:t>
      </w:r>
    </w:p>
    <w:p w14:paraId="5E5DDDA7">
      <w:pPr>
        <w:autoSpaceDE w:val="0"/>
        <w:autoSpaceDN w:val="0"/>
        <w:adjustRightInd w:val="0"/>
        <w:spacing w:line="430" w:lineRule="atLeast"/>
        <w:ind w:firstLine="521" w:firstLineChars="237"/>
        <w:textAlignment w:val="bottom"/>
        <w:rPr>
          <w:rFonts w:hint="eastAsia" w:ascii="宋体" w:eastAsia="宋体" w:cs="Times New Roman"/>
          <w:b w:val="0"/>
          <w:kern w:val="2"/>
          <w:sz w:val="22"/>
          <w:szCs w:val="22"/>
          <w:u w:val="single"/>
        </w:rPr>
      </w:pPr>
      <w:r>
        <w:rPr>
          <w:rFonts w:hint="eastAsia" w:ascii="宋体" w:eastAsia="宋体" w:cs="Times New Roman"/>
          <w:b w:val="0"/>
          <w:kern w:val="2"/>
          <w:sz w:val="22"/>
          <w:szCs w:val="22"/>
          <w:u w:val="single"/>
        </w:rPr>
        <w:t>2、验收标准：根据中华人民共和国现行技术标准，按采购文件以及合同规定的验收评定标准等规范、文件要求，由采购人组织相关专业人员进行验收确认，若产生费用，费用由中标单位支付。</w:t>
      </w:r>
    </w:p>
    <w:p w14:paraId="2FC9BF0B">
      <w:pPr>
        <w:autoSpaceDE w:val="0"/>
        <w:autoSpaceDN w:val="0"/>
        <w:adjustRightInd w:val="0"/>
        <w:spacing w:line="430" w:lineRule="atLeast"/>
        <w:ind w:firstLine="521" w:firstLineChars="237"/>
        <w:textAlignment w:val="bottom"/>
        <w:rPr>
          <w:rFonts w:hint="eastAsia" w:ascii="宋体" w:eastAsia="宋体" w:cs="Times New Roman"/>
          <w:b w:val="0"/>
          <w:kern w:val="2"/>
          <w:sz w:val="22"/>
          <w:szCs w:val="22"/>
          <w:u w:val="single"/>
        </w:rPr>
      </w:pPr>
      <w:r>
        <w:rPr>
          <w:rFonts w:hint="eastAsia" w:ascii="宋体" w:eastAsia="宋体" w:cs="Times New Roman"/>
          <w:b w:val="0"/>
          <w:kern w:val="2"/>
          <w:sz w:val="22"/>
          <w:szCs w:val="22"/>
          <w:u w:val="single"/>
        </w:rPr>
        <w:t>3、</w:t>
      </w:r>
      <w:r>
        <w:rPr>
          <w:rFonts w:ascii="宋体" w:eastAsia="宋体" w:cs="Times New Roman"/>
          <w:b w:val="0"/>
          <w:kern w:val="2"/>
          <w:sz w:val="22"/>
          <w:szCs w:val="22"/>
          <w:u w:val="single"/>
        </w:rPr>
        <w:t>▲</w:t>
      </w:r>
      <w:r>
        <w:rPr>
          <w:rFonts w:hint="eastAsia" w:ascii="宋体" w:eastAsia="宋体" w:cs="Times New Roman"/>
          <w:b w:val="0"/>
          <w:kern w:val="2"/>
          <w:sz w:val="22"/>
          <w:szCs w:val="22"/>
          <w:u w:val="single"/>
        </w:rPr>
        <w:t>履约保证金：中标人在合同签订</w:t>
      </w:r>
      <w:r>
        <w:rPr>
          <w:rFonts w:hint="eastAsia" w:ascii="宋体" w:eastAsia="宋体" w:cs="Times New Roman"/>
          <w:b w:val="0"/>
          <w:kern w:val="2"/>
          <w:sz w:val="22"/>
          <w:szCs w:val="22"/>
          <w:u w:val="single"/>
          <w:lang w:eastAsia="zh-CN"/>
        </w:rPr>
        <w:t>后</w:t>
      </w:r>
      <w:r>
        <w:rPr>
          <w:rFonts w:hint="eastAsia" w:ascii="宋体" w:eastAsia="宋体" w:cs="Times New Roman"/>
          <w:b w:val="0"/>
          <w:kern w:val="2"/>
          <w:sz w:val="22"/>
          <w:szCs w:val="22"/>
          <w:u w:val="single"/>
          <w:lang w:val="en-US" w:eastAsia="zh-CN"/>
        </w:rPr>
        <w:t>7日内</w:t>
      </w:r>
      <w:r>
        <w:rPr>
          <w:rFonts w:hint="eastAsia" w:ascii="宋体" w:eastAsia="宋体" w:cs="Times New Roman"/>
          <w:b w:val="0"/>
          <w:kern w:val="2"/>
          <w:sz w:val="22"/>
          <w:szCs w:val="22"/>
          <w:u w:val="single"/>
        </w:rPr>
        <w:t>向采购人提交合同总价</w:t>
      </w:r>
      <w:r>
        <w:rPr>
          <w:rFonts w:hint="eastAsia" w:ascii="宋体" w:eastAsia="宋体" w:cs="Times New Roman"/>
          <w:b w:val="0"/>
          <w:kern w:val="2"/>
          <w:sz w:val="22"/>
          <w:szCs w:val="22"/>
          <w:u w:val="single"/>
          <w:lang w:val="en-US" w:eastAsia="zh-CN"/>
        </w:rPr>
        <w:t>1</w:t>
      </w:r>
      <w:r>
        <w:rPr>
          <w:rFonts w:hint="eastAsia" w:ascii="宋体" w:eastAsia="宋体" w:cs="Times New Roman"/>
          <w:b w:val="0"/>
          <w:kern w:val="2"/>
          <w:sz w:val="22"/>
          <w:szCs w:val="22"/>
          <w:u w:val="single"/>
        </w:rPr>
        <w:t>%的履约保证金，履约保证金在中标人完成所有工作后</w:t>
      </w:r>
      <w:r>
        <w:rPr>
          <w:rFonts w:hint="eastAsia" w:ascii="宋体" w:eastAsia="宋体" w:cs="Times New Roman"/>
          <w:b w:val="0"/>
          <w:kern w:val="2"/>
          <w:sz w:val="22"/>
          <w:szCs w:val="22"/>
          <w:u w:val="single"/>
          <w:lang w:val="en-US" w:eastAsia="zh-CN"/>
        </w:rPr>
        <w:t>7</w:t>
      </w:r>
      <w:r>
        <w:rPr>
          <w:rFonts w:hint="eastAsia" w:ascii="宋体" w:eastAsia="宋体" w:cs="Times New Roman"/>
          <w:b w:val="0"/>
          <w:kern w:val="2"/>
          <w:sz w:val="22"/>
          <w:szCs w:val="22"/>
          <w:u w:val="single"/>
        </w:rPr>
        <w:t>日内无息退还。</w:t>
      </w:r>
    </w:p>
    <w:p w14:paraId="774D85DF">
      <w:pPr>
        <w:autoSpaceDE w:val="0"/>
        <w:autoSpaceDN w:val="0"/>
        <w:adjustRightInd w:val="0"/>
        <w:spacing w:line="430" w:lineRule="atLeast"/>
        <w:ind w:firstLine="440" w:firstLineChars="200"/>
        <w:textAlignment w:val="bottom"/>
        <w:rPr>
          <w:rFonts w:hint="eastAsia" w:ascii="宋体" w:eastAsia="宋体"/>
          <w:b w:val="0"/>
          <w:kern w:val="2"/>
          <w:sz w:val="22"/>
          <w:szCs w:val="22"/>
        </w:rPr>
      </w:pPr>
      <w:r>
        <w:rPr>
          <w:rFonts w:hint="eastAsia" w:ascii="宋体" w:eastAsia="宋体"/>
          <w:b w:val="0"/>
          <w:kern w:val="2"/>
          <w:sz w:val="22"/>
          <w:szCs w:val="22"/>
          <w:u w:val="single"/>
        </w:rPr>
        <w:t>4、▲付款方式：</w:t>
      </w:r>
    </w:p>
    <w:p w14:paraId="5EFE0A02">
      <w:pPr>
        <w:widowControl/>
        <w:autoSpaceDE w:val="0"/>
        <w:autoSpaceDN w:val="0"/>
        <w:adjustRightInd w:val="0"/>
        <w:spacing w:line="460" w:lineRule="atLeast"/>
        <w:ind w:firstLine="440" w:firstLineChars="200"/>
        <w:textAlignment w:val="bottom"/>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 xml:space="preserve">合同签订后采购人在财政拨付资金后7个工作日内支付合同价的40%作为预付款，在完成210座桥梁常规性检测、评估（楠溪江大桥常规检测，1条隧道常规检测，道路常规检查、空洞检查检测评估工作内容）后并提供给采购人，采购人在财政拨付资金后7个工作日内一次性支付至合同价的80%（含预付款），在完成至少20座桥梁结构性检测，具体桥梁以采购人确定为准,最终按实际检测桥梁座数*该项成交综合单价办理结算、评估工作内容后并提供给业主，经采购人组织相关专业人员进行验收通过后，一次性付清余款。 </w:t>
      </w:r>
    </w:p>
    <w:p w14:paraId="5D3A9DA6">
      <w:pPr>
        <w:widowControl/>
        <w:autoSpaceDE w:val="0"/>
        <w:autoSpaceDN w:val="0"/>
        <w:adjustRightInd w:val="0"/>
        <w:spacing w:line="460" w:lineRule="atLeast"/>
        <w:ind w:firstLine="440" w:firstLineChars="200"/>
        <w:textAlignment w:val="bottom"/>
        <w:rPr>
          <w:rFonts w:hint="eastAsia"/>
        </w:rPr>
      </w:pPr>
      <w:r>
        <w:rPr>
          <w:rFonts w:hint="eastAsia" w:ascii="宋体" w:eastAsia="宋体"/>
          <w:b w:val="0"/>
          <w:bCs w:val="0"/>
          <w:color w:val="auto"/>
          <w:sz w:val="22"/>
          <w:szCs w:val="22"/>
        </w:rPr>
        <w:t>因财政国库库款能力不足等情势变更情况导致无法执行相关文件要求的支付比例，采购人与中标供应商应根据实际情况另行协商约定。</w:t>
      </w:r>
    </w:p>
    <w:p w14:paraId="3426B530">
      <w:pPr>
        <w:autoSpaceDE w:val="0"/>
        <w:autoSpaceDN w:val="0"/>
        <w:adjustRightInd w:val="0"/>
        <w:spacing w:line="430" w:lineRule="atLeast"/>
        <w:ind w:firstLine="220" w:firstLineChars="100"/>
        <w:textAlignment w:val="bottom"/>
        <w:rPr>
          <w:rFonts w:hint="eastAsia" w:ascii="宋体" w:eastAsia="宋体" w:cs="Times New Roman"/>
          <w:color w:val="auto"/>
          <w:kern w:val="2"/>
          <w:sz w:val="22"/>
          <w:szCs w:val="22"/>
        </w:rPr>
      </w:pPr>
      <w:r>
        <w:rPr>
          <w:rFonts w:hint="eastAsia" w:ascii="宋体" w:eastAsia="宋体" w:cs="Times New Roman"/>
          <w:color w:val="auto"/>
          <w:kern w:val="2"/>
          <w:sz w:val="22"/>
          <w:szCs w:val="22"/>
        </w:rPr>
        <w:t>3、其他要求</w:t>
      </w:r>
    </w:p>
    <w:p w14:paraId="04275E89">
      <w:pPr>
        <w:autoSpaceDE w:val="0"/>
        <w:autoSpaceDN w:val="0"/>
        <w:adjustRightInd w:val="0"/>
        <w:spacing w:line="430" w:lineRule="atLeast"/>
        <w:ind w:firstLine="521" w:firstLineChars="237"/>
        <w:textAlignment w:val="bottom"/>
        <w:rPr>
          <w:rFonts w:hint="eastAsia" w:ascii="宋体" w:eastAsia="宋体" w:cs="Times New Roman"/>
          <w:color w:val="auto"/>
          <w:kern w:val="2"/>
          <w:sz w:val="22"/>
          <w:szCs w:val="22"/>
        </w:rPr>
      </w:pPr>
      <w:r>
        <w:rPr>
          <w:rFonts w:hint="eastAsia" w:ascii="宋体" w:eastAsia="宋体" w:cs="Times New Roman"/>
          <w:color w:val="auto"/>
          <w:kern w:val="2"/>
          <w:sz w:val="22"/>
          <w:szCs w:val="22"/>
        </w:rPr>
        <w:t>（1）合同签署后，成交供应商无特殊情况未经招标人同意不得变更主要人员，如未经采购人同意更换人员，采购人有权扣罚履约保证金，并按合同约定处罚。</w:t>
      </w:r>
    </w:p>
    <w:p w14:paraId="6CEFD294">
      <w:pPr>
        <w:autoSpaceDE w:val="0"/>
        <w:autoSpaceDN w:val="0"/>
        <w:adjustRightInd w:val="0"/>
        <w:spacing w:line="430" w:lineRule="atLeast"/>
        <w:ind w:firstLine="521" w:firstLineChars="237"/>
        <w:textAlignment w:val="bottom"/>
        <w:rPr>
          <w:rFonts w:hint="eastAsia" w:ascii="宋体" w:eastAsia="宋体" w:cs="Times New Roman"/>
          <w:color w:val="auto"/>
          <w:kern w:val="2"/>
          <w:sz w:val="22"/>
          <w:szCs w:val="22"/>
        </w:rPr>
      </w:pPr>
      <w:r>
        <w:rPr>
          <w:rFonts w:hint="eastAsia" w:ascii="宋体" w:eastAsia="宋体" w:cs="Times New Roman"/>
          <w:color w:val="auto"/>
          <w:kern w:val="2"/>
          <w:sz w:val="22"/>
          <w:szCs w:val="22"/>
        </w:rPr>
        <w:t>（2）本次检测成果须经采购人审核合格通过。成果的使用权与所有权归采购人所有，未经采购人许可，中标人不得向第三方提供受委托完成的检测成果，否则采购人有权对此追究法律责任。</w:t>
      </w:r>
    </w:p>
    <w:p w14:paraId="2544912B">
      <w:pPr>
        <w:autoSpaceDE w:val="0"/>
        <w:autoSpaceDN w:val="0"/>
        <w:adjustRightInd w:val="0"/>
        <w:spacing w:line="430" w:lineRule="atLeast"/>
        <w:ind w:firstLine="523" w:firstLineChars="237"/>
        <w:textAlignment w:val="bottom"/>
        <w:rPr>
          <w:rFonts w:hint="eastAsia" w:ascii="宋体" w:hAnsi="宋体" w:eastAsia="宋体" w:cs="Times New Roman"/>
          <w:b/>
          <w:bCs/>
          <w:color w:val="auto"/>
          <w:kern w:val="2"/>
          <w:sz w:val="22"/>
          <w:szCs w:val="22"/>
        </w:rPr>
      </w:pPr>
      <w:r>
        <w:rPr>
          <w:rFonts w:hint="eastAsia" w:ascii="宋体" w:hAnsi="宋体" w:eastAsia="宋体" w:cs="Times New Roman"/>
          <w:b/>
          <w:bCs/>
          <w:color w:val="auto"/>
          <w:kern w:val="2"/>
          <w:sz w:val="22"/>
          <w:szCs w:val="22"/>
        </w:rPr>
        <w:t>（</w:t>
      </w:r>
      <w:r>
        <w:rPr>
          <w:rFonts w:hint="eastAsia" w:ascii="宋体" w:hAnsi="宋体" w:eastAsia="宋体" w:cs="Times New Roman"/>
          <w:b/>
          <w:bCs/>
          <w:color w:val="auto"/>
          <w:kern w:val="2"/>
          <w:sz w:val="22"/>
          <w:szCs w:val="22"/>
          <w:lang w:val="en-US" w:eastAsia="zh-CN"/>
        </w:rPr>
        <w:t>3</w:t>
      </w:r>
      <w:r>
        <w:rPr>
          <w:rFonts w:hint="eastAsia" w:ascii="宋体" w:hAnsi="宋体" w:eastAsia="宋体" w:cs="Times New Roman"/>
          <w:b/>
          <w:bCs/>
          <w:color w:val="auto"/>
          <w:kern w:val="2"/>
          <w:sz w:val="22"/>
          <w:szCs w:val="22"/>
        </w:rPr>
        <w:t>）要求检测成果需经第三方（第三方具有同等级资质的检测单位）审核，审核后检测单位向采购人申请项目履约验收，采购人收到验收申请后组织履约验收会议；由此产生的第三方检测费、专家审查费等相关费用均由检测单位承担。</w:t>
      </w:r>
    </w:p>
    <w:p w14:paraId="6ED2312F">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cs="Times New Roman"/>
          <w:color w:val="auto"/>
          <w:kern w:val="2"/>
          <w:sz w:val="22"/>
          <w:szCs w:val="22"/>
        </w:rPr>
        <w:t>注意：以上所有工作内容的费用均包含在投标总价中。</w:t>
      </w:r>
    </w:p>
    <w:p w14:paraId="2895F687">
      <w:pPr>
        <w:widowControl/>
        <w:autoSpaceDE w:val="0"/>
        <w:autoSpaceDN w:val="0"/>
        <w:adjustRightInd w:val="0"/>
        <w:spacing w:line="460" w:lineRule="atLeast"/>
        <w:ind w:firstLine="440" w:firstLineChars="200"/>
        <w:textAlignment w:val="bottom"/>
        <w:rPr>
          <w:rFonts w:hint="eastAsia" w:ascii="宋体" w:hAnsi="宋体" w:eastAsia="宋体" w:cs="宋体"/>
          <w:color w:val="auto"/>
          <w:kern w:val="0"/>
          <w:sz w:val="22"/>
          <w:szCs w:val="22"/>
          <w:highlight w:val="none"/>
          <w:lang w:val="en-US" w:eastAsia="zh-CN"/>
        </w:rPr>
      </w:pPr>
    </w:p>
    <w:p w14:paraId="0C3C1840">
      <w:pPr>
        <w:adjustRightInd/>
        <w:spacing w:line="360" w:lineRule="auto"/>
        <w:jc w:val="center"/>
        <w:outlineLvl w:val="0"/>
        <w:rPr>
          <w:rFonts w:hint="eastAsia" w:cs="仿宋_GB2312" w:asciiTheme="minorEastAsia" w:hAnsiTheme="minorEastAsia" w:eastAsiaTheme="minorEastAsia"/>
          <w:b/>
          <w:color w:val="auto"/>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B55E40D">
      <w:pPr>
        <w:pStyle w:val="19"/>
        <w:adjustRightInd/>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bookmarkEnd w:id="63"/>
      <w:bookmarkEnd w:id="64"/>
      <w:bookmarkStart w:id="66" w:name="第四部分"/>
      <w:r>
        <w:rPr>
          <w:rFonts w:hint="eastAsia" w:ascii="宋体" w:hAnsi="宋体" w:eastAsia="宋体" w:cs="宋体"/>
          <w:b/>
          <w:color w:val="auto"/>
          <w:kern w:val="0"/>
          <w:sz w:val="32"/>
          <w:szCs w:val="32"/>
          <w:highlight w:val="none"/>
          <w:lang w:val="en-US" w:eastAsia="zh-CN"/>
        </w:rPr>
        <w:t xml:space="preserve">第五部分 </w:t>
      </w:r>
      <w:r>
        <w:rPr>
          <w:rFonts w:hint="eastAsia" w:ascii="宋体" w:hAnsi="宋体" w:eastAsia="宋体" w:cs="宋体"/>
          <w:b/>
          <w:color w:val="auto"/>
          <w:kern w:val="0"/>
          <w:sz w:val="32"/>
          <w:szCs w:val="32"/>
          <w:highlight w:val="none"/>
        </w:rPr>
        <w:t>评审方法及评审标准</w:t>
      </w:r>
    </w:p>
    <w:p w14:paraId="2A622F17">
      <w:pPr>
        <w:pStyle w:val="19"/>
        <w:adjustRightInd/>
        <w:spacing w:before="240" w:after="60"/>
        <w:jc w:val="center"/>
        <w:outlineLvl w:val="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评审方法前附表</w:t>
      </w:r>
    </w:p>
    <w:tbl>
      <w:tblPr>
        <w:tblStyle w:val="636"/>
        <w:tblW w:w="9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109"/>
        <w:gridCol w:w="7132"/>
        <w:gridCol w:w="984"/>
      </w:tblGrid>
      <w:tr w14:paraId="110B9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819" w:type="dxa"/>
            <w:gridSpan w:val="4"/>
            <w:noWrap w:val="0"/>
            <w:vAlign w:val="center"/>
          </w:tcPr>
          <w:p w14:paraId="67D3A5D9">
            <w:pPr>
              <w:jc w:val="left"/>
              <w:rPr>
                <w:rFonts w:ascii="宋体" w:hAnsi="宋体" w:eastAsia="宋体" w:cs="宋体"/>
                <w:b w:val="0"/>
                <w:bCs w:val="0"/>
                <w:snapToGrid w:val="0"/>
                <w:color w:val="000000"/>
                <w:kern w:val="0"/>
                <w:sz w:val="21"/>
                <w:szCs w:val="21"/>
                <w:lang w:val="en-US" w:eastAsia="en-US" w:bidi="ar-SA"/>
              </w:rPr>
            </w:pPr>
            <w:r>
              <w:rPr>
                <w:rFonts w:hint="eastAsia" w:ascii="新宋体" w:hAnsi="新宋体" w:eastAsia="新宋体" w:cs="新宋体"/>
                <w:b/>
                <w:bCs/>
                <w:color w:val="auto"/>
                <w:kern w:val="0"/>
                <w:sz w:val="22"/>
                <w:szCs w:val="22"/>
                <w:highlight w:val="none"/>
                <w:lang w:val="en-US" w:eastAsia="zh-CN" w:bidi="ar-SA"/>
              </w:rPr>
              <w:t>（一）商务技术分的评定(90分）</w:t>
            </w:r>
          </w:p>
        </w:tc>
      </w:tr>
      <w:tr w14:paraId="43CA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94" w:type="dxa"/>
            <w:shd w:val="clear" w:color="auto" w:fill="auto"/>
            <w:noWrap w:val="0"/>
            <w:vAlign w:val="center"/>
          </w:tcPr>
          <w:p w14:paraId="73E40841">
            <w:pPr>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eastAsia="宋体"/>
                <w:b w:val="0"/>
                <w:bCs w:val="0"/>
              </w:rPr>
              <w:t>序号</w:t>
            </w:r>
          </w:p>
        </w:tc>
        <w:tc>
          <w:tcPr>
            <w:tcW w:w="1109" w:type="dxa"/>
            <w:shd w:val="clear" w:color="auto" w:fill="auto"/>
            <w:noWrap w:val="0"/>
            <w:vAlign w:val="center"/>
          </w:tcPr>
          <w:p w14:paraId="510A1802">
            <w:pPr>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eastAsia="宋体"/>
                <w:b w:val="0"/>
                <w:bCs w:val="0"/>
              </w:rPr>
              <w:t>评审内容</w:t>
            </w:r>
          </w:p>
        </w:tc>
        <w:tc>
          <w:tcPr>
            <w:tcW w:w="7132" w:type="dxa"/>
            <w:shd w:val="clear" w:color="auto" w:fill="auto"/>
            <w:noWrap w:val="0"/>
            <w:vAlign w:val="center"/>
          </w:tcPr>
          <w:p w14:paraId="5CB6C6EA">
            <w:pPr>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eastAsia="宋体"/>
                <w:b w:val="0"/>
                <w:bCs w:val="0"/>
              </w:rPr>
              <w:t>评价标准</w:t>
            </w:r>
          </w:p>
        </w:tc>
        <w:tc>
          <w:tcPr>
            <w:tcW w:w="984" w:type="dxa"/>
            <w:shd w:val="clear" w:color="auto" w:fill="auto"/>
            <w:noWrap w:val="0"/>
            <w:vAlign w:val="center"/>
          </w:tcPr>
          <w:p w14:paraId="55FB3355">
            <w:pPr>
              <w:jc w:val="center"/>
              <w:rPr>
                <w:rFonts w:hint="eastAsia" w:ascii="宋体" w:hAnsi="宋体" w:eastAsia="宋体" w:cs="宋体"/>
                <w:b w:val="0"/>
                <w:bCs w:val="0"/>
                <w:snapToGrid w:val="0"/>
                <w:color w:val="000000"/>
                <w:kern w:val="0"/>
                <w:sz w:val="21"/>
                <w:szCs w:val="21"/>
                <w:lang w:val="en-US" w:eastAsia="en-US" w:bidi="ar-SA"/>
              </w:rPr>
            </w:pPr>
            <w:r>
              <w:rPr>
                <w:rFonts w:hint="eastAsia" w:ascii="宋体" w:eastAsia="宋体"/>
                <w:b w:val="0"/>
                <w:bCs w:val="0"/>
              </w:rPr>
              <w:t>分值</w:t>
            </w:r>
          </w:p>
        </w:tc>
      </w:tr>
      <w:tr w14:paraId="7D40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94" w:type="dxa"/>
            <w:vMerge w:val="restart"/>
            <w:tcBorders>
              <w:bottom w:val="nil"/>
            </w:tcBorders>
            <w:noWrap w:val="0"/>
            <w:vAlign w:val="top"/>
          </w:tcPr>
          <w:p w14:paraId="0F1F3C04">
            <w:pPr>
              <w:widowControl/>
              <w:kinsoku w:val="0"/>
              <w:autoSpaceDE w:val="0"/>
              <w:autoSpaceDN w:val="0"/>
              <w:adjustRightInd w:val="0"/>
              <w:snapToGrid w:val="0"/>
              <w:spacing w:line="334" w:lineRule="auto"/>
              <w:jc w:val="left"/>
              <w:textAlignment w:val="baseline"/>
              <w:rPr>
                <w:rFonts w:ascii="Arial" w:hAnsi="Arial" w:eastAsia="Arial" w:cs="Arial"/>
                <w:b w:val="0"/>
                <w:bCs w:val="0"/>
                <w:snapToGrid w:val="0"/>
                <w:kern w:val="0"/>
                <w:sz w:val="21"/>
                <w:lang w:eastAsia="en-US"/>
              </w:rPr>
            </w:pPr>
          </w:p>
          <w:p w14:paraId="57B848DD">
            <w:pPr>
              <w:widowControl/>
              <w:kinsoku w:val="0"/>
              <w:autoSpaceDE w:val="0"/>
              <w:autoSpaceDN w:val="0"/>
              <w:adjustRightInd w:val="0"/>
              <w:snapToGrid w:val="0"/>
              <w:spacing w:line="334" w:lineRule="auto"/>
              <w:jc w:val="left"/>
              <w:textAlignment w:val="baseline"/>
              <w:rPr>
                <w:rFonts w:ascii="Arial" w:hAnsi="Arial" w:eastAsia="Arial" w:cs="Arial"/>
                <w:b w:val="0"/>
                <w:bCs w:val="0"/>
                <w:snapToGrid w:val="0"/>
                <w:kern w:val="0"/>
                <w:sz w:val="21"/>
                <w:lang w:eastAsia="en-US"/>
              </w:rPr>
            </w:pPr>
          </w:p>
          <w:p w14:paraId="46A3ABC1">
            <w:pPr>
              <w:kinsoku w:val="0"/>
              <w:autoSpaceDE w:val="0"/>
              <w:autoSpaceDN w:val="0"/>
              <w:adjustRightInd w:val="0"/>
              <w:snapToGrid w:val="0"/>
              <w:spacing w:before="68" w:line="241" w:lineRule="auto"/>
              <w:ind w:left="235"/>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1</w:t>
            </w:r>
          </w:p>
        </w:tc>
        <w:tc>
          <w:tcPr>
            <w:tcW w:w="1109" w:type="dxa"/>
            <w:vMerge w:val="restart"/>
            <w:tcBorders>
              <w:bottom w:val="nil"/>
            </w:tcBorders>
            <w:noWrap w:val="0"/>
            <w:vAlign w:val="top"/>
          </w:tcPr>
          <w:p w14:paraId="77A3E486">
            <w:pPr>
              <w:widowControl/>
              <w:kinsoku w:val="0"/>
              <w:autoSpaceDE w:val="0"/>
              <w:autoSpaceDN w:val="0"/>
              <w:adjustRightInd w:val="0"/>
              <w:snapToGrid w:val="0"/>
              <w:spacing w:line="428" w:lineRule="auto"/>
              <w:jc w:val="left"/>
              <w:textAlignment w:val="baseline"/>
              <w:rPr>
                <w:rFonts w:ascii="Arial" w:hAnsi="Arial" w:eastAsia="Arial" w:cs="Arial"/>
                <w:b w:val="0"/>
                <w:bCs w:val="0"/>
                <w:snapToGrid w:val="0"/>
                <w:kern w:val="0"/>
                <w:sz w:val="21"/>
                <w:lang w:eastAsia="en-US"/>
              </w:rPr>
            </w:pPr>
          </w:p>
          <w:p w14:paraId="2F91528F">
            <w:pPr>
              <w:kinsoku w:val="0"/>
              <w:autoSpaceDE w:val="0"/>
              <w:autoSpaceDN w:val="0"/>
              <w:adjustRightInd w:val="0"/>
              <w:snapToGrid w:val="0"/>
              <w:spacing w:before="69" w:line="219" w:lineRule="auto"/>
              <w:ind w:left="120"/>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4"/>
                <w:kern w:val="0"/>
                <w:sz w:val="21"/>
                <w:szCs w:val="21"/>
                <w:lang w:val="en-US" w:eastAsia="en-US" w:bidi="ar-SA"/>
              </w:rPr>
              <w:t>综合实力</w:t>
            </w:r>
          </w:p>
          <w:p w14:paraId="57E5A534">
            <w:pPr>
              <w:kinsoku w:val="0"/>
              <w:autoSpaceDE w:val="0"/>
              <w:autoSpaceDN w:val="0"/>
              <w:adjustRightInd w:val="0"/>
              <w:snapToGrid w:val="0"/>
              <w:spacing w:before="61" w:line="220" w:lineRule="auto"/>
              <w:ind w:left="281"/>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10"/>
                <w:kern w:val="0"/>
                <w:sz w:val="21"/>
                <w:szCs w:val="21"/>
                <w:lang w:val="en-US" w:eastAsia="en-US" w:bidi="ar-SA"/>
              </w:rPr>
              <w:t>(5分)</w:t>
            </w:r>
          </w:p>
        </w:tc>
        <w:tc>
          <w:tcPr>
            <w:tcW w:w="7132" w:type="dxa"/>
            <w:noWrap w:val="0"/>
            <w:vAlign w:val="top"/>
          </w:tcPr>
          <w:p w14:paraId="09FD6BB8">
            <w:pPr>
              <w:kinsoku w:val="0"/>
              <w:autoSpaceDE w:val="0"/>
              <w:autoSpaceDN w:val="0"/>
              <w:adjustRightInd w:val="0"/>
              <w:snapToGrid w:val="0"/>
              <w:spacing w:before="47" w:line="273" w:lineRule="auto"/>
              <w:ind w:left="91" w:right="90"/>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同时具有有效的质量管理体系认证证书、环境管理体系认证证书、职业健康</w:t>
            </w:r>
            <w:r>
              <w:rPr>
                <w:rFonts w:ascii="宋体" w:hAnsi="宋体" w:eastAsia="宋体" w:cs="宋体"/>
                <w:b w:val="0"/>
                <w:bCs w:val="0"/>
                <w:snapToGrid w:val="0"/>
                <w:color w:val="000000"/>
                <w:spacing w:val="8"/>
                <w:kern w:val="0"/>
                <w:sz w:val="21"/>
                <w:szCs w:val="21"/>
                <w:lang w:val="en-US" w:eastAsia="en-US" w:bidi="ar-SA"/>
              </w:rPr>
              <w:t xml:space="preserve"> </w:t>
            </w:r>
            <w:r>
              <w:rPr>
                <w:rFonts w:ascii="宋体" w:hAnsi="宋体" w:eastAsia="宋体" w:cs="宋体"/>
                <w:b w:val="0"/>
                <w:bCs w:val="0"/>
                <w:snapToGrid w:val="0"/>
                <w:color w:val="000000"/>
                <w:spacing w:val="-1"/>
                <w:kern w:val="0"/>
                <w:sz w:val="21"/>
                <w:szCs w:val="21"/>
                <w:lang w:val="en-US" w:eastAsia="en-US" w:bidi="ar-SA"/>
              </w:rPr>
              <w:t>安全管理体系认证证书，得2分。</w:t>
            </w:r>
          </w:p>
          <w:p w14:paraId="0D9AB902">
            <w:pPr>
              <w:kinsoku w:val="0"/>
              <w:autoSpaceDE w:val="0"/>
              <w:autoSpaceDN w:val="0"/>
              <w:adjustRightInd w:val="0"/>
              <w:snapToGrid w:val="0"/>
              <w:spacing w:line="218" w:lineRule="auto"/>
              <w:ind w:left="91"/>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1"/>
                <w:kern w:val="0"/>
                <w:sz w:val="21"/>
                <w:szCs w:val="21"/>
                <w:lang w:val="en-US" w:eastAsia="en-US" w:bidi="ar-SA"/>
              </w:rPr>
              <w:t>提供有效期内的证书原件扫描件，否则不得分。</w:t>
            </w:r>
          </w:p>
        </w:tc>
        <w:tc>
          <w:tcPr>
            <w:tcW w:w="984" w:type="dxa"/>
            <w:noWrap w:val="0"/>
            <w:vAlign w:val="top"/>
          </w:tcPr>
          <w:p w14:paraId="37F140FC">
            <w:pPr>
              <w:widowControl/>
              <w:kinsoku w:val="0"/>
              <w:autoSpaceDE w:val="0"/>
              <w:autoSpaceDN w:val="0"/>
              <w:adjustRightInd w:val="0"/>
              <w:snapToGrid w:val="0"/>
              <w:spacing w:line="300" w:lineRule="auto"/>
              <w:jc w:val="left"/>
              <w:textAlignment w:val="baseline"/>
              <w:rPr>
                <w:rFonts w:ascii="Arial" w:hAnsi="Arial" w:eastAsia="Arial" w:cs="Arial"/>
                <w:b w:val="0"/>
                <w:bCs w:val="0"/>
                <w:snapToGrid w:val="0"/>
                <w:kern w:val="0"/>
                <w:sz w:val="21"/>
                <w:lang w:eastAsia="en-US"/>
              </w:rPr>
            </w:pPr>
          </w:p>
          <w:p w14:paraId="787A76DE">
            <w:pPr>
              <w:kinsoku w:val="0"/>
              <w:autoSpaceDE w:val="0"/>
              <w:autoSpaceDN w:val="0"/>
              <w:adjustRightInd w:val="0"/>
              <w:snapToGrid w:val="0"/>
              <w:spacing w:before="68" w:line="220" w:lineRule="auto"/>
              <w:ind w:left="21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3"/>
                <w:kern w:val="0"/>
                <w:sz w:val="21"/>
                <w:szCs w:val="21"/>
                <w:lang w:val="en-US" w:eastAsia="en-US" w:bidi="ar-SA"/>
              </w:rPr>
              <w:t>0-2分</w:t>
            </w:r>
          </w:p>
        </w:tc>
      </w:tr>
      <w:tr w14:paraId="63126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94" w:type="dxa"/>
            <w:vMerge w:val="continue"/>
            <w:tcBorders>
              <w:top w:val="nil"/>
            </w:tcBorders>
            <w:noWrap w:val="0"/>
            <w:vAlign w:val="top"/>
          </w:tcPr>
          <w:p w14:paraId="7F308B6A">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tcBorders>
              <w:top w:val="nil"/>
            </w:tcBorders>
            <w:noWrap w:val="0"/>
            <w:vAlign w:val="top"/>
          </w:tcPr>
          <w:p w14:paraId="06843E5E">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7132" w:type="dxa"/>
            <w:noWrap w:val="0"/>
            <w:vAlign w:val="top"/>
          </w:tcPr>
          <w:p w14:paraId="6095D7EC">
            <w:pPr>
              <w:kinsoku w:val="0"/>
              <w:autoSpaceDE w:val="0"/>
              <w:autoSpaceDN w:val="0"/>
              <w:adjustRightInd w:val="0"/>
              <w:snapToGrid w:val="0"/>
              <w:spacing w:before="60" w:line="272" w:lineRule="auto"/>
              <w:ind w:left="91" w:right="320"/>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投标供应商具有土木工程类远程巡检检测相关</w:t>
            </w:r>
            <w:r>
              <w:rPr>
                <w:rFonts w:ascii="宋体" w:hAnsi="宋体" w:eastAsia="宋体" w:cs="宋体"/>
                <w:b w:val="0"/>
                <w:bCs w:val="0"/>
                <w:snapToGrid w:val="0"/>
                <w:color w:val="000000"/>
                <w:spacing w:val="-1"/>
                <w:kern w:val="0"/>
                <w:sz w:val="21"/>
                <w:szCs w:val="21"/>
                <w:lang w:val="en-US" w:eastAsia="en-US" w:bidi="ar-SA"/>
              </w:rPr>
              <w:t>软件著作权的，每有一个得</w:t>
            </w:r>
            <w:r>
              <w:rPr>
                <w:rFonts w:ascii="宋体" w:hAnsi="宋体" w:eastAsia="宋体" w:cs="宋体"/>
                <w:b w:val="0"/>
                <w:bCs w:val="0"/>
                <w:snapToGrid w:val="0"/>
                <w:color w:val="000000"/>
                <w:kern w:val="0"/>
                <w:sz w:val="21"/>
                <w:szCs w:val="21"/>
                <w:lang w:val="en-US" w:eastAsia="en-US" w:bidi="ar-SA"/>
              </w:rPr>
              <w:t xml:space="preserve"> </w:t>
            </w:r>
            <w:r>
              <w:rPr>
                <w:rFonts w:ascii="宋体" w:hAnsi="宋体" w:eastAsia="宋体" w:cs="宋体"/>
                <w:b w:val="0"/>
                <w:bCs w:val="0"/>
                <w:snapToGrid w:val="0"/>
                <w:color w:val="000000"/>
                <w:spacing w:val="1"/>
                <w:kern w:val="0"/>
                <w:sz w:val="21"/>
                <w:szCs w:val="21"/>
                <w:lang w:val="en-US" w:eastAsia="en-US" w:bidi="ar-SA"/>
              </w:rPr>
              <w:t>1分，最多3分</w:t>
            </w:r>
          </w:p>
        </w:tc>
        <w:tc>
          <w:tcPr>
            <w:tcW w:w="984" w:type="dxa"/>
            <w:noWrap w:val="0"/>
            <w:vAlign w:val="top"/>
          </w:tcPr>
          <w:p w14:paraId="05B7805C">
            <w:pPr>
              <w:kinsoku w:val="0"/>
              <w:autoSpaceDE w:val="0"/>
              <w:autoSpaceDN w:val="0"/>
              <w:adjustRightInd w:val="0"/>
              <w:snapToGrid w:val="0"/>
              <w:spacing w:before="241" w:line="220" w:lineRule="auto"/>
              <w:ind w:left="21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3"/>
                <w:kern w:val="0"/>
                <w:sz w:val="21"/>
                <w:szCs w:val="21"/>
                <w:lang w:val="en-US" w:eastAsia="en-US" w:bidi="ar-SA"/>
              </w:rPr>
              <w:t>0-3分</w:t>
            </w:r>
          </w:p>
        </w:tc>
      </w:tr>
      <w:tr w14:paraId="042B9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94" w:type="dxa"/>
            <w:noWrap w:val="0"/>
            <w:vAlign w:val="top"/>
          </w:tcPr>
          <w:p w14:paraId="12B654D7">
            <w:pPr>
              <w:widowControl/>
              <w:kinsoku w:val="0"/>
              <w:autoSpaceDE w:val="0"/>
              <w:autoSpaceDN w:val="0"/>
              <w:adjustRightInd w:val="0"/>
              <w:snapToGrid w:val="0"/>
              <w:spacing w:line="352" w:lineRule="auto"/>
              <w:jc w:val="left"/>
              <w:textAlignment w:val="baseline"/>
              <w:rPr>
                <w:rFonts w:ascii="Arial" w:hAnsi="Arial" w:eastAsia="Arial" w:cs="Arial"/>
                <w:b w:val="0"/>
                <w:bCs w:val="0"/>
                <w:snapToGrid w:val="0"/>
                <w:kern w:val="0"/>
                <w:sz w:val="21"/>
                <w:lang w:eastAsia="en-US"/>
              </w:rPr>
            </w:pPr>
          </w:p>
          <w:p w14:paraId="78115DAC">
            <w:pPr>
              <w:kinsoku w:val="0"/>
              <w:autoSpaceDE w:val="0"/>
              <w:autoSpaceDN w:val="0"/>
              <w:adjustRightInd w:val="0"/>
              <w:snapToGrid w:val="0"/>
              <w:spacing w:before="68" w:line="241" w:lineRule="auto"/>
              <w:ind w:left="235"/>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2</w:t>
            </w:r>
          </w:p>
        </w:tc>
        <w:tc>
          <w:tcPr>
            <w:tcW w:w="1109" w:type="dxa"/>
            <w:noWrap w:val="0"/>
            <w:vAlign w:val="top"/>
          </w:tcPr>
          <w:p w14:paraId="3AFA9855">
            <w:pPr>
              <w:kinsoku w:val="0"/>
              <w:autoSpaceDE w:val="0"/>
              <w:autoSpaceDN w:val="0"/>
              <w:adjustRightInd w:val="0"/>
              <w:snapToGrid w:val="0"/>
              <w:spacing w:before="251" w:line="219" w:lineRule="auto"/>
              <w:ind w:left="120"/>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1"/>
                <w:kern w:val="0"/>
                <w:sz w:val="21"/>
                <w:szCs w:val="21"/>
                <w:lang w:val="en-US" w:eastAsia="en-US" w:bidi="ar-SA"/>
              </w:rPr>
              <w:t>同类业绩</w:t>
            </w:r>
          </w:p>
          <w:p w14:paraId="1D9B8571">
            <w:pPr>
              <w:kinsoku w:val="0"/>
              <w:autoSpaceDE w:val="0"/>
              <w:autoSpaceDN w:val="0"/>
              <w:adjustRightInd w:val="0"/>
              <w:snapToGrid w:val="0"/>
              <w:spacing w:before="51" w:line="220" w:lineRule="auto"/>
              <w:ind w:left="281"/>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10"/>
                <w:kern w:val="0"/>
                <w:sz w:val="21"/>
                <w:szCs w:val="21"/>
                <w:lang w:val="en-US" w:eastAsia="en-US" w:bidi="ar-SA"/>
              </w:rPr>
              <w:t>(1分)</w:t>
            </w:r>
          </w:p>
        </w:tc>
        <w:tc>
          <w:tcPr>
            <w:tcW w:w="7132" w:type="dxa"/>
            <w:noWrap w:val="0"/>
            <w:vAlign w:val="top"/>
          </w:tcPr>
          <w:p w14:paraId="62631A7A">
            <w:pPr>
              <w:kinsoku w:val="0"/>
              <w:autoSpaceDE w:val="0"/>
              <w:autoSpaceDN w:val="0"/>
              <w:adjustRightInd w:val="0"/>
              <w:snapToGrid w:val="0"/>
              <w:spacing w:before="90" w:line="277" w:lineRule="auto"/>
              <w:ind w:left="91" w:right="182" w:rightChars="0"/>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自2021年1月1日</w:t>
            </w:r>
            <w:r>
              <w:rPr>
                <w:rFonts w:hint="eastAsia" w:ascii="宋体" w:hAnsi="宋体" w:eastAsia="宋体" w:cs="宋体"/>
                <w:b w:val="0"/>
                <w:bCs w:val="0"/>
                <w:snapToGrid w:val="0"/>
                <w:color w:val="000000"/>
                <w:kern w:val="0"/>
                <w:sz w:val="21"/>
                <w:szCs w:val="21"/>
                <w:lang w:val="en-US" w:eastAsia="zh-CN" w:bidi="ar-SA"/>
              </w:rPr>
              <w:t>（</w:t>
            </w:r>
            <w:r>
              <w:rPr>
                <w:rFonts w:ascii="宋体" w:hAnsi="宋体" w:eastAsia="宋体" w:cs="宋体"/>
                <w:b w:val="0"/>
                <w:bCs w:val="0"/>
                <w:snapToGrid w:val="0"/>
                <w:color w:val="000000"/>
                <w:kern w:val="0"/>
                <w:sz w:val="21"/>
                <w:szCs w:val="21"/>
                <w:lang w:val="en-US" w:eastAsia="en-US" w:bidi="ar-SA"/>
              </w:rPr>
              <w:t>以合同签订日期为准</w:t>
            </w:r>
            <w:r>
              <w:rPr>
                <w:rFonts w:hint="eastAsia" w:ascii="宋体" w:hAnsi="宋体" w:eastAsia="宋体" w:cs="宋体"/>
                <w:b w:val="0"/>
                <w:bCs w:val="0"/>
                <w:snapToGrid w:val="0"/>
                <w:color w:val="000000"/>
                <w:kern w:val="0"/>
                <w:sz w:val="21"/>
                <w:szCs w:val="21"/>
                <w:lang w:val="en-US" w:eastAsia="zh-CN" w:bidi="ar-SA"/>
              </w:rPr>
              <w:t>）</w:t>
            </w:r>
            <w:r>
              <w:rPr>
                <w:rFonts w:ascii="宋体" w:hAnsi="宋体" w:eastAsia="宋体" w:cs="宋体"/>
                <w:b w:val="0"/>
                <w:bCs w:val="0"/>
                <w:snapToGrid w:val="0"/>
                <w:color w:val="000000"/>
                <w:kern w:val="0"/>
                <w:sz w:val="21"/>
                <w:szCs w:val="21"/>
                <w:lang w:val="en-US" w:eastAsia="en-US" w:bidi="ar-SA"/>
              </w:rPr>
              <w:t>以来承担过市政道路、桥梁检</w:t>
            </w:r>
            <w:r>
              <w:rPr>
                <w:rFonts w:ascii="宋体" w:hAnsi="宋体" w:eastAsia="宋体" w:cs="宋体"/>
                <w:b w:val="0"/>
                <w:bCs w:val="0"/>
                <w:snapToGrid w:val="0"/>
                <w:color w:val="000000"/>
                <w:spacing w:val="-1"/>
                <w:kern w:val="0"/>
                <w:sz w:val="21"/>
                <w:szCs w:val="21"/>
                <w:lang w:val="en-US" w:eastAsia="en-US" w:bidi="ar-SA"/>
              </w:rPr>
              <w:t>测项目业绩得0.5分，最多1分。</w:t>
            </w:r>
          </w:p>
          <w:p w14:paraId="0B047394">
            <w:pPr>
              <w:kinsoku w:val="0"/>
              <w:autoSpaceDE w:val="0"/>
              <w:autoSpaceDN w:val="0"/>
              <w:adjustRightInd w:val="0"/>
              <w:snapToGrid w:val="0"/>
              <w:spacing w:line="218" w:lineRule="auto"/>
              <w:ind w:left="91"/>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3"/>
                <w:kern w:val="0"/>
                <w:sz w:val="21"/>
                <w:szCs w:val="21"/>
                <w:lang w:val="en-US" w:eastAsia="en-US" w:bidi="ar-SA"/>
              </w:rPr>
              <w:t>(注：需提供项目合同扫描件)</w:t>
            </w:r>
          </w:p>
        </w:tc>
        <w:tc>
          <w:tcPr>
            <w:tcW w:w="984" w:type="dxa"/>
            <w:noWrap w:val="0"/>
            <w:vAlign w:val="top"/>
          </w:tcPr>
          <w:p w14:paraId="7B9D7EAC">
            <w:pPr>
              <w:widowControl/>
              <w:kinsoku w:val="0"/>
              <w:autoSpaceDE w:val="0"/>
              <w:autoSpaceDN w:val="0"/>
              <w:adjustRightInd w:val="0"/>
              <w:snapToGrid w:val="0"/>
              <w:spacing w:line="331" w:lineRule="auto"/>
              <w:jc w:val="left"/>
              <w:textAlignment w:val="baseline"/>
              <w:rPr>
                <w:rFonts w:ascii="Arial" w:hAnsi="Arial" w:eastAsia="Arial" w:cs="Arial"/>
                <w:b w:val="0"/>
                <w:bCs w:val="0"/>
                <w:snapToGrid w:val="0"/>
                <w:kern w:val="0"/>
                <w:sz w:val="21"/>
                <w:lang w:eastAsia="en-US"/>
              </w:rPr>
            </w:pPr>
          </w:p>
          <w:p w14:paraId="1CDE9F20">
            <w:pPr>
              <w:kinsoku w:val="0"/>
              <w:autoSpaceDE w:val="0"/>
              <w:autoSpaceDN w:val="0"/>
              <w:adjustRightInd w:val="0"/>
              <w:snapToGrid w:val="0"/>
              <w:spacing w:before="69" w:line="220" w:lineRule="auto"/>
              <w:ind w:left="21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3"/>
                <w:kern w:val="0"/>
                <w:sz w:val="21"/>
                <w:szCs w:val="21"/>
                <w:lang w:val="en-US" w:eastAsia="en-US" w:bidi="ar-SA"/>
              </w:rPr>
              <w:t>0-1分</w:t>
            </w:r>
          </w:p>
        </w:tc>
      </w:tr>
      <w:tr w14:paraId="327B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1" w:hRule="atLeast"/>
        </w:trPr>
        <w:tc>
          <w:tcPr>
            <w:tcW w:w="594" w:type="dxa"/>
            <w:noWrap w:val="0"/>
            <w:vAlign w:val="top"/>
          </w:tcPr>
          <w:p w14:paraId="04150021">
            <w:pPr>
              <w:widowControl/>
              <w:kinsoku w:val="0"/>
              <w:autoSpaceDE w:val="0"/>
              <w:autoSpaceDN w:val="0"/>
              <w:adjustRightInd w:val="0"/>
              <w:snapToGrid w:val="0"/>
              <w:spacing w:line="266" w:lineRule="auto"/>
              <w:jc w:val="left"/>
              <w:textAlignment w:val="baseline"/>
              <w:rPr>
                <w:rFonts w:ascii="Arial" w:hAnsi="Arial" w:eastAsia="Arial" w:cs="Arial"/>
                <w:b w:val="0"/>
                <w:bCs w:val="0"/>
                <w:snapToGrid w:val="0"/>
                <w:kern w:val="0"/>
                <w:sz w:val="21"/>
                <w:lang w:eastAsia="en-US"/>
              </w:rPr>
            </w:pPr>
          </w:p>
          <w:p w14:paraId="2C5D9AB4">
            <w:pPr>
              <w:widowControl/>
              <w:kinsoku w:val="0"/>
              <w:autoSpaceDE w:val="0"/>
              <w:autoSpaceDN w:val="0"/>
              <w:adjustRightInd w:val="0"/>
              <w:snapToGrid w:val="0"/>
              <w:spacing w:line="266" w:lineRule="auto"/>
              <w:jc w:val="left"/>
              <w:textAlignment w:val="baseline"/>
              <w:rPr>
                <w:rFonts w:ascii="Arial" w:hAnsi="Arial" w:eastAsia="Arial" w:cs="Arial"/>
                <w:b w:val="0"/>
                <w:bCs w:val="0"/>
                <w:snapToGrid w:val="0"/>
                <w:kern w:val="0"/>
                <w:sz w:val="21"/>
                <w:lang w:eastAsia="en-US"/>
              </w:rPr>
            </w:pPr>
          </w:p>
          <w:p w14:paraId="400CB2EB">
            <w:pPr>
              <w:widowControl/>
              <w:kinsoku w:val="0"/>
              <w:autoSpaceDE w:val="0"/>
              <w:autoSpaceDN w:val="0"/>
              <w:adjustRightInd w:val="0"/>
              <w:snapToGrid w:val="0"/>
              <w:spacing w:line="266" w:lineRule="auto"/>
              <w:jc w:val="left"/>
              <w:textAlignment w:val="baseline"/>
              <w:rPr>
                <w:rFonts w:ascii="Arial" w:hAnsi="Arial" w:eastAsia="Arial" w:cs="Arial"/>
                <w:b w:val="0"/>
                <w:bCs w:val="0"/>
                <w:snapToGrid w:val="0"/>
                <w:kern w:val="0"/>
                <w:sz w:val="21"/>
                <w:lang w:eastAsia="en-US"/>
              </w:rPr>
            </w:pPr>
          </w:p>
          <w:p w14:paraId="4E55BAAD">
            <w:pPr>
              <w:widowControl/>
              <w:kinsoku w:val="0"/>
              <w:autoSpaceDE w:val="0"/>
              <w:autoSpaceDN w:val="0"/>
              <w:adjustRightInd w:val="0"/>
              <w:snapToGrid w:val="0"/>
              <w:spacing w:line="266" w:lineRule="auto"/>
              <w:jc w:val="left"/>
              <w:textAlignment w:val="baseline"/>
              <w:rPr>
                <w:rFonts w:ascii="Arial" w:hAnsi="Arial" w:eastAsia="Arial" w:cs="Arial"/>
                <w:b w:val="0"/>
                <w:bCs w:val="0"/>
                <w:snapToGrid w:val="0"/>
                <w:kern w:val="0"/>
                <w:sz w:val="21"/>
                <w:lang w:eastAsia="en-US"/>
              </w:rPr>
            </w:pPr>
          </w:p>
          <w:p w14:paraId="748ABB19">
            <w:pPr>
              <w:widowControl/>
              <w:kinsoku w:val="0"/>
              <w:autoSpaceDE w:val="0"/>
              <w:autoSpaceDN w:val="0"/>
              <w:adjustRightInd w:val="0"/>
              <w:snapToGrid w:val="0"/>
              <w:spacing w:line="266" w:lineRule="auto"/>
              <w:jc w:val="left"/>
              <w:textAlignment w:val="baseline"/>
              <w:rPr>
                <w:rFonts w:ascii="Arial" w:hAnsi="Arial" w:eastAsia="Arial" w:cs="Arial"/>
                <w:b w:val="0"/>
                <w:bCs w:val="0"/>
                <w:snapToGrid w:val="0"/>
                <w:kern w:val="0"/>
                <w:sz w:val="21"/>
                <w:lang w:eastAsia="en-US"/>
              </w:rPr>
            </w:pPr>
          </w:p>
          <w:p w14:paraId="0BEBE4BC">
            <w:pPr>
              <w:widowControl/>
              <w:kinsoku w:val="0"/>
              <w:autoSpaceDE w:val="0"/>
              <w:autoSpaceDN w:val="0"/>
              <w:adjustRightInd w:val="0"/>
              <w:snapToGrid w:val="0"/>
              <w:spacing w:line="266" w:lineRule="auto"/>
              <w:jc w:val="left"/>
              <w:textAlignment w:val="baseline"/>
              <w:rPr>
                <w:rFonts w:ascii="Arial" w:hAnsi="Arial" w:eastAsia="Arial" w:cs="Arial"/>
                <w:b w:val="0"/>
                <w:bCs w:val="0"/>
                <w:snapToGrid w:val="0"/>
                <w:kern w:val="0"/>
                <w:sz w:val="21"/>
                <w:lang w:eastAsia="en-US"/>
              </w:rPr>
            </w:pPr>
          </w:p>
          <w:p w14:paraId="0D4FCEE0">
            <w:pPr>
              <w:widowControl/>
              <w:kinsoku w:val="0"/>
              <w:autoSpaceDE w:val="0"/>
              <w:autoSpaceDN w:val="0"/>
              <w:adjustRightInd w:val="0"/>
              <w:snapToGrid w:val="0"/>
              <w:spacing w:line="267" w:lineRule="auto"/>
              <w:jc w:val="left"/>
              <w:textAlignment w:val="baseline"/>
              <w:rPr>
                <w:rFonts w:ascii="Arial" w:hAnsi="Arial" w:eastAsia="Arial" w:cs="Arial"/>
                <w:b w:val="0"/>
                <w:bCs w:val="0"/>
                <w:snapToGrid w:val="0"/>
                <w:kern w:val="0"/>
                <w:sz w:val="21"/>
                <w:lang w:eastAsia="en-US"/>
              </w:rPr>
            </w:pPr>
          </w:p>
          <w:p w14:paraId="309AB60D">
            <w:pPr>
              <w:kinsoku w:val="0"/>
              <w:autoSpaceDE w:val="0"/>
              <w:autoSpaceDN w:val="0"/>
              <w:adjustRightInd w:val="0"/>
              <w:snapToGrid w:val="0"/>
              <w:spacing w:before="68" w:line="240" w:lineRule="auto"/>
              <w:ind w:left="235"/>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3</w:t>
            </w:r>
          </w:p>
        </w:tc>
        <w:tc>
          <w:tcPr>
            <w:tcW w:w="1109" w:type="dxa"/>
            <w:noWrap w:val="0"/>
            <w:vAlign w:val="top"/>
          </w:tcPr>
          <w:p w14:paraId="1722BE24">
            <w:pPr>
              <w:widowControl/>
              <w:kinsoku w:val="0"/>
              <w:autoSpaceDE w:val="0"/>
              <w:autoSpaceDN w:val="0"/>
              <w:adjustRightInd w:val="0"/>
              <w:snapToGrid w:val="0"/>
              <w:spacing w:line="273" w:lineRule="auto"/>
              <w:jc w:val="left"/>
              <w:textAlignment w:val="baseline"/>
              <w:rPr>
                <w:rFonts w:ascii="Arial" w:hAnsi="Arial" w:eastAsia="Arial" w:cs="Arial"/>
                <w:b w:val="0"/>
                <w:bCs w:val="0"/>
                <w:snapToGrid w:val="0"/>
                <w:kern w:val="0"/>
                <w:sz w:val="21"/>
                <w:lang w:eastAsia="en-US"/>
              </w:rPr>
            </w:pPr>
          </w:p>
          <w:p w14:paraId="4CF66323">
            <w:pPr>
              <w:widowControl/>
              <w:kinsoku w:val="0"/>
              <w:autoSpaceDE w:val="0"/>
              <w:autoSpaceDN w:val="0"/>
              <w:adjustRightInd w:val="0"/>
              <w:snapToGrid w:val="0"/>
              <w:spacing w:line="273" w:lineRule="auto"/>
              <w:jc w:val="left"/>
              <w:textAlignment w:val="baseline"/>
              <w:rPr>
                <w:rFonts w:ascii="Arial" w:hAnsi="Arial" w:eastAsia="Arial" w:cs="Arial"/>
                <w:b w:val="0"/>
                <w:bCs w:val="0"/>
                <w:snapToGrid w:val="0"/>
                <w:kern w:val="0"/>
                <w:sz w:val="21"/>
                <w:lang w:eastAsia="en-US"/>
              </w:rPr>
            </w:pPr>
          </w:p>
          <w:p w14:paraId="65A7AFB6">
            <w:pPr>
              <w:widowControl/>
              <w:kinsoku w:val="0"/>
              <w:autoSpaceDE w:val="0"/>
              <w:autoSpaceDN w:val="0"/>
              <w:adjustRightInd w:val="0"/>
              <w:snapToGrid w:val="0"/>
              <w:spacing w:line="273" w:lineRule="auto"/>
              <w:jc w:val="left"/>
              <w:textAlignment w:val="baseline"/>
              <w:rPr>
                <w:rFonts w:ascii="Arial" w:hAnsi="Arial" w:eastAsia="Arial" w:cs="Arial"/>
                <w:b w:val="0"/>
                <w:bCs w:val="0"/>
                <w:snapToGrid w:val="0"/>
                <w:kern w:val="0"/>
                <w:sz w:val="21"/>
                <w:lang w:eastAsia="en-US"/>
              </w:rPr>
            </w:pPr>
          </w:p>
          <w:p w14:paraId="2955846B">
            <w:pPr>
              <w:widowControl/>
              <w:kinsoku w:val="0"/>
              <w:autoSpaceDE w:val="0"/>
              <w:autoSpaceDN w:val="0"/>
              <w:adjustRightInd w:val="0"/>
              <w:snapToGrid w:val="0"/>
              <w:spacing w:line="273" w:lineRule="auto"/>
              <w:jc w:val="left"/>
              <w:textAlignment w:val="baseline"/>
              <w:rPr>
                <w:rFonts w:ascii="Arial" w:hAnsi="Arial" w:eastAsia="Arial" w:cs="Arial"/>
                <w:b w:val="0"/>
                <w:bCs w:val="0"/>
                <w:snapToGrid w:val="0"/>
                <w:kern w:val="0"/>
                <w:sz w:val="21"/>
                <w:lang w:eastAsia="en-US"/>
              </w:rPr>
            </w:pPr>
          </w:p>
          <w:p w14:paraId="6A0DE18D">
            <w:pPr>
              <w:widowControl/>
              <w:kinsoku w:val="0"/>
              <w:autoSpaceDE w:val="0"/>
              <w:autoSpaceDN w:val="0"/>
              <w:adjustRightInd w:val="0"/>
              <w:snapToGrid w:val="0"/>
              <w:spacing w:line="274" w:lineRule="auto"/>
              <w:jc w:val="left"/>
              <w:textAlignment w:val="baseline"/>
              <w:rPr>
                <w:rFonts w:ascii="Arial" w:hAnsi="Arial" w:eastAsia="Arial" w:cs="Arial"/>
                <w:b w:val="0"/>
                <w:bCs w:val="0"/>
                <w:snapToGrid w:val="0"/>
                <w:kern w:val="0"/>
                <w:sz w:val="21"/>
                <w:lang w:eastAsia="en-US"/>
              </w:rPr>
            </w:pPr>
          </w:p>
          <w:p w14:paraId="3467D31A">
            <w:pPr>
              <w:kinsoku w:val="0"/>
              <w:autoSpaceDE w:val="0"/>
              <w:autoSpaceDN w:val="0"/>
              <w:adjustRightInd w:val="0"/>
              <w:snapToGrid w:val="0"/>
              <w:spacing w:before="68" w:line="283" w:lineRule="auto"/>
              <w:ind w:left="231" w:right="192"/>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1"/>
                <w:kern w:val="0"/>
                <w:sz w:val="21"/>
                <w:szCs w:val="21"/>
                <w:lang w:val="en-US" w:eastAsia="en-US" w:bidi="ar-SA"/>
              </w:rPr>
              <w:t>项目组 成员  (21分</w:t>
            </w:r>
            <w:r>
              <w:rPr>
                <w:rFonts w:ascii="宋体" w:hAnsi="宋体" w:eastAsia="宋体" w:cs="宋体"/>
                <w:b w:val="0"/>
                <w:bCs w:val="0"/>
                <w:snapToGrid w:val="0"/>
                <w:color w:val="000000"/>
                <w:spacing w:val="9"/>
                <w:kern w:val="0"/>
                <w:sz w:val="21"/>
                <w:szCs w:val="21"/>
                <w:lang w:val="en-US" w:eastAsia="en-US" w:bidi="ar-SA"/>
              </w:rPr>
              <w:t>)</w:t>
            </w:r>
          </w:p>
        </w:tc>
        <w:tc>
          <w:tcPr>
            <w:tcW w:w="7132" w:type="dxa"/>
            <w:noWrap w:val="0"/>
            <w:vAlign w:val="top"/>
          </w:tcPr>
          <w:p w14:paraId="2EFB8284">
            <w:pPr>
              <w:kinsoku w:val="0"/>
              <w:autoSpaceDE w:val="0"/>
              <w:autoSpaceDN w:val="0"/>
              <w:adjustRightInd w:val="0"/>
              <w:snapToGrid w:val="0"/>
              <w:spacing w:before="52" w:line="219" w:lineRule="auto"/>
              <w:ind w:left="91"/>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一.项目负责人、技术负责人：</w:t>
            </w:r>
          </w:p>
          <w:p w14:paraId="65D13C4B">
            <w:pPr>
              <w:kinsoku w:val="0"/>
              <w:autoSpaceDE w:val="0"/>
              <w:autoSpaceDN w:val="0"/>
              <w:adjustRightInd w:val="0"/>
              <w:snapToGrid w:val="0"/>
              <w:spacing w:before="60" w:line="219" w:lineRule="auto"/>
              <w:jc w:val="both"/>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2"/>
                <w:kern w:val="0"/>
                <w:sz w:val="21"/>
                <w:szCs w:val="21"/>
                <w:lang w:val="en-US" w:eastAsia="en-US" w:bidi="ar-SA"/>
              </w:rPr>
              <w:t>1、项目负责人同时具备一级注册结构工程师、注册岩土工程师得4分；</w:t>
            </w:r>
          </w:p>
          <w:p w14:paraId="18F13E08">
            <w:pPr>
              <w:kinsoku w:val="0"/>
              <w:autoSpaceDE w:val="0"/>
              <w:autoSpaceDN w:val="0"/>
              <w:adjustRightInd w:val="0"/>
              <w:snapToGrid w:val="0"/>
              <w:spacing w:before="60" w:line="243" w:lineRule="auto"/>
              <w:ind w:right="314"/>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2、技术负责人同时具有市政桥梁检测上岗</w:t>
            </w:r>
            <w:r>
              <w:rPr>
                <w:rFonts w:ascii="宋体" w:hAnsi="宋体" w:eastAsia="宋体" w:cs="宋体"/>
                <w:b w:val="0"/>
                <w:bCs w:val="0"/>
                <w:snapToGrid w:val="0"/>
                <w:color w:val="000000"/>
                <w:spacing w:val="-1"/>
                <w:kern w:val="0"/>
                <w:sz w:val="21"/>
                <w:szCs w:val="21"/>
                <w:lang w:val="en-US" w:eastAsia="en-US" w:bidi="ar-SA"/>
              </w:rPr>
              <w:t>证(或合格证)、建筑工程</w:t>
            </w:r>
            <w:r>
              <w:rPr>
                <w:rFonts w:ascii="宋体" w:hAnsi="宋体" w:eastAsia="宋体" w:cs="宋体"/>
                <w:b w:val="0"/>
                <w:bCs w:val="0"/>
                <w:snapToGrid w:val="0"/>
                <w:color w:val="000000"/>
                <w:kern w:val="0"/>
                <w:sz w:val="21"/>
                <w:szCs w:val="21"/>
                <w:lang w:val="en-US" w:eastAsia="en-US" w:bidi="ar-SA"/>
              </w:rPr>
              <w:t>类高级工程师职称(或以上),且参编过行业或协会技术标准或</w:t>
            </w:r>
            <w:r>
              <w:rPr>
                <w:rFonts w:ascii="宋体" w:hAnsi="宋体" w:eastAsia="宋体" w:cs="宋体"/>
                <w:b w:val="0"/>
                <w:bCs w:val="0"/>
                <w:snapToGrid w:val="0"/>
                <w:color w:val="000000"/>
                <w:spacing w:val="-1"/>
                <w:kern w:val="0"/>
                <w:sz w:val="21"/>
                <w:szCs w:val="21"/>
                <w:lang w:val="en-US" w:eastAsia="en-US" w:bidi="ar-SA"/>
              </w:rPr>
              <w:t>规范得4分。</w:t>
            </w:r>
          </w:p>
          <w:p w14:paraId="394097CE">
            <w:pPr>
              <w:kinsoku w:val="0"/>
              <w:autoSpaceDE w:val="0"/>
              <w:autoSpaceDN w:val="0"/>
              <w:adjustRightInd w:val="0"/>
              <w:snapToGrid w:val="0"/>
              <w:spacing w:before="77" w:line="219" w:lineRule="auto"/>
              <w:ind w:left="91"/>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1"/>
                <w:kern w:val="0"/>
                <w:sz w:val="21"/>
                <w:szCs w:val="21"/>
                <w:lang w:val="en-US" w:eastAsia="en-US" w:bidi="ar-SA"/>
              </w:rPr>
              <w:t>二、项目组成员(除项目负责人、技术负责人外):</w:t>
            </w:r>
          </w:p>
          <w:p w14:paraId="0E1BE120">
            <w:pPr>
              <w:kinsoku w:val="0"/>
              <w:autoSpaceDE w:val="0"/>
              <w:autoSpaceDN w:val="0"/>
              <w:adjustRightInd w:val="0"/>
              <w:snapToGrid w:val="0"/>
              <w:spacing w:before="51" w:line="250" w:lineRule="auto"/>
              <w:ind w:right="109"/>
              <w:jc w:val="left"/>
              <w:textAlignment w:val="baseline"/>
              <w:rPr>
                <w:rFonts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zh-CN" w:bidi="ar-SA"/>
              </w:rPr>
              <w:t>1</w:t>
            </w:r>
            <w:r>
              <w:rPr>
                <w:rFonts w:ascii="宋体" w:hAnsi="宋体" w:eastAsia="宋体" w:cs="宋体"/>
                <w:b w:val="0"/>
                <w:bCs w:val="0"/>
                <w:snapToGrid w:val="0"/>
                <w:color w:val="000000"/>
                <w:spacing w:val="-1"/>
                <w:kern w:val="0"/>
                <w:sz w:val="21"/>
                <w:szCs w:val="21"/>
                <w:lang w:val="en-US" w:eastAsia="en-US" w:bidi="ar-SA"/>
              </w:rPr>
              <w:t>、技术人员同时具备注册岩土工程师、高级工程师以上职称、市政桥</w:t>
            </w:r>
            <w:r>
              <w:rPr>
                <w:rFonts w:ascii="宋体" w:hAnsi="宋体" w:eastAsia="宋体" w:cs="宋体"/>
                <w:b w:val="0"/>
                <w:bCs w:val="0"/>
                <w:snapToGrid w:val="0"/>
                <w:color w:val="000000"/>
                <w:spacing w:val="5"/>
                <w:kern w:val="0"/>
                <w:sz w:val="21"/>
                <w:szCs w:val="21"/>
                <w:lang w:val="en-US" w:eastAsia="en-US" w:bidi="ar-SA"/>
              </w:rPr>
              <w:t>梁检测上岗证(或合格证)的得3分；</w:t>
            </w:r>
          </w:p>
          <w:p w14:paraId="00102878">
            <w:pPr>
              <w:kinsoku w:val="0"/>
              <w:autoSpaceDE w:val="0"/>
              <w:autoSpaceDN w:val="0"/>
              <w:adjustRightInd w:val="0"/>
              <w:snapToGrid w:val="0"/>
              <w:spacing w:before="60" w:line="247" w:lineRule="auto"/>
              <w:ind w:right="101"/>
              <w:jc w:val="left"/>
              <w:textAlignment w:val="baseline"/>
              <w:rPr>
                <w:rFonts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zh-CN" w:bidi="ar-SA"/>
              </w:rPr>
              <w:t>2</w:t>
            </w:r>
            <w:r>
              <w:rPr>
                <w:rFonts w:ascii="宋体" w:hAnsi="宋体" w:eastAsia="宋体" w:cs="宋体"/>
                <w:b w:val="0"/>
                <w:bCs w:val="0"/>
                <w:snapToGrid w:val="0"/>
                <w:color w:val="000000"/>
                <w:spacing w:val="-1"/>
                <w:kern w:val="0"/>
                <w:sz w:val="21"/>
                <w:szCs w:val="21"/>
                <w:lang w:val="en-US" w:eastAsia="en-US" w:bidi="ar-SA"/>
              </w:rPr>
              <w:t>、技术人员同时具备一级注册结构工程师、高级工程师以上职称的得</w:t>
            </w:r>
            <w:r>
              <w:rPr>
                <w:rFonts w:ascii="宋体" w:hAnsi="宋体" w:eastAsia="宋体" w:cs="宋体"/>
                <w:b w:val="0"/>
                <w:bCs w:val="0"/>
                <w:snapToGrid w:val="0"/>
                <w:color w:val="000000"/>
                <w:spacing w:val="18"/>
                <w:kern w:val="0"/>
                <w:sz w:val="21"/>
                <w:szCs w:val="21"/>
                <w:lang w:val="en-US" w:eastAsia="en-US" w:bidi="ar-SA"/>
              </w:rPr>
              <w:t xml:space="preserve"> </w:t>
            </w:r>
            <w:r>
              <w:rPr>
                <w:rFonts w:ascii="宋体" w:hAnsi="宋体" w:eastAsia="宋体" w:cs="宋体"/>
                <w:b w:val="0"/>
                <w:bCs w:val="0"/>
                <w:snapToGrid w:val="0"/>
                <w:color w:val="000000"/>
                <w:spacing w:val="-8"/>
                <w:kern w:val="0"/>
                <w:sz w:val="21"/>
                <w:szCs w:val="21"/>
                <w:lang w:val="en-US" w:eastAsia="en-US" w:bidi="ar-SA"/>
              </w:rPr>
              <w:t>2</w:t>
            </w:r>
            <w:r>
              <w:rPr>
                <w:rFonts w:ascii="宋体" w:hAnsi="宋体" w:eastAsia="宋体" w:cs="宋体"/>
                <w:b w:val="0"/>
                <w:bCs w:val="0"/>
                <w:snapToGrid w:val="0"/>
                <w:color w:val="000000"/>
                <w:spacing w:val="-13"/>
                <w:kern w:val="0"/>
                <w:sz w:val="21"/>
                <w:szCs w:val="21"/>
                <w:lang w:val="en-US" w:eastAsia="en-US" w:bidi="ar-SA"/>
              </w:rPr>
              <w:t xml:space="preserve"> </w:t>
            </w:r>
            <w:r>
              <w:rPr>
                <w:rFonts w:ascii="宋体" w:hAnsi="宋体" w:eastAsia="宋体" w:cs="宋体"/>
                <w:b w:val="0"/>
                <w:bCs w:val="0"/>
                <w:snapToGrid w:val="0"/>
                <w:color w:val="000000"/>
                <w:spacing w:val="-8"/>
                <w:kern w:val="0"/>
                <w:sz w:val="21"/>
                <w:szCs w:val="21"/>
                <w:lang w:val="en-US" w:eastAsia="en-US" w:bidi="ar-SA"/>
              </w:rPr>
              <w:t>分</w:t>
            </w:r>
            <w:r>
              <w:rPr>
                <w:rFonts w:ascii="宋体" w:hAnsi="宋体" w:eastAsia="宋体" w:cs="宋体"/>
                <w:b w:val="0"/>
                <w:bCs w:val="0"/>
                <w:snapToGrid w:val="0"/>
                <w:color w:val="000000"/>
                <w:spacing w:val="-25"/>
                <w:kern w:val="0"/>
                <w:sz w:val="21"/>
                <w:szCs w:val="21"/>
                <w:lang w:val="en-US" w:eastAsia="en-US" w:bidi="ar-SA"/>
              </w:rPr>
              <w:t xml:space="preserve"> </w:t>
            </w:r>
            <w:r>
              <w:rPr>
                <w:rFonts w:ascii="宋体" w:hAnsi="宋体" w:eastAsia="宋体" w:cs="宋体"/>
                <w:b w:val="0"/>
                <w:bCs w:val="0"/>
                <w:snapToGrid w:val="0"/>
                <w:color w:val="000000"/>
                <w:spacing w:val="-8"/>
                <w:kern w:val="0"/>
                <w:sz w:val="21"/>
                <w:szCs w:val="21"/>
                <w:lang w:val="en-US" w:eastAsia="en-US" w:bidi="ar-SA"/>
              </w:rPr>
              <w:t>；</w:t>
            </w:r>
          </w:p>
          <w:p w14:paraId="11BB4FEA">
            <w:pPr>
              <w:kinsoku w:val="0"/>
              <w:autoSpaceDE w:val="0"/>
              <w:autoSpaceDN w:val="0"/>
              <w:adjustRightInd w:val="0"/>
              <w:snapToGrid w:val="0"/>
              <w:spacing w:before="69" w:line="246" w:lineRule="auto"/>
              <w:ind w:right="193"/>
              <w:jc w:val="left"/>
              <w:textAlignment w:val="baseline"/>
              <w:rPr>
                <w:rFonts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kern w:val="0"/>
                <w:sz w:val="21"/>
                <w:szCs w:val="21"/>
                <w:lang w:val="en-US" w:eastAsia="zh-CN" w:bidi="ar-SA"/>
              </w:rPr>
              <w:t>3</w:t>
            </w:r>
            <w:r>
              <w:rPr>
                <w:rFonts w:ascii="宋体" w:hAnsi="宋体" w:eastAsia="宋体" w:cs="宋体"/>
                <w:b w:val="0"/>
                <w:bCs w:val="0"/>
                <w:snapToGrid w:val="0"/>
                <w:color w:val="000000"/>
                <w:kern w:val="0"/>
                <w:sz w:val="21"/>
                <w:szCs w:val="21"/>
                <w:lang w:val="en-US" w:eastAsia="en-US" w:bidi="ar-SA"/>
              </w:rPr>
              <w:t>、技术人员同时具备高级工程师以上职称、市</w:t>
            </w:r>
            <w:r>
              <w:rPr>
                <w:rFonts w:ascii="宋体" w:hAnsi="宋体" w:eastAsia="宋体" w:cs="宋体"/>
                <w:b w:val="0"/>
                <w:bCs w:val="0"/>
                <w:snapToGrid w:val="0"/>
                <w:color w:val="000000"/>
                <w:spacing w:val="-1"/>
                <w:kern w:val="0"/>
                <w:sz w:val="21"/>
                <w:szCs w:val="21"/>
                <w:lang w:val="en-US" w:eastAsia="en-US" w:bidi="ar-SA"/>
              </w:rPr>
              <w:t>政桥梁检测上岗证(或</w:t>
            </w:r>
            <w:r>
              <w:rPr>
                <w:rFonts w:ascii="宋体" w:hAnsi="宋体" w:eastAsia="宋体" w:cs="宋体"/>
                <w:b w:val="0"/>
                <w:bCs w:val="0"/>
                <w:snapToGrid w:val="0"/>
                <w:color w:val="000000"/>
                <w:spacing w:val="6"/>
                <w:kern w:val="0"/>
                <w:sz w:val="21"/>
                <w:szCs w:val="21"/>
                <w:lang w:val="en-US" w:eastAsia="en-US" w:bidi="ar-SA"/>
              </w:rPr>
              <w:t>合格证)的得2分，最多得8分；</w:t>
            </w:r>
          </w:p>
          <w:p w14:paraId="7359EFDC">
            <w:pPr>
              <w:kinsoku w:val="0"/>
              <w:autoSpaceDE w:val="0"/>
              <w:autoSpaceDN w:val="0"/>
              <w:adjustRightInd w:val="0"/>
              <w:snapToGrid w:val="0"/>
              <w:spacing w:before="59" w:line="244" w:lineRule="auto"/>
              <w:ind w:left="91" w:right="66" w:firstLine="12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(证明材料以相关证书为准，同时提供相关评分人员近三个月投标单位缴纳</w:t>
            </w:r>
            <w:r>
              <w:rPr>
                <w:rFonts w:ascii="宋体" w:hAnsi="宋体" w:eastAsia="宋体" w:cs="宋体"/>
                <w:b w:val="0"/>
                <w:bCs w:val="0"/>
                <w:snapToGrid w:val="0"/>
                <w:color w:val="000000"/>
                <w:spacing w:val="7"/>
                <w:kern w:val="0"/>
                <w:sz w:val="21"/>
                <w:szCs w:val="21"/>
                <w:lang w:val="en-US" w:eastAsia="en-US" w:bidi="ar-SA"/>
              </w:rPr>
              <w:t xml:space="preserve"> </w:t>
            </w:r>
            <w:r>
              <w:rPr>
                <w:rFonts w:ascii="宋体" w:hAnsi="宋体" w:eastAsia="宋体" w:cs="宋体"/>
                <w:b w:val="0"/>
                <w:bCs w:val="0"/>
                <w:snapToGrid w:val="0"/>
                <w:color w:val="000000"/>
                <w:spacing w:val="3"/>
                <w:kern w:val="0"/>
                <w:sz w:val="21"/>
                <w:szCs w:val="21"/>
                <w:lang w:val="en-US" w:eastAsia="en-US" w:bidi="ar-SA"/>
              </w:rPr>
              <w:t>的社保证明，否则不得分)</w:t>
            </w:r>
          </w:p>
        </w:tc>
        <w:tc>
          <w:tcPr>
            <w:tcW w:w="984" w:type="dxa"/>
            <w:noWrap w:val="0"/>
            <w:vAlign w:val="top"/>
          </w:tcPr>
          <w:p w14:paraId="02E24D6C">
            <w:pPr>
              <w:widowControl/>
              <w:kinsoku w:val="0"/>
              <w:autoSpaceDE w:val="0"/>
              <w:autoSpaceDN w:val="0"/>
              <w:adjustRightInd w:val="0"/>
              <w:snapToGrid w:val="0"/>
              <w:spacing w:line="263" w:lineRule="auto"/>
              <w:jc w:val="left"/>
              <w:textAlignment w:val="baseline"/>
              <w:rPr>
                <w:rFonts w:ascii="Arial" w:hAnsi="Arial" w:eastAsia="Arial" w:cs="Arial"/>
                <w:b w:val="0"/>
                <w:bCs w:val="0"/>
                <w:snapToGrid w:val="0"/>
                <w:kern w:val="0"/>
                <w:sz w:val="21"/>
                <w:lang w:eastAsia="en-US"/>
              </w:rPr>
            </w:pPr>
          </w:p>
          <w:p w14:paraId="5ACF0E2A">
            <w:pPr>
              <w:widowControl/>
              <w:kinsoku w:val="0"/>
              <w:autoSpaceDE w:val="0"/>
              <w:autoSpaceDN w:val="0"/>
              <w:adjustRightInd w:val="0"/>
              <w:snapToGrid w:val="0"/>
              <w:spacing w:line="263" w:lineRule="auto"/>
              <w:jc w:val="left"/>
              <w:textAlignment w:val="baseline"/>
              <w:rPr>
                <w:rFonts w:ascii="Arial" w:hAnsi="Arial" w:eastAsia="Arial" w:cs="Arial"/>
                <w:b w:val="0"/>
                <w:bCs w:val="0"/>
                <w:snapToGrid w:val="0"/>
                <w:kern w:val="0"/>
                <w:sz w:val="21"/>
                <w:lang w:eastAsia="en-US"/>
              </w:rPr>
            </w:pPr>
          </w:p>
          <w:p w14:paraId="4E70B290">
            <w:pPr>
              <w:widowControl/>
              <w:kinsoku w:val="0"/>
              <w:autoSpaceDE w:val="0"/>
              <w:autoSpaceDN w:val="0"/>
              <w:adjustRightInd w:val="0"/>
              <w:snapToGrid w:val="0"/>
              <w:spacing w:line="263" w:lineRule="auto"/>
              <w:jc w:val="left"/>
              <w:textAlignment w:val="baseline"/>
              <w:rPr>
                <w:rFonts w:ascii="Arial" w:hAnsi="Arial" w:eastAsia="Arial" w:cs="Arial"/>
                <w:b w:val="0"/>
                <w:bCs w:val="0"/>
                <w:snapToGrid w:val="0"/>
                <w:kern w:val="0"/>
                <w:sz w:val="21"/>
                <w:lang w:eastAsia="en-US"/>
              </w:rPr>
            </w:pPr>
          </w:p>
          <w:p w14:paraId="1E5799EB">
            <w:pPr>
              <w:widowControl/>
              <w:kinsoku w:val="0"/>
              <w:autoSpaceDE w:val="0"/>
              <w:autoSpaceDN w:val="0"/>
              <w:adjustRightInd w:val="0"/>
              <w:snapToGrid w:val="0"/>
              <w:spacing w:line="263" w:lineRule="auto"/>
              <w:jc w:val="left"/>
              <w:textAlignment w:val="baseline"/>
              <w:rPr>
                <w:rFonts w:ascii="Arial" w:hAnsi="Arial" w:eastAsia="Arial" w:cs="Arial"/>
                <w:b w:val="0"/>
                <w:bCs w:val="0"/>
                <w:snapToGrid w:val="0"/>
                <w:kern w:val="0"/>
                <w:sz w:val="21"/>
                <w:lang w:eastAsia="en-US"/>
              </w:rPr>
            </w:pPr>
          </w:p>
          <w:p w14:paraId="674346ED">
            <w:pPr>
              <w:widowControl/>
              <w:kinsoku w:val="0"/>
              <w:autoSpaceDE w:val="0"/>
              <w:autoSpaceDN w:val="0"/>
              <w:adjustRightInd w:val="0"/>
              <w:snapToGrid w:val="0"/>
              <w:spacing w:line="263" w:lineRule="auto"/>
              <w:jc w:val="left"/>
              <w:textAlignment w:val="baseline"/>
              <w:rPr>
                <w:rFonts w:ascii="Arial" w:hAnsi="Arial" w:eastAsia="Arial" w:cs="Arial"/>
                <w:b w:val="0"/>
                <w:bCs w:val="0"/>
                <w:snapToGrid w:val="0"/>
                <w:kern w:val="0"/>
                <w:sz w:val="21"/>
                <w:lang w:eastAsia="en-US"/>
              </w:rPr>
            </w:pPr>
          </w:p>
          <w:p w14:paraId="788D829F">
            <w:pPr>
              <w:widowControl/>
              <w:kinsoku w:val="0"/>
              <w:autoSpaceDE w:val="0"/>
              <w:autoSpaceDN w:val="0"/>
              <w:adjustRightInd w:val="0"/>
              <w:snapToGrid w:val="0"/>
              <w:spacing w:line="264" w:lineRule="auto"/>
              <w:jc w:val="left"/>
              <w:textAlignment w:val="baseline"/>
              <w:rPr>
                <w:rFonts w:ascii="Arial" w:hAnsi="Arial" w:eastAsia="Arial" w:cs="Arial"/>
                <w:b w:val="0"/>
                <w:bCs w:val="0"/>
                <w:snapToGrid w:val="0"/>
                <w:kern w:val="0"/>
                <w:sz w:val="21"/>
                <w:lang w:eastAsia="en-US"/>
              </w:rPr>
            </w:pPr>
          </w:p>
          <w:p w14:paraId="57A5F70E">
            <w:pPr>
              <w:widowControl/>
              <w:kinsoku w:val="0"/>
              <w:autoSpaceDE w:val="0"/>
              <w:autoSpaceDN w:val="0"/>
              <w:adjustRightInd w:val="0"/>
              <w:snapToGrid w:val="0"/>
              <w:spacing w:line="264" w:lineRule="auto"/>
              <w:jc w:val="left"/>
              <w:textAlignment w:val="baseline"/>
              <w:rPr>
                <w:rFonts w:ascii="Arial" w:hAnsi="Arial" w:eastAsia="Arial" w:cs="Arial"/>
                <w:b w:val="0"/>
                <w:bCs w:val="0"/>
                <w:snapToGrid w:val="0"/>
                <w:kern w:val="0"/>
                <w:sz w:val="21"/>
                <w:lang w:eastAsia="en-US"/>
              </w:rPr>
            </w:pPr>
          </w:p>
          <w:p w14:paraId="69E78B42">
            <w:pPr>
              <w:kinsoku w:val="0"/>
              <w:autoSpaceDE w:val="0"/>
              <w:autoSpaceDN w:val="0"/>
              <w:adjustRightInd w:val="0"/>
              <w:snapToGrid w:val="0"/>
              <w:spacing w:before="68" w:line="220" w:lineRule="auto"/>
              <w:ind w:left="16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2"/>
                <w:kern w:val="0"/>
                <w:sz w:val="21"/>
                <w:szCs w:val="21"/>
                <w:lang w:val="en-US" w:eastAsia="en-US" w:bidi="ar-SA"/>
              </w:rPr>
              <w:t>0-21分</w:t>
            </w:r>
          </w:p>
        </w:tc>
      </w:tr>
      <w:tr w14:paraId="340D5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94" w:type="dxa"/>
            <w:vMerge w:val="restart"/>
            <w:noWrap w:val="0"/>
            <w:vAlign w:val="top"/>
          </w:tcPr>
          <w:p w14:paraId="1B6339AA">
            <w:pPr>
              <w:widowControl/>
              <w:kinsoku w:val="0"/>
              <w:autoSpaceDE w:val="0"/>
              <w:autoSpaceDN w:val="0"/>
              <w:adjustRightInd w:val="0"/>
              <w:snapToGrid w:val="0"/>
              <w:spacing w:line="245" w:lineRule="auto"/>
              <w:jc w:val="left"/>
              <w:textAlignment w:val="baseline"/>
              <w:rPr>
                <w:rFonts w:ascii="Arial" w:hAnsi="Arial" w:eastAsia="Arial" w:cs="Arial"/>
                <w:b w:val="0"/>
                <w:bCs w:val="0"/>
                <w:snapToGrid w:val="0"/>
                <w:kern w:val="0"/>
                <w:sz w:val="21"/>
                <w:lang w:eastAsia="en-US"/>
              </w:rPr>
            </w:pPr>
          </w:p>
          <w:p w14:paraId="408428A1">
            <w:pPr>
              <w:widowControl/>
              <w:kinsoku w:val="0"/>
              <w:autoSpaceDE w:val="0"/>
              <w:autoSpaceDN w:val="0"/>
              <w:adjustRightInd w:val="0"/>
              <w:snapToGrid w:val="0"/>
              <w:spacing w:line="246" w:lineRule="auto"/>
              <w:jc w:val="left"/>
              <w:textAlignment w:val="baseline"/>
              <w:rPr>
                <w:rFonts w:ascii="Arial" w:hAnsi="Arial" w:eastAsia="Arial" w:cs="Arial"/>
                <w:b w:val="0"/>
                <w:bCs w:val="0"/>
                <w:snapToGrid w:val="0"/>
                <w:kern w:val="0"/>
                <w:sz w:val="21"/>
                <w:lang w:eastAsia="en-US"/>
              </w:rPr>
            </w:pPr>
          </w:p>
          <w:p w14:paraId="33C3E3EE">
            <w:pPr>
              <w:widowControl/>
              <w:kinsoku w:val="0"/>
              <w:autoSpaceDE w:val="0"/>
              <w:autoSpaceDN w:val="0"/>
              <w:adjustRightInd w:val="0"/>
              <w:snapToGrid w:val="0"/>
              <w:spacing w:line="246" w:lineRule="auto"/>
              <w:jc w:val="left"/>
              <w:textAlignment w:val="baseline"/>
              <w:rPr>
                <w:rFonts w:ascii="Arial" w:hAnsi="Arial" w:eastAsia="Arial" w:cs="Arial"/>
                <w:b w:val="0"/>
                <w:bCs w:val="0"/>
                <w:snapToGrid w:val="0"/>
                <w:kern w:val="0"/>
                <w:sz w:val="21"/>
                <w:lang w:eastAsia="en-US"/>
              </w:rPr>
            </w:pPr>
          </w:p>
          <w:p w14:paraId="6CDA269E">
            <w:pPr>
              <w:widowControl/>
              <w:kinsoku w:val="0"/>
              <w:autoSpaceDE w:val="0"/>
              <w:autoSpaceDN w:val="0"/>
              <w:adjustRightInd w:val="0"/>
              <w:snapToGrid w:val="0"/>
              <w:spacing w:line="246" w:lineRule="auto"/>
              <w:jc w:val="left"/>
              <w:textAlignment w:val="baseline"/>
              <w:rPr>
                <w:rFonts w:ascii="Arial" w:hAnsi="Arial" w:eastAsia="Arial" w:cs="Arial"/>
                <w:b w:val="0"/>
                <w:bCs w:val="0"/>
                <w:snapToGrid w:val="0"/>
                <w:kern w:val="0"/>
                <w:sz w:val="21"/>
                <w:lang w:eastAsia="en-US"/>
              </w:rPr>
            </w:pPr>
          </w:p>
          <w:p w14:paraId="2FC26C06">
            <w:pPr>
              <w:kinsoku w:val="0"/>
              <w:autoSpaceDE w:val="0"/>
              <w:autoSpaceDN w:val="0"/>
              <w:adjustRightInd w:val="0"/>
              <w:snapToGrid w:val="0"/>
              <w:spacing w:before="68" w:line="241" w:lineRule="auto"/>
              <w:ind w:left="235"/>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kern w:val="0"/>
                <w:sz w:val="21"/>
                <w:szCs w:val="21"/>
                <w:lang w:val="en-US" w:eastAsia="en-US" w:bidi="ar-SA"/>
              </w:rPr>
              <w:t>4</w:t>
            </w:r>
          </w:p>
        </w:tc>
        <w:tc>
          <w:tcPr>
            <w:tcW w:w="1109" w:type="dxa"/>
            <w:vMerge w:val="restart"/>
            <w:noWrap w:val="0"/>
            <w:vAlign w:val="top"/>
          </w:tcPr>
          <w:p w14:paraId="5D9375AD">
            <w:pPr>
              <w:widowControl/>
              <w:kinsoku w:val="0"/>
              <w:autoSpaceDE w:val="0"/>
              <w:autoSpaceDN w:val="0"/>
              <w:adjustRightInd w:val="0"/>
              <w:snapToGrid w:val="0"/>
              <w:spacing w:line="327"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p w14:paraId="2B45175F">
            <w:pPr>
              <w:widowControl/>
              <w:kinsoku w:val="0"/>
              <w:autoSpaceDE w:val="0"/>
              <w:autoSpaceDN w:val="0"/>
              <w:adjustRightInd w:val="0"/>
              <w:snapToGrid w:val="0"/>
              <w:spacing w:line="328"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p w14:paraId="1123B2C4">
            <w:pPr>
              <w:kinsoku w:val="0"/>
              <w:autoSpaceDE w:val="0"/>
              <w:autoSpaceDN w:val="0"/>
              <w:adjustRightInd w:val="0"/>
              <w:snapToGrid w:val="0"/>
              <w:spacing w:before="68" w:line="220" w:lineRule="auto"/>
              <w:ind w:left="120"/>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spacing w:val="2"/>
                <w:kern w:val="0"/>
                <w:sz w:val="21"/>
                <w:szCs w:val="21"/>
                <w:lang w:val="en-US" w:eastAsia="en-US" w:bidi="ar-SA"/>
                <w14:textFill>
                  <w14:solidFill>
                    <w14:schemeClr w14:val="tx1"/>
                  </w14:solidFill>
                </w14:textFill>
              </w:rPr>
              <w:t>总体实施</w:t>
            </w:r>
          </w:p>
          <w:p w14:paraId="50298701">
            <w:pPr>
              <w:kinsoku w:val="0"/>
              <w:autoSpaceDE w:val="0"/>
              <w:autoSpaceDN w:val="0"/>
              <w:adjustRightInd w:val="0"/>
              <w:snapToGrid w:val="0"/>
              <w:spacing w:before="69" w:line="220" w:lineRule="auto"/>
              <w:ind w:left="330"/>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spacing w:val="-3"/>
                <w:kern w:val="0"/>
                <w:sz w:val="21"/>
                <w:szCs w:val="21"/>
                <w:lang w:val="en-US" w:eastAsia="en-US" w:bidi="ar-SA"/>
                <w14:textFill>
                  <w14:solidFill>
                    <w14:schemeClr w14:val="tx1"/>
                  </w14:solidFill>
                </w14:textFill>
              </w:rPr>
              <w:t>方案</w:t>
            </w:r>
          </w:p>
          <w:p w14:paraId="50CD0EDF">
            <w:pPr>
              <w:kinsoku w:val="0"/>
              <w:autoSpaceDE w:val="0"/>
              <w:autoSpaceDN w:val="0"/>
              <w:adjustRightInd w:val="0"/>
              <w:snapToGrid w:val="0"/>
              <w:spacing w:before="69" w:line="220" w:lineRule="auto"/>
              <w:ind w:left="231"/>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spacing w:val="9"/>
                <w:kern w:val="0"/>
                <w:sz w:val="21"/>
                <w:szCs w:val="21"/>
                <w:lang w:val="en-US" w:eastAsia="en-US" w:bidi="ar-SA"/>
                <w14:textFill>
                  <w14:solidFill>
                    <w14:schemeClr w14:val="tx1"/>
                  </w14:solidFill>
                </w14:textFill>
              </w:rPr>
              <w:t>(63分)</w:t>
            </w:r>
          </w:p>
        </w:tc>
        <w:tc>
          <w:tcPr>
            <w:tcW w:w="7132" w:type="dxa"/>
            <w:noWrap w:val="0"/>
            <w:vAlign w:val="top"/>
          </w:tcPr>
          <w:p w14:paraId="49B13230">
            <w:pPr>
              <w:kinsoku w:val="0"/>
              <w:autoSpaceDE w:val="0"/>
              <w:autoSpaceDN w:val="0"/>
              <w:adjustRightInd w:val="0"/>
              <w:snapToGrid w:val="0"/>
              <w:spacing w:before="65" w:line="253" w:lineRule="auto"/>
              <w:ind w:left="91" w:right="205" w:firstLine="9"/>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投标人对本项目桥梁的了解程度进行综合的评价</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方案</w:t>
            </w:r>
            <w:r>
              <w:rPr>
                <w:rFonts w:hint="eastAsia" w:ascii="宋体" w:hAnsi="宋体" w:eastAsia="宋体" w:cs="宋体"/>
                <w:b w:val="0"/>
                <w:bCs w:val="0"/>
                <w:snapToGrid w:val="0"/>
                <w:color w:val="000000" w:themeColor="text1"/>
                <w:spacing w:val="-1"/>
                <w:kern w:val="0"/>
                <w:sz w:val="21"/>
                <w:szCs w:val="21"/>
                <w:lang w:val="en-US" w:eastAsia="zh-CN" w:bidi="ar-SA"/>
                <w14:textFill>
                  <w14:solidFill>
                    <w14:schemeClr w14:val="tx1"/>
                  </w14:solidFill>
                </w14:textFill>
              </w:rPr>
              <w:t>（</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包括每座桥梁详细地</w:t>
            </w: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 xml:space="preserve"> 理位置图(导航软件的截图</w:t>
            </w: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w:t>
            </w: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、桥梁的基本信息</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资料、桥梁的技术状况情况</w:t>
            </w: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 xml:space="preserve">  </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等),本项最高得10分。</w:t>
            </w:r>
          </w:p>
        </w:tc>
        <w:tc>
          <w:tcPr>
            <w:tcW w:w="984" w:type="dxa"/>
            <w:noWrap w:val="0"/>
            <w:vAlign w:val="top"/>
          </w:tcPr>
          <w:p w14:paraId="227AC867">
            <w:pPr>
              <w:widowControl/>
              <w:kinsoku w:val="0"/>
              <w:autoSpaceDE w:val="0"/>
              <w:autoSpaceDN w:val="0"/>
              <w:adjustRightInd w:val="0"/>
              <w:snapToGrid w:val="0"/>
              <w:spacing w:line="307" w:lineRule="auto"/>
              <w:jc w:val="left"/>
              <w:textAlignment w:val="baseline"/>
              <w:rPr>
                <w:rFonts w:ascii="Arial" w:hAnsi="Arial" w:eastAsia="Arial" w:cs="Arial"/>
                <w:b w:val="0"/>
                <w:bCs w:val="0"/>
                <w:snapToGrid w:val="0"/>
                <w:kern w:val="0"/>
                <w:sz w:val="21"/>
                <w:lang w:eastAsia="en-US"/>
              </w:rPr>
            </w:pPr>
          </w:p>
          <w:p w14:paraId="2A57B34B">
            <w:pPr>
              <w:kinsoku w:val="0"/>
              <w:autoSpaceDE w:val="0"/>
              <w:autoSpaceDN w:val="0"/>
              <w:adjustRightInd w:val="0"/>
              <w:snapToGrid w:val="0"/>
              <w:spacing w:before="68" w:line="220" w:lineRule="auto"/>
              <w:ind w:left="16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2"/>
                <w:kern w:val="0"/>
                <w:sz w:val="21"/>
                <w:szCs w:val="21"/>
                <w:lang w:val="en-US" w:eastAsia="en-US" w:bidi="ar-SA"/>
              </w:rPr>
              <w:t>0-10分</w:t>
            </w:r>
          </w:p>
        </w:tc>
      </w:tr>
      <w:tr w14:paraId="3065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94" w:type="dxa"/>
            <w:vMerge w:val="continue"/>
            <w:noWrap w:val="0"/>
            <w:vAlign w:val="top"/>
          </w:tcPr>
          <w:p w14:paraId="625797E9">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noWrap w:val="0"/>
            <w:vAlign w:val="top"/>
          </w:tcPr>
          <w:p w14:paraId="3BA31ABF">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tc>
        <w:tc>
          <w:tcPr>
            <w:tcW w:w="7132" w:type="dxa"/>
            <w:noWrap w:val="0"/>
            <w:vAlign w:val="top"/>
          </w:tcPr>
          <w:p w14:paraId="16241E5B">
            <w:pPr>
              <w:kinsoku w:val="0"/>
              <w:autoSpaceDE w:val="0"/>
              <w:autoSpaceDN w:val="0"/>
              <w:adjustRightInd w:val="0"/>
              <w:snapToGrid w:val="0"/>
              <w:spacing w:before="66" w:line="214" w:lineRule="auto"/>
              <w:ind w:left="91"/>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投标人的组织结构、各项管理制度方案等进行阐述，本项</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最高得10分。</w:t>
            </w:r>
          </w:p>
        </w:tc>
        <w:tc>
          <w:tcPr>
            <w:tcW w:w="984" w:type="dxa"/>
            <w:noWrap w:val="0"/>
            <w:vAlign w:val="top"/>
          </w:tcPr>
          <w:p w14:paraId="7942F094">
            <w:pPr>
              <w:kinsoku w:val="0"/>
              <w:autoSpaceDE w:val="0"/>
              <w:autoSpaceDN w:val="0"/>
              <w:adjustRightInd w:val="0"/>
              <w:snapToGrid w:val="0"/>
              <w:spacing w:before="68" w:line="212" w:lineRule="auto"/>
              <w:ind w:left="16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2"/>
                <w:kern w:val="0"/>
                <w:sz w:val="21"/>
                <w:szCs w:val="21"/>
                <w:lang w:val="en-US" w:eastAsia="en-US" w:bidi="ar-SA"/>
              </w:rPr>
              <w:t>0-10分</w:t>
            </w:r>
          </w:p>
        </w:tc>
      </w:tr>
      <w:tr w14:paraId="089B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4" w:type="dxa"/>
            <w:vMerge w:val="continue"/>
            <w:noWrap w:val="0"/>
            <w:vAlign w:val="top"/>
          </w:tcPr>
          <w:p w14:paraId="22284181">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noWrap w:val="0"/>
            <w:vAlign w:val="top"/>
          </w:tcPr>
          <w:p w14:paraId="78D5F5A6">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tc>
        <w:tc>
          <w:tcPr>
            <w:tcW w:w="7132" w:type="dxa"/>
            <w:noWrap w:val="0"/>
            <w:vAlign w:val="top"/>
          </w:tcPr>
          <w:p w14:paraId="4AA55025">
            <w:pPr>
              <w:kinsoku w:val="0"/>
              <w:autoSpaceDE w:val="0"/>
              <w:autoSpaceDN w:val="0"/>
              <w:adjustRightInd w:val="0"/>
              <w:snapToGrid w:val="0"/>
              <w:spacing w:before="47" w:line="247" w:lineRule="auto"/>
              <w:ind w:left="91" w:right="299"/>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投标人对本项目实施的标准、检测程序、实施方案的阐述，本项最高得10</w:t>
            </w:r>
            <w:r>
              <w:rPr>
                <w:rFonts w:ascii="宋体" w:hAnsi="宋体" w:eastAsia="宋体" w:cs="宋体"/>
                <w:b w:val="0"/>
                <w:bCs w:val="0"/>
                <w:snapToGrid w:val="0"/>
                <w:color w:val="000000" w:themeColor="text1"/>
                <w:spacing w:val="9"/>
                <w:kern w:val="0"/>
                <w:sz w:val="21"/>
                <w:szCs w:val="21"/>
                <w:lang w:val="en-US" w:eastAsia="en-US" w:bidi="ar-SA"/>
                <w14:textFill>
                  <w14:solidFill>
                    <w14:schemeClr w14:val="tx1"/>
                  </w14:solidFill>
                </w14:textFill>
              </w:rPr>
              <w:t xml:space="preserve"> </w:t>
            </w:r>
            <w:r>
              <w:rPr>
                <w:rFonts w:ascii="宋体" w:hAnsi="宋体" w:eastAsia="宋体" w:cs="宋体"/>
                <w:b w:val="0"/>
                <w:bCs w:val="0"/>
                <w:snapToGrid w:val="0"/>
                <w:color w:val="000000" w:themeColor="text1"/>
                <w:spacing w:val="-2"/>
                <w:kern w:val="0"/>
                <w:sz w:val="21"/>
                <w:szCs w:val="21"/>
                <w:lang w:val="en-US" w:eastAsia="en-US" w:bidi="ar-SA"/>
                <w14:textFill>
                  <w14:solidFill>
                    <w14:schemeClr w14:val="tx1"/>
                  </w14:solidFill>
                </w14:textFill>
              </w:rPr>
              <w:t>分。</w:t>
            </w:r>
          </w:p>
        </w:tc>
        <w:tc>
          <w:tcPr>
            <w:tcW w:w="984" w:type="dxa"/>
            <w:noWrap w:val="0"/>
            <w:vAlign w:val="top"/>
          </w:tcPr>
          <w:p w14:paraId="2C581498">
            <w:pPr>
              <w:kinsoku w:val="0"/>
              <w:autoSpaceDE w:val="0"/>
              <w:autoSpaceDN w:val="0"/>
              <w:adjustRightInd w:val="0"/>
              <w:snapToGrid w:val="0"/>
              <w:spacing w:before="218" w:line="220" w:lineRule="auto"/>
              <w:ind w:left="16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2"/>
                <w:kern w:val="0"/>
                <w:sz w:val="21"/>
                <w:szCs w:val="21"/>
                <w:lang w:val="en-US" w:eastAsia="en-US" w:bidi="ar-SA"/>
              </w:rPr>
              <w:t>0-10分</w:t>
            </w:r>
          </w:p>
        </w:tc>
      </w:tr>
      <w:tr w14:paraId="0DCF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94" w:type="dxa"/>
            <w:vMerge w:val="continue"/>
            <w:noWrap w:val="0"/>
            <w:vAlign w:val="top"/>
          </w:tcPr>
          <w:p w14:paraId="1B8A5E4F">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noWrap w:val="0"/>
            <w:vAlign w:val="top"/>
          </w:tcPr>
          <w:p w14:paraId="50B201EE">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tc>
        <w:tc>
          <w:tcPr>
            <w:tcW w:w="7132" w:type="dxa"/>
            <w:noWrap w:val="0"/>
            <w:vAlign w:val="top"/>
          </w:tcPr>
          <w:p w14:paraId="0364E300">
            <w:pPr>
              <w:kinsoku w:val="0"/>
              <w:autoSpaceDE w:val="0"/>
              <w:autoSpaceDN w:val="0"/>
              <w:adjustRightInd w:val="0"/>
              <w:snapToGrid w:val="0"/>
              <w:spacing w:before="87" w:line="219" w:lineRule="auto"/>
              <w:ind w:left="91"/>
              <w:jc w:val="left"/>
              <w:textAlignment w:val="baseline"/>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pP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投标人对本项目检测的重点、要点、难点的阐述，本项最</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高得10分。</w:t>
            </w:r>
          </w:p>
        </w:tc>
        <w:tc>
          <w:tcPr>
            <w:tcW w:w="984" w:type="dxa"/>
            <w:noWrap w:val="0"/>
            <w:vAlign w:val="top"/>
          </w:tcPr>
          <w:p w14:paraId="5890A432">
            <w:pPr>
              <w:kinsoku w:val="0"/>
              <w:autoSpaceDE w:val="0"/>
              <w:autoSpaceDN w:val="0"/>
              <w:adjustRightInd w:val="0"/>
              <w:snapToGrid w:val="0"/>
              <w:spacing w:before="89" w:line="220" w:lineRule="auto"/>
              <w:ind w:left="169"/>
              <w:jc w:val="left"/>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b w:val="0"/>
                <w:bCs w:val="0"/>
                <w:snapToGrid w:val="0"/>
                <w:color w:val="000000"/>
                <w:spacing w:val="-2"/>
                <w:kern w:val="0"/>
                <w:sz w:val="21"/>
                <w:szCs w:val="21"/>
                <w:lang w:val="en-US" w:eastAsia="en-US" w:bidi="ar-SA"/>
              </w:rPr>
              <w:t>0-10分</w:t>
            </w:r>
          </w:p>
        </w:tc>
      </w:tr>
      <w:tr w14:paraId="62E6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94" w:type="dxa"/>
            <w:vMerge w:val="continue"/>
            <w:noWrap w:val="0"/>
            <w:vAlign w:val="top"/>
          </w:tcPr>
          <w:p w14:paraId="14936C59">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noWrap w:val="0"/>
            <w:vAlign w:val="top"/>
          </w:tcPr>
          <w:p w14:paraId="2A1394B7">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tc>
        <w:tc>
          <w:tcPr>
            <w:tcW w:w="7132" w:type="dxa"/>
            <w:noWrap w:val="0"/>
            <w:vAlign w:val="top"/>
          </w:tcPr>
          <w:p w14:paraId="3607B91B">
            <w:pPr>
              <w:kinsoku w:val="0"/>
              <w:autoSpaceDE w:val="0"/>
              <w:autoSpaceDN w:val="0"/>
              <w:adjustRightInd w:val="0"/>
              <w:snapToGrid w:val="0"/>
              <w:spacing w:before="43" w:line="239" w:lineRule="auto"/>
              <w:ind w:left="102" w:leftChars="0"/>
              <w:jc w:val="left"/>
              <w:textAlignment w:val="baseline"/>
              <w:rPr>
                <w:rFonts w:ascii="宋体" w:hAnsi="宋体" w:eastAsia="宋体" w:cs="宋体"/>
                <w:b w:val="0"/>
                <w:bCs w:val="0"/>
                <w:snapToGrid w:val="0"/>
                <w:color w:val="000000" w:themeColor="text1"/>
                <w:kern w:val="0"/>
                <w:sz w:val="22"/>
                <w:szCs w:val="22"/>
                <w:lang w:val="en-US" w:eastAsia="en-US" w:bidi="ar-SA"/>
                <w14:textFill>
                  <w14:solidFill>
                    <w14:schemeClr w14:val="tx1"/>
                  </w14:solidFill>
                </w14:textFill>
              </w:rPr>
            </w:pPr>
            <w:r>
              <w:rPr>
                <w:rFonts w:ascii="宋体" w:hAnsi="宋体" w:eastAsia="宋体" w:cs="宋体"/>
                <w:b w:val="0"/>
                <w:bCs w:val="0"/>
                <w:snapToGrid w:val="0"/>
                <w:color w:val="000000" w:themeColor="text1"/>
                <w:spacing w:val="-8"/>
                <w:kern w:val="0"/>
                <w:sz w:val="22"/>
                <w:szCs w:val="22"/>
                <w:lang w:val="en-US" w:eastAsia="en-US" w:bidi="ar-SA"/>
                <w14:textFill>
                  <w14:solidFill>
                    <w14:schemeClr w14:val="tx1"/>
                  </w14:solidFill>
                </w14:textFill>
              </w:rPr>
              <w:t>投标人对本项目质量控制手段、安全、文明保证措施的阐述，本项最高得10</w:t>
            </w:r>
            <w:r>
              <w:rPr>
                <w:rFonts w:ascii="宋体" w:hAnsi="宋体" w:eastAsia="宋体" w:cs="宋体"/>
                <w:b w:val="0"/>
                <w:bCs w:val="0"/>
                <w:snapToGrid w:val="0"/>
                <w:color w:val="000000" w:themeColor="text1"/>
                <w:spacing w:val="-1"/>
                <w:kern w:val="0"/>
                <w:sz w:val="22"/>
                <w:szCs w:val="22"/>
                <w:lang w:val="en-US" w:eastAsia="en-US" w:bidi="ar-SA"/>
                <w14:textFill>
                  <w14:solidFill>
                    <w14:schemeClr w14:val="tx1"/>
                  </w14:solidFill>
                </w14:textFill>
              </w:rPr>
              <w:t>分。</w:t>
            </w:r>
          </w:p>
        </w:tc>
        <w:tc>
          <w:tcPr>
            <w:tcW w:w="984" w:type="dxa"/>
            <w:noWrap w:val="0"/>
            <w:vAlign w:val="top"/>
          </w:tcPr>
          <w:p w14:paraId="0610A513">
            <w:pPr>
              <w:kinsoku w:val="0"/>
              <w:autoSpaceDE w:val="0"/>
              <w:autoSpaceDN w:val="0"/>
              <w:adjustRightInd w:val="0"/>
              <w:snapToGrid w:val="0"/>
              <w:spacing w:before="204" w:line="220" w:lineRule="auto"/>
              <w:ind w:left="159" w:leftChars="0"/>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3"/>
                <w:kern w:val="0"/>
                <w:sz w:val="22"/>
                <w:szCs w:val="22"/>
                <w:lang w:val="en-US" w:eastAsia="en-US" w:bidi="ar-SA"/>
              </w:rPr>
              <w:t>0-10分</w:t>
            </w:r>
          </w:p>
        </w:tc>
      </w:tr>
      <w:tr w14:paraId="74FA4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94" w:type="dxa"/>
            <w:vMerge w:val="continue"/>
            <w:noWrap w:val="0"/>
            <w:vAlign w:val="top"/>
          </w:tcPr>
          <w:p w14:paraId="4B11DF08">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noWrap w:val="0"/>
            <w:vAlign w:val="top"/>
          </w:tcPr>
          <w:p w14:paraId="24DBCD68">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tc>
        <w:tc>
          <w:tcPr>
            <w:tcW w:w="7132" w:type="dxa"/>
            <w:noWrap w:val="0"/>
            <w:vAlign w:val="top"/>
          </w:tcPr>
          <w:p w14:paraId="18D4C3B2">
            <w:pPr>
              <w:kinsoku w:val="0"/>
              <w:autoSpaceDE w:val="0"/>
              <w:autoSpaceDN w:val="0"/>
              <w:adjustRightInd w:val="0"/>
              <w:snapToGrid w:val="0"/>
              <w:spacing w:before="41" w:line="242" w:lineRule="auto"/>
              <w:ind w:left="101" w:leftChars="0" w:hanging="9" w:firstLineChars="0"/>
              <w:jc w:val="left"/>
              <w:textAlignment w:val="baseline"/>
              <w:rPr>
                <w:rFonts w:ascii="宋体" w:hAnsi="宋体" w:eastAsia="宋体" w:cs="宋体"/>
                <w:b w:val="0"/>
                <w:bCs w:val="0"/>
                <w:snapToGrid w:val="0"/>
                <w:color w:val="000000" w:themeColor="text1"/>
                <w:kern w:val="0"/>
                <w:sz w:val="22"/>
                <w:szCs w:val="22"/>
                <w:lang w:val="en-US" w:eastAsia="en-US" w:bidi="ar-SA"/>
                <w14:textFill>
                  <w14:solidFill>
                    <w14:schemeClr w14:val="tx1"/>
                  </w14:solidFill>
                </w14:textFill>
              </w:rPr>
            </w:pPr>
            <w:r>
              <w:rPr>
                <w:rFonts w:ascii="宋体" w:hAnsi="宋体" w:eastAsia="宋体" w:cs="宋体"/>
                <w:b w:val="0"/>
                <w:bCs w:val="0"/>
                <w:snapToGrid w:val="0"/>
                <w:color w:val="000000" w:themeColor="text1"/>
                <w:spacing w:val="-8"/>
                <w:kern w:val="0"/>
                <w:sz w:val="22"/>
                <w:szCs w:val="22"/>
                <w:lang w:val="en-US" w:eastAsia="en-US" w:bidi="ar-SA"/>
                <w14:textFill>
                  <w14:solidFill>
                    <w14:schemeClr w14:val="tx1"/>
                  </w14:solidFill>
                </w14:textFill>
              </w:rPr>
              <w:t>投标人对本项目交通组织措施、环境保护措施、应急保证措施的阐述。本项</w:t>
            </w:r>
            <w:r>
              <w:rPr>
                <w:rFonts w:ascii="宋体" w:hAnsi="宋体" w:eastAsia="宋体" w:cs="宋体"/>
                <w:b w:val="0"/>
                <w:bCs w:val="0"/>
                <w:snapToGrid w:val="0"/>
                <w:color w:val="000000" w:themeColor="text1"/>
                <w:spacing w:val="-1"/>
                <w:kern w:val="0"/>
                <w:sz w:val="22"/>
                <w:szCs w:val="22"/>
                <w:lang w:val="en-US" w:eastAsia="en-US" w:bidi="ar-SA"/>
                <w14:textFill>
                  <w14:solidFill>
                    <w14:schemeClr w14:val="tx1"/>
                  </w14:solidFill>
                </w14:textFill>
              </w:rPr>
              <w:t>最高的10分。</w:t>
            </w:r>
          </w:p>
        </w:tc>
        <w:tc>
          <w:tcPr>
            <w:tcW w:w="984" w:type="dxa"/>
            <w:noWrap w:val="0"/>
            <w:vAlign w:val="top"/>
          </w:tcPr>
          <w:p w14:paraId="4AC5B430">
            <w:pPr>
              <w:kinsoku w:val="0"/>
              <w:autoSpaceDE w:val="0"/>
              <w:autoSpaceDN w:val="0"/>
              <w:adjustRightInd w:val="0"/>
              <w:snapToGrid w:val="0"/>
              <w:spacing w:before="211" w:line="220" w:lineRule="auto"/>
              <w:ind w:left="159" w:leftChars="0"/>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3"/>
                <w:kern w:val="0"/>
                <w:sz w:val="22"/>
                <w:szCs w:val="22"/>
                <w:lang w:val="en-US" w:eastAsia="en-US" w:bidi="ar-SA"/>
              </w:rPr>
              <w:t>0-10分</w:t>
            </w:r>
          </w:p>
        </w:tc>
      </w:tr>
      <w:tr w14:paraId="7C1B0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94" w:type="dxa"/>
            <w:vMerge w:val="continue"/>
            <w:noWrap w:val="0"/>
            <w:vAlign w:val="top"/>
          </w:tcPr>
          <w:p w14:paraId="07A477BD">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kern w:val="0"/>
                <w:sz w:val="21"/>
                <w:lang w:eastAsia="en-US"/>
              </w:rPr>
            </w:pPr>
          </w:p>
        </w:tc>
        <w:tc>
          <w:tcPr>
            <w:tcW w:w="1109" w:type="dxa"/>
            <w:vMerge w:val="continue"/>
            <w:noWrap w:val="0"/>
            <w:vAlign w:val="top"/>
          </w:tcPr>
          <w:p w14:paraId="2999513D">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themeColor="text1"/>
                <w:kern w:val="0"/>
                <w:sz w:val="21"/>
                <w:lang w:eastAsia="en-US"/>
                <w14:textFill>
                  <w14:solidFill>
                    <w14:schemeClr w14:val="tx1"/>
                  </w14:solidFill>
                </w14:textFill>
              </w:rPr>
            </w:pPr>
          </w:p>
        </w:tc>
        <w:tc>
          <w:tcPr>
            <w:tcW w:w="7132" w:type="dxa"/>
            <w:noWrap w:val="0"/>
            <w:vAlign w:val="top"/>
          </w:tcPr>
          <w:p w14:paraId="4549F7F1">
            <w:pPr>
              <w:spacing w:line="360" w:lineRule="auto"/>
              <w:rPr>
                <w:rFonts w:ascii="宋体" w:hAnsi="宋体" w:eastAsia="宋体" w:cs="宋体"/>
                <w:b w:val="0"/>
                <w:bCs w:val="0"/>
                <w:snapToGrid w:val="0"/>
                <w:color w:val="000000" w:themeColor="text1"/>
                <w:spacing w:val="-1"/>
                <w:kern w:val="0"/>
                <w:sz w:val="22"/>
                <w:szCs w:val="22"/>
                <w:lang w:val="en-US" w:eastAsia="en-US"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根据拟投入</w:t>
            </w:r>
            <w:r>
              <w:rPr>
                <w:rFonts w:hint="eastAsia" w:ascii="宋体" w:hAnsi="宋体" w:cs="宋体"/>
                <w:color w:val="000000" w:themeColor="text1"/>
                <w:kern w:val="0"/>
                <w:sz w:val="21"/>
                <w:szCs w:val="21"/>
                <w:lang w:val="en-US" w:eastAsia="zh-CN" w:bidi="ar-SA"/>
                <w14:textFill>
                  <w14:solidFill>
                    <w14:schemeClr w14:val="tx1"/>
                  </w14:solidFill>
                </w14:textFill>
              </w:rPr>
              <w:t>与</w:t>
            </w: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道路、桥梁</w:t>
            </w:r>
            <w:r>
              <w:rPr>
                <w:rFonts w:hint="eastAsia" w:ascii="宋体" w:hAnsi="宋体" w:eastAsia="宋体" w:cs="宋体"/>
                <w:b w:val="0"/>
                <w:bCs w:val="0"/>
                <w:snapToGrid w:val="0"/>
                <w:color w:val="000000" w:themeColor="text1"/>
                <w:kern w:val="0"/>
                <w:sz w:val="21"/>
                <w:szCs w:val="21"/>
                <w:lang w:val="en-US" w:eastAsia="zh-CN" w:bidi="ar-SA"/>
                <w14:textFill>
                  <w14:solidFill>
                    <w14:schemeClr w14:val="tx1"/>
                  </w14:solidFill>
                </w14:textFill>
              </w:rPr>
              <w:t>、隧道</w:t>
            </w:r>
            <w:r>
              <w:rPr>
                <w:rFonts w:ascii="宋体" w:hAnsi="宋体" w:eastAsia="宋体" w:cs="宋体"/>
                <w:b w:val="0"/>
                <w:bCs w:val="0"/>
                <w:snapToGrid w:val="0"/>
                <w:color w:val="000000" w:themeColor="text1"/>
                <w:kern w:val="0"/>
                <w:sz w:val="21"/>
                <w:szCs w:val="21"/>
                <w:lang w:val="en-US" w:eastAsia="en-US" w:bidi="ar-SA"/>
                <w14:textFill>
                  <w14:solidFill>
                    <w14:schemeClr w14:val="tx1"/>
                  </w14:solidFill>
                </w14:textFill>
              </w:rPr>
              <w:t>检</w:t>
            </w:r>
            <w:r>
              <w:rPr>
                <w:rFonts w:ascii="宋体" w:hAnsi="宋体" w:eastAsia="宋体" w:cs="宋体"/>
                <w:b w:val="0"/>
                <w:bCs w:val="0"/>
                <w:snapToGrid w:val="0"/>
                <w:color w:val="000000" w:themeColor="text1"/>
                <w:spacing w:val="-1"/>
                <w:kern w:val="0"/>
                <w:sz w:val="21"/>
                <w:szCs w:val="21"/>
                <w:lang w:val="en-US" w:eastAsia="en-US" w:bidi="ar-SA"/>
                <w14:textFill>
                  <w14:solidFill>
                    <w14:schemeClr w14:val="tx1"/>
                  </w14:solidFill>
                </w14:textFill>
              </w:rPr>
              <w:t>测</w:t>
            </w:r>
            <w:r>
              <w:rPr>
                <w:rFonts w:hint="eastAsia" w:ascii="宋体" w:hAnsi="宋体" w:eastAsia="宋体" w:cs="宋体"/>
                <w:color w:val="000000" w:themeColor="text1"/>
                <w:kern w:val="0"/>
                <w:sz w:val="21"/>
                <w:szCs w:val="21"/>
                <w:lang w:val="en-US" w:eastAsia="zh-CN" w:bidi="ar-SA"/>
                <w14:textFill>
                  <w14:solidFill>
                    <w14:schemeClr w14:val="tx1"/>
                  </w14:solidFill>
                </w14:textFill>
              </w:rPr>
              <w:t>的检测仪器、有关设备的数量、种类、质量及先进性等进行打分</w:t>
            </w:r>
            <w:r>
              <w:rPr>
                <w:rFonts w:hint="eastAsia" w:ascii="宋体" w:hAnsi="宋体" w:cs="宋体"/>
                <w:color w:val="000000" w:themeColor="text1"/>
                <w:kern w:val="0"/>
                <w:sz w:val="21"/>
                <w:szCs w:val="21"/>
                <w:lang w:val="en-US" w:eastAsia="zh-CN" w:bidi="ar-SA"/>
                <w14:textFill>
                  <w14:solidFill>
                    <w14:schemeClr w14:val="tx1"/>
                  </w14:solidFill>
                </w14:textFill>
              </w:rPr>
              <w:t>(如</w:t>
            </w:r>
            <w:r>
              <w:rPr>
                <w:rFonts w:ascii="宋体" w:hAnsi="宋体" w:eastAsia="宋体" w:cs="宋体"/>
                <w:b w:val="0"/>
                <w:bCs w:val="0"/>
                <w:snapToGrid w:val="0"/>
                <w:color w:val="000000" w:themeColor="text1"/>
                <w:spacing w:val="-2"/>
                <w:kern w:val="0"/>
                <w:sz w:val="22"/>
                <w:szCs w:val="22"/>
                <w:lang w:val="en-US" w:eastAsia="en-US" w:bidi="ar-SA"/>
                <w14:textFill>
                  <w14:solidFill>
                    <w14:schemeClr w14:val="tx1"/>
                  </w14:solidFill>
                </w14:textFill>
              </w:rPr>
              <w:t>无线潜望</w:t>
            </w:r>
            <w:r>
              <w:rPr>
                <w:rFonts w:hint="eastAsia" w:ascii="宋体" w:hAnsi="宋体" w:cs="宋体"/>
                <w:b w:val="0"/>
                <w:bCs w:val="0"/>
                <w:snapToGrid w:val="0"/>
                <w:color w:val="000000" w:themeColor="text1"/>
                <w:spacing w:val="-2"/>
                <w:kern w:val="0"/>
                <w:sz w:val="22"/>
                <w:szCs w:val="22"/>
                <w:lang w:val="en-US" w:eastAsia="zh-CN" w:bidi="ar-SA"/>
                <w14:textFill>
                  <w14:solidFill>
                    <w14:schemeClr w14:val="tx1"/>
                  </w14:solidFill>
                </w14:textFill>
              </w:rPr>
              <w:t>镜、</w:t>
            </w:r>
            <w:r>
              <w:rPr>
                <w:rFonts w:ascii="宋体" w:hAnsi="宋体" w:eastAsia="宋体" w:cs="宋体"/>
                <w:b w:val="0"/>
                <w:bCs w:val="0"/>
                <w:snapToGrid w:val="0"/>
                <w:color w:val="000000" w:themeColor="text1"/>
                <w:spacing w:val="2"/>
                <w:kern w:val="0"/>
                <w:sz w:val="22"/>
                <w:szCs w:val="22"/>
                <w:lang w:val="en-US" w:eastAsia="en-US" w:bidi="ar-SA"/>
                <w14:textFill>
                  <w14:solidFill>
                    <w14:schemeClr w14:val="tx1"/>
                  </w14:solidFill>
                </w14:textFill>
              </w:rPr>
              <w:t>探地雷达</w:t>
            </w:r>
            <w:r>
              <w:rPr>
                <w:rFonts w:hint="eastAsia" w:ascii="宋体" w:hAnsi="宋体" w:cs="宋体"/>
                <w:b w:val="0"/>
                <w:bCs w:val="0"/>
                <w:snapToGrid w:val="0"/>
                <w:color w:val="000000" w:themeColor="text1"/>
                <w:spacing w:val="2"/>
                <w:kern w:val="0"/>
                <w:sz w:val="22"/>
                <w:szCs w:val="22"/>
                <w:lang w:val="en-US" w:eastAsia="zh-CN" w:bidi="ar-SA"/>
                <w14:textFill>
                  <w14:solidFill>
                    <w14:schemeClr w14:val="tx1"/>
                  </w14:solidFill>
                </w14:textFill>
              </w:rPr>
              <w:t>、</w:t>
            </w:r>
            <w:r>
              <w:rPr>
                <w:rFonts w:hint="eastAsia" w:ascii="Calibri" w:hAnsi="Calibri"/>
                <w:color w:val="000000" w:themeColor="text1"/>
                <w:szCs w:val="21"/>
                <w:highlight w:val="none"/>
                <w14:textFill>
                  <w14:solidFill>
                    <w14:schemeClr w14:val="tx1"/>
                  </w14:solidFill>
                </w14:textFill>
              </w:rPr>
              <w:t>非金属超声波检测仪</w:t>
            </w:r>
            <w:r>
              <w:rPr>
                <w:rFonts w:hint="eastAsia" w:ascii="Calibri" w:hAnsi="Calibri"/>
                <w:color w:val="000000" w:themeColor="text1"/>
                <w:szCs w:val="21"/>
                <w:highlight w:val="none"/>
                <w:lang w:eastAsia="zh-CN"/>
                <w14:textFill>
                  <w14:solidFill>
                    <w14:schemeClr w14:val="tx1"/>
                  </w14:solidFill>
                </w14:textFill>
              </w:rPr>
              <w:t>、</w:t>
            </w:r>
            <w:r>
              <w:rPr>
                <w:rFonts w:hint="eastAsia" w:ascii="Calibri" w:hAnsi="Calibri"/>
                <w:color w:val="000000" w:themeColor="text1"/>
                <w:szCs w:val="21"/>
                <w:highlight w:val="none"/>
                <w14:textFill>
                  <w14:solidFill>
                    <w14:schemeClr w14:val="tx1"/>
                  </w14:solidFill>
                </w14:textFill>
              </w:rPr>
              <w:t>激光平整度仪</w:t>
            </w:r>
            <w:r>
              <w:rPr>
                <w:rFonts w:hint="eastAsia" w:ascii="Calibri" w:hAnsi="Calibri"/>
                <w:color w:val="000000" w:themeColor="text1"/>
                <w:szCs w:val="21"/>
                <w:highlight w:val="none"/>
                <w:lang w:eastAsia="zh-CN"/>
                <w14:textFill>
                  <w14:solidFill>
                    <w14:schemeClr w14:val="tx1"/>
                  </w14:solidFill>
                </w14:textFill>
              </w:rPr>
              <w:t>等相关设备）</w:t>
            </w:r>
            <w:r>
              <w:rPr>
                <w:rFonts w:hint="eastAsia" w:ascii="宋体" w:hAnsi="宋体" w:eastAsia="宋体" w:cs="宋体"/>
                <w:color w:val="000000" w:themeColor="text1"/>
                <w:kern w:val="0"/>
                <w:sz w:val="21"/>
                <w:szCs w:val="21"/>
                <w:lang w:val="en-US" w:eastAsia="zh-CN" w:bidi="ar-SA"/>
                <w14:textFill>
                  <w14:solidFill>
                    <w14:schemeClr w14:val="tx1"/>
                  </w14:solidFill>
                </w14:textFill>
              </w:rPr>
              <w:t>。</w:t>
            </w:r>
            <w:r>
              <w:rPr>
                <w:rFonts w:ascii="宋体" w:hAnsi="宋体" w:eastAsia="宋体" w:cs="宋体"/>
                <w:b w:val="0"/>
                <w:bCs w:val="0"/>
                <w:snapToGrid w:val="0"/>
                <w:color w:val="000000" w:themeColor="text1"/>
                <w:spacing w:val="-8"/>
                <w:kern w:val="0"/>
                <w:sz w:val="22"/>
                <w:szCs w:val="22"/>
                <w:lang w:val="en-US" w:eastAsia="en-US" w:bidi="ar-SA"/>
                <w14:textFill>
                  <w14:solidFill>
                    <w14:schemeClr w14:val="tx1"/>
                  </w14:solidFill>
                </w14:textFill>
              </w:rPr>
              <w:t>本项</w:t>
            </w:r>
            <w:r>
              <w:rPr>
                <w:rFonts w:ascii="宋体" w:hAnsi="宋体" w:eastAsia="宋体" w:cs="宋体"/>
                <w:b w:val="0"/>
                <w:bCs w:val="0"/>
                <w:snapToGrid w:val="0"/>
                <w:color w:val="000000" w:themeColor="text1"/>
                <w:spacing w:val="-1"/>
                <w:kern w:val="0"/>
                <w:sz w:val="22"/>
                <w:szCs w:val="22"/>
                <w:lang w:val="en-US" w:eastAsia="en-US" w:bidi="ar-SA"/>
                <w14:textFill>
                  <w14:solidFill>
                    <w14:schemeClr w14:val="tx1"/>
                  </w14:solidFill>
                </w14:textFill>
              </w:rPr>
              <w:t>最高的</w:t>
            </w:r>
            <w:r>
              <w:rPr>
                <w:rFonts w:hint="eastAsia" w:ascii="宋体" w:hAnsi="宋体" w:eastAsia="宋体" w:cs="宋体"/>
                <w:b w:val="0"/>
                <w:bCs w:val="0"/>
                <w:snapToGrid w:val="0"/>
                <w:color w:val="000000" w:themeColor="text1"/>
                <w:spacing w:val="-1"/>
                <w:kern w:val="0"/>
                <w:sz w:val="22"/>
                <w:szCs w:val="22"/>
                <w:lang w:val="en-US" w:eastAsia="zh-CN" w:bidi="ar-SA"/>
                <w14:textFill>
                  <w14:solidFill>
                    <w14:schemeClr w14:val="tx1"/>
                  </w14:solidFill>
                </w14:textFill>
              </w:rPr>
              <w:t>3</w:t>
            </w:r>
            <w:r>
              <w:rPr>
                <w:rFonts w:ascii="宋体" w:hAnsi="宋体" w:eastAsia="宋体" w:cs="宋体"/>
                <w:b w:val="0"/>
                <w:bCs w:val="0"/>
                <w:snapToGrid w:val="0"/>
                <w:color w:val="000000" w:themeColor="text1"/>
                <w:spacing w:val="-1"/>
                <w:kern w:val="0"/>
                <w:sz w:val="22"/>
                <w:szCs w:val="22"/>
                <w:lang w:val="en-US" w:eastAsia="en-US" w:bidi="ar-SA"/>
                <w14:textFill>
                  <w14:solidFill>
                    <w14:schemeClr w14:val="tx1"/>
                  </w14:solidFill>
                </w14:textFill>
              </w:rPr>
              <w:t>分。</w:t>
            </w:r>
          </w:p>
          <w:p w14:paraId="18A39140">
            <w:pPr>
              <w:pStyle w:val="2"/>
              <w:ind w:left="0" w:leftChars="0" w:firstLine="0" w:firstLineChars="0"/>
              <w:rPr>
                <w:color w:val="000000" w:themeColor="text1"/>
                <w:lang w:val="en-US" w:eastAsia="en-US"/>
                <w14:textFill>
                  <w14:solidFill>
                    <w14:schemeClr w14:val="tx1"/>
                  </w14:solidFill>
                </w14:textFill>
              </w:rPr>
            </w:pPr>
            <w:r>
              <w:rPr>
                <w:rFonts w:ascii="宋体" w:hAnsi="宋体" w:eastAsia="宋体" w:cs="宋体"/>
                <w:b w:val="0"/>
                <w:bCs w:val="0"/>
                <w:snapToGrid w:val="0"/>
                <w:color w:val="000000" w:themeColor="text1"/>
                <w:spacing w:val="2"/>
                <w:kern w:val="0"/>
                <w:sz w:val="22"/>
                <w:szCs w:val="22"/>
                <w:lang w:val="en-US" w:eastAsia="en-US" w:bidi="ar-SA"/>
                <w14:textFill>
                  <w14:solidFill>
                    <w14:schemeClr w14:val="tx1"/>
                  </w14:solidFill>
                </w14:textFill>
              </w:rPr>
              <w:t>(</w:t>
            </w:r>
            <w:r>
              <w:rPr>
                <w:rFonts w:hint="eastAsia" w:ascii="宋体" w:hAnsi="宋体" w:eastAsia="宋体" w:cs="宋体"/>
                <w:color w:val="000000" w:themeColor="text1"/>
                <w:kern w:val="0"/>
                <w:sz w:val="21"/>
                <w:szCs w:val="21"/>
                <w:lang w:val="en-US" w:eastAsia="zh-CN" w:bidi="ar-SA"/>
                <w14:textFill>
                  <w14:solidFill>
                    <w14:schemeClr w14:val="tx1"/>
                  </w14:solidFill>
                </w14:textFill>
              </w:rPr>
              <w:t>投入的检测仪器、有关设备须</w:t>
            </w:r>
            <w:r>
              <w:rPr>
                <w:rFonts w:ascii="宋体" w:hAnsi="宋体" w:eastAsia="宋体" w:cs="宋体"/>
                <w:b w:val="0"/>
                <w:bCs w:val="0"/>
                <w:snapToGrid w:val="0"/>
                <w:color w:val="000000" w:themeColor="text1"/>
                <w:spacing w:val="2"/>
                <w:kern w:val="0"/>
                <w:sz w:val="22"/>
                <w:szCs w:val="22"/>
                <w:lang w:val="en-US" w:eastAsia="en-US" w:bidi="ar-SA"/>
                <w14:textFill>
                  <w14:solidFill>
                    <w14:schemeClr w14:val="tx1"/>
                  </w14:solidFill>
                </w14:textFill>
              </w:rPr>
              <w:t>提供发票或购置合同扫描件加盖公章)</w:t>
            </w:r>
          </w:p>
        </w:tc>
        <w:tc>
          <w:tcPr>
            <w:tcW w:w="984" w:type="dxa"/>
            <w:noWrap w:val="0"/>
            <w:vAlign w:val="top"/>
          </w:tcPr>
          <w:p w14:paraId="07AC80FA">
            <w:pPr>
              <w:kinsoku w:val="0"/>
              <w:autoSpaceDE w:val="0"/>
              <w:autoSpaceDN w:val="0"/>
              <w:adjustRightInd w:val="0"/>
              <w:snapToGrid w:val="0"/>
              <w:spacing w:before="71" w:line="220" w:lineRule="auto"/>
              <w:ind w:left="219" w:leftChars="0"/>
              <w:jc w:val="left"/>
              <w:textAlignment w:val="baseline"/>
              <w:rPr>
                <w:rFonts w:ascii="宋体" w:hAnsi="宋体" w:eastAsia="宋体" w:cs="宋体"/>
                <w:b w:val="0"/>
                <w:bCs w:val="0"/>
                <w:snapToGrid w:val="0"/>
                <w:color w:val="000000"/>
                <w:kern w:val="0"/>
                <w:sz w:val="22"/>
                <w:szCs w:val="22"/>
                <w:lang w:val="en-US" w:eastAsia="en-US" w:bidi="ar-SA"/>
              </w:rPr>
            </w:pPr>
            <w:r>
              <w:rPr>
                <w:rFonts w:ascii="宋体" w:hAnsi="宋体" w:eastAsia="宋体" w:cs="宋体"/>
                <w:b w:val="0"/>
                <w:bCs w:val="0"/>
                <w:snapToGrid w:val="0"/>
                <w:color w:val="000000"/>
                <w:spacing w:val="-3"/>
                <w:kern w:val="0"/>
                <w:sz w:val="22"/>
                <w:szCs w:val="22"/>
                <w:lang w:val="en-US" w:eastAsia="en-US" w:bidi="ar-SA"/>
              </w:rPr>
              <w:t>0-3分</w:t>
            </w:r>
          </w:p>
        </w:tc>
      </w:tr>
      <w:tr w14:paraId="7EE21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819" w:type="dxa"/>
            <w:gridSpan w:val="4"/>
            <w:noWrap w:val="0"/>
            <w:vAlign w:val="top"/>
          </w:tcPr>
          <w:p w14:paraId="6DA76713">
            <w:pPr>
              <w:kinsoku w:val="0"/>
              <w:autoSpaceDE w:val="0"/>
              <w:autoSpaceDN w:val="0"/>
              <w:adjustRightInd w:val="0"/>
              <w:snapToGrid w:val="0"/>
              <w:spacing w:before="71" w:line="220" w:lineRule="auto"/>
              <w:ind w:left="219" w:leftChars="0"/>
              <w:jc w:val="left"/>
              <w:textAlignment w:val="baseline"/>
              <w:rPr>
                <w:rFonts w:ascii="宋体" w:hAnsi="宋体" w:eastAsia="宋体" w:cs="宋体"/>
                <w:b w:val="0"/>
                <w:bCs w:val="0"/>
                <w:snapToGrid w:val="0"/>
                <w:color w:val="000000"/>
                <w:spacing w:val="-3"/>
                <w:kern w:val="0"/>
                <w:sz w:val="22"/>
                <w:szCs w:val="22"/>
                <w:lang w:val="en-US" w:eastAsia="en-US" w:bidi="ar-SA"/>
              </w:rPr>
            </w:pPr>
            <w:r>
              <w:rPr>
                <w:rFonts w:hint="eastAsia" w:ascii="新宋体" w:hAnsi="新宋体" w:eastAsia="新宋体" w:cs="新宋体"/>
                <w:b/>
                <w:bCs/>
                <w:color w:val="auto"/>
                <w:kern w:val="0"/>
                <w:sz w:val="22"/>
                <w:szCs w:val="22"/>
                <w:highlight w:val="none"/>
                <w:lang w:val="en-US" w:eastAsia="zh-CN" w:bidi="ar-SA"/>
              </w:rPr>
              <w:t>（二）报价分的评定(10分）</w:t>
            </w:r>
          </w:p>
        </w:tc>
      </w:tr>
      <w:tr w14:paraId="155D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94" w:type="dxa"/>
            <w:noWrap w:val="0"/>
            <w:vAlign w:val="center"/>
          </w:tcPr>
          <w:p w14:paraId="3F627155">
            <w:pPr>
              <w:widowControl/>
              <w:kinsoku w:val="0"/>
              <w:autoSpaceDE w:val="0"/>
              <w:autoSpaceDN w:val="0"/>
              <w:adjustRightInd w:val="0"/>
              <w:snapToGrid w:val="0"/>
              <w:spacing w:line="240" w:lineRule="auto"/>
              <w:jc w:val="center"/>
              <w:textAlignment w:val="baseline"/>
              <w:rPr>
                <w:rFonts w:hint="eastAsia" w:ascii="Arial" w:hAnsi="Arial" w:eastAsia="宋体" w:cs="Arial"/>
                <w:b w:val="0"/>
                <w:bCs w:val="0"/>
                <w:snapToGrid w:val="0"/>
                <w:kern w:val="0"/>
                <w:sz w:val="21"/>
                <w:lang w:val="en-US" w:eastAsia="zh-CN"/>
              </w:rPr>
            </w:pPr>
            <w:r>
              <w:rPr>
                <w:rFonts w:hint="eastAsia" w:ascii="宋体" w:hAnsi="宋体" w:eastAsia="宋体" w:cs="宋体"/>
                <w:b w:val="0"/>
                <w:bCs w:val="0"/>
                <w:snapToGrid w:val="0"/>
                <w:kern w:val="0"/>
                <w:sz w:val="21"/>
                <w:lang w:val="en-US" w:eastAsia="zh-CN"/>
              </w:rPr>
              <w:t>5</w:t>
            </w:r>
          </w:p>
        </w:tc>
        <w:tc>
          <w:tcPr>
            <w:tcW w:w="1109" w:type="dxa"/>
            <w:noWrap w:val="0"/>
            <w:vAlign w:val="center"/>
          </w:tcPr>
          <w:p w14:paraId="7C37CFFB">
            <w:pPr>
              <w:widowControl/>
              <w:kinsoku w:val="0"/>
              <w:autoSpaceDE w:val="0"/>
              <w:autoSpaceDN w:val="0"/>
              <w:adjustRightInd w:val="0"/>
              <w:snapToGrid w:val="0"/>
              <w:spacing w:line="240" w:lineRule="auto"/>
              <w:jc w:val="center"/>
              <w:textAlignment w:val="baseline"/>
              <w:rPr>
                <w:rFonts w:ascii="Arial" w:hAnsi="Arial" w:eastAsia="Arial" w:cs="Arial"/>
                <w:b w:val="0"/>
                <w:bCs w:val="0"/>
                <w:snapToGrid w:val="0"/>
                <w:kern w:val="0"/>
                <w:sz w:val="21"/>
                <w:lang w:eastAsia="en-US"/>
              </w:rPr>
            </w:pPr>
            <w:r>
              <w:rPr>
                <w:rFonts w:hint="eastAsia" w:ascii="Arial" w:hAnsi="Arial" w:eastAsia="Arial" w:cs="Arial"/>
                <w:b w:val="0"/>
                <w:bCs w:val="0"/>
                <w:snapToGrid w:val="0"/>
                <w:kern w:val="0"/>
                <w:sz w:val="21"/>
                <w:lang w:val="en-US" w:eastAsia="en-US"/>
              </w:rPr>
              <w:t>报价分</w:t>
            </w:r>
          </w:p>
        </w:tc>
        <w:tc>
          <w:tcPr>
            <w:tcW w:w="7132" w:type="dxa"/>
            <w:noWrap w:val="0"/>
            <w:vAlign w:val="top"/>
          </w:tcPr>
          <w:p w14:paraId="05BE8FC9">
            <w:pPr>
              <w:snapToGrid w:val="0"/>
              <w:jc w:val="left"/>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1.有效投标报价的最低价作为评标基准价，其最低报价为满分；按［投标报价得分=（评标基准价/投标报价）*权重］的计算公式计算。</w:t>
            </w:r>
          </w:p>
          <w:p w14:paraId="7F268B8B">
            <w:pPr>
              <w:snapToGrid w:val="0"/>
              <w:jc w:val="left"/>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2.评标过程中，不得去掉报价中的最高报价和最低报价。</w:t>
            </w:r>
          </w:p>
          <w:p w14:paraId="5424F233">
            <w:pPr>
              <w:kinsoku w:val="0"/>
              <w:autoSpaceDE w:val="0"/>
              <w:autoSpaceDN w:val="0"/>
              <w:adjustRightInd w:val="0"/>
              <w:snapToGrid w:val="0"/>
              <w:spacing w:before="59" w:line="216" w:lineRule="auto"/>
              <w:ind w:left="102" w:leftChars="0"/>
              <w:jc w:val="left"/>
              <w:textAlignment w:val="baseline"/>
              <w:rPr>
                <w:rFonts w:ascii="宋体" w:hAnsi="宋体" w:eastAsia="宋体" w:cs="宋体"/>
                <w:b w:val="0"/>
                <w:bCs w:val="0"/>
                <w:snapToGrid w:val="0"/>
                <w:color w:val="000000"/>
                <w:spacing w:val="2"/>
                <w:kern w:val="0"/>
                <w:sz w:val="22"/>
                <w:szCs w:val="22"/>
                <w:lang w:val="en-US" w:eastAsia="en-US" w:bidi="ar-SA"/>
              </w:rPr>
            </w:pPr>
            <w:r>
              <w:rPr>
                <w:rFonts w:hint="eastAsia" w:ascii="宋体" w:hAnsi="宋体" w:eastAsia="宋体" w:cs="宋体"/>
                <w:b/>
                <w:bCs/>
                <w:color w:val="auto"/>
                <w:sz w:val="22"/>
                <w:szCs w:val="22"/>
                <w:highlight w:val="none"/>
                <w:u w:val="single"/>
              </w:rPr>
              <w:t>▲</w:t>
            </w:r>
            <w:r>
              <w:rPr>
                <w:rFonts w:hint="eastAsia" w:ascii="宋体" w:hAnsi="宋体" w:eastAsia="宋体"/>
                <w:b/>
                <w:bCs/>
                <w:color w:val="auto"/>
                <w:sz w:val="22"/>
                <w:szCs w:val="22"/>
                <w:highlight w:val="none"/>
                <w:u w:val="single"/>
              </w:rPr>
              <w:t>3.本项目专门面向</w:t>
            </w:r>
            <w:r>
              <w:rPr>
                <w:rFonts w:hint="eastAsia" w:ascii="宋体" w:hAnsi="宋体"/>
                <w:b/>
                <w:bCs/>
                <w:color w:val="auto"/>
                <w:sz w:val="22"/>
                <w:szCs w:val="22"/>
                <w:highlight w:val="none"/>
                <w:u w:val="single"/>
                <w:lang w:val="en-US" w:eastAsia="zh-CN"/>
              </w:rPr>
              <w:t>中小</w:t>
            </w:r>
            <w:r>
              <w:rPr>
                <w:rFonts w:hint="eastAsia" w:ascii="宋体" w:hAnsi="宋体" w:eastAsia="宋体"/>
                <w:b/>
                <w:bCs/>
                <w:color w:val="auto"/>
                <w:sz w:val="22"/>
                <w:szCs w:val="22"/>
                <w:highlight w:val="none"/>
                <w:u w:val="single"/>
              </w:rPr>
              <w:t>企业（监狱企业、残疾人企业等同中小微企业），不再执行价格评审优惠政策</w:t>
            </w:r>
          </w:p>
        </w:tc>
        <w:tc>
          <w:tcPr>
            <w:tcW w:w="984" w:type="dxa"/>
            <w:noWrap w:val="0"/>
            <w:vAlign w:val="center"/>
          </w:tcPr>
          <w:p w14:paraId="40FD4B7B">
            <w:pPr>
              <w:kinsoku w:val="0"/>
              <w:autoSpaceDE w:val="0"/>
              <w:autoSpaceDN w:val="0"/>
              <w:adjustRightInd w:val="0"/>
              <w:snapToGrid w:val="0"/>
              <w:spacing w:before="71" w:line="220" w:lineRule="auto"/>
              <w:jc w:val="center"/>
              <w:textAlignment w:val="baseline"/>
              <w:rPr>
                <w:rFonts w:hint="default" w:ascii="宋体" w:hAnsi="宋体" w:eastAsia="宋体" w:cs="宋体"/>
                <w:b w:val="0"/>
                <w:bCs w:val="0"/>
                <w:snapToGrid w:val="0"/>
                <w:color w:val="000000"/>
                <w:spacing w:val="-3"/>
                <w:kern w:val="0"/>
                <w:sz w:val="22"/>
                <w:szCs w:val="22"/>
                <w:lang w:val="en-US" w:eastAsia="zh-CN" w:bidi="ar-SA"/>
              </w:rPr>
            </w:pPr>
            <w:r>
              <w:rPr>
                <w:rFonts w:hint="eastAsia" w:ascii="宋体" w:hAnsi="宋体" w:eastAsia="宋体" w:cs="宋体"/>
                <w:b w:val="0"/>
                <w:bCs w:val="0"/>
                <w:snapToGrid w:val="0"/>
                <w:color w:val="000000"/>
                <w:spacing w:val="-3"/>
                <w:kern w:val="0"/>
                <w:sz w:val="22"/>
                <w:szCs w:val="22"/>
                <w:lang w:val="en-US" w:eastAsia="zh-CN" w:bidi="ar-SA"/>
              </w:rPr>
              <w:t>0-10分</w:t>
            </w:r>
          </w:p>
        </w:tc>
      </w:tr>
    </w:tbl>
    <w:p w14:paraId="0BBE1C5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“*”备注：供应商编制响应文件时，建议按此目录（序号和内容）提供评审标准相应的商务技术资料。</w:t>
      </w:r>
    </w:p>
    <w:p w14:paraId="187980D9">
      <w:pPr>
        <w:pStyle w:val="19"/>
        <w:adjustRightInd/>
        <w:spacing w:before="240" w:after="60"/>
        <w:jc w:val="center"/>
        <w:outlineLvl w:val="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B93B72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1.综合评分法。</w:t>
      </w:r>
      <w:r>
        <w:rPr>
          <w:rFonts w:hint="eastAsia" w:ascii="宋体" w:hAnsi="宋体" w:eastAsia="宋体" w:cs="宋体"/>
          <w:b w:val="0"/>
          <w:bCs w:val="0"/>
          <w:color w:val="auto"/>
          <w:kern w:val="0"/>
          <w:sz w:val="22"/>
          <w:szCs w:val="22"/>
          <w:highlight w:val="none"/>
          <w:lang w:val="en-US" w:eastAsia="zh-CN"/>
        </w:rPr>
        <w:t>综合评分法，是指响应文件满足磋商文件全部实质性要求，且按照评审因素的量化指标评审得分最高的供应商为成交候选人的评审方法。</w:t>
      </w:r>
    </w:p>
    <w:p w14:paraId="21F3CB7A">
      <w:pPr>
        <w:pStyle w:val="19"/>
        <w:adjustRightInd/>
        <w:spacing w:before="240" w:after="60"/>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8F1A85B">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1.磋商小组的组成。</w:t>
      </w:r>
    </w:p>
    <w:p w14:paraId="4E6D040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磋商小组由采购人代表和评审专家共3人以上单数组成，其中评审专家人数不得少于磋商小组成员总数的2/3。采购人代表不得以评审专家身份参加本部门或本单位采购项目的评审。代理机构人员不得参加本机构代理的采购项目的评审。</w:t>
      </w:r>
    </w:p>
    <w:p w14:paraId="31A73880">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19D1EDA">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2.磋商小组的组成人员的回避。</w:t>
      </w:r>
    </w:p>
    <w:p w14:paraId="6C55167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在政府采购活动中，磋商小组的组成人员与供应商有下列利害关系之一的，应当回避：</w:t>
      </w:r>
    </w:p>
    <w:p w14:paraId="5A39D811">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2.1参加采购活动前3年内与供应商存在劳动关系；</w:t>
      </w:r>
    </w:p>
    <w:p w14:paraId="6336265C">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2.2参加采购活动前3年内担任供应商的董事、监事；</w:t>
      </w:r>
    </w:p>
    <w:p w14:paraId="7435D71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2.3参加采购活动前3年内是供应商的控股股东或者实际控制人；</w:t>
      </w:r>
    </w:p>
    <w:p w14:paraId="740E4E90">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2.4与供应商的法定代表人或者负责人有夫妻、直系血亲、三代以内旁系血亲或者近姻亲关系；</w:t>
      </w:r>
    </w:p>
    <w:p w14:paraId="3AFF2AE6">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2.5与供应商有其他可能影响政府采购活动公平、公正进行的关系。</w:t>
      </w:r>
    </w:p>
    <w:p w14:paraId="7553CDB5">
      <w:pPr>
        <w:pStyle w:val="19"/>
        <w:adjustRightInd/>
        <w:spacing w:before="240" w:after="60"/>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0B356B6">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1.磋商小组负责具体评审事务，并独立履行下列职责：</w:t>
      </w:r>
    </w:p>
    <w:p w14:paraId="1C890DD1">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1.1对供应商的资格进行审查；对响应文件的有效性、完整性和响应程度进行审查；</w:t>
      </w:r>
    </w:p>
    <w:p w14:paraId="04FC71BA">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1.2审查、评价响应文件是否符合磋商文件的商务、技术等实质性要求；</w:t>
      </w:r>
    </w:p>
    <w:p w14:paraId="46E6CBE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1.3要求供应商对响应文件有关事项作出澄清、说明或者更正；</w:t>
      </w:r>
    </w:p>
    <w:p w14:paraId="1736ADF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1.4磋商小组集中与单一供应商分别进行磋商；</w:t>
      </w:r>
    </w:p>
    <w:p w14:paraId="1BD0235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1.5确定磋商文件的变动情况，并确定提交最后报价的供应商；</w:t>
      </w:r>
    </w:p>
    <w:p w14:paraId="5A76B92A">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1.6根据磋商文件确定的评审办法及评审标准对提交最后报价的供应商的响应文件和最后报价采用综合评分法进行综合评分；</w:t>
      </w:r>
    </w:p>
    <w:p w14:paraId="1983B54F">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1.7编制评审报告，确定成交候选人名单，以及根据采购人委托直接确定成交人；</w:t>
      </w:r>
    </w:p>
    <w:p w14:paraId="672DA484">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1.8向采购人、代理机构或者有关部门报告评审中发现的违法行为；</w:t>
      </w:r>
    </w:p>
    <w:p w14:paraId="47CDFBC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1.9法律、法规、规章、磋商文件等规定的其它事项。</w:t>
      </w:r>
    </w:p>
    <w:p w14:paraId="3A194F05">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2.磋商小组及其成员不得有下列行为：</w:t>
      </w:r>
    </w:p>
    <w:p w14:paraId="492FF6F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2.1确定参与本项目至评审结束前私自接触供应商；</w:t>
      </w:r>
    </w:p>
    <w:p w14:paraId="7A24587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 xml:space="preserve">2.2接受供应商提出的“超出响应文件的范围或者改变响应文件的实质性内容”的澄清、说明或者更正； </w:t>
      </w:r>
    </w:p>
    <w:p w14:paraId="2DF9F8E2">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2.3违反评审纪律发表倾向性意见或者征询采购人的倾向性意见；</w:t>
      </w:r>
    </w:p>
    <w:p w14:paraId="5F97CA1B">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2.4对需要专业判断的主观评审因素协商评分；</w:t>
      </w:r>
    </w:p>
    <w:p w14:paraId="2C4AA51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2.5在评审过程中擅离职守，影响评审程序正常进行的；</w:t>
      </w:r>
    </w:p>
    <w:p w14:paraId="183B87AF">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2.6记录、复制或者带走任何评审资料；</w:t>
      </w:r>
    </w:p>
    <w:p w14:paraId="4B9608D2">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2.7其他不遵守评审纪律的行为。</w:t>
      </w:r>
    </w:p>
    <w:p w14:paraId="7E5265E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磋商小组成员有2.1-2.5行为之一的，其评审意见无效，并不得获取评审劳务报酬和报销异地评审差旅费。</w:t>
      </w:r>
    </w:p>
    <w:p w14:paraId="610507A0">
      <w:pPr>
        <w:pStyle w:val="19"/>
        <w:adjustRightInd/>
        <w:spacing w:before="240" w:after="60"/>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E8540A6">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详见磋商文件“第二部分 竞争性磋商流程”。</w:t>
      </w:r>
    </w:p>
    <w:p w14:paraId="1B4B5AD6">
      <w:pPr>
        <w:pStyle w:val="19"/>
        <w:adjustRightInd/>
        <w:spacing w:before="240" w:after="60"/>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9086E22">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 响应文件的澄清</w:t>
      </w:r>
    </w:p>
    <w:p w14:paraId="23E341C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CC132DE">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2.最后报价的修正原则</w:t>
      </w:r>
    </w:p>
    <w:p w14:paraId="09A92983">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磋商小组对响应文件的最后报价进行审核，对发现计算、书写等错误的，按以下原则进行修正：</w:t>
      </w:r>
    </w:p>
    <w:p w14:paraId="7066EED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2.1《最后报价一览表》内容与响应文件中响应内容不一致的，以《最后报价一览表》为准;</w:t>
      </w:r>
    </w:p>
    <w:p w14:paraId="3D5D4ABB">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2.2大写金额和小写金额不一致的，以大写金额为准;</w:t>
      </w:r>
    </w:p>
    <w:p w14:paraId="1C586AF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2.3单价金额小数点或者百分比有明显错位的，以《最后报价一览表》的总价为准，并修改单价;</w:t>
      </w:r>
    </w:p>
    <w:p w14:paraId="5CBC1234">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2.4总价金额与按单价汇总金额不一致的，以单价金额计算结果为准。</w:t>
      </w:r>
    </w:p>
    <w:p w14:paraId="294F1033">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2.5同时出现两种以上不一致的，按照前款规定的顺序修正。</w:t>
      </w:r>
    </w:p>
    <w:p w14:paraId="21BAD95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2.6以修正后的总价作为最后报价。</w:t>
      </w:r>
    </w:p>
    <w:p w14:paraId="0D57CFCE">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▲供应商对根据修正原则修正后的最后报价不确认的，响应无效。</w:t>
      </w:r>
    </w:p>
    <w:p w14:paraId="4B2A8BAC">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▲3.响应无效</w:t>
      </w:r>
    </w:p>
    <w:p w14:paraId="6ECCE2BF">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有下列情况之一的，响应无效：</w:t>
      </w:r>
    </w:p>
    <w:p w14:paraId="1886E4C1">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3.1单位负责人为同一人或者存在直接控股、管理关系的不同供应商参加同一合同项下的政府采购活动的（均无效）；</w:t>
      </w:r>
    </w:p>
    <w:p w14:paraId="2AA7E98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 xml:space="preserve">3.2为采购项目提供整体设计、规范编制或者项目管理、监理、检测等服务的供应商再参加该采购项目的其他采购活动的； </w:t>
      </w:r>
    </w:p>
    <w:p w14:paraId="465FF76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3.3供应商不具备磋商文件中规定的资格要求的（供应商未提供有效的资格证明文件的，视为供应商不具备磋商文件中规定的资格要求）；</w:t>
      </w:r>
    </w:p>
    <w:p w14:paraId="681EA484">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3.4如以联合体形式参加政府采购活动的，联合协议不符合磋商文件规定的联合协议要求的；</w:t>
      </w:r>
    </w:p>
    <w:p w14:paraId="109327A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3.5响应文件未按磋商文件的澄清、修改的内容编制，又不符合实质性要求的；</w:t>
      </w:r>
    </w:p>
    <w:p w14:paraId="47F7EB0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3.6响应文件组成漏项，内容不全或内容字迹模糊辨认不清的；</w:t>
      </w:r>
    </w:p>
    <w:p w14:paraId="3F419B6D">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3.7响应文件中法人授权书所载内容与本项目内容有异的；</w:t>
      </w:r>
    </w:p>
    <w:p w14:paraId="744F69E9">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3.8响应文件未按照磋商文件要求签署、盖章的；</w:t>
      </w:r>
    </w:p>
    <w:p w14:paraId="144F83E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3.9采购人拟采购的产品属于政府强制采购的节能产品品目清单范围的，供应商相应的响应产品未获得国家确定的认证机构出具的、处于有效期之内的节能产品认证证书的；</w:t>
      </w:r>
    </w:p>
    <w:p w14:paraId="33AF77AF">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3.10响应文件含有采购人不能接受的附加条件的；</w:t>
      </w:r>
    </w:p>
    <w:p w14:paraId="05232CD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3.11响应文件中承诺的响应有效期少于磋商文件中载明的响应有效期的；</w:t>
      </w:r>
    </w:p>
    <w:p w14:paraId="4E636F62">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3.12不同供应商的电子投标（响应）文件上传的IP地址相同且无法合理解释的；</w:t>
      </w:r>
    </w:p>
    <w:p w14:paraId="7ABD9EA5">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lang w:val="en-US" w:eastAsia="zh-CN"/>
        </w:rPr>
        <w:t>供应商所投内容不符合磋商文件中实质性要求的；</w:t>
      </w:r>
    </w:p>
    <w:p w14:paraId="30C861AA">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lang w:val="en-US" w:eastAsia="zh-CN"/>
        </w:rPr>
        <w:t>所提交的《最后报价一览表》中出现不是唯一的、有选择性的报价的;</w:t>
      </w:r>
    </w:p>
    <w:p w14:paraId="7C097DA0">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val="en-US" w:eastAsia="zh-CN"/>
        </w:rPr>
        <w:t>最后报价高于本项目采购预算或者最高限价的;</w:t>
      </w:r>
    </w:p>
    <w:p w14:paraId="58901632">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6</w:t>
      </w:r>
      <w:r>
        <w:rPr>
          <w:rFonts w:hint="eastAsia" w:ascii="宋体" w:hAnsi="宋体" w:eastAsia="宋体" w:cs="宋体"/>
          <w:b w:val="0"/>
          <w:bCs w:val="0"/>
          <w:color w:val="auto"/>
          <w:kern w:val="0"/>
          <w:sz w:val="22"/>
          <w:szCs w:val="22"/>
          <w:highlight w:val="none"/>
          <w:lang w:val="en-US" w:eastAsia="zh-CN"/>
        </w:rPr>
        <w:t>最后报价明显低于其他供应商的最后报价，有可能影响产品质量或者不能诚信履约的，未能按要求提供书面说明或者提交相关证明材料，不能证明其报价合理性的;</w:t>
      </w:r>
    </w:p>
    <w:p w14:paraId="34F94724">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7</w:t>
      </w:r>
      <w:r>
        <w:rPr>
          <w:rFonts w:hint="eastAsia" w:ascii="宋体" w:hAnsi="宋体" w:eastAsia="宋体" w:cs="宋体"/>
          <w:b w:val="0"/>
          <w:bCs w:val="0"/>
          <w:color w:val="auto"/>
          <w:kern w:val="0"/>
          <w:sz w:val="22"/>
          <w:szCs w:val="22"/>
          <w:highlight w:val="none"/>
          <w:lang w:val="en-US" w:eastAsia="zh-CN"/>
        </w:rPr>
        <w:t>《最后报价一览表》填写不完整或字迹不能辨认或有漏项的；</w:t>
      </w:r>
    </w:p>
    <w:p w14:paraId="35872FD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8</w:t>
      </w:r>
      <w:r>
        <w:rPr>
          <w:rFonts w:hint="eastAsia" w:ascii="宋体" w:hAnsi="宋体" w:eastAsia="宋体" w:cs="宋体"/>
          <w:b w:val="0"/>
          <w:bCs w:val="0"/>
          <w:color w:val="auto"/>
          <w:kern w:val="0"/>
          <w:sz w:val="22"/>
          <w:szCs w:val="22"/>
          <w:highlight w:val="none"/>
          <w:lang w:val="en-US" w:eastAsia="zh-CN"/>
        </w:rPr>
        <w:t>供应商对根据修正原则修正后的最后报价不确认的；</w:t>
      </w:r>
    </w:p>
    <w:p w14:paraId="26BF655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3.1</w:t>
      </w:r>
      <w:r>
        <w:rPr>
          <w:rFonts w:hint="eastAsia" w:ascii="宋体" w:hAnsi="宋体" w:cs="宋体"/>
          <w:b w:val="0"/>
          <w:bCs w:val="0"/>
          <w:color w:val="auto"/>
          <w:kern w:val="0"/>
          <w:sz w:val="22"/>
          <w:szCs w:val="22"/>
          <w:highlight w:val="none"/>
          <w:lang w:val="en-US" w:eastAsia="zh-CN"/>
        </w:rPr>
        <w:t>9</w:t>
      </w:r>
      <w:r>
        <w:rPr>
          <w:rFonts w:hint="eastAsia" w:ascii="宋体" w:hAnsi="宋体" w:eastAsia="宋体" w:cs="宋体"/>
          <w:b w:val="0"/>
          <w:bCs w:val="0"/>
          <w:color w:val="auto"/>
          <w:kern w:val="0"/>
          <w:sz w:val="22"/>
          <w:szCs w:val="22"/>
          <w:highlight w:val="none"/>
          <w:lang w:val="en-US" w:eastAsia="zh-CN"/>
        </w:rPr>
        <w:t>供应商提供虚假材料响应的（包括但不限于以下情节）；</w:t>
      </w:r>
    </w:p>
    <w:p w14:paraId="559F2860">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使用伪造、变造的许可证件；</w:t>
      </w:r>
    </w:p>
    <w:p w14:paraId="01C93F1F">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提供虚假的财务状况或者业绩；</w:t>
      </w:r>
    </w:p>
    <w:p w14:paraId="452A1369">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提供虚假的项目负责人或者主要技术人员简历、劳动关系证明；</w:t>
      </w:r>
    </w:p>
    <w:p w14:paraId="52170E5A">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提供虚假的信用状况；</w:t>
      </w:r>
    </w:p>
    <w:p w14:paraId="287C9920">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其他弄虚作假的行为。</w:t>
      </w:r>
    </w:p>
    <w:p w14:paraId="47BA6202">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w:t>
      </w:r>
      <w:r>
        <w:rPr>
          <w:rFonts w:hint="eastAsia" w:ascii="宋体" w:hAnsi="宋体" w:cs="宋体"/>
          <w:b w:val="0"/>
          <w:bCs w:val="0"/>
          <w:color w:val="auto"/>
          <w:kern w:val="0"/>
          <w:sz w:val="22"/>
          <w:szCs w:val="22"/>
          <w:highlight w:val="none"/>
          <w:lang w:val="en-US" w:eastAsia="zh-CN"/>
        </w:rPr>
        <w:t>20</w:t>
      </w:r>
      <w:r>
        <w:rPr>
          <w:rFonts w:hint="eastAsia" w:ascii="宋体" w:hAnsi="宋体" w:eastAsia="宋体" w:cs="宋体"/>
          <w:b w:val="0"/>
          <w:bCs w:val="0"/>
          <w:color w:val="auto"/>
          <w:kern w:val="0"/>
          <w:sz w:val="22"/>
          <w:szCs w:val="22"/>
          <w:highlight w:val="none"/>
          <w:lang w:val="en-US" w:eastAsia="zh-CN"/>
        </w:rPr>
        <w:t>供应商有恶意串通、妨碍其他供应商的竞争行为、损害采购人或者其他供应商的合法权益情形的。</w:t>
      </w:r>
    </w:p>
    <w:p w14:paraId="4E598E7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有下列情形之一的，属于或视为恶意串通，其响应无效：</w:t>
      </w:r>
    </w:p>
    <w:p w14:paraId="076122EF">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供应商直接或者间接从采购人或者</w:t>
      </w:r>
      <w:r>
        <w:rPr>
          <w:rFonts w:hint="eastAsia" w:asciiTheme="minorEastAsia" w:hAnsiTheme="minorEastAsia" w:eastAsiaTheme="minorEastAsia"/>
          <w:color w:val="auto"/>
          <w:sz w:val="22"/>
          <w:szCs w:val="22"/>
          <w:highlight w:val="none"/>
          <w:lang w:eastAsia="zh-CN"/>
        </w:rPr>
        <w:t>代理机构</w:t>
      </w:r>
      <w:r>
        <w:rPr>
          <w:rFonts w:hint="eastAsia" w:asciiTheme="minorEastAsia" w:hAnsiTheme="minorEastAsia" w:eastAsiaTheme="minorEastAsia"/>
          <w:color w:val="auto"/>
          <w:sz w:val="22"/>
          <w:szCs w:val="22"/>
          <w:highlight w:val="none"/>
        </w:rPr>
        <w:t>处获得其他供应商的相关情况并修改其响应文件；</w:t>
      </w:r>
    </w:p>
    <w:p w14:paraId="283904B4">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供应商按照采购人或者</w:t>
      </w:r>
      <w:r>
        <w:rPr>
          <w:rFonts w:hint="eastAsia" w:asciiTheme="minorEastAsia" w:hAnsiTheme="minorEastAsia" w:eastAsiaTheme="minorEastAsia"/>
          <w:color w:val="auto"/>
          <w:sz w:val="22"/>
          <w:szCs w:val="22"/>
          <w:highlight w:val="none"/>
          <w:lang w:eastAsia="zh-CN"/>
        </w:rPr>
        <w:t>代理机构</w:t>
      </w:r>
      <w:r>
        <w:rPr>
          <w:rFonts w:hint="eastAsia" w:asciiTheme="minorEastAsia" w:hAnsiTheme="minorEastAsia" w:eastAsiaTheme="minorEastAsia"/>
          <w:color w:val="auto"/>
          <w:sz w:val="22"/>
          <w:szCs w:val="22"/>
          <w:highlight w:val="none"/>
        </w:rPr>
        <w:t>的授意撤换、修改投标文件或者响应文件；</w:t>
      </w:r>
    </w:p>
    <w:p w14:paraId="199CD4AD">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供应商之间协商报价、技术方案等投标文件或者响应文件的实质性内容；</w:t>
      </w:r>
    </w:p>
    <w:p w14:paraId="19FBF5CF">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属于同一集团、协会、商会等组织成员的供应商按照该组织要求协同参加政府采购活动；</w:t>
      </w:r>
    </w:p>
    <w:p w14:paraId="02D2B838">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供应商之间事先约定由某一特定供应商中标、成交；</w:t>
      </w:r>
    </w:p>
    <w:p w14:paraId="1B29289A">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供应商之间商定部分供应商放弃参加政府采购活动或者放弃中标、成交；</w:t>
      </w:r>
    </w:p>
    <w:p w14:paraId="107E9BC8">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供应商与采购人或者</w:t>
      </w:r>
      <w:r>
        <w:rPr>
          <w:rFonts w:hint="eastAsia" w:asciiTheme="minorEastAsia" w:hAnsiTheme="minorEastAsia" w:eastAsiaTheme="minorEastAsia"/>
          <w:color w:val="auto"/>
          <w:sz w:val="22"/>
          <w:szCs w:val="22"/>
          <w:highlight w:val="none"/>
          <w:lang w:eastAsia="zh-CN"/>
        </w:rPr>
        <w:t>代理机构</w:t>
      </w:r>
      <w:r>
        <w:rPr>
          <w:rFonts w:hint="eastAsia" w:asciiTheme="minorEastAsia" w:hAnsiTheme="minorEastAsia" w:eastAsiaTheme="minorEastAsia"/>
          <w:color w:val="auto"/>
          <w:sz w:val="22"/>
          <w:szCs w:val="22"/>
          <w:highlight w:val="none"/>
        </w:rPr>
        <w:t>之间、供应商相互之间，为谋求特定供应商中标、成交或者排斥其他供应商的其他串通行为。</w:t>
      </w:r>
    </w:p>
    <w:p w14:paraId="68A26A8A">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不同供应商的响应文件由同一单位或者个人编制；</w:t>
      </w:r>
    </w:p>
    <w:p w14:paraId="017CB959">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不同供应商委托同一单位或者个人办理响应事宜；</w:t>
      </w:r>
    </w:p>
    <w:p w14:paraId="2C81755A">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不同供应商的响应文件载明的项目管理成员或者联系人员为同一人；</w:t>
      </w:r>
    </w:p>
    <w:p w14:paraId="002BFF3A">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不同供应商的响应文件异常一致或者最后报价呈规律性差异；</w:t>
      </w:r>
    </w:p>
    <w:p w14:paraId="72605820">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不同供应商的响应文件相互混装。</w:t>
      </w:r>
    </w:p>
    <w:p w14:paraId="50BEF23B">
      <w:pPr>
        <w:pStyle w:val="106"/>
        <w:keepNext w:val="0"/>
        <w:keepLines w:val="0"/>
        <w:pageBreakBefore w:val="0"/>
        <w:widowControl w:val="0"/>
        <w:numPr>
          <w:ilvl w:val="0"/>
          <w:numId w:val="10"/>
        </w:numPr>
        <w:kinsoku/>
        <w:wordWrap/>
        <w:overflowPunct/>
        <w:topLinePunct w:val="0"/>
        <w:autoSpaceDE/>
        <w:autoSpaceDN/>
        <w:bidi w:val="0"/>
        <w:adjustRightInd w:val="0"/>
        <w:snapToGrid/>
        <w:spacing w:line="460" w:lineRule="atLeast"/>
        <w:ind w:left="1140" w:hanging="420" w:firstLineChars="0"/>
        <w:textAlignment w:val="auto"/>
        <w:rPr>
          <w:rFonts w:hint="eastAsia" w:asciiTheme="minorEastAsia" w:hAnsiTheme="minorEastAsia" w:eastAsiaTheme="minorEastAsia"/>
          <w:b/>
          <w:bCs/>
          <w:color w:val="auto"/>
          <w:sz w:val="22"/>
          <w:szCs w:val="22"/>
          <w:highlight w:val="none"/>
          <w:lang w:val="en-US" w:eastAsia="zh-CN"/>
        </w:rPr>
      </w:pPr>
      <w:r>
        <w:rPr>
          <w:rFonts w:hint="eastAsia" w:asciiTheme="minorEastAsia" w:hAnsiTheme="minorEastAsia" w:eastAsiaTheme="minorEastAsia"/>
          <w:b/>
          <w:bCs/>
          <w:color w:val="auto"/>
          <w:sz w:val="22"/>
          <w:szCs w:val="22"/>
          <w:highlight w:val="none"/>
          <w:lang w:val="en-US" w:eastAsia="zh-CN"/>
        </w:rPr>
        <w:t xml:space="preserve"> 参与同一个采购包（标段）的供应商存在下列情形之一且无法合理解释的，其投标（响应）文件无效：</w:t>
      </w:r>
      <w:r>
        <w:rPr>
          <w:rFonts w:hint="eastAsia" w:asciiTheme="minorEastAsia" w:hAnsiTheme="minorEastAsia" w:eastAsiaTheme="minorEastAsia"/>
          <w:b/>
          <w:bCs/>
          <w:color w:val="auto"/>
          <w:sz w:val="22"/>
          <w:szCs w:val="22"/>
          <w:highlight w:val="none"/>
          <w:lang w:val="en-US" w:eastAsia="zh"/>
        </w:rPr>
        <w:t>1.</w:t>
      </w:r>
      <w:r>
        <w:rPr>
          <w:rFonts w:hint="eastAsia" w:asciiTheme="minorEastAsia" w:hAnsiTheme="minorEastAsia" w:eastAsiaTheme="minorEastAsia"/>
          <w:b/>
          <w:bCs/>
          <w:color w:val="auto"/>
          <w:sz w:val="22"/>
          <w:szCs w:val="22"/>
          <w:highlight w:val="none"/>
          <w:lang w:val="en-US" w:eastAsia="zh-CN"/>
        </w:rPr>
        <w:t>不同供应商的电子投标（响应）文件上传计算机的网卡MAC地址或硬盘序列号等硬件信息相同的；</w:t>
      </w:r>
      <w:r>
        <w:rPr>
          <w:rFonts w:hint="eastAsia" w:asciiTheme="minorEastAsia" w:hAnsiTheme="minorEastAsia" w:eastAsiaTheme="minorEastAsia"/>
          <w:b/>
          <w:bCs/>
          <w:color w:val="auto"/>
          <w:sz w:val="22"/>
          <w:szCs w:val="22"/>
          <w:highlight w:val="none"/>
          <w:lang w:val="en-US" w:eastAsia="zh"/>
        </w:rPr>
        <w:t>2.</w:t>
      </w:r>
      <w:r>
        <w:rPr>
          <w:rFonts w:hint="eastAsia" w:asciiTheme="minorEastAsia" w:hAnsiTheme="minorEastAsia" w:eastAsiaTheme="minorEastAsia"/>
          <w:b/>
          <w:bCs/>
          <w:color w:val="auto"/>
          <w:sz w:val="22"/>
          <w:szCs w:val="22"/>
          <w:highlight w:val="none"/>
          <w:lang w:val="en-US" w:eastAsia="zh-CN"/>
        </w:rPr>
        <w:t>上传的电子投标（响应）文件若出现使用本项目其他投标（响应）供应商的数字证书加密的，或者加盖本项目其他投标（响应）供应商的电子印章的；</w:t>
      </w:r>
      <w:r>
        <w:rPr>
          <w:rFonts w:hint="eastAsia" w:asciiTheme="minorEastAsia" w:hAnsiTheme="minorEastAsia" w:eastAsiaTheme="minorEastAsia"/>
          <w:b/>
          <w:bCs/>
          <w:color w:val="auto"/>
          <w:sz w:val="22"/>
          <w:szCs w:val="22"/>
          <w:highlight w:val="none"/>
          <w:lang w:val="en-US" w:eastAsia="zh"/>
        </w:rPr>
        <w:t>3.</w:t>
      </w:r>
      <w:r>
        <w:rPr>
          <w:rFonts w:hint="eastAsia" w:asciiTheme="minorEastAsia" w:hAnsiTheme="minorEastAsia" w:eastAsiaTheme="minorEastAsia"/>
          <w:b/>
          <w:bCs/>
          <w:color w:val="auto"/>
          <w:sz w:val="22"/>
          <w:szCs w:val="22"/>
          <w:highlight w:val="none"/>
          <w:lang w:val="en-US" w:eastAsia="zh-CN"/>
        </w:rPr>
        <w:t>不同供应商的投标（响应）文件的内容存在</w:t>
      </w:r>
      <w:r>
        <w:rPr>
          <w:rFonts w:hint="eastAsia" w:asciiTheme="minorEastAsia" w:hAnsiTheme="minorEastAsia" w:eastAsiaTheme="minorEastAsia"/>
          <w:b/>
          <w:bCs/>
          <w:color w:val="auto"/>
          <w:sz w:val="22"/>
          <w:szCs w:val="22"/>
          <w:highlight w:val="none"/>
          <w:lang w:val="en-US" w:eastAsia="zh"/>
        </w:rPr>
        <w:t>3</w:t>
      </w:r>
      <w:r>
        <w:rPr>
          <w:rFonts w:hint="eastAsia" w:asciiTheme="minorEastAsia" w:hAnsiTheme="minorEastAsia" w:eastAsiaTheme="minorEastAsia"/>
          <w:b/>
          <w:bCs/>
          <w:color w:val="auto"/>
          <w:sz w:val="22"/>
          <w:szCs w:val="22"/>
          <w:highlight w:val="none"/>
          <w:lang w:val="en-US" w:eastAsia="zh-CN"/>
        </w:rPr>
        <w:t>处（含）以上错误一致的；4</w:t>
      </w:r>
      <w:r>
        <w:rPr>
          <w:rFonts w:hint="eastAsia" w:asciiTheme="minorEastAsia" w:hAnsiTheme="minorEastAsia" w:eastAsiaTheme="minorEastAsia"/>
          <w:b/>
          <w:bCs/>
          <w:color w:val="auto"/>
          <w:sz w:val="22"/>
          <w:szCs w:val="22"/>
          <w:highlight w:val="none"/>
          <w:lang w:val="en-US" w:eastAsia="zh"/>
        </w:rPr>
        <w:t>.</w:t>
      </w:r>
      <w:r>
        <w:rPr>
          <w:rFonts w:hint="eastAsia" w:asciiTheme="minorEastAsia" w:hAnsiTheme="minorEastAsia" w:eastAsiaTheme="minorEastAsia"/>
          <w:b/>
          <w:bCs/>
          <w:color w:val="auto"/>
          <w:sz w:val="22"/>
          <w:szCs w:val="22"/>
          <w:highlight w:val="none"/>
          <w:lang w:val="en-US" w:eastAsia="zh-CN"/>
        </w:rPr>
        <w:t>不同供应商联系人为同一人或不同联系人的联系电话一致的。</w:t>
      </w:r>
    </w:p>
    <w:p w14:paraId="45F8FF28">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3.2</w:t>
      </w:r>
      <w:r>
        <w:rPr>
          <w:rFonts w:hint="eastAsia" w:ascii="宋体" w:hAnsi="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lang w:val="en-US" w:eastAsia="zh-CN"/>
        </w:rPr>
        <w:t>供应商仅提交备份响应文件，没有在电子交易平台传输提交响应文件的，响应无效；</w:t>
      </w:r>
    </w:p>
    <w:p w14:paraId="2FC1AE45">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3.2</w:t>
      </w:r>
      <w:r>
        <w:rPr>
          <w:rFonts w:hint="eastAsia" w:ascii="宋体" w:hAnsi="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val="en-US" w:eastAsia="zh-CN"/>
        </w:rPr>
        <w:t>法律、法规、规章（适用本市的）及省级以上规范性文件（适用本市的）规定的其他无效情形。</w:t>
      </w:r>
    </w:p>
    <w:p w14:paraId="0C840F9B">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4. 重新开展采购活动</w:t>
      </w:r>
    </w:p>
    <w:p w14:paraId="71E1D05A">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 xml:space="preserve"> 出现下列情形之一的，代理机构应当终止竞争性磋商采购活动，通过电子交易平台发布项目终止公告并说明原因，重新开展采购活动：</w:t>
      </w:r>
    </w:p>
    <w:p w14:paraId="4636F1F4">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（1）因情况变化，不再符合规定的竞争性磋商采购方式适用情形的；</w:t>
      </w:r>
    </w:p>
    <w:p w14:paraId="6AE088C1">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（2）出现影响采购公正的违法、违规行为的；</w:t>
      </w:r>
    </w:p>
    <w:p w14:paraId="192D9522">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（3）在采购过程中符合要求的供应商或者最后报价未超过采购预算的供应商不足3家的（有特殊规定的从其规定）。</w:t>
      </w:r>
    </w:p>
    <w:p w14:paraId="162487DA">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5. 终止采购活动</w:t>
      </w:r>
    </w:p>
    <w:p w14:paraId="1989FE3F">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在采购活动中因重大变故，采购任务取消的，代理机构将终止采购活动，通过电子交易平台通知所有参加采购活动的供应商，并将项目实施情况和采购任务取消原因报送本级财政部门。</w:t>
      </w:r>
    </w:p>
    <w:p w14:paraId="4516A2F1">
      <w:pPr>
        <w:keepNext w:val="0"/>
        <w:keepLines w:val="0"/>
        <w:pageBreakBefore w:val="0"/>
        <w:widowControl w:val="0"/>
        <w:tabs>
          <w:tab w:val="left" w:pos="0"/>
        </w:tabs>
        <w:kinsoku/>
        <w:wordWrap/>
        <w:overflowPunct/>
        <w:topLinePunct w:val="0"/>
        <w:autoSpaceDE/>
        <w:autoSpaceDN/>
        <w:bidi w:val="0"/>
        <w:adjustRightInd w:val="0"/>
        <w:snapToGrid/>
        <w:spacing w:line="460" w:lineRule="atLeast"/>
        <w:textAlignment w:val="auto"/>
        <w:rPr>
          <w:rFonts w:cs="仿宋_GB2312" w:asciiTheme="minorEastAsia" w:hAnsiTheme="minorEastAsia" w:eastAsiaTheme="minorEastAsia"/>
          <w:color w:val="auto"/>
          <w:sz w:val="24"/>
          <w:highlight w:val="none"/>
        </w:rPr>
      </w:pPr>
      <w:r>
        <w:rPr>
          <w:rFonts w:hint="eastAsia" w:ascii="宋体" w:hAnsi="宋体" w:eastAsia="宋体" w:cs="宋体"/>
          <w:b/>
          <w:bCs/>
          <w:color w:val="auto"/>
          <w:kern w:val="0"/>
          <w:sz w:val="22"/>
          <w:szCs w:val="22"/>
          <w:highlight w:val="none"/>
          <w:lang w:val="en-US" w:eastAsia="zh-CN"/>
        </w:rPr>
        <w:t>6. 代理机构有权对磋商小组各成员的评分情况和评审意见进行合理性和合规性审查</w:t>
      </w:r>
      <w:r>
        <w:rPr>
          <w:rFonts w:hint="eastAsia" w:ascii="宋体" w:hAnsi="宋体" w:eastAsia="宋体" w:cs="宋体"/>
          <w:b w:val="0"/>
          <w:bCs w:val="0"/>
          <w:color w:val="auto"/>
          <w:kern w:val="0"/>
          <w:sz w:val="22"/>
          <w:szCs w:val="22"/>
          <w:highlight w:val="none"/>
          <w:lang w:val="en-US" w:eastAsia="zh-CN"/>
        </w:rPr>
        <w:t>，如发现磋商小组成员的评审意见带有明显倾向性，或不按规定程序和标准评审、计分的，磋商小组成员应进行书面澄清和说明；磋商小组成员拒不接受代理机构审查的，代理机构将向同级政府采购监督管理部门报告并予以处理。</w:t>
      </w:r>
    </w:p>
    <w:p w14:paraId="581FF053">
      <w:pPr>
        <w:pStyle w:val="19"/>
        <w:adjustRightInd/>
        <w:spacing w:before="240" w:after="60"/>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FE9117D">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1.保密。</w:t>
      </w:r>
      <w:r>
        <w:rPr>
          <w:rFonts w:hint="eastAsia" w:ascii="宋体" w:hAnsi="宋体" w:eastAsia="宋体" w:cs="宋体"/>
          <w:b w:val="0"/>
          <w:bCs w:val="0"/>
          <w:color w:val="auto"/>
          <w:kern w:val="0"/>
          <w:sz w:val="22"/>
          <w:szCs w:val="22"/>
          <w:highlight w:val="none"/>
          <w:lang w:val="en-US" w:eastAsia="zh-CN"/>
        </w:rPr>
        <w:t>评审活动在严格保密的情况下进行。评审过程中凡是与采购响应文件评审和比较、成交人推荐等评审有关的情况，以及涉及国家秘密和商业秘密等信息，磋商小组成员、采购人和代理机构工作人员、相关监督人员等与评审有关的人员应当予以保密。</w:t>
      </w:r>
    </w:p>
    <w:p w14:paraId="06921B67">
      <w:pPr>
        <w:keepNext w:val="0"/>
        <w:keepLines w:val="0"/>
        <w:pageBreakBefore w:val="0"/>
        <w:widowControl w:val="0"/>
        <w:tabs>
          <w:tab w:val="left" w:pos="0"/>
        </w:tabs>
        <w:kinsoku/>
        <w:wordWrap/>
        <w:overflowPunct/>
        <w:topLinePunct w:val="0"/>
        <w:autoSpaceDE/>
        <w:autoSpaceDN/>
        <w:bidi w:val="0"/>
        <w:adjustRightInd w:val="0"/>
        <w:snapToGrid/>
        <w:spacing w:line="460" w:lineRule="atLeast"/>
        <w:ind w:firstLine="480"/>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2.录音录像。</w:t>
      </w:r>
      <w:r>
        <w:rPr>
          <w:rFonts w:hint="eastAsia" w:ascii="宋体" w:hAnsi="宋体" w:eastAsia="宋体" w:cs="宋体"/>
          <w:b w:val="0"/>
          <w:bCs w:val="0"/>
          <w:color w:val="auto"/>
          <w:kern w:val="0"/>
          <w:sz w:val="22"/>
          <w:szCs w:val="22"/>
          <w:highlight w:val="none"/>
          <w:lang w:val="en-US" w:eastAsia="zh-CN"/>
        </w:rPr>
        <w:t>代理机构对评审工作现场进行全过程录音录像，录音录像资料作为采购项目文件随其他文件一并存档。</w:t>
      </w:r>
    </w:p>
    <w:p w14:paraId="7AD87E7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20BF6E7">
      <w:pPr>
        <w:pStyle w:val="19"/>
        <w:adjustRightInd/>
        <w:spacing w:before="240" w:after="6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1CF0BD96">
      <w:pPr>
        <w:spacing w:line="360" w:lineRule="auto"/>
        <w:rPr>
          <w:rFonts w:asciiTheme="minorEastAsia" w:hAnsiTheme="minorEastAsia" w:eastAsiaTheme="minorEastAsia"/>
          <w:color w:val="auto"/>
          <w:sz w:val="24"/>
          <w:highlight w:val="none"/>
        </w:rPr>
      </w:pPr>
      <w:bookmarkStart w:id="67" w:name="_Toc86217003"/>
      <w:bookmarkStart w:id="68" w:name="第五部分"/>
    </w:p>
    <w:p w14:paraId="2A352C0A">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17A75CC8">
      <w:pPr>
        <w:spacing w:line="360" w:lineRule="auto"/>
        <w:rPr>
          <w:rFonts w:asciiTheme="minorEastAsia" w:hAnsiTheme="minorEastAsia" w:eastAsiaTheme="minorEastAsia"/>
          <w:color w:val="auto"/>
          <w:sz w:val="24"/>
          <w:highlight w:val="none"/>
          <w:u w:val="single"/>
        </w:rPr>
      </w:pPr>
    </w:p>
    <w:p w14:paraId="06D20191">
      <w:pPr>
        <w:pStyle w:val="19"/>
        <w:adjustRightInd/>
        <w:spacing w:before="240" w:after="60"/>
        <w:jc w:val="center"/>
        <w:outlineLvl w:val="0"/>
        <w:rPr>
          <w:rFonts w:hint="eastAsia" w:cs="仿宋_GB2312" w:asciiTheme="minorEastAsia" w:hAnsiTheme="minorEastAsia" w:eastAsiaTheme="minorEastAsia"/>
          <w:b/>
          <w:color w:val="auto"/>
          <w:sz w:val="32"/>
          <w:highlight w:val="none"/>
          <w:lang w:val="en-US" w:eastAsia="zh-CN"/>
        </w:rPr>
      </w:pPr>
      <w:r>
        <w:rPr>
          <w:rFonts w:hint="eastAsia" w:cs="仿宋_GB2312" w:asciiTheme="minorEastAsia" w:hAnsiTheme="minorEastAsia" w:eastAsiaTheme="minorEastAsia"/>
          <w:b/>
          <w:color w:val="auto"/>
          <w:sz w:val="32"/>
          <w:highlight w:val="none"/>
        </w:rPr>
        <w:t>政府采购合同书</w:t>
      </w:r>
      <w:r>
        <w:rPr>
          <w:rFonts w:hint="eastAsia" w:cs="仿宋_GB2312" w:asciiTheme="minorEastAsia" w:hAnsiTheme="minorEastAsia" w:eastAsiaTheme="minorEastAsia"/>
          <w:b/>
          <w:color w:val="auto"/>
          <w:sz w:val="32"/>
          <w:highlight w:val="none"/>
          <w:lang w:eastAsia="zh-CN"/>
        </w:rPr>
        <w:t>参考范本</w:t>
      </w:r>
    </w:p>
    <w:p w14:paraId="721EF9C3">
      <w:pPr>
        <w:pStyle w:val="283"/>
        <w:rPr>
          <w:rFonts w:asciiTheme="minorEastAsia" w:hAnsiTheme="minorEastAsia" w:eastAsiaTheme="minorEastAsia"/>
          <w:color w:val="auto"/>
          <w:szCs w:val="24"/>
          <w:highlight w:val="none"/>
        </w:rPr>
      </w:pPr>
    </w:p>
    <w:p w14:paraId="422AE088">
      <w:pPr>
        <w:pStyle w:val="283"/>
        <w:rPr>
          <w:rFonts w:asciiTheme="minorEastAsia" w:hAnsiTheme="minorEastAsia" w:eastAsiaTheme="minorEastAsia"/>
          <w:color w:val="auto"/>
          <w:szCs w:val="24"/>
          <w:highlight w:val="none"/>
        </w:rPr>
      </w:pPr>
    </w:p>
    <w:p w14:paraId="25447BBF">
      <w:pPr>
        <w:spacing w:before="120" w:line="360" w:lineRule="auto"/>
        <w:rPr>
          <w:rFonts w:asciiTheme="minorEastAsia" w:hAnsiTheme="minorEastAsia" w:eastAsiaTheme="minorEastAsia"/>
          <w:color w:val="auto"/>
          <w:sz w:val="24"/>
          <w:highlight w:val="none"/>
        </w:rPr>
      </w:pPr>
    </w:p>
    <w:p w14:paraId="48474AB9">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753670DD">
      <w:pPr>
        <w:pStyle w:val="618"/>
        <w:spacing w:before="120"/>
        <w:rPr>
          <w:rFonts w:asciiTheme="minorEastAsia" w:hAnsiTheme="minorEastAsia" w:eastAsiaTheme="minorEastAsia"/>
          <w:color w:val="auto"/>
          <w:szCs w:val="24"/>
          <w:highlight w:val="none"/>
        </w:rPr>
      </w:pPr>
    </w:p>
    <w:p w14:paraId="04B8C7E8">
      <w:pPr>
        <w:spacing w:line="360" w:lineRule="auto"/>
        <w:rPr>
          <w:rFonts w:asciiTheme="minorEastAsia" w:hAnsiTheme="minorEastAsia" w:eastAsiaTheme="minorEastAsia"/>
          <w:color w:val="auto"/>
          <w:sz w:val="24"/>
          <w:highlight w:val="none"/>
        </w:rPr>
      </w:pPr>
    </w:p>
    <w:p w14:paraId="22499448">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3A74A3F1">
      <w:pPr>
        <w:spacing w:before="120" w:line="360" w:lineRule="auto"/>
        <w:rPr>
          <w:rFonts w:asciiTheme="minorEastAsia" w:hAnsiTheme="minorEastAsia" w:eastAsiaTheme="minorEastAsia"/>
          <w:color w:val="auto"/>
          <w:sz w:val="24"/>
          <w:highlight w:val="none"/>
        </w:rPr>
      </w:pPr>
    </w:p>
    <w:p w14:paraId="2A0F9469">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398955DB">
      <w:pPr>
        <w:spacing w:before="120" w:line="360" w:lineRule="auto"/>
        <w:rPr>
          <w:rFonts w:asciiTheme="minorEastAsia" w:hAnsiTheme="minorEastAsia" w:eastAsiaTheme="minorEastAsia"/>
          <w:color w:val="auto"/>
          <w:sz w:val="24"/>
          <w:highlight w:val="none"/>
        </w:rPr>
      </w:pPr>
    </w:p>
    <w:p w14:paraId="3F8D4CAF">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480E0A2C">
      <w:pPr>
        <w:spacing w:before="120" w:line="360" w:lineRule="auto"/>
        <w:rPr>
          <w:rFonts w:asciiTheme="minorEastAsia" w:hAnsiTheme="minorEastAsia" w:eastAsiaTheme="minorEastAsia"/>
          <w:color w:val="auto"/>
          <w:sz w:val="24"/>
          <w:highlight w:val="none"/>
        </w:rPr>
      </w:pPr>
    </w:p>
    <w:p w14:paraId="40E8D63B">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DCCD33E">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C7C7345">
      <w:pPr>
        <w:spacing w:line="400" w:lineRule="exact"/>
        <w:ind w:firstLine="588" w:firstLineChars="245"/>
        <w:rPr>
          <w:rFonts w:ascii="宋体" w:eastAsia="宋体" w:cs="Times New Roman"/>
          <w:b w:val="0"/>
          <w:bCs w:val="0"/>
          <w:kern w:val="2"/>
          <w:sz w:val="24"/>
          <w:szCs w:val="20"/>
        </w:rPr>
      </w:pPr>
      <w:r>
        <w:rPr>
          <w:rFonts w:ascii="宋体" w:eastAsia="宋体" w:cs="Times New Roman"/>
          <w:b w:val="0"/>
          <w:bCs w:val="0"/>
          <w:kern w:val="2"/>
          <w:sz w:val="24"/>
          <w:szCs w:val="20"/>
        </w:rPr>
        <w:t>鉴于</w:t>
      </w:r>
      <w:r>
        <w:rPr>
          <w:rFonts w:hint="eastAsia" w:ascii="宋体" w:eastAsia="宋体" w:cs="Times New Roman"/>
          <w:b w:val="0"/>
          <w:bCs w:val="0"/>
          <w:kern w:val="2"/>
          <w:sz w:val="24"/>
          <w:szCs w:val="20"/>
        </w:rPr>
        <w:t>甲方于</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rPr>
        <w:t>年</w:t>
      </w:r>
      <w:r>
        <w:rPr>
          <w:rFonts w:ascii="宋体" w:eastAsia="宋体" w:cs="Times New Roman"/>
          <w:b w:val="0"/>
          <w:bCs w:val="0"/>
          <w:kern w:val="2"/>
          <w:sz w:val="24"/>
          <w:szCs w:val="20"/>
          <w:u w:val="single"/>
        </w:rPr>
        <w:t xml:space="preserve">     </w:t>
      </w:r>
      <w:r>
        <w:rPr>
          <w:rFonts w:ascii="宋体" w:eastAsia="宋体" w:cs="Times New Roman"/>
          <w:b w:val="0"/>
          <w:bCs w:val="0"/>
          <w:kern w:val="2"/>
          <w:sz w:val="24"/>
          <w:szCs w:val="20"/>
        </w:rPr>
        <w:t>月</w:t>
      </w:r>
      <w:r>
        <w:rPr>
          <w:rFonts w:ascii="宋体" w:eastAsia="宋体" w:cs="Times New Roman"/>
          <w:b w:val="0"/>
          <w:bCs w:val="0"/>
          <w:kern w:val="2"/>
          <w:sz w:val="24"/>
          <w:szCs w:val="20"/>
          <w:u w:val="single"/>
        </w:rPr>
        <w:t xml:space="preserve">     </w:t>
      </w:r>
      <w:r>
        <w:rPr>
          <w:rFonts w:ascii="宋体" w:eastAsia="宋体" w:cs="Times New Roman"/>
          <w:b w:val="0"/>
          <w:bCs w:val="0"/>
          <w:kern w:val="2"/>
          <w:sz w:val="24"/>
          <w:szCs w:val="20"/>
        </w:rPr>
        <w:t>日接受</w:t>
      </w:r>
      <w:r>
        <w:rPr>
          <w:rFonts w:hint="eastAsia" w:ascii="宋体" w:eastAsia="宋体" w:cs="Times New Roman"/>
          <w:b w:val="0"/>
          <w:bCs w:val="0"/>
          <w:kern w:val="2"/>
          <w:sz w:val="24"/>
          <w:szCs w:val="20"/>
        </w:rPr>
        <w:t>乙方</w:t>
      </w:r>
      <w:r>
        <w:rPr>
          <w:rFonts w:ascii="宋体" w:eastAsia="宋体" w:cs="Times New Roman"/>
          <w:b w:val="0"/>
          <w:bCs w:val="0"/>
          <w:kern w:val="2"/>
          <w:sz w:val="24"/>
          <w:szCs w:val="20"/>
        </w:rPr>
        <w:t>对</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ascii="宋体" w:eastAsia="宋体" w:cs="Times New Roman"/>
          <w:b w:val="0"/>
          <w:bCs w:val="0"/>
          <w:kern w:val="2"/>
          <w:sz w:val="24"/>
          <w:szCs w:val="20"/>
        </w:rPr>
        <w:t>的投标，双方根据《中华人民共和国合同法》、本</w:t>
      </w:r>
      <w:r>
        <w:rPr>
          <w:rFonts w:hint="eastAsia" w:ascii="宋体" w:eastAsia="宋体" w:cs="Times New Roman"/>
          <w:b w:val="0"/>
          <w:bCs w:val="0"/>
          <w:kern w:val="2"/>
          <w:sz w:val="24"/>
          <w:szCs w:val="20"/>
        </w:rPr>
        <w:t>工程</w:t>
      </w:r>
      <w:r>
        <w:rPr>
          <w:rFonts w:ascii="宋体" w:eastAsia="宋体" w:cs="Times New Roman"/>
          <w:b w:val="0"/>
          <w:bCs w:val="0"/>
          <w:kern w:val="2"/>
          <w:sz w:val="24"/>
          <w:szCs w:val="20"/>
        </w:rPr>
        <w:t>的招标文件、投标文件及其他有关规定，经双方协商一致，签订本合同，共同遵守。</w:t>
      </w:r>
    </w:p>
    <w:p w14:paraId="45B5F8BC">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kern w:val="2"/>
          <w:sz w:val="24"/>
          <w:szCs w:val="20"/>
        </w:rPr>
        <w:t>一</w:t>
      </w:r>
      <w:r>
        <w:rPr>
          <w:rFonts w:ascii="宋体" w:eastAsia="宋体" w:cs="Times New Roman"/>
          <w:kern w:val="2"/>
          <w:sz w:val="24"/>
          <w:szCs w:val="20"/>
        </w:rPr>
        <w:t>、</w:t>
      </w:r>
      <w:r>
        <w:rPr>
          <w:rFonts w:hint="eastAsia" w:ascii="宋体" w:eastAsia="宋体" w:cs="Times New Roman"/>
          <w:bCs w:val="0"/>
          <w:kern w:val="2"/>
          <w:sz w:val="24"/>
          <w:szCs w:val="20"/>
        </w:rPr>
        <w:t>合同的组成部分：</w:t>
      </w:r>
    </w:p>
    <w:p w14:paraId="20152CC6">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(1) 合同主要条款                </w:t>
      </w:r>
    </w:p>
    <w:p w14:paraId="7787D62B">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(2) 中标通知书</w:t>
      </w:r>
    </w:p>
    <w:p w14:paraId="0368499F">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(3) 投标分项报价表               </w:t>
      </w:r>
    </w:p>
    <w:p w14:paraId="4594064E">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(4) 技术规格、商务条款偏离表           </w:t>
      </w:r>
    </w:p>
    <w:p w14:paraId="4B963307">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(5) 招标内容及要求</w:t>
      </w:r>
    </w:p>
    <w:p w14:paraId="6324E952">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(6) 合同补充条款或说明（如有的话）     </w:t>
      </w:r>
    </w:p>
    <w:p w14:paraId="4E5B5776">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(7) 承诺书      （含询标记录和优惠条件）       </w:t>
      </w:r>
    </w:p>
    <w:p w14:paraId="67E017DD">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二、</w:t>
      </w:r>
      <w:r>
        <w:rPr>
          <w:rFonts w:ascii="宋体" w:eastAsia="宋体" w:cs="Times New Roman"/>
          <w:bCs w:val="0"/>
          <w:kern w:val="2"/>
          <w:sz w:val="24"/>
          <w:szCs w:val="20"/>
        </w:rPr>
        <w:t>合同价格</w:t>
      </w:r>
      <w:r>
        <w:rPr>
          <w:rFonts w:hint="eastAsia" w:ascii="宋体" w:eastAsia="宋体" w:cs="Times New Roman"/>
          <w:bCs w:val="0"/>
          <w:kern w:val="2"/>
          <w:sz w:val="24"/>
          <w:szCs w:val="20"/>
        </w:rPr>
        <w:t>：</w:t>
      </w:r>
    </w:p>
    <w:p w14:paraId="2EDE5070">
      <w:pPr>
        <w:spacing w:line="400" w:lineRule="exact"/>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   本合同</w:t>
      </w:r>
      <w:r>
        <w:rPr>
          <w:rFonts w:ascii="宋体" w:eastAsia="宋体" w:cs="Times New Roman"/>
          <w:b w:val="0"/>
          <w:bCs w:val="0"/>
          <w:kern w:val="2"/>
          <w:sz w:val="24"/>
          <w:szCs w:val="20"/>
        </w:rPr>
        <w:t>总价为人民币</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rPr>
        <w:t>万元</w:t>
      </w:r>
      <w:r>
        <w:rPr>
          <w:rFonts w:ascii="宋体" w:eastAsia="宋体" w:cs="Times New Roman"/>
          <w:b w:val="0"/>
          <w:bCs w:val="0"/>
          <w:kern w:val="2"/>
          <w:sz w:val="24"/>
          <w:szCs w:val="20"/>
        </w:rPr>
        <w:t>（</w:t>
      </w:r>
      <w:r>
        <w:rPr>
          <w:rFonts w:hint="eastAsia" w:ascii="宋体" w:eastAsia="宋体" w:cs="Times New Roman"/>
          <w:b w:val="0"/>
          <w:bCs w:val="0"/>
          <w:kern w:val="2"/>
          <w:sz w:val="24"/>
          <w:szCs w:val="20"/>
        </w:rPr>
        <w:t>大写</w:t>
      </w:r>
      <w:r>
        <w:rPr>
          <w:rFonts w:ascii="宋体" w:eastAsia="宋体" w:cs="Times New Roman"/>
          <w:b w:val="0"/>
          <w:bCs w:val="0"/>
          <w:kern w:val="2"/>
          <w:sz w:val="24"/>
          <w:szCs w:val="20"/>
        </w:rPr>
        <w:t>：</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rPr>
        <w:t>元整</w:t>
      </w:r>
      <w:r>
        <w:rPr>
          <w:rFonts w:ascii="宋体" w:eastAsia="宋体" w:cs="Times New Roman"/>
          <w:b w:val="0"/>
          <w:bCs w:val="0"/>
          <w:kern w:val="2"/>
          <w:sz w:val="24"/>
          <w:szCs w:val="20"/>
        </w:rPr>
        <w:t>）</w:t>
      </w:r>
    </w:p>
    <w:p w14:paraId="4CA1812B">
      <w:pPr>
        <w:spacing w:line="400" w:lineRule="exact"/>
        <w:ind w:firstLine="480" w:firstLineChars="200"/>
        <w:rPr>
          <w:rFonts w:hint="eastAsia" w:ascii="宋体" w:eastAsia="宋体" w:cs="Times New Roman"/>
          <w:bCs w:val="0"/>
          <w:kern w:val="2"/>
          <w:sz w:val="24"/>
          <w:szCs w:val="20"/>
        </w:rPr>
      </w:pPr>
      <w:r>
        <w:rPr>
          <w:rFonts w:hint="eastAsia" w:ascii="宋体" w:eastAsia="宋体" w:cs="Times New Roman"/>
          <w:bCs w:val="0"/>
          <w:kern w:val="2"/>
          <w:sz w:val="24"/>
          <w:szCs w:val="20"/>
        </w:rPr>
        <w:t>三</w:t>
      </w:r>
      <w:r>
        <w:rPr>
          <w:rFonts w:ascii="宋体" w:eastAsia="宋体" w:cs="Times New Roman"/>
          <w:bCs w:val="0"/>
          <w:kern w:val="2"/>
          <w:sz w:val="24"/>
          <w:szCs w:val="20"/>
        </w:rPr>
        <w:t>、合同时间</w:t>
      </w:r>
      <w:r>
        <w:rPr>
          <w:rFonts w:hint="eastAsia" w:ascii="宋体" w:eastAsia="宋体" w:cs="Times New Roman"/>
          <w:bCs w:val="0"/>
          <w:kern w:val="2"/>
          <w:sz w:val="24"/>
          <w:szCs w:val="20"/>
        </w:rPr>
        <w:t>：</w:t>
      </w:r>
    </w:p>
    <w:p w14:paraId="693D62F7">
      <w:pPr>
        <w:spacing w:line="40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乙方</w:t>
      </w:r>
      <w:r>
        <w:rPr>
          <w:rFonts w:ascii="宋体" w:eastAsia="宋体" w:cs="Times New Roman"/>
          <w:b w:val="0"/>
          <w:bCs w:val="0"/>
          <w:kern w:val="2"/>
          <w:sz w:val="24"/>
          <w:szCs w:val="20"/>
        </w:rPr>
        <w:t>需在检测</w:t>
      </w:r>
      <w:r>
        <w:rPr>
          <w:rFonts w:hint="eastAsia" w:ascii="宋体" w:eastAsia="宋体" w:cs="Times New Roman"/>
          <w:b w:val="0"/>
          <w:bCs w:val="0"/>
          <w:kern w:val="2"/>
          <w:sz w:val="24"/>
          <w:szCs w:val="20"/>
        </w:rPr>
        <w:t>服务</w:t>
      </w:r>
      <w:r>
        <w:rPr>
          <w:rFonts w:ascii="宋体" w:eastAsia="宋体" w:cs="Times New Roman"/>
          <w:b w:val="0"/>
          <w:bCs w:val="0"/>
          <w:kern w:val="2"/>
          <w:sz w:val="24"/>
          <w:szCs w:val="20"/>
        </w:rPr>
        <w:t>合同签订后</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rPr>
        <w:t>日历天内</w:t>
      </w:r>
      <w:r>
        <w:rPr>
          <w:rFonts w:ascii="宋体" w:eastAsia="宋体" w:cs="Times New Roman"/>
          <w:b w:val="0"/>
          <w:bCs w:val="0"/>
          <w:kern w:val="2"/>
          <w:sz w:val="24"/>
          <w:szCs w:val="20"/>
        </w:rPr>
        <w:t>完成</w:t>
      </w:r>
      <w:r>
        <w:rPr>
          <w:rFonts w:hint="eastAsia" w:ascii="宋体" w:eastAsia="宋体" w:cs="Times New Roman"/>
          <w:b w:val="0"/>
          <w:bCs w:val="0"/>
          <w:kern w:val="2"/>
          <w:sz w:val="24"/>
          <w:szCs w:val="20"/>
        </w:rPr>
        <w:t>全部</w:t>
      </w:r>
      <w:r>
        <w:rPr>
          <w:rFonts w:ascii="宋体" w:eastAsia="宋体" w:cs="Times New Roman"/>
          <w:b w:val="0"/>
          <w:bCs w:val="0"/>
          <w:kern w:val="2"/>
          <w:sz w:val="24"/>
          <w:szCs w:val="20"/>
        </w:rPr>
        <w:t>检测</w:t>
      </w:r>
      <w:r>
        <w:rPr>
          <w:rFonts w:hint="eastAsia" w:ascii="宋体" w:eastAsia="宋体" w:cs="Times New Roman"/>
          <w:b w:val="0"/>
          <w:bCs w:val="0"/>
          <w:kern w:val="2"/>
          <w:sz w:val="24"/>
          <w:szCs w:val="20"/>
        </w:rPr>
        <w:t>及</w:t>
      </w:r>
      <w:r>
        <w:rPr>
          <w:rFonts w:ascii="宋体" w:eastAsia="宋体" w:cs="Times New Roman"/>
          <w:b w:val="0"/>
          <w:bCs w:val="0"/>
          <w:kern w:val="2"/>
          <w:sz w:val="24"/>
          <w:szCs w:val="20"/>
        </w:rPr>
        <w:t>报告撰写工作</w:t>
      </w:r>
      <w:r>
        <w:rPr>
          <w:rFonts w:hint="eastAsia" w:ascii="宋体" w:eastAsia="宋体" w:cs="Times New Roman"/>
          <w:b w:val="0"/>
          <w:bCs w:val="0"/>
          <w:kern w:val="2"/>
          <w:sz w:val="24"/>
          <w:szCs w:val="20"/>
        </w:rPr>
        <w:t>，完善一桥一档，</w:t>
      </w:r>
      <w:r>
        <w:rPr>
          <w:rFonts w:ascii="宋体" w:eastAsia="宋体" w:cs="Times New Roman"/>
          <w:b w:val="0"/>
          <w:bCs w:val="0"/>
          <w:kern w:val="2"/>
          <w:sz w:val="24"/>
          <w:szCs w:val="20"/>
        </w:rPr>
        <w:t>并</w:t>
      </w:r>
      <w:r>
        <w:rPr>
          <w:rFonts w:hint="eastAsia" w:ascii="宋体" w:eastAsia="宋体" w:cs="Times New Roman"/>
          <w:b w:val="0"/>
          <w:bCs w:val="0"/>
          <w:kern w:val="2"/>
          <w:sz w:val="24"/>
          <w:szCs w:val="20"/>
        </w:rPr>
        <w:t>将本次检测范围内桥梁基本信息及检测结果录入采购人指定的信息管理系统，格式以系统格式为准。</w:t>
      </w:r>
    </w:p>
    <w:p w14:paraId="2AA18EB7">
      <w:pPr>
        <w:spacing w:line="400" w:lineRule="exact"/>
        <w:ind w:firstLine="480" w:firstLineChars="200"/>
        <w:rPr>
          <w:rFonts w:hint="eastAsia" w:ascii="宋体" w:eastAsia="宋体" w:cs="Times New Roman"/>
          <w:bCs w:val="0"/>
          <w:kern w:val="2"/>
          <w:sz w:val="24"/>
          <w:szCs w:val="20"/>
        </w:rPr>
      </w:pPr>
      <w:r>
        <w:rPr>
          <w:rFonts w:hint="eastAsia" w:ascii="宋体" w:eastAsia="宋体" w:cs="Times New Roman"/>
          <w:bCs w:val="0"/>
          <w:kern w:val="2"/>
          <w:sz w:val="24"/>
          <w:szCs w:val="20"/>
        </w:rPr>
        <w:t>四</w:t>
      </w:r>
      <w:r>
        <w:rPr>
          <w:rFonts w:ascii="宋体" w:eastAsia="宋体" w:cs="Times New Roman"/>
          <w:bCs w:val="0"/>
          <w:kern w:val="2"/>
          <w:sz w:val="24"/>
          <w:szCs w:val="20"/>
        </w:rPr>
        <w:t>、合同内容及实施要求</w:t>
      </w:r>
      <w:r>
        <w:rPr>
          <w:rFonts w:hint="eastAsia" w:ascii="宋体" w:eastAsia="宋体" w:cs="Times New Roman"/>
          <w:bCs w:val="0"/>
          <w:kern w:val="2"/>
          <w:sz w:val="24"/>
          <w:szCs w:val="20"/>
        </w:rPr>
        <w:t>：</w:t>
      </w:r>
    </w:p>
    <w:p w14:paraId="3E42ED40">
      <w:pPr>
        <w:spacing w:line="400" w:lineRule="exact"/>
        <w:ind w:firstLine="480" w:firstLineChars="200"/>
        <w:rPr>
          <w:rFonts w:ascii="宋体" w:eastAsia="宋体" w:cs="Times New Roman"/>
          <w:bCs w:val="0"/>
          <w:kern w:val="2"/>
          <w:sz w:val="24"/>
          <w:szCs w:val="20"/>
          <w:highlight w:val="yellow"/>
        </w:rPr>
      </w:pPr>
      <w:r>
        <w:rPr>
          <w:rFonts w:hint="eastAsia" w:ascii="宋体" w:eastAsia="宋体" w:cs="Times New Roman"/>
          <w:bCs w:val="0"/>
          <w:kern w:val="2"/>
          <w:sz w:val="24"/>
          <w:szCs w:val="20"/>
        </w:rPr>
        <w:t>合同内容</w:t>
      </w:r>
      <w:r>
        <w:rPr>
          <w:rFonts w:ascii="宋体" w:eastAsia="宋体" w:cs="Times New Roman"/>
          <w:bCs w:val="0"/>
          <w:kern w:val="2"/>
          <w:sz w:val="24"/>
          <w:szCs w:val="20"/>
        </w:rPr>
        <w:t>包括桥梁常规检测。</w:t>
      </w:r>
    </w:p>
    <w:p w14:paraId="101DBAB6">
      <w:pPr>
        <w:spacing w:line="400" w:lineRule="exact"/>
        <w:ind w:firstLine="480" w:firstLineChars="200"/>
        <w:rPr>
          <w:rFonts w:hint="eastAsia" w:ascii="宋体" w:eastAsia="宋体" w:cs="Times New Roman"/>
          <w:bCs w:val="0"/>
          <w:kern w:val="2"/>
          <w:sz w:val="24"/>
          <w:szCs w:val="20"/>
        </w:rPr>
      </w:pPr>
      <w:r>
        <w:rPr>
          <w:rFonts w:hint="eastAsia" w:ascii="宋体" w:eastAsia="宋体" w:cs="Times New Roman"/>
          <w:bCs w:val="0"/>
          <w:kern w:val="2"/>
          <w:sz w:val="24"/>
          <w:szCs w:val="20"/>
        </w:rPr>
        <w:t>（一）</w:t>
      </w:r>
      <w:r>
        <w:rPr>
          <w:rFonts w:ascii="宋体" w:eastAsia="宋体" w:cs="Times New Roman"/>
          <w:bCs w:val="0"/>
          <w:kern w:val="2"/>
          <w:sz w:val="24"/>
          <w:szCs w:val="20"/>
        </w:rPr>
        <w:t>检测</w:t>
      </w:r>
      <w:r>
        <w:rPr>
          <w:rFonts w:hint="eastAsia" w:ascii="宋体" w:eastAsia="宋体" w:cs="Times New Roman"/>
          <w:bCs w:val="0"/>
          <w:kern w:val="2"/>
          <w:sz w:val="24"/>
          <w:szCs w:val="20"/>
        </w:rPr>
        <w:t>内容：</w:t>
      </w:r>
    </w:p>
    <w:p w14:paraId="6273EDDF">
      <w:pPr>
        <w:spacing w:line="460" w:lineRule="exact"/>
        <w:ind w:firstLine="480" w:firstLineChars="200"/>
        <w:rPr>
          <w:rFonts w:ascii="宋体" w:eastAsia="宋体" w:cs="Times New Roman"/>
          <w:bCs w:val="0"/>
          <w:kern w:val="2"/>
          <w:sz w:val="24"/>
          <w:szCs w:val="20"/>
        </w:rPr>
      </w:pPr>
      <w:r>
        <w:rPr>
          <w:rFonts w:hint="eastAsia" w:ascii="宋体" w:eastAsia="宋体" w:cs="Times New Roman"/>
          <w:bCs w:val="0"/>
          <w:kern w:val="2"/>
          <w:sz w:val="24"/>
          <w:szCs w:val="20"/>
        </w:rPr>
        <w:t>1．桥梁常规定期检测：</w:t>
      </w:r>
    </w:p>
    <w:p w14:paraId="47E8A74A">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（1）对照城市桥梁资料卡和设备量年报表现场校核城市桥梁的基本数据，并符合标准附录要求。</w:t>
      </w:r>
    </w:p>
    <w:p w14:paraId="79ABF654">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（2）对桥梁（含桥头引道）的外观状态进行全面检测，记录病害状况，实地判断损坏原因，估计维修范围和方案。</w:t>
      </w:r>
    </w:p>
    <w:p w14:paraId="02A33DD0">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Cs w:val="0"/>
          <w:kern w:val="2"/>
          <w:sz w:val="24"/>
          <w:szCs w:val="20"/>
        </w:rPr>
        <w:t>检测范围为：</w:t>
      </w:r>
    </w:p>
    <w:p w14:paraId="7647331C">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①桥面系包括桥面铺装、桥头搭板、伸缩装置、排水系统、人行道、栏杆或护栏；</w:t>
      </w:r>
    </w:p>
    <w:p w14:paraId="6CFA708C">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②上部结构包括主梁、主桁架、主拱圈、横梁、横向联系、主节点、挂梁、连接件等；</w:t>
      </w:r>
    </w:p>
    <w:p w14:paraId="7C2B59E4">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③下部结构包括支座、盖梁、墩身、台帽、台身、基础、挡土墙、护坡及河床冲刷情况等。</w:t>
      </w:r>
    </w:p>
    <w:p w14:paraId="6A1048B9">
      <w:pPr>
        <w:spacing w:line="460" w:lineRule="exact"/>
        <w:ind w:firstLine="480" w:firstLineChars="200"/>
        <w:rPr>
          <w:rFonts w:ascii="宋体" w:eastAsia="宋体" w:cs="Times New Roman"/>
          <w:b w:val="0"/>
          <w:bCs/>
          <w:kern w:val="2"/>
          <w:sz w:val="24"/>
          <w:szCs w:val="20"/>
        </w:rPr>
      </w:pPr>
      <w:r>
        <w:rPr>
          <w:rFonts w:hint="eastAsia" w:ascii="宋体" w:eastAsia="宋体" w:cs="Times New Roman"/>
          <w:b w:val="0"/>
          <w:bCs/>
          <w:kern w:val="2"/>
          <w:sz w:val="24"/>
          <w:szCs w:val="20"/>
        </w:rPr>
        <w:t>检测内容包括：</w:t>
      </w:r>
    </w:p>
    <w:p w14:paraId="6BC0D476">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桥梁的基本几何尺寸调查，包括界面尺寸、跨径等。</w:t>
      </w:r>
    </w:p>
    <w:p w14:paraId="32C51D6F">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桥梁实际承担的车辆荷载及交通流量分析。</w:t>
      </w:r>
    </w:p>
    <w:p w14:paraId="5E9DE63B">
      <w:pPr>
        <w:numPr>
          <w:ilvl w:val="0"/>
          <w:numId w:val="11"/>
        </w:numPr>
        <w:spacing w:line="460" w:lineRule="exact"/>
        <w:rPr>
          <w:rFonts w:ascii="宋体" w:eastAsia="宋体" w:cs="Times New Roman"/>
          <w:b w:val="0"/>
          <w:bCs/>
          <w:kern w:val="2"/>
          <w:sz w:val="24"/>
          <w:szCs w:val="22"/>
        </w:rPr>
      </w:pPr>
      <w:bookmarkStart w:id="69" w:name="_Hlk521937931"/>
      <w:r>
        <w:rPr>
          <w:rFonts w:hint="eastAsia" w:ascii="宋体" w:eastAsia="宋体" w:cs="Times New Roman"/>
          <w:b w:val="0"/>
          <w:bCs/>
          <w:kern w:val="2"/>
          <w:sz w:val="24"/>
          <w:szCs w:val="22"/>
        </w:rPr>
        <w:t>Ⅰ类养护的桥梁</w:t>
      </w:r>
      <w:bookmarkEnd w:id="69"/>
      <w:r>
        <w:rPr>
          <w:rFonts w:hint="eastAsia" w:ascii="宋体" w:eastAsia="宋体" w:cs="Times New Roman"/>
          <w:b w:val="0"/>
          <w:bCs/>
          <w:kern w:val="2"/>
          <w:sz w:val="24"/>
          <w:szCs w:val="22"/>
        </w:rPr>
        <w:t>结构变位测量，应包括下列内容：一是桥面结构纵向线形，桥面标高和墩（台）顶的水平变位；塔顶变位，主缆线形；拱轴线侧向偏离，拱肋矢高等。二是桥梁墩台基础竖向沉降、水平变位和转角。</w:t>
      </w:r>
    </w:p>
    <w:p w14:paraId="1F7E2056">
      <w:pPr>
        <w:spacing w:line="460" w:lineRule="exact"/>
        <w:ind w:left="840"/>
        <w:rPr>
          <w:rFonts w:ascii="宋体" w:eastAsia="宋体" w:cs="Times New Roman"/>
          <w:b w:val="0"/>
          <w:bCs/>
          <w:kern w:val="2"/>
          <w:sz w:val="24"/>
          <w:szCs w:val="22"/>
        </w:rPr>
      </w:pPr>
      <w:r>
        <w:rPr>
          <w:rFonts w:hint="eastAsia" w:ascii="宋体" w:eastAsia="宋体" w:cs="Times New Roman"/>
          <w:b w:val="0"/>
          <w:bCs/>
          <w:kern w:val="2"/>
          <w:sz w:val="24"/>
          <w:szCs w:val="22"/>
        </w:rPr>
        <w:t>Ⅰ类养护的桥梁拉力索力和吊杆拉力测量。系杆拱桥、悬索桥及斜拉桥通过吊杆振动频率测试，对比分析历年吊杆力；检查悬索桥吊杆上端与主缆索的索夹是否有松动、移位，下端与梁连接的螺栓有无松动等问题。</w:t>
      </w:r>
    </w:p>
    <w:p w14:paraId="36938FFC">
      <w:pPr>
        <w:spacing w:line="460" w:lineRule="exact"/>
        <w:ind w:left="840"/>
        <w:rPr>
          <w:rFonts w:ascii="宋体" w:eastAsia="宋体" w:cs="Times New Roman"/>
          <w:b w:val="0"/>
          <w:bCs/>
          <w:kern w:val="2"/>
          <w:sz w:val="24"/>
          <w:szCs w:val="22"/>
        </w:rPr>
      </w:pPr>
      <w:r>
        <w:rPr>
          <w:rFonts w:hint="eastAsia" w:ascii="宋体" w:eastAsia="宋体" w:cs="Times New Roman"/>
          <w:b w:val="0"/>
          <w:bCs/>
          <w:kern w:val="2"/>
          <w:sz w:val="24"/>
          <w:szCs w:val="22"/>
        </w:rPr>
        <w:t>拱桥及软弱地基桥梁的沉降测量；独柱式墩桥梁墩柱的侧向倾角及梁体相对水平位移值测量。</w:t>
      </w:r>
    </w:p>
    <w:p w14:paraId="74A442B0">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Ⅰ类养护城市桥梁应按影响结构安全状况进行评估；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14:paraId="123DD5EA">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裂缝检测。检查梁体是否有裂缝出现或裂缝的分布情况，对于预应力</w:t>
      </w:r>
      <w:r>
        <w:rPr>
          <w:rFonts w:hint="eastAsia" w:ascii="宋体" w:eastAsia="宋体" w:cs="微软雅黑"/>
          <w:b w:val="0"/>
          <w:bCs/>
          <w:kern w:val="2"/>
          <w:sz w:val="24"/>
          <w:szCs w:val="22"/>
        </w:rPr>
        <w:t>砼</w:t>
      </w:r>
      <w:r>
        <w:rPr>
          <w:rFonts w:hint="eastAsia" w:ascii="宋体" w:eastAsia="宋体" w:cs="仿宋_GB2312"/>
          <w:b w:val="0"/>
          <w:bCs/>
          <w:kern w:val="2"/>
          <w:sz w:val="24"/>
          <w:szCs w:val="22"/>
        </w:rPr>
        <w:t>结构着重检查梁体有无裂缝出现，若存在裂缝的话则详细调查其分布情况（含位置、长度、宽度、深度、分布范围等），并详细</w:t>
      </w:r>
      <w:r>
        <w:rPr>
          <w:rFonts w:hint="eastAsia" w:ascii="宋体" w:eastAsia="宋体" w:cs="Times New Roman"/>
          <w:b w:val="0"/>
          <w:bCs/>
          <w:kern w:val="2"/>
          <w:sz w:val="24"/>
          <w:szCs w:val="22"/>
        </w:rPr>
        <w:t>分析裂缝产生的原因。对于普通钢筋</w:t>
      </w:r>
      <w:r>
        <w:rPr>
          <w:rFonts w:hint="eastAsia" w:ascii="宋体" w:eastAsia="宋体" w:cs="微软雅黑"/>
          <w:b w:val="0"/>
          <w:bCs/>
          <w:kern w:val="2"/>
          <w:sz w:val="24"/>
          <w:szCs w:val="22"/>
        </w:rPr>
        <w:t>砼</w:t>
      </w:r>
      <w:r>
        <w:rPr>
          <w:rFonts w:hint="eastAsia" w:ascii="宋体" w:eastAsia="宋体" w:cs="仿宋_GB2312"/>
          <w:b w:val="0"/>
          <w:bCs/>
          <w:kern w:val="2"/>
          <w:sz w:val="24"/>
          <w:szCs w:val="22"/>
        </w:rPr>
        <w:t>结构需掌握裂缝的分布情况绘制相应的裂缝分布图，若裂缝宽度超出规范限值要求则应进行裂缝深度、成因等调查。</w:t>
      </w:r>
    </w:p>
    <w:p w14:paraId="39A5703E">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支座检测。检查桥梁支座是否正常工作，有无错位、断裂或脱空等情况，描述支座病害，做病害记录。</w:t>
      </w:r>
    </w:p>
    <w:p w14:paraId="63568EA7">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伸缩装置检测。检查伸缩装置与桥面铺装是否存在高差；检查伸缩装置是否完好，结构缝宽是否存在异常，有否卡死，有否异常声响。</w:t>
      </w:r>
    </w:p>
    <w:p w14:paraId="3D1EB0C7">
      <w:pPr>
        <w:numPr>
          <w:ilvl w:val="0"/>
          <w:numId w:val="11"/>
        </w:numPr>
        <w:spacing w:line="460" w:lineRule="exact"/>
        <w:rPr>
          <w:rFonts w:ascii="宋体" w:eastAsia="宋体" w:cs="Times New Roman"/>
          <w:b w:val="0"/>
          <w:bCs/>
          <w:kern w:val="2"/>
          <w:sz w:val="24"/>
          <w:szCs w:val="22"/>
        </w:rPr>
      </w:pPr>
      <w:r>
        <w:rPr>
          <w:rFonts w:hint="eastAsia" w:ascii="宋体" w:eastAsia="宋体" w:cs="Times New Roman"/>
          <w:b w:val="0"/>
          <w:bCs/>
          <w:kern w:val="2"/>
          <w:sz w:val="24"/>
          <w:szCs w:val="22"/>
        </w:rPr>
        <w:t>检测中发现的桥梁病害应作记录，重要病害应在现场做出标记，超标的裂缝应该设永久裂缝观测标记、以便以后观测。</w:t>
      </w:r>
    </w:p>
    <w:p w14:paraId="60F97577">
      <w:pPr>
        <w:numPr>
          <w:ilvl w:val="0"/>
          <w:numId w:val="11"/>
        </w:numPr>
        <w:spacing w:line="460" w:lineRule="exact"/>
        <w:rPr>
          <w:rFonts w:hint="eastAsia" w:ascii="宋体" w:hAnsi="宋体" w:eastAsia="宋体" w:cs="Times New Roman"/>
          <w:b w:val="0"/>
          <w:bCs/>
          <w:kern w:val="2"/>
          <w:sz w:val="24"/>
          <w:szCs w:val="22"/>
        </w:rPr>
      </w:pPr>
      <w:r>
        <w:rPr>
          <w:rFonts w:hint="eastAsia" w:ascii="宋体" w:hAnsi="宋体" w:eastAsia="宋体" w:cs="Times New Roman"/>
          <w:b w:val="0"/>
          <w:bCs/>
          <w:kern w:val="2"/>
          <w:sz w:val="24"/>
          <w:szCs w:val="22"/>
        </w:rPr>
        <w:t>按照《浙江省城市桥梁护栏升级改造专项工作技术导则》对桥梁护栏进行等级评定。</w:t>
      </w:r>
    </w:p>
    <w:p w14:paraId="191AD964">
      <w:pPr>
        <w:spacing w:line="460" w:lineRule="exact"/>
        <w:ind w:firstLine="482" w:firstLineChars="200"/>
        <w:rPr>
          <w:rFonts w:hint="eastAsia" w:ascii="宋体" w:eastAsia="宋体" w:cs="Times New Roman"/>
          <w:b/>
          <w:bCs/>
          <w:kern w:val="2"/>
          <w:sz w:val="24"/>
          <w:szCs w:val="20"/>
        </w:rPr>
      </w:pPr>
      <w:r>
        <w:rPr>
          <w:rFonts w:hint="eastAsia" w:ascii="宋体" w:eastAsia="宋体" w:cs="Times New Roman"/>
          <w:b/>
          <w:bCs/>
          <w:kern w:val="2"/>
          <w:sz w:val="24"/>
          <w:szCs w:val="20"/>
        </w:rPr>
        <w:t>2.桥梁结构定期检测：</w:t>
      </w:r>
    </w:p>
    <w:p w14:paraId="59A6B8A5">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（1）查阅历年检测报告和常规定期检测中提出的建议。</w:t>
      </w:r>
    </w:p>
    <w:p w14:paraId="38812335">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（2）根据常规定期检测中桥梁状况评定结果，进行梁体线形、墩柱沉降及结构构建的检测。</w:t>
      </w:r>
    </w:p>
    <w:p w14:paraId="68D7E9E9">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3）通过现场检测试验确定材料特性、退化程度和退化性质。对桥梁的梁板、墩柱、桥台等主要构件进行无损检测。检测不得对桥梁结构造成损坏，对桥梁混凝土及表面涂装必要的布局损坏，在检测结束后负责原样恢复。</w:t>
      </w:r>
    </w:p>
    <w:p w14:paraId="09454113">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无损检测内容至少应该包含以下内容：</w:t>
      </w:r>
    </w:p>
    <w:p w14:paraId="354EE667">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①桥梁结构几何参数检测。检测内容包括构件长度与截面尺寸，桥面铺装厚度，结构验算需采用的其他几何参数。</w:t>
      </w:r>
    </w:p>
    <w:p w14:paraId="717A96F5">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②检测混凝土的强度、碳化深度。砼强度检测每个构件不少于5个测区；碳化深度检测每个构件不少于5个测点。</w:t>
      </w:r>
    </w:p>
    <w:p w14:paraId="575CE73A">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③探测混凝土保护层厚度，每个构件不少于5个测点。</w:t>
      </w:r>
    </w:p>
    <w:p w14:paraId="394319EE">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 ④通过检测判断钢筋锈蚀状况的可能性，每个构件不少于5个测区。</w:t>
      </w:r>
    </w:p>
    <w:p w14:paraId="1E1B357F">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⑤混凝土构件缺损程度评定，运用碳化深度数据推定构件剩余使用年限和对钢筋锈蚀的影响，根据桥梁外观检查结果对钢筋的锈蚀情况进行检测。</w:t>
      </w:r>
    </w:p>
    <w:p w14:paraId="7E267F99">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（4）箱梁裂缝检查及箱梁内窥镜检查。内窥镜检测内容：需通过现有箱梁排水孔或排气孔探入摄像头，初查箱梁内积水、破损状况。</w:t>
      </w:r>
    </w:p>
    <w:p w14:paraId="746718D7">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 （5）吊杆拉力测量，与往年吊杆拉力进行对比分析；检查吊杆上端的索夹、下端与梁体连接的螺栓有否松动、锈蚀等问题。</w:t>
      </w:r>
    </w:p>
    <w:p w14:paraId="2171949D">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（6）Ⅰ类养护的桥梁（单跨跨径较大或特殊结构桥梁）需进行结构线性与变位检测。检测内容应包括桥面标高和墩（台）顶的水平变位，桥梁墩台基础竖向沉降、水平变位和转角。</w:t>
      </w:r>
    </w:p>
    <w:p w14:paraId="5EBA5F26">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7）对桥梁进行结构检算，包括承载力检算、稳定性检算和刚度验算。检算主要构件能否达到设计荷载标准，根据相关规范对桥梁的承载力和耐久性进行评估。桥梁结构检算评定时，所用构件的几何尺寸、变位、材料强度值、缺损程度宜以结构实体检测结果为依据。</w:t>
      </w:r>
    </w:p>
    <w:p w14:paraId="4EBDFA77">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（8）根据现场检测结果，分析确定退化的原因，以及对结构性能的耐久性的影响。根据《标准》第4.3.14条内容，对桥梁构件进行侵蚀环境分类。</w:t>
      </w:r>
    </w:p>
    <w:p w14:paraId="1F897D49">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（9）对可能影响结构正常工作的构件，评价其在下一次检测之前的可能退化情况；如构件在下一次检测前可能失效，需立即报告桥梁养护管理部门。</w:t>
      </w:r>
    </w:p>
    <w:p w14:paraId="25A1716D">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（10）检测河道的淤积、冲刷等现象，记录水位。</w:t>
      </w:r>
    </w:p>
    <w:p w14:paraId="62811301">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（11）必要时对桥梁进行荷载试验和分析评估。城市桥梁的荷载试验评估按有关标准进行。</w:t>
      </w:r>
    </w:p>
    <w:p w14:paraId="2ECCF228">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（12）通过综合检测评定，确定具有潜在退化可能或已处于退化状况的桥梁构件，提出相应的养护措施。</w:t>
      </w:r>
    </w:p>
    <w:p w14:paraId="1BCE91CB">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（13）系杆拱桥、悬索桥、斜拉桥应进行动力特性及重要部位的内力静载试验检测。检测报告应结合历年各项检测结果综合分析。</w:t>
      </w:r>
    </w:p>
    <w:p w14:paraId="3F298360">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（3）对难以判断其损坏程度和原因的构件，提出做特殊检测的建议。</w:t>
      </w:r>
    </w:p>
    <w:p w14:paraId="3BDD39EC">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（4）对损坏严重、危及安全的城市桥梁，提出限载以及暂时限制交通的建议。</w:t>
      </w:r>
    </w:p>
    <w:p w14:paraId="4A58F120">
      <w:pPr>
        <w:spacing w:line="460" w:lineRule="exact"/>
        <w:ind w:firstLine="480" w:firstLineChars="200"/>
        <w:rPr>
          <w:rFonts w:ascii="宋体" w:eastAsia="宋体" w:cs="Times New Roman"/>
          <w:b w:val="0"/>
          <w:bCs w:val="0"/>
          <w:kern w:val="2"/>
          <w:sz w:val="24"/>
          <w:szCs w:val="20"/>
        </w:rPr>
      </w:pPr>
      <w:r>
        <w:rPr>
          <w:rFonts w:hint="eastAsia" w:ascii="宋体" w:eastAsia="宋体" w:cs="Times New Roman"/>
          <w:b w:val="0"/>
          <w:bCs w:val="0"/>
          <w:kern w:val="2"/>
          <w:sz w:val="24"/>
          <w:szCs w:val="20"/>
        </w:rPr>
        <w:t>（5）根据城市桥梁技术状况，确定下次检测时间。</w:t>
      </w:r>
    </w:p>
    <w:p w14:paraId="02F60E15">
      <w:pPr>
        <w:spacing w:line="460" w:lineRule="exact"/>
        <w:ind w:firstLine="480" w:firstLineChars="200"/>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（6）将桥梁基本信息、检测情况及处置录入信息系统。</w:t>
      </w:r>
    </w:p>
    <w:p w14:paraId="2574E37F">
      <w:pPr>
        <w:autoSpaceDE w:val="0"/>
        <w:autoSpaceDN w:val="0"/>
        <w:adjustRightInd w:val="0"/>
        <w:spacing w:line="360" w:lineRule="auto"/>
        <w:ind w:firstLine="442" w:firstLineChars="200"/>
        <w:jc w:val="left"/>
        <w:rPr>
          <w:rFonts w:hint="eastAsia" w:ascii="宋体" w:eastAsia="宋体"/>
          <w:b/>
          <w:bCs/>
          <w:color w:val="auto"/>
          <w:sz w:val="22"/>
          <w:szCs w:val="22"/>
        </w:rPr>
      </w:pPr>
      <w:r>
        <w:rPr>
          <w:rFonts w:hint="eastAsia" w:ascii="宋体" w:eastAsia="宋体"/>
          <w:b/>
          <w:bCs/>
          <w:color w:val="auto"/>
          <w:sz w:val="22"/>
          <w:szCs w:val="22"/>
          <w:lang w:val="en-US" w:eastAsia="zh-CN"/>
        </w:rPr>
        <w:t>3、</w:t>
      </w:r>
      <w:r>
        <w:rPr>
          <w:rFonts w:hint="eastAsia" w:ascii="宋体" w:eastAsia="宋体"/>
          <w:b/>
          <w:bCs/>
          <w:color w:val="auto"/>
          <w:sz w:val="22"/>
          <w:szCs w:val="22"/>
        </w:rPr>
        <w:t>道路检测内容（应满足《城镇道路养护技术规范》CJJ36-2016道路检测相关要求）：</w:t>
      </w:r>
    </w:p>
    <w:p w14:paraId="2D8A023C">
      <w:pPr>
        <w:spacing w:line="360" w:lineRule="auto"/>
        <w:ind w:firstLine="539" w:firstLineChars="245"/>
        <w:rPr>
          <w:rFonts w:hint="eastAsia" w:ascii="宋体" w:eastAsia="宋体"/>
          <w:b w:val="0"/>
          <w:bCs w:val="0"/>
          <w:color w:val="auto"/>
          <w:sz w:val="22"/>
          <w:szCs w:val="22"/>
        </w:rPr>
      </w:pPr>
      <w:r>
        <w:rPr>
          <w:rFonts w:hint="eastAsia" w:ascii="宋体" w:eastAsia="宋体"/>
          <w:b w:val="0"/>
          <w:bCs w:val="0"/>
          <w:color w:val="auto"/>
          <w:sz w:val="22"/>
          <w:szCs w:val="22"/>
        </w:rPr>
        <w:t>1）检测内容包括常规检测（路面病害状况调查、平整度、抗滑性能检测。进行路面技术状况评价，包括路面行驶质量RQI、路面损坏状况PCI、抗滑性能（BPN、TD、SFC）和路面综合评价指数PQI;进行道路养护状况评定）。</w:t>
      </w:r>
    </w:p>
    <w:p w14:paraId="0C95E4B5">
      <w:pPr>
        <w:spacing w:line="360" w:lineRule="auto"/>
        <w:ind w:firstLine="539" w:firstLineChars="245"/>
        <w:rPr>
          <w:rFonts w:hint="eastAsia" w:ascii="宋体" w:eastAsia="宋体"/>
          <w:b w:val="0"/>
          <w:bCs w:val="0"/>
          <w:color w:val="auto"/>
          <w:sz w:val="22"/>
          <w:szCs w:val="22"/>
        </w:rPr>
      </w:pPr>
      <w:r>
        <w:rPr>
          <w:rFonts w:hint="eastAsia" w:ascii="宋体" w:eastAsia="宋体"/>
          <w:b w:val="0"/>
          <w:bCs w:val="0"/>
          <w:color w:val="auto"/>
          <w:sz w:val="22"/>
          <w:szCs w:val="22"/>
        </w:rPr>
        <w:t>2）道路脱空检测采用探地雷达法（深度5~7m）应符合《城市地下病害体综合探测与风险评估技术标准》JGJ/T 437、《道路塌陷隐患雷达检测技术规程》T/CEMA 2、《道路塌陷隐患雷达检测技术导则》RSIN-TG024的相关规定。</w:t>
      </w:r>
    </w:p>
    <w:p w14:paraId="4A3921A0">
      <w:pPr>
        <w:spacing w:line="360" w:lineRule="auto"/>
        <w:ind w:firstLine="539" w:firstLineChars="245"/>
        <w:rPr>
          <w:rFonts w:hint="eastAsia" w:ascii="宋体"/>
          <w:b w:val="0"/>
          <w:bCs w:val="0"/>
          <w:color w:val="auto"/>
          <w:sz w:val="22"/>
          <w:szCs w:val="22"/>
        </w:rPr>
      </w:pPr>
      <w:r>
        <w:rPr>
          <w:rFonts w:hint="eastAsia" w:ascii="宋体" w:eastAsia="宋体"/>
          <w:b w:val="0"/>
          <w:bCs w:val="0"/>
          <w:color w:val="auto"/>
          <w:sz w:val="22"/>
          <w:szCs w:val="22"/>
        </w:rPr>
        <w:t>形成检测结果（判明检测道路存在的土体疏松、富水区、脱空、空洞等缺陷情况，明确病害的位置、大小及埋深，对形成原因进行初步分析），并分析现存隐患可能产生的影响程度，提出相应的处理和维修方案</w:t>
      </w:r>
      <w:r>
        <w:rPr>
          <w:rFonts w:hint="eastAsia"/>
          <w:b w:val="0"/>
          <w:bCs w:val="0"/>
          <w:color w:val="auto"/>
        </w:rPr>
        <w:t>。</w:t>
      </w:r>
    </w:p>
    <w:p w14:paraId="49145486">
      <w:pPr>
        <w:spacing w:line="360" w:lineRule="auto"/>
        <w:ind w:firstLine="539" w:firstLineChars="245"/>
        <w:rPr>
          <w:rFonts w:hint="eastAsia" w:ascii="宋体" w:eastAsia="宋体"/>
          <w:b w:val="0"/>
          <w:bCs w:val="0"/>
          <w:color w:val="auto"/>
          <w:sz w:val="22"/>
          <w:szCs w:val="22"/>
        </w:rPr>
      </w:pPr>
      <w:r>
        <w:rPr>
          <w:rFonts w:hint="eastAsia" w:ascii="宋体"/>
          <w:b w:val="0"/>
          <w:bCs w:val="0"/>
          <w:color w:val="auto"/>
          <w:sz w:val="22"/>
          <w:szCs w:val="22"/>
        </w:rPr>
        <w:t>3</w:t>
      </w:r>
      <w:r>
        <w:rPr>
          <w:rFonts w:hint="eastAsia" w:ascii="宋体" w:eastAsia="宋体"/>
          <w:b w:val="0"/>
          <w:bCs w:val="0"/>
          <w:color w:val="auto"/>
          <w:sz w:val="22"/>
          <w:szCs w:val="22"/>
        </w:rPr>
        <w:t>）实地判断损坏原因，估计维修范围和方案；</w:t>
      </w:r>
    </w:p>
    <w:p w14:paraId="13C7FFCC">
      <w:pPr>
        <w:spacing w:line="360" w:lineRule="auto"/>
        <w:ind w:firstLine="539" w:firstLineChars="245"/>
        <w:rPr>
          <w:rFonts w:hint="eastAsia" w:ascii="宋体" w:eastAsia="宋体"/>
          <w:b w:val="0"/>
          <w:bCs w:val="0"/>
          <w:color w:val="auto"/>
          <w:sz w:val="22"/>
          <w:szCs w:val="22"/>
        </w:rPr>
      </w:pPr>
      <w:r>
        <w:rPr>
          <w:rFonts w:hint="eastAsia" w:ascii="宋体"/>
          <w:b w:val="0"/>
          <w:bCs w:val="0"/>
          <w:color w:val="auto"/>
          <w:sz w:val="22"/>
          <w:szCs w:val="22"/>
        </w:rPr>
        <w:t>4</w:t>
      </w:r>
      <w:r>
        <w:rPr>
          <w:rFonts w:hint="eastAsia" w:ascii="宋体" w:eastAsia="宋体"/>
          <w:b w:val="0"/>
          <w:bCs w:val="0"/>
          <w:color w:val="auto"/>
          <w:sz w:val="22"/>
          <w:szCs w:val="22"/>
        </w:rPr>
        <w:t>）对难以判断其损坏程度和原因的道路，提出作特殊检测的建议；</w:t>
      </w:r>
    </w:p>
    <w:p w14:paraId="38C9FDDD">
      <w:pPr>
        <w:spacing w:line="360" w:lineRule="auto"/>
        <w:ind w:firstLine="539" w:firstLineChars="245"/>
        <w:rPr>
          <w:rFonts w:hint="eastAsia" w:ascii="宋体" w:eastAsia="宋体"/>
          <w:b w:val="0"/>
          <w:bCs w:val="0"/>
          <w:color w:val="auto"/>
          <w:sz w:val="22"/>
          <w:szCs w:val="22"/>
        </w:rPr>
      </w:pPr>
      <w:r>
        <w:rPr>
          <w:rFonts w:hint="eastAsia" w:ascii="宋体"/>
          <w:b w:val="0"/>
          <w:bCs w:val="0"/>
          <w:color w:val="auto"/>
          <w:sz w:val="22"/>
          <w:szCs w:val="22"/>
        </w:rPr>
        <w:t>5</w:t>
      </w:r>
      <w:r>
        <w:rPr>
          <w:rFonts w:hint="eastAsia" w:ascii="宋体" w:eastAsia="宋体"/>
          <w:b w:val="0"/>
          <w:bCs w:val="0"/>
          <w:color w:val="auto"/>
          <w:sz w:val="22"/>
          <w:szCs w:val="22"/>
        </w:rPr>
        <w:t>）根据城市道路技术状况，给出下次检测时间的建议；</w:t>
      </w:r>
    </w:p>
    <w:p w14:paraId="24D93DE1">
      <w:pPr>
        <w:autoSpaceDE w:val="0"/>
        <w:autoSpaceDN w:val="0"/>
        <w:adjustRightInd w:val="0"/>
        <w:spacing w:line="360" w:lineRule="auto"/>
        <w:ind w:firstLine="523" w:firstLineChars="237"/>
        <w:textAlignment w:val="bottom"/>
        <w:rPr>
          <w:rFonts w:hint="eastAsia" w:ascii="宋体" w:eastAsia="宋体" w:cs="Times New Roman"/>
          <w:b/>
          <w:bCs/>
          <w:color w:val="auto"/>
          <w:kern w:val="2"/>
          <w:sz w:val="22"/>
          <w:szCs w:val="22"/>
        </w:rPr>
      </w:pPr>
      <w:r>
        <w:rPr>
          <w:rFonts w:hint="eastAsia" w:ascii="宋体" w:eastAsia="宋体" w:cs="Times New Roman"/>
          <w:b/>
          <w:bCs/>
          <w:color w:val="auto"/>
          <w:kern w:val="2"/>
          <w:sz w:val="22"/>
          <w:szCs w:val="22"/>
          <w:lang w:val="en-US" w:eastAsia="zh-CN"/>
        </w:rPr>
        <w:t>4、</w:t>
      </w:r>
      <w:r>
        <w:rPr>
          <w:rFonts w:hint="eastAsia" w:ascii="宋体" w:eastAsia="宋体" w:cs="Times New Roman"/>
          <w:b/>
          <w:bCs/>
          <w:color w:val="auto"/>
          <w:kern w:val="2"/>
          <w:sz w:val="22"/>
          <w:szCs w:val="22"/>
        </w:rPr>
        <w:t>隧道常规检测内容：</w:t>
      </w:r>
    </w:p>
    <w:p w14:paraId="4176B955">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1)衬砌强度检测：用回弹仪或超声波没做中、短隧道测区不少于50个，特长、长隧道测区不少于100个测区。</w:t>
      </w:r>
    </w:p>
    <w:p w14:paraId="30AE52E2">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2)衬砌质量检测：衬砌裂缝、渗水、破损等外观检测质量检测。</w:t>
      </w:r>
    </w:p>
    <w:p w14:paraId="61C9F804">
      <w:pPr>
        <w:autoSpaceDE w:val="0"/>
        <w:autoSpaceDN w:val="0"/>
        <w:adjustRightInd w:val="0"/>
        <w:spacing w:line="360" w:lineRule="auto"/>
        <w:ind w:firstLine="521" w:firstLineChars="237"/>
        <w:textAlignment w:val="bottom"/>
        <w:rPr>
          <w:rFonts w:hint="eastAsia" w:ascii="宋体" w:eastAsia="宋体" w:cs="Times New Roman"/>
          <w:b w:val="0"/>
          <w:bCs w:val="0"/>
          <w:color w:val="auto"/>
          <w:kern w:val="2"/>
          <w:sz w:val="22"/>
          <w:szCs w:val="22"/>
        </w:rPr>
      </w:pPr>
      <w:r>
        <w:rPr>
          <w:rFonts w:hint="eastAsia" w:ascii="宋体" w:eastAsia="宋体" w:cs="Times New Roman"/>
          <w:b w:val="0"/>
          <w:bCs w:val="0"/>
          <w:color w:val="auto"/>
          <w:kern w:val="2"/>
          <w:sz w:val="22"/>
          <w:szCs w:val="22"/>
        </w:rPr>
        <w:t>3)隧道宽度检测：每座中、短隧道测5-10点，长隧道测10-20点，特长隧道测不少于20点。</w:t>
      </w:r>
    </w:p>
    <w:p w14:paraId="036EC39A">
      <w:pPr>
        <w:autoSpaceDE w:val="0"/>
        <w:autoSpaceDN w:val="0"/>
        <w:adjustRightInd w:val="0"/>
        <w:spacing w:line="360" w:lineRule="auto"/>
        <w:ind w:firstLine="521" w:firstLineChars="237"/>
        <w:textAlignment w:val="bottom"/>
        <w:rPr>
          <w:rFonts w:hint="eastAsia"/>
        </w:rPr>
      </w:pPr>
      <w:r>
        <w:rPr>
          <w:rFonts w:hint="eastAsia" w:ascii="宋体" w:eastAsia="宋体" w:cs="Times New Roman"/>
          <w:b w:val="0"/>
          <w:bCs w:val="0"/>
          <w:color w:val="auto"/>
          <w:kern w:val="2"/>
          <w:sz w:val="22"/>
          <w:szCs w:val="22"/>
        </w:rPr>
        <w:t>4)每座中、短隧道测5-10点，长隧道测10-20点，特长隧道测不少于20点。</w:t>
      </w:r>
    </w:p>
    <w:p w14:paraId="74C79839">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（二） 检测成果：</w:t>
      </w:r>
    </w:p>
    <w:p w14:paraId="04CE73E9">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1.检测评估机构应当根据有关技术规范，提供真实、准确的检测数据和评估结论，评定</w:t>
      </w:r>
      <w:r>
        <w:rPr>
          <w:rFonts w:hint="eastAsia" w:ascii="宋体" w:hAnsi="宋体" w:eastAsia="宋体" w:cs="Times New Roman"/>
          <w:b w:val="0"/>
          <w:bCs w:val="0"/>
          <w:kern w:val="2"/>
          <w:sz w:val="24"/>
          <w:szCs w:val="20"/>
          <w:lang w:eastAsia="zh-CN"/>
        </w:rPr>
        <w:t>道路、隧道、</w:t>
      </w:r>
      <w:r>
        <w:rPr>
          <w:rFonts w:hint="eastAsia" w:ascii="宋体" w:hAnsi="宋体" w:eastAsia="宋体" w:cs="Times New Roman"/>
          <w:b w:val="0"/>
          <w:bCs w:val="0"/>
          <w:kern w:val="2"/>
          <w:sz w:val="24"/>
          <w:szCs w:val="20"/>
        </w:rPr>
        <w:t>桥梁的技术等级。</w:t>
      </w:r>
    </w:p>
    <w:p w14:paraId="2674CFE7">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2.检测单位出具分析评价报告，并承担分析评价报告的法律责任。</w:t>
      </w:r>
    </w:p>
    <w:p w14:paraId="0C0CBAE0">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3.评估报告包括以下内容（但不限于）：</w:t>
      </w:r>
    </w:p>
    <w:p w14:paraId="4728D5B8">
      <w:pPr>
        <w:spacing w:line="460" w:lineRule="exact"/>
        <w:ind w:left="0" w:leftChars="0" w:firstLine="381" w:firstLineChars="158"/>
        <w:rPr>
          <w:rFonts w:hint="eastAsia" w:ascii="宋体" w:hAnsi="宋体" w:eastAsia="宋体" w:cs="Times New Roman"/>
          <w:b/>
          <w:bCs/>
          <w:kern w:val="2"/>
          <w:sz w:val="24"/>
          <w:szCs w:val="20"/>
        </w:rPr>
      </w:pPr>
      <w:r>
        <w:rPr>
          <w:rFonts w:hint="eastAsia" w:ascii="宋体" w:hAnsi="宋体" w:eastAsia="宋体" w:cs="Times New Roman"/>
          <w:b/>
          <w:bCs/>
          <w:kern w:val="2"/>
          <w:sz w:val="24"/>
          <w:szCs w:val="20"/>
        </w:rPr>
        <w:t>（1）桥梁常规定期检测成果</w:t>
      </w:r>
    </w:p>
    <w:p w14:paraId="72D0DA8B">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①桥梁概况，含《城市桥梁养护技术标准》（CJJ99-2017）附录B城市桥梁资料卡（B-1）和桥梁概况（B-2）；</w:t>
      </w:r>
    </w:p>
    <w:p w14:paraId="55815182">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②检测的方法、人员投入、仪器设备等；</w:t>
      </w:r>
    </w:p>
    <w:p w14:paraId="0F1F9EEB">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③桥梁病害情况及产生原因分析，处理对策及病害照片；</w:t>
      </w:r>
    </w:p>
    <w:p w14:paraId="380FD0E0">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④结构裂缝情况和变化情况。应提供裂缝位置、长度、宽度和深度，并画出键入，达到下一次检测时可进行对比分析的程度；</w:t>
      </w:r>
    </w:p>
    <w:p w14:paraId="2462AD77">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⑤对桥梁状况进行评估，I 类养护的城市桥梁按影响结构安全状况进行评估；Ⅱ-Ⅴ类养护的城市桥梁按《城市桥梁养护技术标准》（CJJ99-2017）相关规定对桥面系、上部结构、下部结构制作评分表进行评估，并根据常规定期检测结果对城市桥梁进行技术状况评估分级。</w:t>
      </w:r>
    </w:p>
    <w:p w14:paraId="315050EF">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⑥对特殊检测、下次的常规定期检测时间及检测要求提出意见，对损坏严重、危及安全的城市桥梁，提出限载以至暂时限制交通的建议。</w:t>
      </w:r>
    </w:p>
    <w:p w14:paraId="258A805E">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⑦其他检测报告要求：详见招标文件</w:t>
      </w:r>
    </w:p>
    <w:p w14:paraId="662A72A6">
      <w:pPr>
        <w:spacing w:line="460" w:lineRule="exact"/>
        <w:ind w:left="0" w:leftChars="0" w:firstLine="381" w:firstLineChars="158"/>
        <w:rPr>
          <w:rFonts w:hint="eastAsia" w:ascii="宋体" w:hAnsi="宋体" w:eastAsia="宋体" w:cs="Times New Roman"/>
          <w:b/>
          <w:bCs/>
          <w:kern w:val="2"/>
          <w:sz w:val="24"/>
          <w:szCs w:val="20"/>
        </w:rPr>
      </w:pPr>
      <w:r>
        <w:rPr>
          <w:rFonts w:hint="eastAsia" w:ascii="宋体" w:hAnsi="宋体" w:eastAsia="宋体" w:cs="Times New Roman"/>
          <w:b/>
          <w:bCs/>
          <w:kern w:val="2"/>
          <w:sz w:val="24"/>
          <w:szCs w:val="20"/>
        </w:rPr>
        <w:t>（2）桥梁结构定期检测成果</w:t>
      </w:r>
    </w:p>
    <w:p w14:paraId="033C6C31">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①桥梁概况，含《城市桥梁养护技术标准》（CJJ99-2017）附录B城市桥梁资料卡（B-1）和桥梁概况（B-2）；</w:t>
      </w:r>
    </w:p>
    <w:p w14:paraId="00C01F3F">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②结构定期检测有现场记录，应按《城市桥梁养护技术标准》（CJJ99-2017）附录F填写结构定期检测现场记录表（F-1）、特殊构件信息表（F-2）、照片记录表（F-3）。记录所有桥梁构件的侵蚀环境情况；构件的实测损坏类型和程度；损坏状况描述应包含：损坏位置、程度、产生的原因和可能的退化、照片编号、所有材料试验的细节和材料在结构中的部位。</w:t>
      </w:r>
    </w:p>
    <w:p w14:paraId="0C376983">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③结构裂缝情况和变化情况。应提供裂缝位置、长度、宽度和深度，并画出键入，达到下一次检测时可进行对比分析的程度；</w:t>
      </w:r>
    </w:p>
    <w:p w14:paraId="0D636E9C">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④采用相关技术标准或数据分析，确定桥梁承载能力、抗倾覆能力及耐久性能；</w:t>
      </w:r>
    </w:p>
    <w:p w14:paraId="67A7B8A4">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 xml:space="preserve">⑤结构使用限制，其中包括荷载、机动车通行或车道数限制； </w:t>
      </w:r>
    </w:p>
    <w:p w14:paraId="5BB06FBC">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 xml:space="preserve">⑥养护维修加固措施； </w:t>
      </w:r>
    </w:p>
    <w:p w14:paraId="1B3FBBB7">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⑦进一步检测、试验、结构分析评估及建议；</w:t>
      </w:r>
    </w:p>
    <w:p w14:paraId="45AF33D2">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⑧新老检测报告数据分析。</w:t>
      </w:r>
    </w:p>
    <w:p w14:paraId="497312CD">
      <w:pPr>
        <w:spacing w:line="460" w:lineRule="exact"/>
        <w:ind w:left="0" w:leftChars="0" w:firstLine="381" w:firstLineChars="158"/>
        <w:rPr>
          <w:rFonts w:hint="eastAsia" w:ascii="宋体" w:hAnsi="宋体" w:eastAsia="宋体" w:cs="Times New Roman"/>
          <w:b/>
          <w:bCs/>
          <w:kern w:val="2"/>
          <w:sz w:val="24"/>
          <w:szCs w:val="20"/>
        </w:rPr>
      </w:pPr>
      <w:r>
        <w:rPr>
          <w:rFonts w:hint="eastAsia" w:ascii="宋体" w:hAnsi="宋体" w:eastAsia="宋体" w:cs="Times New Roman"/>
          <w:b/>
          <w:bCs/>
          <w:kern w:val="2"/>
          <w:sz w:val="24"/>
          <w:szCs w:val="20"/>
        </w:rPr>
        <w:t>（3）道路定期检测成果</w:t>
      </w:r>
    </w:p>
    <w:p w14:paraId="386F98AC">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①道路概况（含《城镇道路养护技术规范》（CJJ36-2016）附录B 城镇道路资料卡中的表B-1、B-2、B-3）；</w:t>
      </w:r>
    </w:p>
    <w:p w14:paraId="38149EF8">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②道路病害情况及产生原因分析，处理对策及病害照片；</w:t>
      </w:r>
    </w:p>
    <w:p w14:paraId="4FACF731">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③沥青路面和人行道路面的损坏类型应符合《城镇道路养护技术规范》（CJJ36-2016）附录C的规定，并应分别按附录D和附录E填写损坏单项扣分表和损坏调查表。根据定期检测的结果，应按《城镇道路养护技术规范》（CJJ36-2016）第4.5节进行道路评价和定级。</w:t>
      </w:r>
    </w:p>
    <w:p w14:paraId="3491F4A4">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④结构强度检测部分，对路面回弹弯沉值数据进行分析，对道路结构整体性能、功能状况进行分析；调查道路结构破坏原因。</w:t>
      </w:r>
    </w:p>
    <w:p w14:paraId="0AE81579">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⑤对特殊检测、下次的常规定期检测时间及检测要求提出建议。</w:t>
      </w:r>
    </w:p>
    <w:p w14:paraId="002F1307">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⑥道路脱空检测报告，道路脱空检测情况及相应处置对策。</w:t>
      </w:r>
    </w:p>
    <w:p w14:paraId="48EB28C2">
      <w:pPr>
        <w:spacing w:line="460" w:lineRule="exact"/>
        <w:ind w:left="0" w:leftChars="0" w:firstLine="381" w:firstLineChars="158"/>
        <w:rPr>
          <w:rFonts w:hint="eastAsia" w:ascii="宋体" w:hAnsi="宋体" w:eastAsia="宋体" w:cs="Times New Roman"/>
          <w:b/>
          <w:bCs/>
          <w:kern w:val="2"/>
          <w:sz w:val="24"/>
          <w:szCs w:val="20"/>
        </w:rPr>
      </w:pPr>
      <w:r>
        <w:rPr>
          <w:rFonts w:hint="eastAsia" w:ascii="宋体" w:hAnsi="宋体" w:eastAsia="宋体" w:cs="Times New Roman"/>
          <w:b/>
          <w:bCs/>
          <w:kern w:val="2"/>
          <w:sz w:val="24"/>
          <w:szCs w:val="20"/>
        </w:rPr>
        <w:t>（4）隧道定期检测成果</w:t>
      </w:r>
    </w:p>
    <w:p w14:paraId="75F09EF7">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①隧道概况；</w:t>
      </w:r>
    </w:p>
    <w:p w14:paraId="499D99BB">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②检查的主要经过，包含检查的组织实施、时间和主要工作过程；</w:t>
      </w:r>
    </w:p>
    <w:p w14:paraId="20E0996E">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③检查记录、隧道展示图及相关调查资料等；</w:t>
      </w:r>
    </w:p>
    <w:p w14:paraId="68726CA5">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④病害情况及产生原因分析，处理对策及病害照片。结构裂缝应提供裂缝位置、长度、宽度和深度，并画出键入，达到下一次检测时可进行对比分析的程度；</w:t>
      </w:r>
    </w:p>
    <w:p w14:paraId="0AB7BF1D">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⑤对隧道土建结构的技术状况评定；</w:t>
      </w:r>
    </w:p>
    <w:p w14:paraId="361AC66B">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⑥对有关技术资料和档案进行调查，并对隧道周围的地质及地表环境开展实地调查，结合设施病害表现，分析病害成因</w:t>
      </w:r>
    </w:p>
    <w:p w14:paraId="774D5651">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⑦对隧道土建结构的养护维修状况的评价及建议；</w:t>
      </w:r>
    </w:p>
    <w:p w14:paraId="6E3234D1">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⑧需要实施专项检查的建议；</w:t>
      </w:r>
    </w:p>
    <w:p w14:paraId="36C2CB1A">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 xml:space="preserve"> ⑨维修处置对策、技术等建议。</w:t>
      </w:r>
    </w:p>
    <w:p w14:paraId="277FFCB4">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（5）隔音屏安全检测成果</w:t>
      </w:r>
    </w:p>
    <w:p w14:paraId="22A25217">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①隔音屏概况；</w:t>
      </w:r>
    </w:p>
    <w:p w14:paraId="14F1E5CE">
      <w:pPr>
        <w:spacing w:line="460" w:lineRule="exact"/>
        <w:ind w:left="0" w:leftChars="0" w:firstLine="379" w:firstLineChars="158"/>
        <w:rPr>
          <w:rFonts w:hint="eastAsia" w:ascii="宋体" w:hAnsi="宋体" w:eastAsia="宋体" w:cs="Times New Roman"/>
          <w:b w:val="0"/>
          <w:bCs w:val="0"/>
          <w:kern w:val="2"/>
          <w:sz w:val="24"/>
          <w:szCs w:val="20"/>
        </w:rPr>
      </w:pPr>
      <w:r>
        <w:rPr>
          <w:rFonts w:hint="eastAsia" w:ascii="宋体" w:hAnsi="宋体" w:eastAsia="宋体" w:cs="Times New Roman"/>
          <w:b w:val="0"/>
          <w:bCs w:val="0"/>
          <w:kern w:val="2"/>
          <w:sz w:val="24"/>
          <w:szCs w:val="20"/>
        </w:rPr>
        <w:t>②根据《声屏障结构技术标准》8.4章内容，对声屏障的立柱、屏体、弹簧卡件、防坠落、罩板、地脚螺栓、基础及导墙和防雷等设施进行外观检测、结构防腐检测和基础强度检测，并记录病害。</w:t>
      </w:r>
    </w:p>
    <w:p w14:paraId="06ABE744">
      <w:pPr>
        <w:spacing w:line="460" w:lineRule="exact"/>
        <w:ind w:left="0" w:leftChars="0" w:firstLine="379" w:firstLineChars="158"/>
        <w:rPr>
          <w:rFonts w:hint="eastAsia" w:ascii="宋体" w:eastAsia="宋体" w:cs="Times New Roman"/>
          <w:bCs w:val="0"/>
          <w:kern w:val="2"/>
          <w:sz w:val="24"/>
          <w:szCs w:val="20"/>
        </w:rPr>
      </w:pPr>
      <w:r>
        <w:rPr>
          <w:rFonts w:hint="eastAsia" w:ascii="宋体" w:hAnsi="宋体" w:eastAsia="宋体" w:cs="Times New Roman"/>
          <w:b w:val="0"/>
          <w:bCs w:val="0"/>
          <w:kern w:val="2"/>
          <w:sz w:val="24"/>
          <w:szCs w:val="20"/>
        </w:rPr>
        <w:t>③根据检测结果和声屏障维护保养要求，提出维修建议及保养要点。</w:t>
      </w:r>
    </w:p>
    <w:p w14:paraId="1A5FCD7D">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五、安全、质量与其他要求：</w:t>
      </w:r>
    </w:p>
    <w:p w14:paraId="5C99FCD4">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（1）检测单位应严格按规定的要求，合理布设施工作业区，设置标志和安全防护设施，保证车辆、人员和过往车辆的安全，做好现场的安全管理工作，确保施工安全，必要时还应协助做好交通疏导工作。</w:t>
      </w:r>
    </w:p>
    <w:p w14:paraId="44E24CF6">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（2）检测单位应确保在检测过程中不会对桥梁设施造成破坏。</w:t>
      </w:r>
    </w:p>
    <w:p w14:paraId="28738FA0">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（3）检测单位于合同签订后60日</w:t>
      </w:r>
      <w:r>
        <w:rPr>
          <w:rFonts w:hint="eastAsia" w:ascii="宋体" w:eastAsia="宋体" w:cs="Times New Roman"/>
          <w:b w:val="0"/>
          <w:bCs w:val="0"/>
          <w:kern w:val="2"/>
          <w:sz w:val="24"/>
          <w:szCs w:val="20"/>
          <w:lang w:eastAsia="zh-CN"/>
        </w:rPr>
        <w:t>历天</w:t>
      </w:r>
      <w:r>
        <w:rPr>
          <w:rFonts w:hint="eastAsia" w:ascii="宋体" w:eastAsia="宋体" w:cs="Times New Roman"/>
          <w:b w:val="0"/>
          <w:bCs w:val="0"/>
          <w:kern w:val="2"/>
          <w:sz w:val="24"/>
          <w:szCs w:val="20"/>
        </w:rPr>
        <w:t>内提交检测成果，并通过验收。</w:t>
      </w:r>
    </w:p>
    <w:p w14:paraId="04209AF2">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 xml:space="preserve">（4）本项目完成后，乙方仍应向甲方免费提供改造咨询、技术交底等后期服务工作。 </w:t>
      </w:r>
    </w:p>
    <w:p w14:paraId="7B9C3750">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（5）在合同执行期间，投标供应商有责任与甲方及其他有关部门保持联系和合作。此责任应包括所有为了开展工作切实有效，所需的交换和提供数据、标准和资料等工作。</w:t>
      </w:r>
    </w:p>
    <w:p w14:paraId="1C02CFEF">
      <w:pPr>
        <w:spacing w:line="400" w:lineRule="exact"/>
        <w:ind w:firstLine="588" w:firstLineChars="245"/>
        <w:rPr>
          <w:rFonts w:hint="eastAsia" w:ascii="宋体" w:eastAsia="宋体" w:cs="Times New Roman"/>
          <w:b w:val="0"/>
          <w:bCs/>
          <w:color w:val="000000"/>
          <w:kern w:val="2"/>
          <w:sz w:val="24"/>
          <w:szCs w:val="20"/>
          <w:highlight w:val="none"/>
        </w:rPr>
      </w:pPr>
      <w:r>
        <w:rPr>
          <w:rFonts w:hint="eastAsia" w:ascii="宋体" w:eastAsia="宋体" w:cs="Times New Roman"/>
          <w:b w:val="0"/>
          <w:bCs/>
          <w:color w:val="000000"/>
          <w:kern w:val="2"/>
          <w:sz w:val="24"/>
          <w:szCs w:val="20"/>
          <w:highlight w:val="none"/>
        </w:rPr>
        <w:t>（6）要求检测成果需经第三方（第三方具有同等级资质的检测单位）审核，审核后检测单位向采购人申请项目履约验收，采购人收到验收申请后组织履约验收会议；由此产生的第三方检测费、专家审查费等相关费用均由检测单位承担。</w:t>
      </w:r>
    </w:p>
    <w:p w14:paraId="08FD4F51">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六、双方责任：</w:t>
      </w:r>
    </w:p>
    <w:p w14:paraId="5B4173F5">
      <w:pPr>
        <w:spacing w:line="400" w:lineRule="exact"/>
        <w:ind w:firstLine="588" w:firstLineChars="245"/>
        <w:rPr>
          <w:rFonts w:ascii="宋体" w:eastAsia="宋体" w:cs="Times New Roman"/>
          <w:bCs w:val="0"/>
          <w:kern w:val="2"/>
          <w:sz w:val="24"/>
          <w:szCs w:val="20"/>
        </w:rPr>
      </w:pPr>
      <w:r>
        <w:rPr>
          <w:rFonts w:hint="eastAsia" w:ascii="宋体" w:eastAsia="宋体" w:cs="Times New Roman"/>
          <w:bCs w:val="0"/>
          <w:kern w:val="2"/>
          <w:sz w:val="24"/>
          <w:szCs w:val="20"/>
        </w:rPr>
        <w:t>1．甲方责任：</w:t>
      </w:r>
    </w:p>
    <w:p w14:paraId="18E6CB46">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（1）协助乙方做好桥梁检查的相关协调工作；</w:t>
      </w:r>
    </w:p>
    <w:p w14:paraId="3CC42659">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（2）协助乙方协调有关单位提供符合检测现场工作要求的有关必备条件；</w:t>
      </w:r>
    </w:p>
    <w:p w14:paraId="6325A691">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（3）负责向乙方</w:t>
      </w:r>
      <w:r>
        <w:rPr>
          <w:rFonts w:ascii="宋体" w:eastAsia="宋体" w:cs="Times New Roman"/>
          <w:b w:val="0"/>
          <w:bCs w:val="0"/>
          <w:kern w:val="2"/>
          <w:sz w:val="24"/>
          <w:szCs w:val="20"/>
        </w:rPr>
        <w:t>提供检测</w:t>
      </w:r>
      <w:r>
        <w:rPr>
          <w:rFonts w:hint="eastAsia" w:ascii="宋体" w:eastAsia="宋体" w:cs="Times New Roman"/>
          <w:b w:val="0"/>
          <w:bCs w:val="0"/>
          <w:kern w:val="2"/>
          <w:sz w:val="24"/>
          <w:szCs w:val="20"/>
        </w:rPr>
        <w:t>桥梁</w:t>
      </w:r>
      <w:r>
        <w:rPr>
          <w:rFonts w:ascii="宋体" w:eastAsia="宋体" w:cs="Times New Roman"/>
          <w:b w:val="0"/>
          <w:bCs w:val="0"/>
          <w:kern w:val="2"/>
          <w:sz w:val="24"/>
          <w:szCs w:val="20"/>
        </w:rPr>
        <w:t>竣工档案资料、以往检测</w:t>
      </w:r>
      <w:r>
        <w:rPr>
          <w:rFonts w:hint="eastAsia" w:ascii="宋体" w:eastAsia="宋体" w:cs="Times New Roman"/>
          <w:b w:val="0"/>
          <w:bCs w:val="0"/>
          <w:kern w:val="2"/>
          <w:sz w:val="24"/>
          <w:szCs w:val="20"/>
        </w:rPr>
        <w:t>和</w:t>
      </w:r>
      <w:r>
        <w:rPr>
          <w:rFonts w:ascii="宋体" w:eastAsia="宋体" w:cs="Times New Roman"/>
          <w:b w:val="0"/>
          <w:bCs w:val="0"/>
          <w:kern w:val="2"/>
          <w:sz w:val="24"/>
          <w:szCs w:val="20"/>
        </w:rPr>
        <w:t>维修记录资料；</w:t>
      </w:r>
    </w:p>
    <w:p w14:paraId="1D92A074">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4</w:t>
      </w:r>
      <w:r>
        <w:rPr>
          <w:rFonts w:hint="eastAsia" w:ascii="宋体" w:eastAsia="宋体" w:cs="Times New Roman"/>
          <w:b w:val="0"/>
          <w:bCs w:val="0"/>
          <w:kern w:val="2"/>
          <w:sz w:val="24"/>
          <w:szCs w:val="20"/>
        </w:rPr>
        <w:t>）负责组织对乙方检测成果报告进行验收；</w:t>
      </w:r>
    </w:p>
    <w:p w14:paraId="113BBD49">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5</w:t>
      </w:r>
      <w:r>
        <w:rPr>
          <w:rFonts w:hint="eastAsia" w:ascii="宋体" w:eastAsia="宋体" w:cs="Times New Roman"/>
          <w:b w:val="0"/>
          <w:bCs w:val="0"/>
          <w:kern w:val="2"/>
          <w:sz w:val="24"/>
          <w:szCs w:val="20"/>
        </w:rPr>
        <w:t>）按合同约定按时向乙方支付费用。</w:t>
      </w:r>
    </w:p>
    <w:p w14:paraId="301D2432">
      <w:pPr>
        <w:spacing w:line="400" w:lineRule="exact"/>
        <w:ind w:firstLine="588" w:firstLineChars="245"/>
        <w:rPr>
          <w:rFonts w:ascii="宋体" w:eastAsia="宋体" w:cs="Times New Roman"/>
          <w:bCs w:val="0"/>
          <w:kern w:val="2"/>
          <w:sz w:val="24"/>
          <w:szCs w:val="20"/>
        </w:rPr>
      </w:pPr>
      <w:r>
        <w:rPr>
          <w:rFonts w:hint="eastAsia" w:ascii="宋体" w:eastAsia="宋体" w:cs="Times New Roman"/>
          <w:bCs w:val="0"/>
          <w:kern w:val="2"/>
          <w:sz w:val="24"/>
          <w:szCs w:val="20"/>
        </w:rPr>
        <w:t>2．乙方责任：</w:t>
      </w:r>
    </w:p>
    <w:p w14:paraId="759D9B7E">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1</w:t>
      </w:r>
      <w:r>
        <w:rPr>
          <w:rFonts w:hint="eastAsia" w:ascii="宋体" w:eastAsia="宋体" w:cs="Times New Roman"/>
          <w:b w:val="0"/>
          <w:bCs w:val="0"/>
          <w:kern w:val="2"/>
          <w:sz w:val="24"/>
          <w:szCs w:val="20"/>
        </w:rPr>
        <w:t>）乙方在检测实施前，应根据不同的桥梁结构型式，结合检测现场的现状编制科学、规范、符合桥梁实际情况的检查实施方案，报甲方批准实施；</w:t>
      </w:r>
    </w:p>
    <w:p w14:paraId="41B74056">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2</w:t>
      </w:r>
      <w:r>
        <w:rPr>
          <w:rFonts w:hint="eastAsia" w:ascii="宋体" w:eastAsia="宋体" w:cs="Times New Roman"/>
          <w:b w:val="0"/>
          <w:bCs w:val="0"/>
          <w:kern w:val="2"/>
          <w:sz w:val="24"/>
          <w:szCs w:val="20"/>
        </w:rPr>
        <w:t>）乙方按照现行国家有关桥梁检测的技术标准、规范，按合同要求对桥梁进行检测，并定期向甲方反映工作情况和存在问题，对于甲方提出的技术要求和合理变更以及必要的检验应当接受；</w:t>
      </w:r>
    </w:p>
    <w:p w14:paraId="6F1B6CDF">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3</w:t>
      </w:r>
      <w:r>
        <w:rPr>
          <w:rFonts w:hint="eastAsia" w:ascii="宋体" w:eastAsia="宋体" w:cs="Times New Roman"/>
          <w:b w:val="0"/>
          <w:bCs w:val="0"/>
          <w:kern w:val="2"/>
          <w:sz w:val="24"/>
          <w:szCs w:val="20"/>
        </w:rPr>
        <w:t>）检测所需的设备、仪器、工具、材料、防护措施以及检测、试验 ，均由乙方自行配备；</w:t>
      </w:r>
    </w:p>
    <w:p w14:paraId="6854CD0E">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4</w:t>
      </w:r>
      <w:r>
        <w:rPr>
          <w:rFonts w:hint="eastAsia" w:ascii="宋体" w:eastAsia="宋体" w:cs="Times New Roman"/>
          <w:b w:val="0"/>
          <w:bCs w:val="0"/>
          <w:kern w:val="2"/>
          <w:sz w:val="24"/>
          <w:szCs w:val="20"/>
        </w:rPr>
        <w:t>）乙方在检测过程中不得破坏原桥梁结构，确保桥梁的使用安全；</w:t>
      </w:r>
    </w:p>
    <w:p w14:paraId="2755CF04">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5</w:t>
      </w:r>
      <w:r>
        <w:rPr>
          <w:rFonts w:hint="eastAsia" w:ascii="宋体" w:eastAsia="宋体" w:cs="Times New Roman"/>
          <w:b w:val="0"/>
          <w:bCs w:val="0"/>
          <w:kern w:val="2"/>
          <w:sz w:val="24"/>
          <w:szCs w:val="20"/>
        </w:rPr>
        <w:t>）乙方按交通部门要求做好检测现场的交通管理工作，检测过程中的安全事宜由乙方自行负责；</w:t>
      </w:r>
    </w:p>
    <w:p w14:paraId="114033B1">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6</w:t>
      </w:r>
      <w:r>
        <w:rPr>
          <w:rFonts w:hint="eastAsia" w:ascii="宋体" w:eastAsia="宋体" w:cs="Times New Roman"/>
          <w:b w:val="0"/>
          <w:bCs w:val="0"/>
          <w:kern w:val="2"/>
          <w:sz w:val="24"/>
          <w:szCs w:val="20"/>
        </w:rPr>
        <w:t>）乙方必须为现场工作人员购买意外伤亡保险；</w:t>
      </w:r>
    </w:p>
    <w:p w14:paraId="1BD47665">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（7）在检测过程中导致的任何事故，均由乙方全权负责，甲方对此不承担任何责任；</w:t>
      </w:r>
    </w:p>
    <w:p w14:paraId="2FA40498">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8</w:t>
      </w:r>
      <w:r>
        <w:rPr>
          <w:rFonts w:hint="eastAsia" w:ascii="宋体" w:eastAsia="宋体" w:cs="Times New Roman"/>
          <w:b w:val="0"/>
          <w:bCs w:val="0"/>
          <w:kern w:val="2"/>
          <w:sz w:val="24"/>
          <w:szCs w:val="20"/>
        </w:rPr>
        <w:t>）乙方应按照相关规范确定检测内容，完善表格，提供技术电子文档；</w:t>
      </w:r>
    </w:p>
    <w:p w14:paraId="0FF0C79A">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w:t>
      </w:r>
      <w:r>
        <w:rPr>
          <w:rFonts w:ascii="宋体" w:eastAsia="宋体" w:cs="Times New Roman"/>
          <w:b w:val="0"/>
          <w:bCs w:val="0"/>
          <w:kern w:val="2"/>
          <w:sz w:val="24"/>
          <w:szCs w:val="20"/>
        </w:rPr>
        <w:t>9</w:t>
      </w:r>
      <w:r>
        <w:rPr>
          <w:rFonts w:hint="eastAsia" w:ascii="宋体" w:eastAsia="宋体" w:cs="Times New Roman"/>
          <w:b w:val="0"/>
          <w:bCs w:val="0"/>
          <w:kern w:val="2"/>
          <w:sz w:val="24"/>
          <w:szCs w:val="20"/>
        </w:rPr>
        <w:t>）分析整理检测数据，编制检测报告；并向甲方提供9份正式报告和有关电子文档；</w:t>
      </w:r>
    </w:p>
    <w:p w14:paraId="03227918">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（10）乙方</w:t>
      </w:r>
      <w:r>
        <w:rPr>
          <w:rFonts w:ascii="宋体" w:eastAsia="宋体" w:cs="Times New Roman"/>
          <w:b w:val="0"/>
          <w:bCs w:val="0"/>
          <w:kern w:val="2"/>
          <w:sz w:val="24"/>
          <w:szCs w:val="20"/>
        </w:rPr>
        <w:t>根据</w:t>
      </w:r>
      <w:r>
        <w:rPr>
          <w:rFonts w:hint="eastAsia" w:ascii="宋体" w:eastAsia="宋体" w:cs="Times New Roman"/>
          <w:b w:val="0"/>
          <w:bCs w:val="0"/>
          <w:kern w:val="2"/>
          <w:sz w:val="24"/>
          <w:szCs w:val="20"/>
        </w:rPr>
        <w:t>甲方</w:t>
      </w:r>
      <w:r>
        <w:rPr>
          <w:rFonts w:ascii="宋体" w:eastAsia="宋体" w:cs="Times New Roman"/>
          <w:b w:val="0"/>
          <w:bCs w:val="0"/>
          <w:kern w:val="2"/>
          <w:sz w:val="24"/>
          <w:szCs w:val="20"/>
        </w:rPr>
        <w:t>要求将</w:t>
      </w:r>
      <w:r>
        <w:rPr>
          <w:rFonts w:hint="eastAsia" w:ascii="宋体" w:eastAsia="宋体" w:cs="Times New Roman"/>
          <w:b w:val="0"/>
          <w:bCs w:val="0"/>
          <w:kern w:val="2"/>
          <w:sz w:val="24"/>
          <w:szCs w:val="20"/>
        </w:rPr>
        <w:t>本次检测的桥梁基本信息及检测结果录入甲方指定的信息管理系统，格式以系统格式为准；</w:t>
      </w:r>
    </w:p>
    <w:p w14:paraId="68FA1DB4">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（11）乙方应文明施工，检测完毕后及时清理现场，并负责做好现场的结构物保护工作；</w:t>
      </w:r>
    </w:p>
    <w:p w14:paraId="5A045539">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（12）乙方对其提交的检查数据、计算数据、技术分析及结论等成果的质量负全部责任；</w:t>
      </w:r>
    </w:p>
    <w:p w14:paraId="0BDF8FCA">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（13）甲方组织验收时所涉及的专家审查费均由乙方承担；</w:t>
      </w:r>
    </w:p>
    <w:p w14:paraId="7C08826A">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（14）合同执行期间，遵守法律法规及其他有关规定，接受甲方及其他有关部门的监督、检查和管理。</w:t>
      </w:r>
    </w:p>
    <w:p w14:paraId="2DFD3D1C">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七、履约保证</w:t>
      </w:r>
      <w:r>
        <w:rPr>
          <w:rFonts w:ascii="宋体" w:eastAsia="宋体" w:cs="Times New Roman"/>
          <w:bCs w:val="0"/>
          <w:kern w:val="2"/>
          <w:sz w:val="24"/>
          <w:szCs w:val="20"/>
        </w:rPr>
        <w:t>金</w:t>
      </w:r>
      <w:r>
        <w:rPr>
          <w:rFonts w:hint="eastAsia" w:ascii="宋体" w:eastAsia="宋体" w:cs="Times New Roman"/>
          <w:bCs w:val="0"/>
          <w:kern w:val="2"/>
          <w:sz w:val="24"/>
          <w:szCs w:val="20"/>
        </w:rPr>
        <w:t>：</w:t>
      </w:r>
    </w:p>
    <w:p w14:paraId="5ACD9CC9">
      <w:pPr>
        <w:spacing w:line="400" w:lineRule="exact"/>
        <w:ind w:firstLine="588" w:firstLineChars="245"/>
        <w:rPr>
          <w:rFonts w:hint="eastAsia" w:ascii="宋体" w:eastAsia="宋体" w:cs="Times New Roman"/>
          <w:b w:val="0"/>
          <w:bCs/>
          <w:kern w:val="2"/>
          <w:sz w:val="24"/>
          <w:szCs w:val="20"/>
        </w:rPr>
      </w:pPr>
      <w:r>
        <w:rPr>
          <w:rFonts w:hint="eastAsia" w:ascii="宋体" w:eastAsia="宋体" w:cs="Times New Roman"/>
          <w:b w:val="0"/>
          <w:bCs/>
          <w:kern w:val="2"/>
          <w:sz w:val="24"/>
          <w:szCs w:val="20"/>
          <w:lang w:val="en-US" w:eastAsia="zh-CN"/>
        </w:rPr>
        <w:t>乙方</w:t>
      </w:r>
      <w:r>
        <w:rPr>
          <w:rFonts w:hint="eastAsia" w:ascii="宋体" w:eastAsia="宋体" w:cs="Times New Roman"/>
          <w:b w:val="0"/>
          <w:bCs/>
          <w:kern w:val="2"/>
          <w:sz w:val="24"/>
          <w:szCs w:val="20"/>
        </w:rPr>
        <w:t>在合同签订</w:t>
      </w:r>
      <w:r>
        <w:rPr>
          <w:rFonts w:hint="eastAsia" w:ascii="宋体" w:eastAsia="宋体" w:cs="Times New Roman"/>
          <w:b w:val="0"/>
          <w:bCs/>
          <w:kern w:val="2"/>
          <w:sz w:val="24"/>
          <w:szCs w:val="20"/>
          <w:lang w:eastAsia="zh-CN"/>
        </w:rPr>
        <w:t>后</w:t>
      </w:r>
      <w:r>
        <w:rPr>
          <w:rFonts w:hint="eastAsia" w:ascii="宋体" w:eastAsia="宋体" w:cs="Times New Roman"/>
          <w:b w:val="0"/>
          <w:bCs/>
          <w:kern w:val="2"/>
          <w:sz w:val="24"/>
          <w:szCs w:val="20"/>
          <w:lang w:val="en-US" w:eastAsia="zh-CN"/>
        </w:rPr>
        <w:t>7日内</w:t>
      </w:r>
      <w:r>
        <w:rPr>
          <w:rFonts w:hint="eastAsia" w:ascii="宋体" w:eastAsia="宋体" w:cs="Times New Roman"/>
          <w:b w:val="0"/>
          <w:bCs/>
          <w:kern w:val="2"/>
          <w:sz w:val="24"/>
          <w:szCs w:val="20"/>
        </w:rPr>
        <w:t>向</w:t>
      </w:r>
      <w:r>
        <w:rPr>
          <w:rFonts w:hint="eastAsia" w:ascii="宋体" w:eastAsia="宋体" w:cs="Times New Roman"/>
          <w:b w:val="0"/>
          <w:bCs/>
          <w:kern w:val="2"/>
          <w:sz w:val="24"/>
          <w:szCs w:val="20"/>
          <w:lang w:val="en-US" w:eastAsia="zh-CN"/>
        </w:rPr>
        <w:t>甲方</w:t>
      </w:r>
      <w:r>
        <w:rPr>
          <w:rFonts w:hint="eastAsia" w:ascii="宋体" w:eastAsia="宋体" w:cs="Times New Roman"/>
          <w:b w:val="0"/>
          <w:bCs/>
          <w:kern w:val="2"/>
          <w:sz w:val="24"/>
          <w:szCs w:val="20"/>
        </w:rPr>
        <w:t>提交合同总价</w:t>
      </w:r>
      <w:r>
        <w:rPr>
          <w:rFonts w:hint="eastAsia" w:ascii="宋体" w:eastAsia="宋体" w:cs="Times New Roman"/>
          <w:b w:val="0"/>
          <w:bCs/>
          <w:kern w:val="2"/>
          <w:sz w:val="24"/>
          <w:szCs w:val="20"/>
          <w:lang w:val="en-US" w:eastAsia="zh-CN"/>
        </w:rPr>
        <w:t>1</w:t>
      </w:r>
      <w:r>
        <w:rPr>
          <w:rFonts w:hint="eastAsia" w:ascii="宋体" w:eastAsia="宋体" w:cs="Times New Roman"/>
          <w:b w:val="0"/>
          <w:bCs/>
          <w:kern w:val="2"/>
          <w:sz w:val="24"/>
          <w:szCs w:val="20"/>
        </w:rPr>
        <w:t>%的履约保证金，履约保证金在</w:t>
      </w:r>
      <w:r>
        <w:rPr>
          <w:rFonts w:hint="eastAsia" w:ascii="宋体" w:eastAsia="宋体" w:cs="Times New Roman"/>
          <w:b w:val="0"/>
          <w:bCs/>
          <w:kern w:val="2"/>
          <w:sz w:val="24"/>
          <w:szCs w:val="20"/>
          <w:lang w:val="en-US" w:eastAsia="zh-CN"/>
        </w:rPr>
        <w:t>乙方</w:t>
      </w:r>
      <w:r>
        <w:rPr>
          <w:rFonts w:hint="eastAsia" w:ascii="宋体" w:eastAsia="宋体" w:cs="Times New Roman"/>
          <w:b w:val="0"/>
          <w:bCs/>
          <w:kern w:val="2"/>
          <w:sz w:val="24"/>
          <w:szCs w:val="20"/>
        </w:rPr>
        <w:t>完成所有工作后7日内无息退还。</w:t>
      </w:r>
    </w:p>
    <w:p w14:paraId="1344731F">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八、付款</w:t>
      </w:r>
      <w:r>
        <w:rPr>
          <w:rFonts w:ascii="宋体" w:eastAsia="宋体" w:cs="Times New Roman"/>
          <w:bCs w:val="0"/>
          <w:kern w:val="2"/>
          <w:sz w:val="24"/>
          <w:szCs w:val="20"/>
        </w:rPr>
        <w:t>方式</w:t>
      </w:r>
      <w:r>
        <w:rPr>
          <w:rFonts w:hint="eastAsia" w:ascii="宋体" w:eastAsia="宋体" w:cs="Times New Roman"/>
          <w:bCs w:val="0"/>
          <w:kern w:val="2"/>
          <w:sz w:val="24"/>
          <w:szCs w:val="20"/>
        </w:rPr>
        <w:t>：</w:t>
      </w:r>
    </w:p>
    <w:p w14:paraId="1FFFC0D8">
      <w:pPr>
        <w:autoSpaceDE w:val="0"/>
        <w:autoSpaceDN w:val="0"/>
        <w:adjustRightInd w:val="0"/>
        <w:spacing w:line="430" w:lineRule="atLeast"/>
        <w:ind w:firstLine="240" w:firstLineChars="100"/>
        <w:textAlignment w:val="bottom"/>
        <w:rPr>
          <w:rFonts w:hint="eastAsia" w:ascii="宋体" w:eastAsia="宋体" w:cs="Times New Roman"/>
          <w:b w:val="0"/>
          <w:color w:val="auto"/>
          <w:kern w:val="2"/>
          <w:sz w:val="22"/>
          <w:szCs w:val="22"/>
        </w:rPr>
      </w:pPr>
      <w:r>
        <w:rPr>
          <w:rFonts w:hint="eastAsia" w:ascii="宋体" w:eastAsia="宋体" w:cs="Times New Roman"/>
          <w:bCs w:val="0"/>
          <w:color w:val="0000FF"/>
          <w:kern w:val="2"/>
          <w:sz w:val="24"/>
          <w:szCs w:val="20"/>
        </w:rPr>
        <w:t xml:space="preserve"> </w:t>
      </w:r>
      <w:r>
        <w:rPr>
          <w:rFonts w:hint="eastAsia" w:ascii="宋体" w:eastAsia="宋体" w:cs="Times New Roman"/>
          <w:b w:val="0"/>
          <w:color w:val="auto"/>
          <w:kern w:val="2"/>
          <w:sz w:val="24"/>
          <w:szCs w:val="24"/>
        </w:rPr>
        <w:t>本项目在合同签订之后</w:t>
      </w:r>
      <w:r>
        <w:rPr>
          <w:rFonts w:hint="eastAsia" w:ascii="宋体" w:eastAsia="宋体" w:cs="Times New Roman"/>
          <w:b w:val="0"/>
          <w:color w:val="auto"/>
          <w:kern w:val="2"/>
          <w:sz w:val="24"/>
          <w:szCs w:val="24"/>
          <w:lang w:eastAsia="zh-CN"/>
        </w:rPr>
        <w:t>甲方</w:t>
      </w:r>
      <w:r>
        <w:rPr>
          <w:rFonts w:hint="eastAsia" w:ascii="宋体" w:eastAsia="宋体" w:cs="Times New Roman"/>
          <w:b w:val="0"/>
          <w:color w:val="auto"/>
          <w:kern w:val="2"/>
          <w:sz w:val="24"/>
          <w:szCs w:val="24"/>
        </w:rPr>
        <w:t>在财政拨付资金后7个工作日</w:t>
      </w:r>
      <w:r>
        <w:rPr>
          <w:rFonts w:hint="eastAsia" w:ascii="宋体" w:eastAsia="宋体" w:cs="Times New Roman"/>
          <w:b w:val="0"/>
          <w:color w:val="auto"/>
          <w:kern w:val="2"/>
          <w:sz w:val="24"/>
          <w:szCs w:val="24"/>
          <w:lang w:eastAsia="zh-CN"/>
        </w:rPr>
        <w:t>内</w:t>
      </w:r>
      <w:r>
        <w:rPr>
          <w:rFonts w:hint="eastAsia" w:ascii="宋体" w:eastAsia="宋体" w:cs="Times New Roman"/>
          <w:b w:val="0"/>
          <w:color w:val="auto"/>
          <w:kern w:val="2"/>
          <w:sz w:val="24"/>
          <w:szCs w:val="24"/>
        </w:rPr>
        <w:t>支付合同价的40%作为预付款，在完成2</w:t>
      </w:r>
      <w:r>
        <w:rPr>
          <w:rFonts w:hint="eastAsia" w:ascii="宋体" w:eastAsia="宋体" w:cs="Times New Roman"/>
          <w:b w:val="0"/>
          <w:color w:val="auto"/>
          <w:kern w:val="2"/>
          <w:sz w:val="24"/>
          <w:szCs w:val="24"/>
          <w:lang w:val="en-US" w:eastAsia="zh-CN"/>
        </w:rPr>
        <w:t>10</w:t>
      </w:r>
      <w:r>
        <w:rPr>
          <w:rFonts w:hint="eastAsia" w:ascii="宋体" w:eastAsia="宋体" w:cs="Times New Roman"/>
          <w:b w:val="0"/>
          <w:color w:val="auto"/>
          <w:kern w:val="2"/>
          <w:sz w:val="24"/>
          <w:szCs w:val="24"/>
        </w:rPr>
        <w:t>座桥梁常规性检测、评估（楠溪江大桥常规检测，1条隧道常规检测，道路常规检查、空洞检查检测评估工作内容）后并提供给</w:t>
      </w:r>
      <w:r>
        <w:rPr>
          <w:rFonts w:hint="eastAsia" w:ascii="宋体" w:eastAsia="宋体" w:cs="Times New Roman"/>
          <w:b w:val="0"/>
          <w:color w:val="auto"/>
          <w:kern w:val="2"/>
          <w:sz w:val="24"/>
          <w:szCs w:val="24"/>
          <w:lang w:eastAsia="zh-CN"/>
        </w:rPr>
        <w:t>甲方</w:t>
      </w:r>
      <w:r>
        <w:rPr>
          <w:rFonts w:hint="eastAsia" w:ascii="宋体" w:eastAsia="宋体" w:cs="Times New Roman"/>
          <w:b w:val="0"/>
          <w:color w:val="auto"/>
          <w:kern w:val="2"/>
          <w:sz w:val="24"/>
          <w:szCs w:val="24"/>
        </w:rPr>
        <w:t>，</w:t>
      </w:r>
      <w:r>
        <w:rPr>
          <w:rFonts w:hint="eastAsia" w:ascii="宋体" w:eastAsia="宋体" w:cs="Times New Roman"/>
          <w:b w:val="0"/>
          <w:color w:val="auto"/>
          <w:kern w:val="2"/>
          <w:sz w:val="24"/>
          <w:szCs w:val="24"/>
          <w:lang w:eastAsia="zh-CN"/>
        </w:rPr>
        <w:t>甲方</w:t>
      </w:r>
      <w:r>
        <w:rPr>
          <w:rFonts w:hint="eastAsia" w:ascii="宋体" w:eastAsia="宋体" w:cs="Times New Roman"/>
          <w:b w:val="0"/>
          <w:color w:val="auto"/>
          <w:kern w:val="2"/>
          <w:sz w:val="24"/>
          <w:szCs w:val="24"/>
        </w:rPr>
        <w:t>在财政拨付资金后7个工作日</w:t>
      </w:r>
      <w:r>
        <w:rPr>
          <w:rFonts w:hint="eastAsia" w:ascii="宋体" w:eastAsia="宋体" w:cs="Times New Roman"/>
          <w:b w:val="0"/>
          <w:color w:val="auto"/>
          <w:kern w:val="2"/>
          <w:sz w:val="24"/>
          <w:szCs w:val="24"/>
          <w:lang w:eastAsia="zh-CN"/>
        </w:rPr>
        <w:t>内</w:t>
      </w:r>
      <w:r>
        <w:rPr>
          <w:rFonts w:hint="eastAsia" w:ascii="宋体" w:eastAsia="宋体" w:cs="Times New Roman"/>
          <w:b w:val="0"/>
          <w:color w:val="auto"/>
          <w:kern w:val="2"/>
          <w:sz w:val="24"/>
          <w:szCs w:val="24"/>
        </w:rPr>
        <w:t>一次性支付至合同价的80%（含预付款</w:t>
      </w:r>
      <w:r>
        <w:rPr>
          <w:rFonts w:hint="eastAsia" w:ascii="宋体" w:eastAsia="宋体" w:cs="Times New Roman"/>
          <w:b w:val="0"/>
          <w:color w:val="000000"/>
          <w:kern w:val="2"/>
          <w:sz w:val="24"/>
          <w:szCs w:val="24"/>
          <w:highlight w:val="none"/>
        </w:rPr>
        <w:t>），在完成至少</w:t>
      </w:r>
      <w:r>
        <w:rPr>
          <w:rFonts w:hint="eastAsia" w:ascii="宋体" w:eastAsia="宋体" w:cs="Times New Roman"/>
          <w:b w:val="0"/>
          <w:color w:val="000000"/>
          <w:kern w:val="2"/>
          <w:sz w:val="24"/>
          <w:szCs w:val="24"/>
          <w:highlight w:val="none"/>
          <w:lang w:val="en-US" w:eastAsia="zh-CN"/>
        </w:rPr>
        <w:t>2</w:t>
      </w:r>
      <w:r>
        <w:rPr>
          <w:rFonts w:hint="eastAsia" w:ascii="宋体" w:eastAsia="宋体" w:cs="Times New Roman"/>
          <w:b w:val="0"/>
          <w:color w:val="000000"/>
          <w:kern w:val="2"/>
          <w:sz w:val="24"/>
          <w:szCs w:val="24"/>
          <w:highlight w:val="none"/>
        </w:rPr>
        <w:t>0座桥梁结构性检测，具体桥梁以甲方确定为准</w:t>
      </w:r>
      <w:r>
        <w:rPr>
          <w:rFonts w:hint="eastAsia" w:ascii="宋体" w:eastAsia="宋体" w:cs="Times New Roman"/>
          <w:b w:val="0"/>
          <w:color w:val="000000"/>
          <w:kern w:val="2"/>
          <w:sz w:val="24"/>
          <w:szCs w:val="24"/>
          <w:highlight w:val="none"/>
          <w:lang w:val="en-US" w:eastAsia="zh-CN"/>
        </w:rPr>
        <w:t>,</w:t>
      </w:r>
      <w:r>
        <w:rPr>
          <w:rFonts w:hint="eastAsia" w:ascii="宋体" w:eastAsia="宋体" w:cs="Times New Roman"/>
          <w:b w:val="0"/>
          <w:color w:val="000000"/>
          <w:kern w:val="2"/>
          <w:sz w:val="24"/>
          <w:szCs w:val="24"/>
          <w:highlight w:val="none"/>
        </w:rPr>
        <w:t>最终按实际检测桥梁座数*该项成交综合单价办理结算</w:t>
      </w:r>
      <w:r>
        <w:rPr>
          <w:rFonts w:hint="eastAsia" w:ascii="宋体" w:eastAsia="宋体" w:cs="Times New Roman"/>
          <w:b w:val="0"/>
          <w:kern w:val="2"/>
          <w:sz w:val="24"/>
          <w:szCs w:val="24"/>
        </w:rPr>
        <w:t>、评估工作内容后并提供给业主，经</w:t>
      </w:r>
      <w:r>
        <w:rPr>
          <w:rFonts w:hint="eastAsia" w:ascii="宋体" w:eastAsia="宋体" w:cs="Times New Roman"/>
          <w:b w:val="0"/>
          <w:color w:val="auto"/>
          <w:kern w:val="2"/>
          <w:sz w:val="24"/>
          <w:szCs w:val="24"/>
          <w:lang w:eastAsia="zh-CN"/>
        </w:rPr>
        <w:t>甲方</w:t>
      </w:r>
      <w:r>
        <w:rPr>
          <w:rFonts w:hint="eastAsia" w:ascii="宋体" w:eastAsia="宋体" w:cs="Times New Roman"/>
          <w:b w:val="0"/>
          <w:kern w:val="2"/>
          <w:sz w:val="24"/>
          <w:szCs w:val="24"/>
        </w:rPr>
        <w:t>组织相关专业人员进行验收通过后，一次性付清余款。</w:t>
      </w:r>
      <w:r>
        <w:rPr>
          <w:rFonts w:hint="eastAsia" w:ascii="宋体" w:eastAsia="宋体" w:cs="Times New Roman"/>
          <w:b w:val="0"/>
          <w:kern w:val="2"/>
          <w:sz w:val="22"/>
          <w:szCs w:val="22"/>
        </w:rPr>
        <w:t xml:space="preserve"> </w:t>
      </w:r>
      <w:r>
        <w:rPr>
          <w:rFonts w:hint="eastAsia" w:ascii="宋体" w:eastAsia="宋体" w:cs="Times New Roman"/>
          <w:b w:val="0"/>
          <w:color w:val="auto"/>
          <w:kern w:val="2"/>
          <w:sz w:val="22"/>
          <w:szCs w:val="22"/>
        </w:rPr>
        <w:t xml:space="preserve"> </w:t>
      </w:r>
    </w:p>
    <w:p w14:paraId="130D4E1F">
      <w:pPr>
        <w:spacing w:line="400" w:lineRule="exact"/>
        <w:ind w:firstLine="588" w:firstLineChars="245"/>
        <w:rPr>
          <w:rFonts w:ascii="宋体" w:eastAsia="宋体" w:cs="Times New Roman"/>
          <w:bCs w:val="0"/>
          <w:kern w:val="2"/>
          <w:sz w:val="24"/>
          <w:szCs w:val="20"/>
        </w:rPr>
      </w:pPr>
      <w:r>
        <w:rPr>
          <w:rFonts w:hint="eastAsia" w:ascii="宋体" w:eastAsia="宋体" w:cs="Times New Roman"/>
          <w:bCs w:val="0"/>
          <w:kern w:val="2"/>
          <w:sz w:val="24"/>
          <w:szCs w:val="20"/>
        </w:rPr>
        <w:t>九、违约责任：</w:t>
      </w:r>
      <w:r>
        <w:rPr>
          <w:rFonts w:ascii="宋体" w:eastAsia="宋体" w:cs="Times New Roman"/>
          <w:bCs w:val="0"/>
          <w:kern w:val="2"/>
          <w:sz w:val="24"/>
          <w:szCs w:val="20"/>
        </w:rPr>
        <w:t xml:space="preserve"> </w:t>
      </w:r>
    </w:p>
    <w:p w14:paraId="46AF7DC6">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（1）因甲方未履行义务而造成乙方无法按时保质地完成检测业务的，甲方应当承担相应的经济损失，并赔偿由此给乙方造成的损失。完成检测业务的时限由双方另行约定。</w:t>
      </w:r>
    </w:p>
    <w:p w14:paraId="7C099997">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（2）检测报告信息错误、未按照约定检测依据进行检测或者检测结论判断错误的，乙方应进行更正或免费重新进行检测，给甲方造成损失的应予以赔偿，由甲方原因造成上述错误的除外。</w:t>
      </w:r>
    </w:p>
    <w:p w14:paraId="0E9029A7">
      <w:pPr>
        <w:spacing w:line="400" w:lineRule="exact"/>
        <w:ind w:firstLine="588" w:firstLineChars="245"/>
        <w:jc w:val="left"/>
        <w:rPr>
          <w:rFonts w:ascii="宋体" w:eastAsia="宋体" w:cs="Times New Roman"/>
          <w:b w:val="0"/>
          <w:bCs w:val="0"/>
          <w:kern w:val="2"/>
          <w:sz w:val="24"/>
          <w:szCs w:val="20"/>
        </w:rPr>
      </w:pPr>
      <w:r>
        <w:rPr>
          <w:rFonts w:hint="eastAsia" w:ascii="宋体" w:eastAsia="宋体" w:cs="Times New Roman"/>
          <w:b w:val="0"/>
          <w:bCs w:val="0"/>
          <w:kern w:val="2"/>
          <w:sz w:val="24"/>
          <w:szCs w:val="20"/>
        </w:rPr>
        <w:t>（3）其他违约责任：</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rPr>
        <w:t>。</w:t>
      </w:r>
    </w:p>
    <w:p w14:paraId="112DE21B">
      <w:pPr>
        <w:spacing w:line="400" w:lineRule="exact"/>
        <w:ind w:firstLine="588" w:firstLineChars="245"/>
        <w:rPr>
          <w:rFonts w:hint="eastAsia" w:ascii="宋体" w:eastAsia="宋体" w:cs="Times New Roman"/>
          <w:bCs w:val="0"/>
          <w:kern w:val="2"/>
          <w:sz w:val="24"/>
          <w:szCs w:val="20"/>
        </w:rPr>
      </w:pPr>
      <w:r>
        <w:rPr>
          <w:rFonts w:hint="eastAsia" w:ascii="宋体" w:eastAsia="宋体" w:cs="Times New Roman"/>
          <w:bCs w:val="0"/>
          <w:kern w:val="2"/>
          <w:sz w:val="24"/>
          <w:szCs w:val="20"/>
        </w:rPr>
        <w:t>十、争议的解决方式：</w:t>
      </w:r>
    </w:p>
    <w:p w14:paraId="11B13AEB">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1.甲方对检测结论有异议的，可由双方共同认可的检测机构复检。复检结论与原检测结论相同，由甲方支付复检费用；反之，则由乙方承担复检费用。对复检结论仍有异议的，可向建设主管部门申请专家论证解决。</w:t>
      </w:r>
    </w:p>
    <w:p w14:paraId="4B5D3E63">
      <w:pPr>
        <w:autoSpaceDE w:val="0"/>
        <w:autoSpaceDN w:val="0"/>
        <w:adjustRightInd w:val="0"/>
        <w:spacing w:line="400" w:lineRule="exact"/>
        <w:jc w:val="left"/>
        <w:rPr>
          <w:rFonts w:ascii="宋体" w:eastAsia="宋体" w:cs="Times New Roman"/>
          <w:b w:val="0"/>
          <w:bCs w:val="0"/>
          <w:kern w:val="2"/>
          <w:sz w:val="24"/>
          <w:szCs w:val="20"/>
        </w:rPr>
      </w:pPr>
      <w:r>
        <w:rPr>
          <w:rFonts w:hint="eastAsia" w:ascii="宋体" w:eastAsia="宋体" w:cs="Times New Roman"/>
          <w:b w:val="0"/>
          <w:bCs w:val="0"/>
          <w:kern w:val="2"/>
          <w:sz w:val="24"/>
          <w:szCs w:val="20"/>
        </w:rPr>
        <w:t>2.凡由本合同</w:t>
      </w:r>
      <w:r>
        <w:rPr>
          <w:rFonts w:ascii="宋体" w:eastAsia="宋体" w:cs="Times New Roman"/>
          <w:b w:val="0"/>
          <w:bCs w:val="0"/>
          <w:kern w:val="2"/>
          <w:sz w:val="24"/>
          <w:szCs w:val="20"/>
        </w:rPr>
        <w:t>引起的或与解释或执行本合同有关的</w:t>
      </w:r>
      <w:r>
        <w:rPr>
          <w:rFonts w:hint="eastAsia" w:ascii="宋体" w:eastAsia="宋体" w:cs="Times New Roman"/>
          <w:b w:val="0"/>
          <w:bCs w:val="0"/>
          <w:kern w:val="2"/>
          <w:sz w:val="24"/>
          <w:szCs w:val="20"/>
        </w:rPr>
        <w:t>任何</w:t>
      </w:r>
      <w:r>
        <w:rPr>
          <w:rFonts w:ascii="宋体" w:eastAsia="宋体" w:cs="Times New Roman"/>
          <w:b w:val="0"/>
          <w:bCs w:val="0"/>
          <w:kern w:val="2"/>
          <w:sz w:val="24"/>
          <w:szCs w:val="20"/>
        </w:rPr>
        <w:t>争议，双方应首先通过友好协商或调解解决，若协商或调解不成，双方约定</w:t>
      </w:r>
      <w:r>
        <w:rPr>
          <w:rFonts w:hint="eastAsia" w:ascii="宋体" w:eastAsia="宋体" w:cs="Times New Roman"/>
          <w:b w:val="0"/>
          <w:bCs w:val="0"/>
          <w:kern w:val="2"/>
          <w:sz w:val="24"/>
          <w:szCs w:val="20"/>
        </w:rPr>
        <w:t>：向甲方所在地的仲裁，仲裁应依据该委员会当时的仲裁规则进行；仲裁裁决是终局的，对双方都有约束力；仲裁费用应由败诉方承担，除非仲裁裁决另有裁定。</w:t>
      </w:r>
    </w:p>
    <w:p w14:paraId="41190D83">
      <w:pPr>
        <w:autoSpaceDE w:val="0"/>
        <w:autoSpaceDN w:val="0"/>
        <w:adjustRightInd w:val="0"/>
        <w:spacing w:line="400" w:lineRule="exact"/>
        <w:ind w:firstLine="480" w:firstLineChars="200"/>
        <w:jc w:val="left"/>
        <w:rPr>
          <w:rFonts w:hint="eastAsia" w:ascii="宋体" w:eastAsia="宋体" w:cs="Times New Roman"/>
          <w:b w:val="0"/>
          <w:bCs w:val="0"/>
          <w:kern w:val="2"/>
          <w:sz w:val="24"/>
          <w:szCs w:val="20"/>
        </w:rPr>
      </w:pPr>
      <w:r>
        <w:rPr>
          <w:rFonts w:hint="eastAsia" w:ascii="宋体" w:eastAsia="宋体" w:cs="Times New Roman"/>
          <w:bCs w:val="0"/>
          <w:kern w:val="2"/>
          <w:sz w:val="24"/>
          <w:szCs w:val="20"/>
        </w:rPr>
        <w:t>十一、</w:t>
      </w:r>
      <w:r>
        <w:rPr>
          <w:rFonts w:ascii="宋体" w:eastAsia="宋体" w:cs="Times New Roman"/>
          <w:bCs w:val="0"/>
          <w:kern w:val="2"/>
          <w:sz w:val="24"/>
          <w:szCs w:val="20"/>
        </w:rPr>
        <w:t xml:space="preserve"> </w:t>
      </w:r>
      <w:r>
        <w:rPr>
          <w:rFonts w:hint="eastAsia" w:ascii="宋体" w:eastAsia="宋体" w:cs="Times New Roman"/>
          <w:bCs w:val="0"/>
          <w:kern w:val="2"/>
          <w:sz w:val="24"/>
          <w:szCs w:val="20"/>
        </w:rPr>
        <w:t>附则：</w:t>
      </w:r>
    </w:p>
    <w:p w14:paraId="4EE8FDFF">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1.合同</w:t>
      </w:r>
      <w:r>
        <w:rPr>
          <w:rFonts w:ascii="宋体" w:eastAsia="宋体" w:cs="Times New Roman"/>
          <w:b w:val="0"/>
          <w:bCs w:val="0"/>
          <w:kern w:val="2"/>
          <w:sz w:val="24"/>
          <w:szCs w:val="20"/>
        </w:rPr>
        <w:t>应在</w:t>
      </w:r>
      <w:r>
        <w:rPr>
          <w:rFonts w:hint="eastAsia" w:ascii="宋体" w:eastAsia="宋体" w:cs="Times New Roman"/>
          <w:b w:val="0"/>
          <w:bCs w:val="0"/>
          <w:kern w:val="2"/>
          <w:sz w:val="24"/>
          <w:szCs w:val="20"/>
        </w:rPr>
        <w:t>双方</w:t>
      </w:r>
      <w:r>
        <w:rPr>
          <w:rFonts w:ascii="宋体" w:eastAsia="宋体" w:cs="Times New Roman"/>
          <w:b w:val="0"/>
          <w:bCs w:val="0"/>
          <w:kern w:val="2"/>
          <w:sz w:val="24"/>
          <w:szCs w:val="20"/>
        </w:rPr>
        <w:t>签字盖章，并在甲方收到乙方提供的履约保证金后开始生效；</w:t>
      </w:r>
    </w:p>
    <w:p w14:paraId="7EE3B47E">
      <w:pPr>
        <w:spacing w:line="400" w:lineRule="exact"/>
        <w:ind w:firstLine="588" w:firstLineChars="245"/>
        <w:rPr>
          <w:rFonts w:ascii="宋体" w:eastAsia="宋体" w:cs="Times New Roman"/>
          <w:b w:val="0"/>
          <w:bCs w:val="0"/>
          <w:kern w:val="2"/>
          <w:sz w:val="24"/>
          <w:szCs w:val="20"/>
        </w:rPr>
      </w:pPr>
      <w:r>
        <w:rPr>
          <w:rFonts w:ascii="宋体" w:eastAsia="宋体" w:cs="Times New Roman"/>
          <w:b w:val="0"/>
          <w:bCs w:val="0"/>
          <w:kern w:val="2"/>
          <w:sz w:val="24"/>
          <w:szCs w:val="20"/>
        </w:rPr>
        <w:t>2.</w:t>
      </w:r>
      <w:r>
        <w:rPr>
          <w:rFonts w:hint="eastAsia" w:ascii="宋体" w:eastAsia="宋体" w:cs="Times New Roman"/>
          <w:b w:val="0"/>
          <w:bCs w:val="0"/>
          <w:kern w:val="2"/>
          <w:sz w:val="24"/>
          <w:szCs w:val="20"/>
        </w:rPr>
        <w:t>本合同一式</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rPr>
        <w:t>份，双方各执</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u w:val="single"/>
        </w:rPr>
        <w:t xml:space="preserve"> </w:t>
      </w:r>
      <w:r>
        <w:rPr>
          <w:rFonts w:ascii="宋体" w:eastAsia="宋体" w:cs="Times New Roman"/>
          <w:b w:val="0"/>
          <w:bCs w:val="0"/>
          <w:kern w:val="2"/>
          <w:sz w:val="24"/>
          <w:szCs w:val="20"/>
          <w:u w:val="single"/>
        </w:rPr>
        <w:t xml:space="preserve">  </w:t>
      </w:r>
      <w:r>
        <w:rPr>
          <w:rFonts w:hint="eastAsia" w:ascii="宋体" w:eastAsia="宋体" w:cs="Times New Roman"/>
          <w:b w:val="0"/>
          <w:bCs w:val="0"/>
          <w:kern w:val="2"/>
          <w:sz w:val="24"/>
          <w:szCs w:val="20"/>
        </w:rPr>
        <w:t>份，同等有效。</w:t>
      </w:r>
    </w:p>
    <w:p w14:paraId="0AE6CECF">
      <w:pPr>
        <w:spacing w:line="400" w:lineRule="exact"/>
        <w:ind w:firstLine="588" w:firstLineChars="245"/>
        <w:rPr>
          <w:rFonts w:ascii="宋体" w:eastAsia="宋体" w:cs="Times New Roman"/>
          <w:b w:val="0"/>
          <w:bCs w:val="0"/>
          <w:kern w:val="2"/>
          <w:sz w:val="24"/>
          <w:szCs w:val="20"/>
        </w:rPr>
      </w:pPr>
      <w:r>
        <w:rPr>
          <w:rFonts w:ascii="宋体" w:eastAsia="宋体" w:cs="Times New Roman"/>
          <w:b w:val="0"/>
          <w:bCs w:val="0"/>
          <w:kern w:val="2"/>
          <w:sz w:val="24"/>
          <w:szCs w:val="20"/>
        </w:rPr>
        <w:t>3.</w:t>
      </w:r>
      <w:r>
        <w:rPr>
          <w:rFonts w:hint="eastAsia" w:ascii="宋体" w:eastAsia="宋体" w:cs="Times New Roman"/>
          <w:b w:val="0"/>
          <w:bCs w:val="0"/>
          <w:kern w:val="2"/>
          <w:sz w:val="24"/>
          <w:szCs w:val="20"/>
        </w:rPr>
        <w:t>如需</w:t>
      </w:r>
      <w:r>
        <w:rPr>
          <w:rFonts w:ascii="宋体" w:eastAsia="宋体" w:cs="Times New Roman"/>
          <w:b w:val="0"/>
          <w:bCs w:val="0"/>
          <w:kern w:val="2"/>
          <w:sz w:val="24"/>
          <w:szCs w:val="20"/>
        </w:rPr>
        <w:t>修改或</w:t>
      </w:r>
      <w:r>
        <w:rPr>
          <w:rFonts w:hint="eastAsia" w:ascii="宋体" w:eastAsia="宋体" w:cs="Times New Roman"/>
          <w:b w:val="0"/>
          <w:bCs w:val="0"/>
          <w:kern w:val="2"/>
          <w:sz w:val="24"/>
          <w:szCs w:val="20"/>
        </w:rPr>
        <w:t>补充合同内容，经协商，双方应签署书面修改或补充协议，该协议将作为本合同的一个组成部分。</w:t>
      </w:r>
    </w:p>
    <w:p w14:paraId="41324E03">
      <w:pPr>
        <w:spacing w:line="400" w:lineRule="exact"/>
        <w:ind w:firstLine="588" w:firstLineChars="245"/>
        <w:rPr>
          <w:rFonts w:hint="eastAsia" w:ascii="宋体" w:eastAsia="宋体" w:cs="Times New Roman"/>
          <w:b w:val="0"/>
          <w:bCs w:val="0"/>
          <w:kern w:val="2"/>
          <w:sz w:val="24"/>
          <w:szCs w:val="20"/>
        </w:rPr>
      </w:pPr>
    </w:p>
    <w:p w14:paraId="57B02548">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甲方：（印章）                        乙方：（印章）</w:t>
      </w:r>
    </w:p>
    <w:p w14:paraId="64A6AF48">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全权代表:（签字）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全权代表:（签字）</w:t>
      </w:r>
    </w:p>
    <w:p w14:paraId="019AC8B5">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地址：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 xml:space="preserve"> 地址：</w:t>
      </w:r>
    </w:p>
    <w:p w14:paraId="511AAAA8">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邮政编码：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邮政编码：</w:t>
      </w:r>
    </w:p>
    <w:p w14:paraId="75E23D25">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电话：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 xml:space="preserve"> 电话：</w:t>
      </w:r>
    </w:p>
    <w:p w14:paraId="12789E25">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传真：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传真：</w:t>
      </w:r>
    </w:p>
    <w:p w14:paraId="7533BB59">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开户银行：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 xml:space="preserve"> 开户银行：</w:t>
      </w:r>
    </w:p>
    <w:p w14:paraId="5E173C44">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 xml:space="preserve">帐号：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帐号：</w:t>
      </w:r>
    </w:p>
    <w:p w14:paraId="176DBC6B">
      <w:pPr>
        <w:spacing w:line="400" w:lineRule="exact"/>
        <w:ind w:firstLine="588" w:firstLineChars="245"/>
        <w:rPr>
          <w:rFonts w:hint="eastAsia" w:ascii="宋体" w:eastAsia="宋体" w:cs="Times New Roman"/>
          <w:b w:val="0"/>
          <w:bCs w:val="0"/>
          <w:kern w:val="2"/>
          <w:sz w:val="24"/>
          <w:szCs w:val="20"/>
        </w:rPr>
      </w:pPr>
      <w:r>
        <w:rPr>
          <w:rFonts w:hint="eastAsia" w:ascii="宋体" w:eastAsia="宋体" w:cs="Times New Roman"/>
          <w:b w:val="0"/>
          <w:bCs w:val="0"/>
          <w:kern w:val="2"/>
          <w:sz w:val="24"/>
          <w:szCs w:val="20"/>
        </w:rPr>
        <w:t xml:space="preserve">时间：                            </w:t>
      </w:r>
      <w:r>
        <w:rPr>
          <w:rFonts w:ascii="宋体" w:eastAsia="宋体" w:cs="Times New Roman"/>
          <w:b w:val="0"/>
          <w:bCs w:val="0"/>
          <w:kern w:val="2"/>
          <w:sz w:val="24"/>
          <w:szCs w:val="20"/>
        </w:rPr>
        <w:t xml:space="preserve">   </w:t>
      </w:r>
      <w:r>
        <w:rPr>
          <w:rFonts w:hint="eastAsia" w:ascii="宋体" w:eastAsia="宋体" w:cs="Times New Roman"/>
          <w:b w:val="0"/>
          <w:bCs w:val="0"/>
          <w:kern w:val="2"/>
          <w:sz w:val="24"/>
          <w:szCs w:val="20"/>
        </w:rPr>
        <w:t xml:space="preserve"> 时间</w:t>
      </w:r>
      <w:r>
        <w:rPr>
          <w:rFonts w:ascii="宋体" w:eastAsia="宋体" w:cs="Times New Roman"/>
          <w:b w:val="0"/>
          <w:bCs w:val="0"/>
          <w:kern w:val="2"/>
          <w:sz w:val="24"/>
          <w:szCs w:val="20"/>
        </w:rPr>
        <w:t>：</w:t>
      </w:r>
    </w:p>
    <w:p w14:paraId="683B6C3C">
      <w:pPr>
        <w:spacing w:line="400" w:lineRule="exact"/>
        <w:ind w:firstLine="588" w:firstLineChars="245"/>
        <w:rPr>
          <w:rFonts w:ascii="宋体" w:eastAsia="宋体" w:cs="Times New Roman"/>
          <w:b w:val="0"/>
          <w:bCs w:val="0"/>
          <w:kern w:val="2"/>
          <w:sz w:val="24"/>
          <w:szCs w:val="20"/>
        </w:rPr>
      </w:pPr>
      <w:r>
        <w:rPr>
          <w:rFonts w:hint="eastAsia" w:ascii="宋体" w:eastAsia="宋体" w:cs="Times New Roman"/>
          <w:b w:val="0"/>
          <w:bCs w:val="0"/>
          <w:kern w:val="2"/>
          <w:sz w:val="24"/>
          <w:szCs w:val="20"/>
        </w:rPr>
        <w:t>注：本合同作为示范文本，具体以中标人与采购人所签定正式合同为准</w:t>
      </w:r>
    </w:p>
    <w:p w14:paraId="6700CB25">
      <w:pPr>
        <w:spacing w:line="360" w:lineRule="auto"/>
        <w:jc w:val="center"/>
        <w:rPr>
          <w:rFonts w:ascii="宋体" w:eastAsia="宋体" w:cs="Times New Roman"/>
          <w:b w:val="0"/>
          <w:bCs w:val="0"/>
          <w:kern w:val="2"/>
          <w:sz w:val="36"/>
          <w:szCs w:val="20"/>
        </w:rPr>
      </w:pPr>
    </w:p>
    <w:p w14:paraId="22226799">
      <w:pPr>
        <w:spacing w:line="360" w:lineRule="auto"/>
        <w:rPr>
          <w:rFonts w:ascii="Times New Roman" w:hAnsi="Times New Roman" w:eastAsia="宋体" w:cs="Times New Roman"/>
          <w:b w:val="0"/>
          <w:bCs w:val="0"/>
          <w:kern w:val="2"/>
          <w:sz w:val="22"/>
          <w:szCs w:val="22"/>
        </w:rPr>
      </w:pPr>
    </w:p>
    <w:p w14:paraId="02D5B851">
      <w:pPr>
        <w:jc w:val="left"/>
        <w:rPr>
          <w:rFonts w:hint="eastAsia" w:ascii="宋体" w:hAnsi="宋体"/>
          <w:color w:val="auto"/>
        </w:rPr>
      </w:pPr>
      <w:r>
        <w:rPr>
          <w:rFonts w:ascii="宋体" w:eastAsia="宋体" w:cs="Times New Roman"/>
          <w:b w:val="0"/>
          <w:bCs w:val="0"/>
          <w:kern w:val="2"/>
          <w:sz w:val="22"/>
          <w:szCs w:val="22"/>
          <w:u w:val="single"/>
        </w:rPr>
        <w:t>注：以上合同条款供采购人及成交供应商作为商务参考，具体签订时，采购人可根据自身项目情况与中标供应商协商另行修改拟定相关合同具体条款。</w:t>
      </w:r>
    </w:p>
    <w:p w14:paraId="48CA5DAD">
      <w:pPr>
        <w:widowControl/>
        <w:adjustRightInd/>
        <w:jc w:val="left"/>
        <w:rPr>
          <w:rFonts w:ascii="宋体" w:hAnsi="宋体"/>
          <w:b/>
          <w:color w:val="auto"/>
          <w:sz w:val="24"/>
          <w:highlight w:val="none"/>
        </w:rPr>
      </w:pPr>
    </w:p>
    <w:p w14:paraId="684373EE">
      <w:pPr>
        <w:spacing w:line="360" w:lineRule="auto"/>
        <w:ind w:left="-420" w:leftChars="-200" w:right="-420" w:rightChars="-200" w:firstLine="480" w:firstLineChars="200"/>
        <w:rPr>
          <w:rFonts w:ascii="宋体" w:hAnsi="宋体" w:cs="宋体"/>
          <w:color w:val="auto"/>
          <w:sz w:val="24"/>
          <w:highlight w:val="none"/>
        </w:rPr>
      </w:pPr>
    </w:p>
    <w:p w14:paraId="1E4426F6">
      <w:pPr>
        <w:spacing w:line="360" w:lineRule="auto"/>
        <w:ind w:firstLine="562" w:firstLineChars="200"/>
        <w:jc w:val="center"/>
        <w:rPr>
          <w:rFonts w:asciiTheme="minorEastAsia" w:hAnsiTheme="minorEastAsia" w:eastAsiaTheme="minorEastAsia"/>
          <w:b/>
          <w:color w:val="auto"/>
          <w:sz w:val="28"/>
          <w:szCs w:val="28"/>
          <w:highlight w:val="none"/>
        </w:rPr>
      </w:pPr>
    </w:p>
    <w:bookmarkEnd w:id="67"/>
    <w:bookmarkEnd w:id="68"/>
    <w:p w14:paraId="5ABD26D4">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44E93797">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  应提交的有关格式范例</w:t>
      </w:r>
    </w:p>
    <w:p w14:paraId="29BBBC82">
      <w:pPr>
        <w:pStyle w:val="19"/>
        <w:adjustRightInd/>
        <w:spacing w:before="240" w:after="6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FC43C7E">
      <w:pPr>
        <w:pStyle w:val="19"/>
        <w:adjustRightInd/>
        <w:spacing w:before="240" w:after="6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C625D8">
      <w:pPr>
        <w:spacing w:line="360" w:lineRule="auto"/>
        <w:jc w:val="center"/>
        <w:outlineLvl w:val="0"/>
        <w:rPr>
          <w:rFonts w:ascii="宋体" w:hAnsi="宋体" w:cs="宋体"/>
          <w:b/>
          <w:color w:val="auto"/>
          <w:kern w:val="0"/>
          <w:sz w:val="36"/>
          <w:szCs w:val="36"/>
          <w:highlight w:val="none"/>
        </w:rPr>
      </w:pPr>
    </w:p>
    <w:p w14:paraId="1F127E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DEFD3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如有）</w:t>
      </w:r>
      <w:r>
        <w:rPr>
          <w:rFonts w:hint="eastAsia" w:ascii="宋体" w:hAnsi="宋体" w:cs="宋体"/>
          <w:color w:val="auto"/>
          <w:sz w:val="24"/>
          <w:highlight w:val="none"/>
        </w:rPr>
        <w:t>……………………………………………………（页码）</w:t>
      </w:r>
    </w:p>
    <w:p w14:paraId="0967D5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9794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B2B69A7">
      <w:pPr>
        <w:snapToGrid w:val="0"/>
        <w:spacing w:line="360" w:lineRule="auto"/>
        <w:ind w:right="480" w:firstLine="321" w:firstLineChars="100"/>
        <w:jc w:val="both"/>
        <w:rPr>
          <w:rFonts w:hint="eastAsia" w:ascii="宋体" w:hAnsi="宋体" w:cs="宋体"/>
          <w:b/>
          <w:color w:val="auto"/>
          <w:kern w:val="0"/>
          <w:sz w:val="32"/>
          <w:szCs w:val="32"/>
          <w:highlight w:val="none"/>
        </w:rPr>
      </w:pPr>
    </w:p>
    <w:p w14:paraId="6BB9F3CB">
      <w:pPr>
        <w:snapToGrid w:val="0"/>
        <w:spacing w:line="360" w:lineRule="auto"/>
        <w:ind w:right="48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 xml:space="preserve"> </w:t>
      </w:r>
    </w:p>
    <w:p w14:paraId="4EC46AAD">
      <w:pPr>
        <w:snapToGrid w:val="0"/>
        <w:spacing w:line="360" w:lineRule="auto"/>
        <w:ind w:right="480"/>
        <w:jc w:val="both"/>
        <w:rPr>
          <w:rFonts w:hint="eastAsia" w:ascii="宋体" w:hAnsi="宋体" w:cs="宋体"/>
          <w:b/>
          <w:color w:val="auto"/>
          <w:kern w:val="0"/>
          <w:sz w:val="32"/>
          <w:szCs w:val="32"/>
          <w:highlight w:val="none"/>
          <w:lang w:val="en-US" w:eastAsia="zh-CN"/>
        </w:rPr>
      </w:pPr>
    </w:p>
    <w:p w14:paraId="750125CB">
      <w:pPr>
        <w:snapToGrid w:val="0"/>
        <w:spacing w:line="360" w:lineRule="auto"/>
        <w:ind w:right="480"/>
        <w:jc w:val="both"/>
        <w:rPr>
          <w:rFonts w:hint="eastAsia" w:ascii="宋体" w:hAnsi="宋体" w:cs="宋体"/>
          <w:b/>
          <w:color w:val="auto"/>
          <w:kern w:val="0"/>
          <w:sz w:val="32"/>
          <w:szCs w:val="32"/>
          <w:highlight w:val="none"/>
          <w:lang w:val="en-US" w:eastAsia="zh-CN"/>
        </w:rPr>
      </w:pPr>
    </w:p>
    <w:p w14:paraId="0AC1815B">
      <w:pPr>
        <w:snapToGrid w:val="0"/>
        <w:spacing w:line="360" w:lineRule="auto"/>
        <w:ind w:right="480"/>
        <w:jc w:val="both"/>
        <w:rPr>
          <w:rFonts w:hint="eastAsia" w:ascii="宋体" w:hAnsi="宋体" w:cs="宋体"/>
          <w:b/>
          <w:color w:val="auto"/>
          <w:kern w:val="0"/>
          <w:sz w:val="32"/>
          <w:szCs w:val="32"/>
          <w:highlight w:val="none"/>
          <w:lang w:val="en-US" w:eastAsia="zh-CN"/>
        </w:rPr>
      </w:pPr>
    </w:p>
    <w:p w14:paraId="756102DD">
      <w:pPr>
        <w:snapToGrid w:val="0"/>
        <w:spacing w:line="360" w:lineRule="auto"/>
        <w:ind w:right="480"/>
        <w:jc w:val="both"/>
        <w:rPr>
          <w:rFonts w:hint="eastAsia" w:ascii="宋体" w:hAnsi="宋体" w:cs="宋体"/>
          <w:b/>
          <w:color w:val="auto"/>
          <w:kern w:val="0"/>
          <w:sz w:val="32"/>
          <w:szCs w:val="32"/>
          <w:highlight w:val="none"/>
          <w:lang w:val="en-US" w:eastAsia="zh-CN"/>
        </w:rPr>
      </w:pPr>
    </w:p>
    <w:p w14:paraId="3645A06D">
      <w:pPr>
        <w:snapToGrid w:val="0"/>
        <w:spacing w:line="360" w:lineRule="auto"/>
        <w:ind w:right="480"/>
        <w:jc w:val="both"/>
        <w:rPr>
          <w:rFonts w:hint="eastAsia" w:ascii="宋体" w:hAnsi="宋体" w:cs="宋体"/>
          <w:b/>
          <w:color w:val="auto"/>
          <w:kern w:val="0"/>
          <w:sz w:val="32"/>
          <w:szCs w:val="32"/>
          <w:highlight w:val="none"/>
          <w:lang w:val="en-US" w:eastAsia="zh-CN"/>
        </w:rPr>
      </w:pPr>
    </w:p>
    <w:p w14:paraId="0AD1BD90">
      <w:pPr>
        <w:snapToGrid w:val="0"/>
        <w:spacing w:line="360" w:lineRule="auto"/>
        <w:ind w:right="480"/>
        <w:jc w:val="both"/>
        <w:rPr>
          <w:rFonts w:hint="eastAsia" w:ascii="宋体" w:hAnsi="宋体" w:cs="宋体"/>
          <w:b/>
          <w:color w:val="auto"/>
          <w:kern w:val="0"/>
          <w:sz w:val="32"/>
          <w:szCs w:val="32"/>
          <w:highlight w:val="none"/>
          <w:lang w:val="en-US" w:eastAsia="zh-CN"/>
        </w:rPr>
      </w:pPr>
    </w:p>
    <w:p w14:paraId="2B5FF101">
      <w:pPr>
        <w:snapToGrid w:val="0"/>
        <w:spacing w:line="360" w:lineRule="auto"/>
        <w:ind w:right="480"/>
        <w:jc w:val="both"/>
        <w:rPr>
          <w:rFonts w:hint="eastAsia" w:ascii="宋体" w:hAnsi="宋体" w:cs="宋体"/>
          <w:b/>
          <w:color w:val="auto"/>
          <w:kern w:val="0"/>
          <w:sz w:val="32"/>
          <w:szCs w:val="32"/>
          <w:highlight w:val="none"/>
          <w:lang w:val="en-US" w:eastAsia="zh-CN"/>
        </w:rPr>
      </w:pPr>
    </w:p>
    <w:p w14:paraId="220940DB">
      <w:pPr>
        <w:snapToGrid w:val="0"/>
        <w:spacing w:line="360" w:lineRule="auto"/>
        <w:ind w:right="480"/>
        <w:jc w:val="both"/>
        <w:rPr>
          <w:rFonts w:hint="eastAsia" w:ascii="宋体" w:hAnsi="宋体" w:cs="宋体"/>
          <w:b/>
          <w:color w:val="auto"/>
          <w:kern w:val="0"/>
          <w:sz w:val="32"/>
          <w:szCs w:val="32"/>
          <w:highlight w:val="none"/>
          <w:lang w:val="en-US" w:eastAsia="zh-CN"/>
        </w:rPr>
      </w:pPr>
    </w:p>
    <w:p w14:paraId="4020BAAC">
      <w:pPr>
        <w:snapToGrid w:val="0"/>
        <w:spacing w:line="360" w:lineRule="auto"/>
        <w:ind w:right="480"/>
        <w:jc w:val="both"/>
        <w:rPr>
          <w:rFonts w:hint="eastAsia" w:ascii="宋体" w:hAnsi="宋体" w:cs="宋体"/>
          <w:b/>
          <w:color w:val="auto"/>
          <w:kern w:val="0"/>
          <w:sz w:val="32"/>
          <w:szCs w:val="32"/>
          <w:highlight w:val="none"/>
          <w:lang w:val="en-US" w:eastAsia="zh-CN"/>
        </w:rPr>
      </w:pPr>
    </w:p>
    <w:p w14:paraId="16C73E89">
      <w:pPr>
        <w:snapToGrid w:val="0"/>
        <w:spacing w:line="360" w:lineRule="auto"/>
        <w:ind w:right="480"/>
        <w:jc w:val="both"/>
        <w:rPr>
          <w:rFonts w:hint="eastAsia" w:ascii="宋体" w:hAnsi="宋体" w:cs="宋体"/>
          <w:b/>
          <w:color w:val="auto"/>
          <w:kern w:val="0"/>
          <w:sz w:val="32"/>
          <w:szCs w:val="32"/>
          <w:highlight w:val="none"/>
          <w:lang w:val="en-US" w:eastAsia="zh-CN"/>
        </w:rPr>
      </w:pPr>
    </w:p>
    <w:p w14:paraId="34848C2F">
      <w:pPr>
        <w:snapToGrid w:val="0"/>
        <w:spacing w:line="360" w:lineRule="auto"/>
        <w:ind w:right="480"/>
        <w:jc w:val="both"/>
        <w:rPr>
          <w:rFonts w:hint="eastAsia" w:ascii="宋体" w:hAnsi="宋体" w:cs="宋体"/>
          <w:b/>
          <w:color w:val="auto"/>
          <w:kern w:val="0"/>
          <w:sz w:val="32"/>
          <w:szCs w:val="32"/>
          <w:highlight w:val="none"/>
          <w:lang w:val="en-US" w:eastAsia="zh-CN"/>
        </w:rPr>
      </w:pPr>
    </w:p>
    <w:p w14:paraId="06763A3C">
      <w:pPr>
        <w:snapToGrid w:val="0"/>
        <w:spacing w:line="360" w:lineRule="auto"/>
        <w:ind w:right="480"/>
        <w:jc w:val="both"/>
        <w:rPr>
          <w:rFonts w:hint="eastAsia" w:ascii="宋体" w:hAnsi="宋体" w:cs="宋体"/>
          <w:b/>
          <w:color w:val="auto"/>
          <w:kern w:val="0"/>
          <w:sz w:val="32"/>
          <w:szCs w:val="32"/>
          <w:highlight w:val="none"/>
          <w:lang w:val="en-US" w:eastAsia="zh-CN"/>
        </w:rPr>
      </w:pPr>
    </w:p>
    <w:p w14:paraId="33A73B50">
      <w:pPr>
        <w:snapToGrid w:val="0"/>
        <w:spacing w:line="360" w:lineRule="auto"/>
        <w:ind w:right="480"/>
        <w:jc w:val="both"/>
        <w:rPr>
          <w:rFonts w:hint="eastAsia" w:ascii="宋体" w:hAnsi="宋体" w:cs="宋体"/>
          <w:b/>
          <w:color w:val="auto"/>
          <w:kern w:val="0"/>
          <w:sz w:val="32"/>
          <w:szCs w:val="32"/>
          <w:highlight w:val="none"/>
          <w:lang w:val="en-US" w:eastAsia="zh-CN"/>
        </w:rPr>
      </w:pPr>
    </w:p>
    <w:p w14:paraId="2B5D2FDD">
      <w:pPr>
        <w:pStyle w:val="19"/>
        <w:adjustRightInd/>
        <w:spacing w:before="240" w:after="60"/>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 符合参加政府采购活动应当具备的一般条件的承诺函</w:t>
      </w:r>
    </w:p>
    <w:p w14:paraId="3A9431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浙江新业项目管理有限公司</w:t>
      </w:r>
      <w:r>
        <w:rPr>
          <w:rFonts w:hint="eastAsia" w:ascii="宋体" w:hAnsi="宋体" w:cs="宋体"/>
          <w:color w:val="auto"/>
          <w:sz w:val="24"/>
          <w:highlight w:val="none"/>
        </w:rPr>
        <w:t>）：</w:t>
      </w:r>
    </w:p>
    <w:p w14:paraId="581AE9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编号：（采购编号）】政府采购活动，郑重承诺：</w:t>
      </w:r>
    </w:p>
    <w:p w14:paraId="5503AF3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3BB7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B3EB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315A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BE81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243E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BC021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2E4DB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D8BC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76073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64285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EA7787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168FFDF0">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D35E1B">
      <w:pPr>
        <w:spacing w:line="360" w:lineRule="auto"/>
        <w:ind w:firstLine="480" w:firstLineChars="20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w:t>
      </w:r>
      <w:r>
        <w:rPr>
          <w:rFonts w:hint="eastAsia" w:cs="仿宋_GB2312" w:asciiTheme="minorEastAsia" w:hAnsiTheme="minorEastAsia" w:eastAsiaTheme="minorEastAsia"/>
          <w:b/>
          <w:color w:val="auto"/>
          <w:sz w:val="24"/>
          <w:highlight w:val="none"/>
          <w:u w:val="single"/>
          <w:lang w:eastAsia="zh-CN"/>
        </w:rPr>
        <w:t>材料</w:t>
      </w:r>
      <w:r>
        <w:rPr>
          <w:rFonts w:hint="eastAsia" w:cs="仿宋_GB2312" w:asciiTheme="minorEastAsia" w:hAnsiTheme="minorEastAsia" w:eastAsiaTheme="minorEastAsia"/>
          <w:b/>
          <w:color w:val="auto"/>
          <w:sz w:val="24"/>
          <w:highlight w:val="none"/>
          <w:u w:val="single"/>
          <w:lang w:val="en-US" w:eastAsia="zh-CN"/>
        </w:rPr>
        <w:t>.</w:t>
      </w:r>
    </w:p>
    <w:p w14:paraId="0EE49D8E">
      <w:pPr>
        <w:spacing w:line="360" w:lineRule="auto"/>
        <w:jc w:val="both"/>
        <w:rPr>
          <w:rFonts w:hint="eastAsia" w:cs="仿宋_GB2312" w:asciiTheme="minorEastAsia" w:hAnsiTheme="minorEastAsia" w:eastAsiaTheme="minorEastAsia"/>
          <w:b/>
          <w:color w:val="auto"/>
          <w:sz w:val="32"/>
          <w:szCs w:val="32"/>
          <w:highlight w:val="none"/>
          <w:lang w:eastAsia="zh-CN"/>
        </w:rPr>
      </w:pPr>
    </w:p>
    <w:p w14:paraId="223DE27E">
      <w:pPr>
        <w:spacing w:line="360" w:lineRule="auto"/>
        <w:ind w:firstLine="2570" w:firstLineChars="800"/>
        <w:jc w:val="both"/>
        <w:rPr>
          <w:rFonts w:hint="eastAsia" w:cs="仿宋_GB2312" w:asciiTheme="minorEastAsia" w:hAnsiTheme="minorEastAsia" w:eastAsiaTheme="minorEastAsia"/>
          <w:b/>
          <w:color w:val="auto"/>
          <w:sz w:val="32"/>
          <w:szCs w:val="32"/>
          <w:highlight w:val="none"/>
          <w:lang w:eastAsia="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375AA50">
      <w:pPr>
        <w:pStyle w:val="19"/>
        <w:adjustRightInd/>
        <w:spacing w:before="240" w:after="60"/>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lang w:eastAsia="zh-CN"/>
        </w:rPr>
        <w:t>二、</w:t>
      </w:r>
      <w:r>
        <w:rPr>
          <w:rFonts w:hint="eastAsia" w:cs="仿宋_GB2312" w:asciiTheme="minorEastAsia" w:hAnsiTheme="minorEastAsia" w:eastAsiaTheme="minorEastAsia"/>
          <w:b/>
          <w:color w:val="auto"/>
          <w:sz w:val="32"/>
          <w:highlight w:val="none"/>
        </w:rPr>
        <w:t>联合协议（如果有）</w:t>
      </w:r>
    </w:p>
    <w:p w14:paraId="28BAA174">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3BB58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1ECB134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61F4C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授权代表根据磋商文件规定及采购内容而对采购人、代理机构所作的任何合法承诺，包括书面澄清及相应等均对联合体各方产生约束力。</w:t>
      </w:r>
    </w:p>
    <w:p w14:paraId="7C8E3D0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34CBD2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B6A7BC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7CF07C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5EE9A6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4795A0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1"/>
      <w:r>
        <w:rPr>
          <w:rFonts w:hint="eastAsia" w:cs="宋体" w:asciiTheme="minorEastAsia" w:hAnsiTheme="minorEastAsia" w:eastAsiaTheme="minorEastAsia"/>
          <w:b/>
          <w:color w:val="auto"/>
          <w:kern w:val="0"/>
          <w:sz w:val="24"/>
          <w:highlight w:val="none"/>
          <w:lang w:val="zh-CN"/>
        </w:rPr>
        <w:t>）</w:t>
      </w:r>
    </w:p>
    <w:p w14:paraId="66D820C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2"/>
    </w:p>
    <w:p w14:paraId="4ED83AC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C29AC8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01ADD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69392F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D8A18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3、本协议提交采购人、代理机构后，联合体各方不得以任何形式对上述内容进行修改或撤销。</w:t>
      </w:r>
    </w:p>
    <w:p w14:paraId="006C71A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0027C12">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227B74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0F95D0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CB0433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4B7AAB3">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0543F8A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94FEC9F">
      <w:pPr>
        <w:pStyle w:val="19"/>
        <w:adjustRightInd/>
        <w:spacing w:before="240" w:after="60"/>
        <w:jc w:val="center"/>
        <w:outlineLvl w:val="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eastAsia="zh-CN"/>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0CC9D7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E9FEC84">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B2D3B1E">
      <w:pPr>
        <w:widowControl/>
        <w:spacing w:line="360" w:lineRule="auto"/>
        <w:ind w:firstLine="480"/>
        <w:jc w:val="left"/>
        <w:rPr>
          <w:rFonts w:cs="宋体" w:asciiTheme="minorEastAsia" w:hAnsiTheme="minorEastAsia" w:eastAsiaTheme="minorEastAsia"/>
          <w:color w:val="auto"/>
          <w:sz w:val="24"/>
          <w:highlight w:val="none"/>
        </w:rPr>
      </w:pPr>
    </w:p>
    <w:p w14:paraId="7373E86B">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BCA4781">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698D2E8">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00FFE85">
      <w:pPr>
        <w:spacing w:line="360" w:lineRule="auto"/>
        <w:jc w:val="center"/>
        <w:rPr>
          <w:rFonts w:cs="仿宋_GB2312" w:asciiTheme="minorEastAsia" w:hAnsiTheme="minorEastAsia" w:eastAsiaTheme="minorEastAsia"/>
          <w:b/>
          <w:color w:val="auto"/>
          <w:sz w:val="32"/>
          <w:szCs w:val="32"/>
          <w:highlight w:val="none"/>
        </w:rPr>
      </w:pPr>
    </w:p>
    <w:p w14:paraId="26D3BDF3">
      <w:pPr>
        <w:spacing w:line="360" w:lineRule="auto"/>
        <w:jc w:val="center"/>
        <w:rPr>
          <w:rFonts w:cs="仿宋_GB2312" w:asciiTheme="minorEastAsia" w:hAnsiTheme="minorEastAsia" w:eastAsiaTheme="minorEastAsia"/>
          <w:b/>
          <w:color w:val="auto"/>
          <w:sz w:val="32"/>
          <w:szCs w:val="32"/>
          <w:highlight w:val="none"/>
        </w:rPr>
      </w:pPr>
    </w:p>
    <w:p w14:paraId="081E61F5">
      <w:pPr>
        <w:pStyle w:val="19"/>
        <w:adjustRightInd/>
        <w:spacing w:before="240" w:after="60"/>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eastAsia="zh-CN"/>
        </w:rPr>
        <w:t>四、</w:t>
      </w:r>
      <w:r>
        <w:rPr>
          <w:rFonts w:hint="eastAsia" w:cs="仿宋_GB2312" w:asciiTheme="minorEastAsia" w:hAnsiTheme="minorEastAsia" w:eastAsiaTheme="minorEastAsia"/>
          <w:b/>
          <w:color w:val="auto"/>
          <w:sz w:val="32"/>
          <w:szCs w:val="32"/>
          <w:highlight w:val="none"/>
        </w:rPr>
        <w:t>符合特定资格条件要求的资质文件</w:t>
      </w:r>
    </w:p>
    <w:p w14:paraId="103697D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1A6EDB6">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1A92D4B">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678D31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87E687D">
      <w:pPr>
        <w:snapToGrid w:val="0"/>
        <w:spacing w:line="360" w:lineRule="auto"/>
        <w:rPr>
          <w:rFonts w:cs="仿宋_GB2312" w:asciiTheme="minorEastAsia" w:hAnsiTheme="minorEastAsia" w:eastAsiaTheme="minorEastAsia"/>
          <w:color w:val="auto"/>
          <w:kern w:val="0"/>
          <w:sz w:val="24"/>
          <w:highlight w:val="none"/>
          <w:lang w:val="zh-CN"/>
        </w:rPr>
      </w:pPr>
    </w:p>
    <w:p w14:paraId="224244C8">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417" w:right="1418" w:bottom="1417" w:left="1418" w:header="851" w:footer="992" w:gutter="0"/>
          <w:pgBorders>
            <w:top w:val="none" w:sz="0" w:space="0"/>
            <w:left w:val="none" w:sz="0" w:space="0"/>
            <w:bottom w:val="none" w:sz="0" w:space="0"/>
            <w:right w:val="none" w:sz="0" w:space="0"/>
          </w:pgBorders>
          <w:cols w:space="720" w:num="1"/>
          <w:titlePg/>
          <w:docGrid w:linePitch="312" w:charSpace="0"/>
        </w:sectPr>
      </w:pPr>
    </w:p>
    <w:p w14:paraId="14DB0E51">
      <w:pPr>
        <w:pStyle w:val="19"/>
        <w:adjustRightInd/>
        <w:spacing w:before="240" w:after="6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3D4C6CF">
      <w:pPr>
        <w:pStyle w:val="19"/>
        <w:adjustRightInd/>
        <w:spacing w:before="240" w:after="60"/>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目录</w:t>
      </w:r>
    </w:p>
    <w:p w14:paraId="77D3F91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A125C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（如有）</w:t>
      </w:r>
      <w:r>
        <w:rPr>
          <w:rFonts w:hint="eastAsia" w:ascii="宋体" w:hAnsi="宋体" w:cs="宋体"/>
          <w:color w:val="auto"/>
          <w:highlight w:val="none"/>
        </w:rPr>
        <w:t>………………………………………………………………（页码）</w:t>
      </w:r>
    </w:p>
    <w:p w14:paraId="501A966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F8635C7">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（5）评标标准相应的商务技术资料……………………………………………（页码）（6）</w:t>
      </w:r>
      <w:r>
        <w:rPr>
          <w:rFonts w:hint="eastAsia" w:ascii="宋体" w:hAnsi="宋体" w:cs="宋体"/>
          <w:color w:val="auto"/>
          <w:sz w:val="24"/>
          <w:highlight w:val="none"/>
          <w:lang w:val="en-US" w:eastAsia="zh-CN"/>
        </w:rPr>
        <w:t>本项目管理团队人员及其它主要技术人员名单</w:t>
      </w:r>
      <w:r>
        <w:rPr>
          <w:rFonts w:hint="eastAsia" w:ascii="宋体" w:hAnsi="宋体" w:cs="宋体"/>
          <w:color w:val="auto"/>
          <w:sz w:val="24"/>
          <w:highlight w:val="none"/>
          <w:lang w:eastAsia="zh-CN"/>
        </w:rPr>
        <w:t>…………………………（页码）</w:t>
      </w:r>
    </w:p>
    <w:p w14:paraId="1AB4BE05">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（7）商务技术偏离表……………………………………………………………（页码）</w:t>
      </w:r>
    </w:p>
    <w:p w14:paraId="46A7C90D">
      <w:pPr>
        <w:snapToGrid w:val="0"/>
        <w:spacing w:line="360" w:lineRule="auto"/>
        <w:ind w:left="479" w:leftChars="228"/>
        <w:rPr>
          <w:rFonts w:hint="eastAsia" w:cs="仿宋_GB2312" w:asciiTheme="minorEastAsia" w:hAnsiTheme="minorEastAsia" w:eastAsiaTheme="minorEastAsia"/>
          <w:b/>
          <w:color w:val="auto"/>
          <w:kern w:val="0"/>
          <w:sz w:val="36"/>
          <w:szCs w:val="36"/>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BFFF7BF">
      <w:pPr>
        <w:spacing w:line="360" w:lineRule="auto"/>
        <w:jc w:val="center"/>
        <w:rPr>
          <w:rFonts w:hint="eastAsia" w:cs="仿宋_GB2312" w:asciiTheme="minorEastAsia" w:hAnsiTheme="minorEastAsia" w:eastAsiaTheme="minorEastAsia"/>
          <w:b/>
          <w:color w:val="auto"/>
          <w:kern w:val="0"/>
          <w:sz w:val="36"/>
          <w:szCs w:val="36"/>
          <w:highlight w:val="none"/>
        </w:rPr>
      </w:pPr>
    </w:p>
    <w:p w14:paraId="15422A5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D3F977A">
      <w:pPr>
        <w:pStyle w:val="19"/>
        <w:adjustRightInd/>
        <w:spacing w:before="240" w:after="60"/>
        <w:jc w:val="center"/>
        <w:outlineLvl w:val="0"/>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ascii="宋体" w:hAnsi="宋体" w:eastAsia="宋体" w:cs="宋体"/>
          <w:b/>
          <w:color w:val="auto"/>
          <w:kern w:val="0"/>
          <w:sz w:val="36"/>
          <w:szCs w:val="36"/>
          <w:highlight w:val="none"/>
        </w:rPr>
        <w:t>一、响应函</w:t>
      </w:r>
    </w:p>
    <w:p w14:paraId="4A30047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ascii="宋体" w:hAnsi="宋体" w:cs="宋体"/>
          <w:color w:val="auto"/>
          <w:sz w:val="24"/>
          <w:highlight w:val="none"/>
          <w:lang w:eastAsia="zh-CN"/>
        </w:rPr>
        <w:t>浙江新业项目管理有限公司</w:t>
      </w:r>
      <w:r>
        <w:rPr>
          <w:rFonts w:hint="eastAsia" w:cs="仿宋_GB2312" w:asciiTheme="minorEastAsia" w:hAnsiTheme="minorEastAsia" w:eastAsiaTheme="minorEastAsia"/>
          <w:color w:val="auto"/>
          <w:sz w:val="24"/>
          <w:highlight w:val="none"/>
        </w:rPr>
        <w:t>）：</w:t>
      </w:r>
    </w:p>
    <w:p w14:paraId="6F5FAA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4E223F33">
      <w:pPr>
        <w:pStyle w:val="106"/>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400AF5B">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47CC1630">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13589D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3FC699E">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16875EB">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0A56F3F0">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BF84E1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6D2B931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48CFC7CE">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35BF905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0A8A8823">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8DD3311">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EFF6325">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0C4BDF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006C46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F48F532">
      <w:pPr>
        <w:autoSpaceDE w:val="0"/>
        <w:autoSpaceDN w:val="0"/>
        <w:spacing w:line="360" w:lineRule="auto"/>
        <w:rPr>
          <w:rFonts w:cs="仿宋_GB2312" w:asciiTheme="minorEastAsia" w:hAnsiTheme="minorEastAsia" w:eastAsiaTheme="minorEastAsia"/>
          <w:color w:val="auto"/>
          <w:kern w:val="0"/>
          <w:sz w:val="24"/>
          <w:highlight w:val="none"/>
        </w:rPr>
      </w:pPr>
    </w:p>
    <w:p w14:paraId="10403A57">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5A32588">
      <w:pPr>
        <w:spacing w:line="360" w:lineRule="auto"/>
        <w:rPr>
          <w:rFonts w:cs="仿宋_GB2312" w:asciiTheme="minorEastAsia" w:hAnsiTheme="minorEastAsia" w:eastAsiaTheme="minorEastAsia"/>
          <w:color w:val="auto"/>
          <w:sz w:val="24"/>
          <w:highlight w:val="none"/>
        </w:rPr>
      </w:pPr>
    </w:p>
    <w:p w14:paraId="79291D32">
      <w:pPr>
        <w:spacing w:line="360" w:lineRule="auto"/>
        <w:rPr>
          <w:rFonts w:cs="仿宋_GB2312" w:asciiTheme="minorEastAsia" w:hAnsiTheme="minorEastAsia" w:eastAsiaTheme="minorEastAsia"/>
          <w:color w:val="auto"/>
          <w:sz w:val="18"/>
          <w:szCs w:val="18"/>
          <w:highlight w:val="none"/>
        </w:rPr>
      </w:pPr>
    </w:p>
    <w:p w14:paraId="6357705D">
      <w:pPr>
        <w:spacing w:line="360" w:lineRule="auto"/>
        <w:rPr>
          <w:rFonts w:cs="仿宋_GB2312" w:asciiTheme="minorEastAsia" w:hAnsiTheme="minorEastAsia" w:eastAsiaTheme="minorEastAsia"/>
          <w:color w:val="auto"/>
          <w:sz w:val="18"/>
          <w:szCs w:val="18"/>
          <w:highlight w:val="none"/>
        </w:rPr>
      </w:pPr>
    </w:p>
    <w:p w14:paraId="5A8355C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AD83E26">
      <w:pPr>
        <w:pStyle w:val="19"/>
        <w:adjustRightInd/>
        <w:spacing w:before="240" w:after="60"/>
        <w:jc w:val="center"/>
        <w:outlineLvl w:val="0"/>
        <w:rPr>
          <w:rFonts w:hint="eastAsia" w:ascii="宋体" w:hAnsi="宋体" w:eastAsia="宋体" w:cs="宋体"/>
          <w:b/>
          <w:color w:val="auto"/>
          <w:kern w:val="0"/>
          <w:sz w:val="36"/>
          <w:szCs w:val="36"/>
          <w:highlight w:val="none"/>
          <w:lang w:val="zh-CN"/>
        </w:rPr>
      </w:pPr>
      <w:r>
        <w:rPr>
          <w:rFonts w:hint="eastAsia" w:ascii="宋体" w:hAnsi="宋体" w:eastAsia="宋体" w:cs="宋体"/>
          <w:b/>
          <w:color w:val="auto"/>
          <w:kern w:val="0"/>
          <w:sz w:val="36"/>
          <w:szCs w:val="36"/>
          <w:highlight w:val="none"/>
          <w:lang w:val="zh-CN"/>
        </w:rPr>
        <w:t>二、法人授权书</w:t>
      </w:r>
    </w:p>
    <w:p w14:paraId="03159F7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ascii="宋体" w:hAnsi="宋体" w:cs="宋体"/>
          <w:color w:val="auto"/>
          <w:sz w:val="24"/>
          <w:highlight w:val="none"/>
          <w:lang w:eastAsia="zh-CN"/>
        </w:rPr>
        <w:t>浙江新业项目管理有限公司</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p>
    <w:p w14:paraId="437C8BA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832BD6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7EB106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C184D4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DE25F6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B4964F0">
      <w:pPr>
        <w:snapToGrid w:val="0"/>
        <w:spacing w:line="360" w:lineRule="auto"/>
        <w:rPr>
          <w:rFonts w:cs="仿宋_GB2312" w:asciiTheme="minorEastAsia" w:hAnsiTheme="minorEastAsia" w:eastAsiaTheme="minorEastAsia"/>
          <w:color w:val="auto"/>
          <w:kern w:val="0"/>
          <w:sz w:val="24"/>
          <w:highlight w:val="none"/>
          <w:lang w:val="zh-CN"/>
        </w:rPr>
      </w:pPr>
    </w:p>
    <w:p w14:paraId="1F979DD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8D38F2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0DEBF43">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7C3D9C6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ascii="宋体" w:hAnsi="宋体" w:cs="宋体"/>
          <w:color w:val="auto"/>
          <w:sz w:val="24"/>
          <w:highlight w:val="none"/>
          <w:lang w:eastAsia="zh-CN"/>
        </w:rPr>
        <w:t>浙江新业项目管理有限公司</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p>
    <w:p w14:paraId="0E270CF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4EDFF52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AF8A13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319803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010008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31B12E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DBA3A1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B772CDF">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D5D2103">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712ACA0">
      <w:pPr>
        <w:pStyle w:val="19"/>
        <w:adjustRightInd/>
        <w:spacing w:before="240" w:after="6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授权代表的身份证（复印件）</w:t>
      </w:r>
    </w:p>
    <w:p w14:paraId="7B33E06C">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86B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A7F95C8">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6D1590D">
            <w:pPr>
              <w:pStyle w:val="620"/>
              <w:spacing w:line="360" w:lineRule="auto"/>
              <w:rPr>
                <w:rFonts w:asciiTheme="minorEastAsia" w:hAnsiTheme="minorEastAsia" w:eastAsiaTheme="minorEastAsia"/>
                <w:bCs/>
                <w:color w:val="auto"/>
                <w:sz w:val="24"/>
                <w:highlight w:val="none"/>
              </w:rPr>
            </w:pPr>
          </w:p>
        </w:tc>
      </w:tr>
    </w:tbl>
    <w:p w14:paraId="4185DE67">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0F168724">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1F10BEA">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0F3A475">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1C6137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D9FCFA5">
      <w:pPr>
        <w:pStyle w:val="19"/>
        <w:adjustRightInd/>
        <w:spacing w:before="240" w:after="6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zh-CN"/>
        </w:rPr>
        <w:t>三</w:t>
      </w:r>
      <w:r>
        <w:rPr>
          <w:rFonts w:hint="eastAsia" w:ascii="宋体" w:hAnsi="宋体" w:eastAsia="宋体" w:cs="宋体"/>
          <w:b/>
          <w:color w:val="auto"/>
          <w:kern w:val="0"/>
          <w:sz w:val="36"/>
          <w:szCs w:val="36"/>
          <w:highlight w:val="none"/>
        </w:rPr>
        <w:t>、分包意向协议（如果有）</w:t>
      </w:r>
    </w:p>
    <w:p w14:paraId="6CBA001D">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D72482B">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lang w:val="zh-CN"/>
        </w:rPr>
        <w:t>若成为</w:t>
      </w:r>
      <w:r>
        <w:rPr>
          <w:rFonts w:hint="eastAsia" w:cs="宋体" w:asciiTheme="minorEastAsia" w:hAnsiTheme="minorEastAsia" w:eastAsiaTheme="minorEastAsia"/>
          <w:color w:val="auto"/>
          <w:sz w:val="21"/>
          <w:szCs w:val="21"/>
          <w:highlight w:val="none"/>
        </w:rPr>
        <w:t>（项目名称）【项目编号：（采购编号）】</w:t>
      </w:r>
      <w:r>
        <w:rPr>
          <w:rFonts w:hint="eastAsia" w:cs="宋体" w:asciiTheme="minorEastAsia" w:hAnsiTheme="minorEastAsia" w:eastAsiaTheme="minorEastAsia"/>
          <w:color w:val="auto"/>
          <w:kern w:val="0"/>
          <w:sz w:val="21"/>
          <w:szCs w:val="21"/>
          <w:highlight w:val="none"/>
          <w:lang w:val="zh-CN"/>
        </w:rPr>
        <w:t>的成交供应商，将依法采取分包方式履行合同。</w:t>
      </w: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rPr>
        <w:t>与</w:t>
      </w:r>
      <w:r>
        <w:rPr>
          <w:rFonts w:hint="eastAsia" w:cs="宋体" w:asciiTheme="minorEastAsia" w:hAnsiTheme="minorEastAsia" w:eastAsiaTheme="minorEastAsia"/>
          <w:color w:val="auto"/>
          <w:kern w:val="0"/>
          <w:sz w:val="21"/>
          <w:szCs w:val="21"/>
          <w:highlight w:val="none"/>
          <w:u w:val="single"/>
        </w:rPr>
        <w:t>（所有分包供应商名称）</w:t>
      </w:r>
      <w:r>
        <w:rPr>
          <w:rFonts w:hint="eastAsia" w:cs="宋体" w:asciiTheme="minorEastAsia" w:hAnsiTheme="minorEastAsia" w:eastAsiaTheme="minorEastAsia"/>
          <w:color w:val="auto"/>
          <w:kern w:val="0"/>
          <w:sz w:val="21"/>
          <w:szCs w:val="21"/>
          <w:highlight w:val="none"/>
        </w:rPr>
        <w:t>达成分包意向协议</w:t>
      </w:r>
      <w:r>
        <w:rPr>
          <w:rFonts w:hint="eastAsia" w:cs="宋体" w:asciiTheme="minorEastAsia" w:hAnsiTheme="minorEastAsia" w:eastAsiaTheme="minorEastAsia"/>
          <w:color w:val="auto"/>
          <w:kern w:val="0"/>
          <w:sz w:val="21"/>
          <w:szCs w:val="21"/>
          <w:highlight w:val="none"/>
          <w:lang w:val="zh-CN"/>
        </w:rPr>
        <w:t xml:space="preserve">。 </w:t>
      </w:r>
    </w:p>
    <w:p w14:paraId="5512B7AF">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一、分包标的及数量</w:t>
      </w:r>
    </w:p>
    <w:p w14:paraId="24316A8B">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lang w:val="zh-CN"/>
        </w:rPr>
        <w:t>将</w:t>
      </w:r>
      <w:r>
        <w:rPr>
          <w:rFonts w:hint="eastAsia" w:cs="宋体" w:asciiTheme="minorEastAsia" w:hAnsiTheme="minorEastAsia" w:eastAsiaTheme="minorEastAsia"/>
          <w:color w:val="auto"/>
          <w:sz w:val="21"/>
          <w:szCs w:val="21"/>
          <w:highlight w:val="none"/>
          <w:u w:val="single"/>
        </w:rPr>
        <w:t xml:space="preserve">  </w:t>
      </w:r>
      <w:r>
        <w:rPr>
          <w:rFonts w:cs="宋体" w:asciiTheme="minorEastAsia" w:hAnsiTheme="minorEastAsia" w:eastAsiaTheme="minorEastAsia"/>
          <w:color w:val="auto"/>
          <w:kern w:val="0"/>
          <w:sz w:val="21"/>
          <w:szCs w:val="21"/>
          <w:highlight w:val="none"/>
          <w:u w:val="single"/>
        </w:rPr>
        <w:t xml:space="preserve"> XX工作内容   </w:t>
      </w:r>
      <w:r>
        <w:rPr>
          <w:rFonts w:hint="eastAsia" w:cs="宋体" w:asciiTheme="minorEastAsia" w:hAnsiTheme="minorEastAsia" w:eastAsiaTheme="minorEastAsia"/>
          <w:color w:val="auto"/>
          <w:sz w:val="21"/>
          <w:szCs w:val="21"/>
          <w:highlight w:val="none"/>
        </w:rPr>
        <w:t>分包给</w:t>
      </w:r>
      <w:r>
        <w:rPr>
          <w:rFonts w:hint="eastAsia" w:cs="宋体" w:asciiTheme="minorEastAsia" w:hAnsiTheme="minorEastAsia" w:eastAsiaTheme="minorEastAsia"/>
          <w:color w:val="auto"/>
          <w:kern w:val="0"/>
          <w:sz w:val="21"/>
          <w:szCs w:val="21"/>
          <w:highlight w:val="none"/>
          <w:u w:val="single"/>
        </w:rPr>
        <w:t>（分包供应商1名称）</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color w:val="auto"/>
          <w:kern w:val="0"/>
          <w:sz w:val="21"/>
          <w:szCs w:val="21"/>
          <w:highlight w:val="none"/>
          <w:u w:val="single"/>
        </w:rPr>
        <w:t>（分包供应商2名称），</w:t>
      </w:r>
      <w:r>
        <w:rPr>
          <w:rFonts w:hint="eastAsia" w:cs="宋体" w:asciiTheme="minorEastAsia" w:hAnsiTheme="minorEastAsia" w:eastAsiaTheme="minorEastAsia"/>
          <w:color w:val="auto"/>
          <w:kern w:val="0"/>
          <w:sz w:val="21"/>
          <w:szCs w:val="21"/>
          <w:highlight w:val="none"/>
          <w:lang w:val="zh-CN"/>
        </w:rPr>
        <w:t>具备承</w:t>
      </w:r>
      <w:r>
        <w:rPr>
          <w:rFonts w:hint="eastAsia" w:cs="宋体" w:asciiTheme="minorEastAsia" w:hAnsiTheme="minorEastAsia" w:eastAsiaTheme="minorEastAsia"/>
          <w:color w:val="auto"/>
          <w:kern w:val="0"/>
          <w:sz w:val="21"/>
          <w:szCs w:val="21"/>
          <w:highlight w:val="none"/>
        </w:rPr>
        <w:t>担</w:t>
      </w:r>
      <w:r>
        <w:rPr>
          <w:rFonts w:hint="eastAsia" w:cs="宋体" w:asciiTheme="minorEastAsia" w:hAnsiTheme="minorEastAsia" w:eastAsiaTheme="minorEastAsia"/>
          <w:color w:val="auto"/>
          <w:kern w:val="0"/>
          <w:sz w:val="21"/>
          <w:szCs w:val="21"/>
          <w:highlight w:val="none"/>
          <w:u w:val="single"/>
          <w:lang w:val="zh-CN"/>
        </w:rPr>
        <w:t>XX工作内容</w:t>
      </w:r>
      <w:r>
        <w:rPr>
          <w:rFonts w:hint="eastAsia" w:cs="宋体" w:asciiTheme="minorEastAsia" w:hAnsiTheme="minorEastAsia" w:eastAsiaTheme="minorEastAsia"/>
          <w:color w:val="auto"/>
          <w:kern w:val="0"/>
          <w:sz w:val="21"/>
          <w:szCs w:val="21"/>
          <w:highlight w:val="none"/>
          <w:lang w:val="zh-CN"/>
        </w:rPr>
        <w:t>相应资质条件且不得再次分包；</w:t>
      </w:r>
    </w:p>
    <w:p w14:paraId="345BD5AB">
      <w:pPr>
        <w:pStyle w:val="6"/>
        <w:ind w:left="664" w:leftChars="316" w:firstLine="200" w:firstLineChars="95"/>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w:t>
      </w:r>
    </w:p>
    <w:p w14:paraId="60B7F240">
      <w:pPr>
        <w:ind w:firstLine="30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zh-CN"/>
        </w:rPr>
        <w:t xml:space="preserve"> </w:t>
      </w:r>
    </w:p>
    <w:p w14:paraId="56DEA0D2">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二、分包供应商中小企业合同份额（如果有）</w:t>
      </w:r>
    </w:p>
    <w:p w14:paraId="1919BA13">
      <w:pPr>
        <w:snapToGrid w:val="0"/>
        <w:spacing w:line="360" w:lineRule="auto"/>
        <w:ind w:firstLine="576"/>
        <w:rPr>
          <w:rFonts w:cs="宋体" w:asciiTheme="minorEastAsia" w:hAnsiTheme="minorEastAsia" w:eastAsiaTheme="minorEastAsia"/>
          <w:b/>
          <w:color w:val="auto"/>
          <w:kern w:val="0"/>
          <w:sz w:val="21"/>
          <w:szCs w:val="21"/>
          <w:highlight w:val="none"/>
          <w:lang w:val="zh-CN"/>
        </w:rPr>
      </w:pPr>
      <w:r>
        <w:rPr>
          <w:rFonts w:cs="宋体" w:asciiTheme="minorEastAsia" w:hAnsiTheme="minorEastAsia" w:eastAsiaTheme="minorEastAsia"/>
          <w:color w:val="auto"/>
          <w:kern w:val="0"/>
          <w:sz w:val="21"/>
          <w:szCs w:val="21"/>
          <w:highlight w:val="none"/>
        </w:rPr>
        <w:t>1、</w:t>
      </w:r>
      <w:r>
        <w:rPr>
          <w:rFonts w:hint="eastAsia" w:cs="宋体" w:asciiTheme="minorEastAsia" w:hAnsiTheme="minorEastAsia" w:eastAsiaTheme="minorEastAsia"/>
          <w:color w:val="auto"/>
          <w:kern w:val="0"/>
          <w:sz w:val="21"/>
          <w:szCs w:val="21"/>
          <w:highlight w:val="none"/>
          <w:u w:val="single"/>
        </w:rPr>
        <w:t>（分包供应商X</w:t>
      </w:r>
      <w:r>
        <w:rPr>
          <w:rFonts w:cs="宋体" w:asciiTheme="minorEastAsia" w:hAnsiTheme="minorEastAsia" w:eastAsiaTheme="minorEastAsia"/>
          <w:color w:val="auto"/>
          <w:kern w:val="0"/>
          <w:sz w:val="21"/>
          <w:szCs w:val="21"/>
          <w:highlight w:val="none"/>
          <w:u w:val="single"/>
        </w:rPr>
        <w:t>,</w:t>
      </w:r>
      <w:r>
        <w:rPr>
          <w:rFonts w:hint="eastAsia" w:cs="宋体" w:asciiTheme="minorEastAsia" w:hAnsiTheme="minorEastAsia" w:eastAsiaTheme="minorEastAsia"/>
          <w:color w:val="auto"/>
          <w:kern w:val="0"/>
          <w:sz w:val="21"/>
          <w:szCs w:val="21"/>
          <w:highlight w:val="none"/>
          <w:u w:val="single"/>
        </w:rPr>
        <w:t>……）提供的服务全部由小微企业承接，</w:t>
      </w:r>
      <w:r>
        <w:rPr>
          <w:rFonts w:hint="eastAsia" w:cs="宋体" w:asciiTheme="minorEastAsia" w:hAnsiTheme="minorEastAsia" w:eastAsiaTheme="minorEastAsia"/>
          <w:color w:val="auto"/>
          <w:kern w:val="0"/>
          <w:sz w:val="21"/>
          <w:szCs w:val="21"/>
          <w:highlight w:val="none"/>
        </w:rPr>
        <w:t>其合同份额占到合同总金额</w:t>
      </w:r>
      <w:r>
        <w:rPr>
          <w:rFonts w:hint="eastAsia" w:cs="宋体"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%以上</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1"/>
          <w:szCs w:val="21"/>
          <w:highlight w:val="none"/>
          <w:lang w:val="zh-CN"/>
        </w:rPr>
        <w:t>对大中型企业的报价按评标标准确定的比例给予扣除</w:t>
      </w:r>
      <w:r>
        <w:rPr>
          <w:rFonts w:hint="eastAsia" w:cs="宋体" w:asciiTheme="minorEastAsia" w:hAnsiTheme="minorEastAsia" w:eastAsiaTheme="minorEastAsia"/>
          <w:b/>
          <w:color w:val="auto"/>
          <w:kern w:val="0"/>
          <w:sz w:val="21"/>
          <w:szCs w:val="21"/>
          <w:highlight w:val="none"/>
          <w:lang w:val="zh-CN"/>
        </w:rPr>
        <w:t>。供应商</w:t>
      </w:r>
      <w:r>
        <w:rPr>
          <w:rFonts w:hint="eastAsia" w:cs="宋体" w:asciiTheme="minorEastAsia" w:hAnsiTheme="minorEastAsia" w:eastAsiaTheme="minorEastAsia"/>
          <w:b/>
          <w:color w:val="auto"/>
          <w:sz w:val="21"/>
          <w:szCs w:val="21"/>
          <w:highlight w:val="none"/>
        </w:rPr>
        <w:t>拟享受以上价格扣除政策的，填写有关内容。</w:t>
      </w:r>
      <w:r>
        <w:rPr>
          <w:rFonts w:hint="eastAsia" w:cs="宋体" w:asciiTheme="minorEastAsia" w:hAnsiTheme="minorEastAsia" w:eastAsiaTheme="minorEastAsia"/>
          <w:b/>
          <w:color w:val="auto"/>
          <w:kern w:val="0"/>
          <w:sz w:val="21"/>
          <w:szCs w:val="21"/>
          <w:highlight w:val="none"/>
          <w:lang w:val="zh-CN"/>
        </w:rPr>
        <w:t>）</w:t>
      </w:r>
    </w:p>
    <w:p w14:paraId="3BD4A8A1">
      <w:pPr>
        <w:spacing w:line="360" w:lineRule="auto"/>
        <w:ind w:firstLine="420" w:firstLineChars="200"/>
        <w:rPr>
          <w:rFonts w:cs="宋体" w:asciiTheme="minorEastAsia" w:hAnsiTheme="minorEastAsia" w:eastAsiaTheme="minorEastAsia"/>
          <w:b/>
          <w:bCs/>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2、中小企业合同金额达到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%，其中小微企业合同金额达到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b/>
          <w:bCs/>
          <w:color w:val="auto"/>
          <w:kern w:val="0"/>
          <w:sz w:val="21"/>
          <w:szCs w:val="21"/>
          <w:highlight w:val="none"/>
          <w:lang w:val="zh-CN"/>
        </w:rPr>
        <w:t>（</w:t>
      </w:r>
      <w:r>
        <w:rPr>
          <w:rFonts w:hint="eastAsia" w:cs="宋体" w:asciiTheme="minorEastAsia" w:hAnsiTheme="minorEastAsia" w:eastAsiaTheme="minorEastAsia"/>
          <w:b/>
          <w:bCs/>
          <w:color w:val="auto"/>
          <w:sz w:val="21"/>
          <w:szCs w:val="21"/>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1"/>
          <w:szCs w:val="21"/>
          <w:highlight w:val="none"/>
          <w:lang w:val="zh-CN"/>
        </w:rPr>
        <w:t>分包意向协议</w:t>
      </w:r>
      <w:r>
        <w:rPr>
          <w:rFonts w:hint="eastAsia" w:cs="宋体" w:asciiTheme="minorEastAsia" w:hAnsiTheme="minorEastAsia" w:eastAsiaTheme="minorEastAsia"/>
          <w:b/>
          <w:bCs/>
          <w:color w:val="auto"/>
          <w:sz w:val="21"/>
          <w:szCs w:val="21"/>
          <w:highlight w:val="none"/>
        </w:rPr>
        <w:t>中中小企业、小微企业合同金额应当达到的比例要求填写。</w:t>
      </w:r>
      <w:r>
        <w:rPr>
          <w:rFonts w:hint="eastAsia" w:cs="宋体" w:asciiTheme="minorEastAsia" w:hAnsiTheme="minorEastAsia" w:eastAsiaTheme="minorEastAsia"/>
          <w:b/>
          <w:bCs/>
          <w:color w:val="auto"/>
          <w:kern w:val="0"/>
          <w:sz w:val="21"/>
          <w:szCs w:val="21"/>
          <w:highlight w:val="none"/>
          <w:lang w:val="zh-CN"/>
        </w:rPr>
        <w:t>）</w:t>
      </w:r>
    </w:p>
    <w:p w14:paraId="6AF825EF">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三、分包工作履行期限、地点、方式</w:t>
      </w:r>
    </w:p>
    <w:p w14:paraId="08EE66CF">
      <w:pPr>
        <w:snapToGrid w:val="0"/>
        <w:spacing w:line="360" w:lineRule="auto"/>
        <w:ind w:firstLine="576"/>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u w:val="single"/>
        </w:rPr>
        <w:t xml:space="preserve">                                                                                  </w:t>
      </w:r>
    </w:p>
    <w:p w14:paraId="36BB0F4B">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四、质量</w:t>
      </w:r>
    </w:p>
    <w:p w14:paraId="09A54F00">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68B8BCB1">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五、价款或者报酬</w:t>
      </w:r>
    </w:p>
    <w:p w14:paraId="5DF5AB88">
      <w:pPr>
        <w:snapToGrid w:val="0"/>
        <w:spacing w:line="360" w:lineRule="auto"/>
        <w:ind w:left="573" w:leftChars="273"/>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581A21A6">
      <w:pPr>
        <w:snapToGrid w:val="0"/>
        <w:spacing w:line="360" w:lineRule="auto"/>
        <w:ind w:left="573" w:leftChars="273"/>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六、违约责任</w:t>
      </w:r>
    </w:p>
    <w:p w14:paraId="037F1651">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2446B5BB">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七、争议解决的办法</w:t>
      </w:r>
    </w:p>
    <w:p w14:paraId="3A6B6B9A">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4AC5B23B">
      <w:pPr>
        <w:snapToGrid w:val="0"/>
        <w:spacing w:line="360" w:lineRule="auto"/>
        <w:ind w:firstLine="576"/>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八、其他</w:t>
      </w:r>
    </w:p>
    <w:p w14:paraId="20CC0F20">
      <w:pPr>
        <w:snapToGrid w:val="0"/>
        <w:spacing w:line="360" w:lineRule="auto"/>
        <w:ind w:left="5128" w:leftChars="342" w:hanging="4410" w:hangingChars="2100"/>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中小企业合同金额达到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%，小微企业合同金额达到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 xml:space="preserve">  。                                           供应商名称(电子签名)：</w:t>
      </w:r>
    </w:p>
    <w:p w14:paraId="27B1CD98">
      <w:pPr>
        <w:snapToGrid w:val="0"/>
        <w:spacing w:line="360" w:lineRule="auto"/>
        <w:jc w:val="right"/>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分包供应商名称(电子签名/公章)：</w:t>
      </w:r>
    </w:p>
    <w:p w14:paraId="2DB689B7">
      <w:pPr>
        <w:snapToGrid w:val="0"/>
        <w:spacing w:line="360" w:lineRule="auto"/>
        <w:ind w:firstLine="5040" w:firstLineChars="24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zh-CN"/>
        </w:rPr>
        <w:t>……</w:t>
      </w:r>
    </w:p>
    <w:p w14:paraId="2C4D7E26">
      <w:pPr>
        <w:spacing w:line="360" w:lineRule="auto"/>
        <w:jc w:val="center"/>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 xml:space="preserve">                                        日期：  年  月   日</w:t>
      </w:r>
    </w:p>
    <w:p w14:paraId="5BCE63EB">
      <w:pPr>
        <w:jc w:val="center"/>
        <w:rPr>
          <w:rFonts w:hint="eastAsia" w:ascii="宋体" w:hAnsi="宋体" w:cs="宋体"/>
          <w:b/>
          <w:color w:val="auto"/>
          <w:kern w:val="0"/>
          <w:sz w:val="32"/>
          <w:szCs w:val="32"/>
          <w:highlight w:val="none"/>
        </w:rPr>
      </w:pPr>
    </w:p>
    <w:p w14:paraId="1D8EFB0A">
      <w:pPr>
        <w:pStyle w:val="19"/>
        <w:adjustRightInd/>
        <w:spacing w:before="240" w:after="6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四、符合性审查资料</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506"/>
        <w:gridCol w:w="3119"/>
        <w:gridCol w:w="2335"/>
      </w:tblGrid>
      <w:tr w14:paraId="7EE8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14C7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06" w:type="dxa"/>
            <w:vAlign w:val="center"/>
          </w:tcPr>
          <w:p w14:paraId="3029645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119" w:type="dxa"/>
            <w:vAlign w:val="center"/>
          </w:tcPr>
          <w:p w14:paraId="3B28C0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335" w:type="dxa"/>
            <w:vAlign w:val="center"/>
          </w:tcPr>
          <w:p w14:paraId="26E9DE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5BDFF3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8D5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6CA8B">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06" w:type="dxa"/>
            <w:vAlign w:val="center"/>
          </w:tcPr>
          <w:p w14:paraId="69CDBAE4">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3119" w:type="dxa"/>
            <w:vAlign w:val="center"/>
          </w:tcPr>
          <w:p w14:paraId="0E3EA4A7">
            <w:pPr>
              <w:jc w:val="both"/>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2335" w:type="dxa"/>
            <w:vAlign w:val="center"/>
          </w:tcPr>
          <w:p w14:paraId="41B724F2">
            <w:pPr>
              <w:jc w:val="both"/>
              <w:rPr>
                <w:rFonts w:ascii="宋体" w:hAnsi="宋体" w:cs="宋体"/>
                <w:color w:val="auto"/>
                <w:sz w:val="24"/>
                <w:highlight w:val="none"/>
              </w:rPr>
            </w:pPr>
          </w:p>
          <w:p w14:paraId="3FDA2A21">
            <w:pPr>
              <w:jc w:val="both"/>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3AAF2F9C">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47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EFB325">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06" w:type="dxa"/>
            <w:vAlign w:val="center"/>
          </w:tcPr>
          <w:p w14:paraId="6A2737B5">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3119" w:type="dxa"/>
            <w:vAlign w:val="center"/>
          </w:tcPr>
          <w:p w14:paraId="07526318">
            <w:pPr>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2335" w:type="dxa"/>
            <w:vAlign w:val="center"/>
          </w:tcPr>
          <w:p w14:paraId="521B0892">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CB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43BA4E">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06" w:type="dxa"/>
            <w:vAlign w:val="center"/>
          </w:tcPr>
          <w:p w14:paraId="3DC30445">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3119" w:type="dxa"/>
            <w:vAlign w:val="center"/>
          </w:tcPr>
          <w:p w14:paraId="45C40C19">
            <w:pPr>
              <w:jc w:val="both"/>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2335" w:type="dxa"/>
            <w:vAlign w:val="center"/>
          </w:tcPr>
          <w:p w14:paraId="74395B1D">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31641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097BBE">
      <w:pPr>
        <w:jc w:val="center"/>
        <w:rPr>
          <w:rFonts w:ascii="宋体" w:hAnsi="宋体" w:cs="宋体"/>
          <w:b/>
          <w:color w:val="auto"/>
          <w:kern w:val="0"/>
          <w:sz w:val="32"/>
          <w:szCs w:val="32"/>
          <w:highlight w:val="none"/>
        </w:rPr>
      </w:pPr>
    </w:p>
    <w:p w14:paraId="62392E29">
      <w:pPr>
        <w:pStyle w:val="19"/>
        <w:adjustRightInd/>
        <w:spacing w:before="240" w:after="60"/>
        <w:jc w:val="center"/>
        <w:outlineLvl w:val="0"/>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3F73A2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部分评标办法前附表中“投标文件中评标标准相应的商务技术资料目录”提供资料。）</w:t>
      </w:r>
    </w:p>
    <w:p w14:paraId="4EE67A70">
      <w:pPr>
        <w:spacing w:line="360" w:lineRule="auto"/>
        <w:jc w:val="center"/>
        <w:rPr>
          <w:rFonts w:cs="仿宋_GB2312" w:asciiTheme="minorEastAsia" w:hAnsiTheme="minorEastAsia" w:eastAsiaTheme="minorEastAsia"/>
          <w:b/>
          <w:color w:val="auto"/>
          <w:sz w:val="30"/>
          <w:szCs w:val="30"/>
          <w:highlight w:val="none"/>
        </w:rPr>
      </w:pPr>
    </w:p>
    <w:p w14:paraId="2B6CFD7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6F4586C">
      <w:pPr>
        <w:snapToGrid w:val="0"/>
        <w:spacing w:line="360" w:lineRule="auto"/>
        <w:ind w:firstLine="5160" w:firstLineChars="215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6189F2F">
      <w:pPr>
        <w:pStyle w:val="632"/>
        <w:rPr>
          <w:rFonts w:hint="eastAsia" w:ascii="宋体" w:hAnsi="宋体" w:eastAsia="宋体" w:cs="宋体"/>
          <w:b/>
          <w:color w:val="auto"/>
          <w:kern w:val="0"/>
          <w:sz w:val="32"/>
          <w:szCs w:val="32"/>
          <w:highlight w:val="none"/>
          <w:lang w:val="en-US" w:eastAsia="zh-CN" w:bidi="ar-SA"/>
        </w:rPr>
      </w:pPr>
    </w:p>
    <w:p w14:paraId="7AEBC64B">
      <w:pPr>
        <w:pStyle w:val="19"/>
        <w:adjustRightInd/>
        <w:spacing w:before="240" w:after="60"/>
        <w:jc w:val="center"/>
        <w:outlineLvl w:val="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六、本项目管理团队人员及其它主要技术人员名单</w:t>
      </w:r>
    </w:p>
    <w:tbl>
      <w:tblPr>
        <w:tblStyle w:val="61"/>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7923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0747C89E">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1243160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299F9895">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736BCFB4">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052D53E8">
            <w:pPr>
              <w:pStyle w:val="633"/>
              <w:spacing w:before="240" w:after="24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2F089F6B">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0969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489DCCAA">
            <w:pPr>
              <w:pStyle w:val="633"/>
              <w:spacing w:before="240" w:after="240" w:line="240" w:lineRule="atLeast"/>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019D1EBB">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7DCD565B">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22DBE1A4">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5D223E73">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2E89B1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5AB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23E658F1">
            <w:pPr>
              <w:pStyle w:val="633"/>
              <w:spacing w:before="240" w:after="240" w:line="240" w:lineRule="atLeast"/>
              <w:ind w:left="-88"/>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065D5277">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29DC4CF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7F4EC16C">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4B682291">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69653525">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137C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0604C52C">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3BA565B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606FFD0B">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7B48E2D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4302FC72">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06B18AB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bl>
    <w:p w14:paraId="24C1794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01B8FC49">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08F65A">
      <w:pPr>
        <w:pStyle w:val="633"/>
        <w:spacing w:before="240" w:after="240" w:line="360" w:lineRule="auto"/>
        <w:ind w:left="-88"/>
        <w:rPr>
          <w:rFonts w:hint="eastAsia"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可以根据项目的实际人员配备情况扩展本表。</w:t>
      </w:r>
    </w:p>
    <w:p w14:paraId="2B3F56E5">
      <w:pPr>
        <w:ind w:firstLine="2891" w:firstLineChars="900"/>
        <w:rPr>
          <w:rFonts w:ascii="宋体" w:hAnsi="宋体" w:cs="宋体"/>
          <w:b/>
          <w:color w:val="auto"/>
          <w:kern w:val="0"/>
          <w:sz w:val="32"/>
          <w:szCs w:val="32"/>
          <w:highlight w:val="none"/>
        </w:rPr>
      </w:pPr>
    </w:p>
    <w:p w14:paraId="03476206">
      <w:pPr>
        <w:pStyle w:val="19"/>
        <w:adjustRightInd/>
        <w:spacing w:before="240" w:after="60"/>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5E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37B00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255E86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27CD5D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781EE8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1AB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B2F93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41C56DA">
            <w:pPr>
              <w:jc w:val="center"/>
              <w:rPr>
                <w:rFonts w:ascii="宋体" w:hAnsi="宋体" w:cs="宋体"/>
                <w:b/>
                <w:color w:val="auto"/>
                <w:kern w:val="0"/>
                <w:sz w:val="32"/>
                <w:szCs w:val="32"/>
                <w:highlight w:val="none"/>
              </w:rPr>
            </w:pPr>
          </w:p>
        </w:tc>
        <w:tc>
          <w:tcPr>
            <w:tcW w:w="3546" w:type="dxa"/>
          </w:tcPr>
          <w:p w14:paraId="67A0D028">
            <w:pPr>
              <w:jc w:val="center"/>
              <w:rPr>
                <w:rFonts w:ascii="宋体" w:hAnsi="宋体" w:cs="宋体"/>
                <w:b/>
                <w:color w:val="auto"/>
                <w:kern w:val="0"/>
                <w:sz w:val="32"/>
                <w:szCs w:val="32"/>
                <w:highlight w:val="none"/>
              </w:rPr>
            </w:pPr>
          </w:p>
        </w:tc>
        <w:tc>
          <w:tcPr>
            <w:tcW w:w="1276" w:type="dxa"/>
          </w:tcPr>
          <w:p w14:paraId="202C87B7">
            <w:pPr>
              <w:jc w:val="center"/>
              <w:rPr>
                <w:rFonts w:ascii="宋体" w:hAnsi="宋体" w:cs="宋体"/>
                <w:b/>
                <w:color w:val="auto"/>
                <w:kern w:val="0"/>
                <w:sz w:val="32"/>
                <w:szCs w:val="32"/>
                <w:highlight w:val="none"/>
              </w:rPr>
            </w:pPr>
          </w:p>
        </w:tc>
      </w:tr>
      <w:tr w14:paraId="1E8C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A0746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4446A42">
            <w:pPr>
              <w:jc w:val="center"/>
              <w:rPr>
                <w:rFonts w:ascii="宋体" w:hAnsi="宋体" w:cs="宋体"/>
                <w:b/>
                <w:color w:val="auto"/>
                <w:kern w:val="0"/>
                <w:sz w:val="32"/>
                <w:szCs w:val="32"/>
                <w:highlight w:val="none"/>
              </w:rPr>
            </w:pPr>
          </w:p>
        </w:tc>
        <w:tc>
          <w:tcPr>
            <w:tcW w:w="3546" w:type="dxa"/>
          </w:tcPr>
          <w:p w14:paraId="7CE1E87D">
            <w:pPr>
              <w:jc w:val="center"/>
              <w:rPr>
                <w:rFonts w:ascii="宋体" w:hAnsi="宋体" w:cs="宋体"/>
                <w:b/>
                <w:color w:val="auto"/>
                <w:kern w:val="0"/>
                <w:sz w:val="32"/>
                <w:szCs w:val="32"/>
                <w:highlight w:val="none"/>
              </w:rPr>
            </w:pPr>
          </w:p>
        </w:tc>
        <w:tc>
          <w:tcPr>
            <w:tcW w:w="1276" w:type="dxa"/>
          </w:tcPr>
          <w:p w14:paraId="031704E8">
            <w:pPr>
              <w:jc w:val="center"/>
              <w:rPr>
                <w:rFonts w:ascii="宋体" w:hAnsi="宋体" w:cs="宋体"/>
                <w:b/>
                <w:color w:val="auto"/>
                <w:kern w:val="0"/>
                <w:sz w:val="32"/>
                <w:szCs w:val="32"/>
                <w:highlight w:val="none"/>
              </w:rPr>
            </w:pPr>
          </w:p>
        </w:tc>
      </w:tr>
      <w:tr w14:paraId="334B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BE969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F324F1F">
            <w:pPr>
              <w:jc w:val="center"/>
              <w:rPr>
                <w:rFonts w:ascii="宋体" w:hAnsi="宋体" w:cs="宋体"/>
                <w:b/>
                <w:color w:val="auto"/>
                <w:kern w:val="0"/>
                <w:sz w:val="32"/>
                <w:szCs w:val="32"/>
                <w:highlight w:val="none"/>
              </w:rPr>
            </w:pPr>
          </w:p>
        </w:tc>
        <w:tc>
          <w:tcPr>
            <w:tcW w:w="3546" w:type="dxa"/>
          </w:tcPr>
          <w:p w14:paraId="1C5E44A2">
            <w:pPr>
              <w:jc w:val="center"/>
              <w:rPr>
                <w:rFonts w:ascii="宋体" w:hAnsi="宋体" w:cs="宋体"/>
                <w:b/>
                <w:color w:val="auto"/>
                <w:kern w:val="0"/>
                <w:sz w:val="32"/>
                <w:szCs w:val="32"/>
                <w:highlight w:val="none"/>
              </w:rPr>
            </w:pPr>
          </w:p>
        </w:tc>
        <w:tc>
          <w:tcPr>
            <w:tcW w:w="1276" w:type="dxa"/>
          </w:tcPr>
          <w:p w14:paraId="2276956B">
            <w:pPr>
              <w:jc w:val="center"/>
              <w:rPr>
                <w:rFonts w:ascii="宋体" w:hAnsi="宋体" w:cs="宋体"/>
                <w:b/>
                <w:color w:val="auto"/>
                <w:kern w:val="0"/>
                <w:sz w:val="32"/>
                <w:szCs w:val="32"/>
                <w:highlight w:val="none"/>
              </w:rPr>
            </w:pPr>
          </w:p>
        </w:tc>
      </w:tr>
    </w:tbl>
    <w:p w14:paraId="4EA7E05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DF43C2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6CF07F2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DFE458">
      <w:pPr>
        <w:jc w:val="center"/>
        <w:rPr>
          <w:rFonts w:ascii="宋体" w:hAnsi="宋体" w:cs="宋体"/>
          <w:b/>
          <w:color w:val="auto"/>
          <w:kern w:val="0"/>
          <w:sz w:val="32"/>
          <w:szCs w:val="32"/>
          <w:highlight w:val="none"/>
        </w:rPr>
      </w:pPr>
    </w:p>
    <w:p w14:paraId="50CD25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12AC75">
      <w:pPr>
        <w:spacing w:line="360" w:lineRule="auto"/>
        <w:jc w:val="center"/>
        <w:rPr>
          <w:rFonts w:cs="仿宋_GB2312" w:asciiTheme="minorEastAsia" w:hAnsiTheme="minorEastAsia" w:eastAsiaTheme="minorEastAsia"/>
          <w:b/>
          <w:bCs/>
          <w:color w:val="auto"/>
          <w:sz w:val="32"/>
          <w:szCs w:val="32"/>
          <w:highlight w:val="none"/>
        </w:rPr>
      </w:pPr>
    </w:p>
    <w:p w14:paraId="5F53CBBC">
      <w:pPr>
        <w:spacing w:line="360" w:lineRule="auto"/>
        <w:jc w:val="center"/>
        <w:rPr>
          <w:rFonts w:cs="仿宋_GB2312" w:asciiTheme="minorEastAsia" w:hAnsiTheme="minorEastAsia" w:eastAsiaTheme="minorEastAsia"/>
          <w:b/>
          <w:bCs/>
          <w:color w:val="auto"/>
          <w:sz w:val="32"/>
          <w:szCs w:val="32"/>
          <w:highlight w:val="none"/>
        </w:rPr>
      </w:pPr>
    </w:p>
    <w:p w14:paraId="0396068B">
      <w:pPr>
        <w:spacing w:line="360" w:lineRule="auto"/>
        <w:jc w:val="center"/>
        <w:rPr>
          <w:rFonts w:cs="仿宋_GB2312" w:asciiTheme="minorEastAsia" w:hAnsiTheme="minorEastAsia" w:eastAsiaTheme="minorEastAsia"/>
          <w:b/>
          <w:bCs/>
          <w:color w:val="auto"/>
          <w:sz w:val="32"/>
          <w:szCs w:val="32"/>
          <w:highlight w:val="none"/>
        </w:rPr>
      </w:pPr>
    </w:p>
    <w:p w14:paraId="42A107BD">
      <w:pPr>
        <w:spacing w:line="360" w:lineRule="auto"/>
        <w:jc w:val="center"/>
        <w:rPr>
          <w:rFonts w:cs="仿宋_GB2312" w:asciiTheme="minorEastAsia" w:hAnsiTheme="minorEastAsia" w:eastAsiaTheme="minorEastAsia"/>
          <w:b/>
          <w:bCs/>
          <w:color w:val="auto"/>
          <w:sz w:val="32"/>
          <w:szCs w:val="32"/>
          <w:highlight w:val="none"/>
        </w:rPr>
      </w:pPr>
    </w:p>
    <w:p w14:paraId="3ACDDE9F">
      <w:pPr>
        <w:spacing w:line="360" w:lineRule="auto"/>
        <w:jc w:val="center"/>
        <w:rPr>
          <w:rFonts w:cs="仿宋_GB2312" w:asciiTheme="minorEastAsia" w:hAnsiTheme="minorEastAsia" w:eastAsiaTheme="minorEastAsia"/>
          <w:color w:val="auto"/>
          <w:sz w:val="24"/>
          <w:highlight w:val="none"/>
        </w:rPr>
      </w:pPr>
    </w:p>
    <w:p w14:paraId="4D9F164B">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DF1D134">
      <w:pPr>
        <w:pStyle w:val="19"/>
        <w:adjustRightInd/>
        <w:spacing w:before="240" w:after="60"/>
        <w:jc w:val="center"/>
        <w:outlineLvl w:val="0"/>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lang w:eastAsia="zh-CN"/>
        </w:rPr>
        <w:t>八</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46DC5C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浙江新业项目管理有限公司</w:t>
      </w:r>
      <w:r>
        <w:rPr>
          <w:rFonts w:hint="eastAsia" w:ascii="宋体" w:hAnsi="宋体" w:cs="宋体"/>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    </w:t>
      </w:r>
    </w:p>
    <w:p w14:paraId="15AED3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865B05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2290236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2A9FEF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865E48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E5C7DD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0D4FCE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AF0408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六、严格遵守《中华人民共和国政府采购法》《中华人民共和国采购响应法》《中华人民共和国民法典》等法律法规，诚实守信，合法经营，坚决抵制各种违法违纪行为。 </w:t>
      </w:r>
    </w:p>
    <w:p w14:paraId="46FC3E5D">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w:t>
      </w:r>
      <w:r>
        <w:rPr>
          <w:rFonts w:hint="eastAsia" w:cs="仿宋_GB2312" w:asciiTheme="minorEastAsia" w:hAnsiTheme="minorEastAsia" w:eastAsiaTheme="minorEastAsia"/>
          <w:color w:val="auto"/>
          <w:kern w:val="0"/>
          <w:sz w:val="24"/>
          <w:highlight w:val="none"/>
          <w:lang w:val="zh-CN" w:eastAsia="zh-CN"/>
        </w:rPr>
        <w:t>区</w:t>
      </w:r>
      <w:r>
        <w:rPr>
          <w:rFonts w:hint="eastAsia" w:cs="仿宋_GB2312" w:asciiTheme="minorEastAsia" w:hAnsiTheme="minorEastAsia" w:eastAsiaTheme="minorEastAsia"/>
          <w:color w:val="auto"/>
          <w:kern w:val="0"/>
          <w:sz w:val="24"/>
          <w:highlight w:val="none"/>
          <w:lang w:val="zh-CN"/>
        </w:rPr>
        <w:t>财政局。由此引起的相应损失均由我单位承担。</w:t>
      </w:r>
    </w:p>
    <w:p w14:paraId="4C5718B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64654A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715D62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3556CD6">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4FF987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4C97503">
      <w:pPr>
        <w:spacing w:line="360" w:lineRule="auto"/>
        <w:jc w:val="both"/>
        <w:outlineLvl w:val="0"/>
        <w:rPr>
          <w:rFonts w:hint="eastAsia" w:ascii="宋体" w:hAnsi="宋体" w:cs="宋体"/>
          <w:b/>
          <w:color w:val="auto"/>
          <w:kern w:val="0"/>
          <w:sz w:val="36"/>
          <w:szCs w:val="36"/>
          <w:highlight w:val="none"/>
        </w:rPr>
      </w:pPr>
    </w:p>
    <w:p w14:paraId="0A91F62D">
      <w:pPr>
        <w:spacing w:line="360" w:lineRule="auto"/>
        <w:jc w:val="both"/>
        <w:outlineLvl w:val="0"/>
        <w:rPr>
          <w:rFonts w:hint="eastAsia" w:ascii="宋体" w:hAnsi="宋体" w:cs="宋体"/>
          <w:b/>
          <w:color w:val="auto"/>
          <w:kern w:val="0"/>
          <w:sz w:val="36"/>
          <w:szCs w:val="36"/>
          <w:highlight w:val="none"/>
        </w:rPr>
      </w:pPr>
    </w:p>
    <w:p w14:paraId="3960989D">
      <w:pPr>
        <w:spacing w:line="360" w:lineRule="auto"/>
        <w:jc w:val="both"/>
        <w:outlineLvl w:val="0"/>
        <w:rPr>
          <w:rFonts w:hint="eastAsia" w:ascii="宋体" w:hAnsi="宋体" w:cs="宋体"/>
          <w:b/>
          <w:color w:val="auto"/>
          <w:kern w:val="0"/>
          <w:sz w:val="36"/>
          <w:szCs w:val="36"/>
          <w:highlight w:val="none"/>
        </w:rPr>
      </w:pPr>
    </w:p>
    <w:p w14:paraId="429D6B36">
      <w:pPr>
        <w:spacing w:line="360" w:lineRule="auto"/>
        <w:ind w:firstLine="3975" w:firstLineChars="1100"/>
        <w:jc w:val="both"/>
        <w:outlineLvl w:val="0"/>
        <w:rPr>
          <w:rFonts w:hint="eastAsia" w:ascii="宋体" w:hAnsi="宋体" w:cs="宋体"/>
          <w:b/>
          <w:color w:val="auto"/>
          <w:kern w:val="0"/>
          <w:sz w:val="36"/>
          <w:szCs w:val="36"/>
          <w:highlight w:val="none"/>
        </w:rPr>
      </w:pPr>
    </w:p>
    <w:p w14:paraId="3D8A989C">
      <w:pPr>
        <w:spacing w:line="360" w:lineRule="auto"/>
        <w:ind w:firstLine="3975" w:firstLineChars="1100"/>
        <w:jc w:val="both"/>
        <w:outlineLvl w:val="0"/>
        <w:rPr>
          <w:rFonts w:hint="eastAsia" w:ascii="宋体" w:hAnsi="宋体" w:cs="宋体"/>
          <w:b/>
          <w:color w:val="auto"/>
          <w:kern w:val="0"/>
          <w:sz w:val="36"/>
          <w:szCs w:val="36"/>
          <w:highlight w:val="none"/>
        </w:rPr>
      </w:pPr>
    </w:p>
    <w:p w14:paraId="0F9BC45C">
      <w:pPr>
        <w:spacing w:line="360" w:lineRule="auto"/>
        <w:ind w:firstLine="3975" w:firstLineChars="1100"/>
        <w:jc w:val="both"/>
        <w:outlineLvl w:val="0"/>
        <w:rPr>
          <w:rFonts w:hint="eastAsia" w:ascii="宋体" w:hAnsi="宋体" w:cs="宋体"/>
          <w:b/>
          <w:color w:val="auto"/>
          <w:kern w:val="0"/>
          <w:sz w:val="36"/>
          <w:szCs w:val="36"/>
          <w:highlight w:val="none"/>
        </w:rPr>
      </w:pPr>
    </w:p>
    <w:p w14:paraId="41E4E6D3">
      <w:pPr>
        <w:spacing w:line="360" w:lineRule="auto"/>
        <w:ind w:firstLine="3975" w:firstLineChars="1100"/>
        <w:jc w:val="both"/>
        <w:outlineLvl w:val="0"/>
        <w:rPr>
          <w:rFonts w:hint="eastAsia" w:ascii="宋体" w:hAnsi="宋体" w:cs="宋体"/>
          <w:b/>
          <w:color w:val="auto"/>
          <w:kern w:val="0"/>
          <w:sz w:val="36"/>
          <w:szCs w:val="36"/>
          <w:highlight w:val="none"/>
        </w:rPr>
      </w:pPr>
    </w:p>
    <w:p w14:paraId="477A5732">
      <w:pPr>
        <w:pStyle w:val="19"/>
        <w:adjustRightInd/>
        <w:spacing w:before="240" w:after="6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B1DECEE">
      <w:pPr>
        <w:pStyle w:val="19"/>
        <w:adjustRightInd/>
        <w:spacing w:before="240" w:after="6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E35157C">
      <w:pPr>
        <w:spacing w:line="360" w:lineRule="auto"/>
        <w:jc w:val="center"/>
        <w:outlineLvl w:val="0"/>
        <w:rPr>
          <w:rFonts w:ascii="宋体" w:hAnsi="宋体" w:cs="宋体"/>
          <w:b/>
          <w:color w:val="auto"/>
          <w:kern w:val="0"/>
          <w:sz w:val="36"/>
          <w:szCs w:val="36"/>
          <w:highlight w:val="none"/>
        </w:rPr>
      </w:pPr>
    </w:p>
    <w:p w14:paraId="4D638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一览表………………………………………………………………………（页码）</w:t>
      </w:r>
    </w:p>
    <w:p w14:paraId="54A94B13">
      <w:pPr>
        <w:snapToGrid w:val="0"/>
        <w:spacing w:line="360" w:lineRule="auto"/>
        <w:rPr>
          <w:rFonts w:cs="仿宋_GB2312" w:asciiTheme="minorEastAsia" w:hAnsiTheme="minorEastAsia" w:eastAsiaTheme="minorEastAsia"/>
          <w:color w:val="auto"/>
          <w:kern w:val="2"/>
          <w:sz w:val="32"/>
          <w:szCs w:val="32"/>
          <w:highlight w:val="none"/>
        </w:rPr>
        <w:sectPr>
          <w:footerReference r:id="rId8" w:type="first"/>
          <w:footerReference r:id="rId6" w:type="default"/>
          <w:footerReference r:id="rId7"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4"/>
          <w:highlight w:val="none"/>
        </w:rPr>
        <w:t>（2）中小企业声明函………………………………………………………………（页码）</w:t>
      </w:r>
    </w:p>
    <w:p w14:paraId="45429B39">
      <w:pPr>
        <w:pStyle w:val="116"/>
        <w:keepNext w:val="0"/>
        <w:pageBreakBefore w:val="0"/>
        <w:tabs>
          <w:tab w:val="clear" w:pos="720"/>
        </w:tabs>
        <w:jc w:val="both"/>
        <w:outlineLvl w:val="9"/>
        <w:rPr>
          <w:rFonts w:hint="eastAsia" w:cs="仿宋_GB2312" w:asciiTheme="minorEastAsia" w:hAnsiTheme="minorEastAsia" w:eastAsiaTheme="minorEastAsia"/>
          <w:color w:val="auto"/>
          <w:kern w:val="2"/>
          <w:sz w:val="32"/>
          <w:szCs w:val="32"/>
          <w:highlight w:val="none"/>
          <w:lang w:eastAsia="zh-CN"/>
        </w:rPr>
      </w:pPr>
    </w:p>
    <w:p w14:paraId="5234425F">
      <w:pPr>
        <w:pStyle w:val="59"/>
        <w:rPr>
          <w:rFonts w:hint="eastAsia"/>
          <w:color w:val="auto"/>
          <w:lang w:val="zh-CN"/>
        </w:rPr>
      </w:pPr>
      <w:r>
        <w:rPr>
          <w:rFonts w:hint="eastAsia" w:cs="仿宋_GB2312" w:asciiTheme="minorEastAsia" w:hAnsiTheme="minorEastAsia" w:eastAsiaTheme="minorEastAsia"/>
          <w:color w:val="auto"/>
          <w:kern w:val="2"/>
          <w:sz w:val="32"/>
          <w:szCs w:val="32"/>
          <w:highlight w:val="none"/>
          <w:lang w:eastAsia="zh-CN"/>
        </w:rPr>
        <w:t>一、</w:t>
      </w:r>
      <w:r>
        <w:rPr>
          <w:rFonts w:hint="eastAsia" w:ascii="宋体" w:hAnsi="宋体"/>
          <w:color w:val="auto"/>
        </w:rPr>
        <w:t>报价一览表</w:t>
      </w:r>
      <w:r>
        <w:rPr>
          <w:rFonts w:ascii="宋体" w:hAnsi="宋体"/>
          <w:color w:val="auto"/>
        </w:rPr>
        <w:t xml:space="preserve">  </w:t>
      </w:r>
      <w:r>
        <w:rPr>
          <w:rFonts w:hint="eastAsia" w:ascii="宋体" w:hAnsi="宋体"/>
          <w:color w:val="auto"/>
        </w:rPr>
        <w:t xml:space="preserve"> </w:t>
      </w:r>
      <w:r>
        <w:rPr>
          <w:rFonts w:hint="eastAsia" w:ascii="宋体"/>
          <w:bCs w:val="0"/>
          <w:color w:val="auto"/>
          <w:sz w:val="22"/>
          <w:szCs w:val="22"/>
        </w:rPr>
        <w:t xml:space="preserve"> </w:t>
      </w:r>
      <w:r>
        <w:rPr>
          <w:rFonts w:hint="eastAsia"/>
          <w:color w:val="auto"/>
          <w:lang w:val="zh-CN"/>
        </w:rPr>
        <w:t xml:space="preserve">                         </w:t>
      </w:r>
    </w:p>
    <w:p w14:paraId="569F9B27">
      <w:pPr>
        <w:spacing w:line="360" w:lineRule="auto"/>
        <w:rPr>
          <w:rFonts w:ascii="宋体" w:eastAsia="宋体" w:cs="Arial"/>
          <w:kern w:val="2"/>
          <w:sz w:val="22"/>
          <w:szCs w:val="22"/>
          <w:u w:val="single"/>
        </w:rPr>
      </w:pPr>
      <w:r>
        <w:rPr>
          <w:rFonts w:ascii="宋体" w:eastAsia="宋体" w:cs="Arial"/>
          <w:b w:val="0"/>
          <w:bCs w:val="0"/>
          <w:kern w:val="2"/>
          <w:sz w:val="22"/>
          <w:szCs w:val="22"/>
        </w:rPr>
        <w:t>项目名称：</w:t>
      </w:r>
      <w:r>
        <w:rPr>
          <w:rFonts w:hint="eastAsia" w:ascii="宋体" w:eastAsia="宋体" w:cs="Arial"/>
          <w:kern w:val="2"/>
          <w:sz w:val="22"/>
          <w:szCs w:val="22"/>
          <w:u w:val="single"/>
          <w:lang w:eastAsia="zh-CN"/>
        </w:rPr>
        <w:t>2025年永嘉县市政道路</w:t>
      </w:r>
      <w:r>
        <w:rPr>
          <w:rFonts w:hint="eastAsia" w:ascii="宋体" w:eastAsia="宋体" w:cs="Arial"/>
          <w:kern w:val="2"/>
          <w:sz w:val="22"/>
          <w:szCs w:val="22"/>
          <w:u w:val="single"/>
        </w:rPr>
        <w:t>、桥梁、隧道检</w:t>
      </w:r>
      <w:r>
        <w:rPr>
          <w:rFonts w:hint="eastAsia" w:ascii="宋体" w:eastAsia="宋体" w:cs="Arial"/>
          <w:b/>
          <w:bCs/>
          <w:kern w:val="2"/>
          <w:sz w:val="22"/>
          <w:szCs w:val="22"/>
          <w:u w:val="single"/>
        </w:rPr>
        <w:t>测</w:t>
      </w:r>
      <w:r>
        <w:rPr>
          <w:rFonts w:hint="eastAsia" w:ascii="宋体" w:eastAsia="宋体" w:cs="Arial"/>
          <w:b/>
          <w:bCs/>
          <w:kern w:val="2"/>
          <w:sz w:val="22"/>
          <w:szCs w:val="22"/>
          <w:u w:val="single"/>
          <w:lang w:val="en-US" w:eastAsia="zh-CN"/>
        </w:rPr>
        <w:t>项目</w:t>
      </w:r>
    </w:p>
    <w:p w14:paraId="5FE63917">
      <w:pPr>
        <w:spacing w:line="360" w:lineRule="auto"/>
        <w:rPr>
          <w:rFonts w:ascii="宋体" w:eastAsia="宋体" w:cs="Arial"/>
          <w:b w:val="0"/>
          <w:bCs w:val="0"/>
          <w:kern w:val="2"/>
          <w:sz w:val="22"/>
          <w:szCs w:val="22"/>
          <w:u w:val="single"/>
        </w:rPr>
      </w:pPr>
      <w:r>
        <w:rPr>
          <w:rFonts w:ascii="宋体" w:eastAsia="宋体" w:cs="Arial"/>
          <w:b w:val="0"/>
          <w:bCs w:val="0"/>
          <w:kern w:val="2"/>
          <w:sz w:val="22"/>
          <w:szCs w:val="22"/>
        </w:rPr>
        <w:t>项目编号：</w:t>
      </w:r>
      <w:r>
        <w:rPr>
          <w:rFonts w:hint="eastAsia" w:ascii="宋体" w:eastAsia="宋体" w:cs="Arial"/>
          <w:kern w:val="2"/>
          <w:sz w:val="22"/>
          <w:szCs w:val="22"/>
          <w:u w:val="single"/>
        </w:rPr>
        <w:t xml:space="preserve">             </w:t>
      </w:r>
    </w:p>
    <w:tbl>
      <w:tblPr>
        <w:tblStyle w:val="61"/>
        <w:tblW w:w="0" w:type="auto"/>
        <w:jc w:val="center"/>
        <w:tblLayout w:type="fixed"/>
        <w:tblCellMar>
          <w:top w:w="0" w:type="dxa"/>
          <w:left w:w="108" w:type="dxa"/>
          <w:bottom w:w="0" w:type="dxa"/>
          <w:right w:w="108" w:type="dxa"/>
        </w:tblCellMar>
      </w:tblPr>
      <w:tblGrid>
        <w:gridCol w:w="2200"/>
        <w:gridCol w:w="7105"/>
      </w:tblGrid>
      <w:tr w14:paraId="17A98382">
        <w:tblPrEx>
          <w:tblCellMar>
            <w:top w:w="0" w:type="dxa"/>
            <w:left w:w="108" w:type="dxa"/>
            <w:bottom w:w="0" w:type="dxa"/>
            <w:right w:w="108" w:type="dxa"/>
          </w:tblCellMar>
        </w:tblPrEx>
        <w:trPr>
          <w:trHeight w:val="908"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14:paraId="353FB2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eastAsia="宋体" w:cs="Arial"/>
                <w:b w:val="0"/>
                <w:bCs w:val="0"/>
                <w:kern w:val="2"/>
                <w:sz w:val="22"/>
                <w:szCs w:val="22"/>
              </w:rPr>
            </w:pPr>
            <w:r>
              <w:rPr>
                <w:rFonts w:ascii="宋体" w:eastAsia="宋体" w:cs="Arial"/>
                <w:b w:val="0"/>
                <w:bCs w:val="0"/>
                <w:kern w:val="2"/>
                <w:sz w:val="22"/>
                <w:szCs w:val="22"/>
              </w:rPr>
              <w:t>项目名称</w:t>
            </w:r>
          </w:p>
        </w:tc>
        <w:tc>
          <w:tcPr>
            <w:tcW w:w="7105" w:type="dxa"/>
            <w:tcBorders>
              <w:top w:val="single" w:color="auto" w:sz="4" w:space="0"/>
              <w:left w:val="nil"/>
              <w:bottom w:val="single" w:color="auto" w:sz="4" w:space="0"/>
              <w:right w:val="single" w:color="auto" w:sz="4" w:space="0"/>
            </w:tcBorders>
            <w:noWrap w:val="0"/>
            <w:vAlign w:val="center"/>
          </w:tcPr>
          <w:p w14:paraId="1974E308">
            <w:pPr>
              <w:spacing w:line="360" w:lineRule="auto"/>
              <w:jc w:val="center"/>
              <w:rPr>
                <w:rFonts w:hint="default" w:ascii="宋体" w:eastAsia="宋体" w:cs="Arial"/>
                <w:b w:val="0"/>
                <w:bCs w:val="0"/>
                <w:kern w:val="2"/>
                <w:sz w:val="22"/>
                <w:szCs w:val="22"/>
                <w:lang w:val="en-US" w:eastAsia="zh-CN"/>
              </w:rPr>
            </w:pPr>
            <w:r>
              <w:rPr>
                <w:rFonts w:hint="eastAsia" w:ascii="宋体" w:eastAsia="宋体" w:cs="Arial"/>
                <w:b w:val="0"/>
                <w:bCs w:val="0"/>
                <w:kern w:val="2"/>
                <w:sz w:val="22"/>
                <w:szCs w:val="22"/>
                <w:lang w:eastAsia="zh-CN"/>
              </w:rPr>
              <w:t>2025年永嘉县市政道路</w:t>
            </w:r>
            <w:r>
              <w:rPr>
                <w:rFonts w:hint="eastAsia" w:ascii="宋体" w:eastAsia="宋体" w:cs="Arial"/>
                <w:b w:val="0"/>
                <w:bCs w:val="0"/>
                <w:kern w:val="2"/>
                <w:sz w:val="22"/>
                <w:szCs w:val="22"/>
              </w:rPr>
              <w:t>、桥梁、隧道检测</w:t>
            </w:r>
            <w:r>
              <w:rPr>
                <w:rFonts w:hint="eastAsia" w:ascii="宋体" w:eastAsia="宋体" w:cs="Arial"/>
                <w:b w:val="0"/>
                <w:bCs w:val="0"/>
                <w:kern w:val="2"/>
                <w:sz w:val="22"/>
                <w:szCs w:val="22"/>
                <w:lang w:val="en-US" w:eastAsia="zh-CN"/>
              </w:rPr>
              <w:t>项目</w:t>
            </w:r>
          </w:p>
        </w:tc>
      </w:tr>
      <w:tr w14:paraId="1E41F7E9">
        <w:tblPrEx>
          <w:tblCellMar>
            <w:top w:w="0" w:type="dxa"/>
            <w:left w:w="108" w:type="dxa"/>
            <w:bottom w:w="0" w:type="dxa"/>
            <w:right w:w="108" w:type="dxa"/>
          </w:tblCellMar>
        </w:tblPrEx>
        <w:trPr>
          <w:trHeight w:val="773" w:hRule="atLeast"/>
          <w:jc w:val="center"/>
        </w:trPr>
        <w:tc>
          <w:tcPr>
            <w:tcW w:w="2200" w:type="dxa"/>
            <w:vMerge w:val="restart"/>
            <w:tcBorders>
              <w:top w:val="nil"/>
              <w:left w:val="single" w:color="auto" w:sz="4" w:space="0"/>
              <w:bottom w:val="single" w:color="auto" w:sz="4" w:space="0"/>
              <w:right w:val="single" w:color="auto" w:sz="4" w:space="0"/>
            </w:tcBorders>
            <w:noWrap w:val="0"/>
            <w:vAlign w:val="center"/>
          </w:tcPr>
          <w:p w14:paraId="32462C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eastAsia="宋体" w:cs="Arial"/>
                <w:b w:val="0"/>
                <w:bCs w:val="0"/>
                <w:kern w:val="2"/>
                <w:sz w:val="22"/>
                <w:szCs w:val="22"/>
              </w:rPr>
            </w:pPr>
            <w:r>
              <w:rPr>
                <w:rFonts w:hint="eastAsia" w:ascii="宋体" w:eastAsia="宋体" w:cs="Arial"/>
                <w:b w:val="0"/>
                <w:bCs w:val="0"/>
                <w:kern w:val="2"/>
                <w:sz w:val="22"/>
                <w:szCs w:val="22"/>
              </w:rPr>
              <w:t>投标报价</w:t>
            </w:r>
          </w:p>
        </w:tc>
        <w:tc>
          <w:tcPr>
            <w:tcW w:w="7105" w:type="dxa"/>
            <w:tcBorders>
              <w:top w:val="single" w:color="auto" w:sz="4" w:space="0"/>
              <w:left w:val="nil"/>
              <w:bottom w:val="single" w:color="auto" w:sz="4" w:space="0"/>
              <w:right w:val="single" w:color="auto" w:sz="4" w:space="0"/>
            </w:tcBorders>
            <w:noWrap w:val="0"/>
            <w:vAlign w:val="center"/>
          </w:tcPr>
          <w:p w14:paraId="122AA20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eastAsia="宋体" w:cs="Arial"/>
                <w:b w:val="0"/>
                <w:bCs w:val="0"/>
                <w:kern w:val="2"/>
                <w:sz w:val="22"/>
                <w:szCs w:val="22"/>
              </w:rPr>
            </w:pPr>
            <w:r>
              <w:rPr>
                <w:rFonts w:ascii="宋体" w:eastAsia="宋体" w:cs="Arial"/>
                <w:b w:val="0"/>
                <w:bCs w:val="0"/>
                <w:kern w:val="2"/>
                <w:sz w:val="22"/>
                <w:szCs w:val="22"/>
              </w:rPr>
              <w:t>（人民币，小写）：</w:t>
            </w:r>
          </w:p>
        </w:tc>
      </w:tr>
      <w:tr w14:paraId="610D89F1">
        <w:tblPrEx>
          <w:tblCellMar>
            <w:top w:w="0" w:type="dxa"/>
            <w:left w:w="108" w:type="dxa"/>
            <w:bottom w:w="0" w:type="dxa"/>
            <w:right w:w="108" w:type="dxa"/>
          </w:tblCellMar>
        </w:tblPrEx>
        <w:trPr>
          <w:trHeight w:val="781" w:hRule="atLeast"/>
          <w:jc w:val="center"/>
        </w:trPr>
        <w:tc>
          <w:tcPr>
            <w:tcW w:w="2200" w:type="dxa"/>
            <w:vMerge w:val="continue"/>
            <w:tcBorders>
              <w:top w:val="nil"/>
              <w:left w:val="single" w:color="auto" w:sz="4" w:space="0"/>
              <w:bottom w:val="single" w:color="auto" w:sz="4" w:space="0"/>
              <w:right w:val="single" w:color="auto" w:sz="4" w:space="0"/>
            </w:tcBorders>
            <w:noWrap w:val="0"/>
            <w:vAlign w:val="center"/>
          </w:tcPr>
          <w:p w14:paraId="26F574F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eastAsia="宋体" w:cs="Arial"/>
                <w:b w:val="0"/>
                <w:bCs w:val="0"/>
                <w:kern w:val="2"/>
                <w:sz w:val="22"/>
                <w:szCs w:val="22"/>
              </w:rPr>
            </w:pPr>
          </w:p>
        </w:tc>
        <w:tc>
          <w:tcPr>
            <w:tcW w:w="7105" w:type="dxa"/>
            <w:tcBorders>
              <w:top w:val="single" w:color="auto" w:sz="4" w:space="0"/>
              <w:left w:val="nil"/>
              <w:bottom w:val="single" w:color="auto" w:sz="4" w:space="0"/>
              <w:right w:val="single" w:color="auto" w:sz="4" w:space="0"/>
            </w:tcBorders>
            <w:noWrap w:val="0"/>
            <w:vAlign w:val="center"/>
          </w:tcPr>
          <w:p w14:paraId="3D8AAFB7">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eastAsia="宋体" w:cs="Arial"/>
                <w:b w:val="0"/>
                <w:bCs w:val="0"/>
                <w:kern w:val="2"/>
                <w:sz w:val="22"/>
                <w:szCs w:val="22"/>
              </w:rPr>
            </w:pPr>
            <w:r>
              <w:rPr>
                <w:rFonts w:ascii="宋体" w:eastAsia="宋体" w:cs="Arial"/>
                <w:b w:val="0"/>
                <w:bCs w:val="0"/>
                <w:kern w:val="2"/>
                <w:sz w:val="22"/>
                <w:szCs w:val="22"/>
              </w:rPr>
              <w:t>（人民币，大写）：</w:t>
            </w:r>
          </w:p>
        </w:tc>
      </w:tr>
      <w:tr w14:paraId="00290F7C">
        <w:tblPrEx>
          <w:tblCellMar>
            <w:top w:w="0" w:type="dxa"/>
            <w:left w:w="108" w:type="dxa"/>
            <w:bottom w:w="0" w:type="dxa"/>
            <w:right w:w="108" w:type="dxa"/>
          </w:tblCellMar>
        </w:tblPrEx>
        <w:trPr>
          <w:trHeight w:val="781" w:hRule="atLeast"/>
          <w:jc w:val="center"/>
        </w:trPr>
        <w:tc>
          <w:tcPr>
            <w:tcW w:w="2200" w:type="dxa"/>
            <w:tcBorders>
              <w:top w:val="nil"/>
              <w:left w:val="single" w:color="auto" w:sz="4" w:space="0"/>
              <w:bottom w:val="single" w:color="auto" w:sz="4" w:space="0"/>
              <w:right w:val="single" w:color="auto" w:sz="4" w:space="0"/>
            </w:tcBorders>
            <w:noWrap w:val="0"/>
            <w:vAlign w:val="center"/>
          </w:tcPr>
          <w:p w14:paraId="41ACDD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eastAsia="宋体" w:cs="Arial"/>
                <w:b w:val="0"/>
                <w:bCs w:val="0"/>
                <w:kern w:val="2"/>
                <w:sz w:val="22"/>
                <w:szCs w:val="22"/>
              </w:rPr>
            </w:pPr>
            <w:r>
              <w:rPr>
                <w:rFonts w:hint="eastAsia" w:ascii="宋体" w:eastAsia="宋体" w:cs="Arial"/>
                <w:b w:val="0"/>
                <w:bCs w:val="0"/>
                <w:kern w:val="2"/>
                <w:sz w:val="22"/>
                <w:szCs w:val="22"/>
              </w:rPr>
              <w:t>服务期限</w:t>
            </w:r>
          </w:p>
        </w:tc>
        <w:tc>
          <w:tcPr>
            <w:tcW w:w="7105" w:type="dxa"/>
            <w:tcBorders>
              <w:top w:val="single" w:color="auto" w:sz="4" w:space="0"/>
              <w:left w:val="nil"/>
              <w:bottom w:val="single" w:color="auto" w:sz="4" w:space="0"/>
              <w:right w:val="single" w:color="auto" w:sz="4" w:space="0"/>
            </w:tcBorders>
            <w:noWrap w:val="0"/>
            <w:vAlign w:val="center"/>
          </w:tcPr>
          <w:p w14:paraId="19D2DB78">
            <w:pPr>
              <w:spacing w:line="360" w:lineRule="auto"/>
              <w:rPr>
                <w:rFonts w:ascii="宋体" w:eastAsia="宋体" w:cs="Arial"/>
                <w:b w:val="0"/>
                <w:bCs w:val="0"/>
                <w:kern w:val="2"/>
                <w:sz w:val="22"/>
                <w:szCs w:val="22"/>
              </w:rPr>
            </w:pPr>
          </w:p>
        </w:tc>
      </w:tr>
      <w:tr w14:paraId="5B741DFA">
        <w:tblPrEx>
          <w:tblCellMar>
            <w:top w:w="0" w:type="dxa"/>
            <w:left w:w="108" w:type="dxa"/>
            <w:bottom w:w="0" w:type="dxa"/>
            <w:right w:w="108" w:type="dxa"/>
          </w:tblCellMar>
        </w:tblPrEx>
        <w:trPr>
          <w:trHeight w:val="774" w:hRule="atLeast"/>
          <w:jc w:val="center"/>
        </w:trPr>
        <w:tc>
          <w:tcPr>
            <w:tcW w:w="2200" w:type="dxa"/>
            <w:tcBorders>
              <w:top w:val="nil"/>
              <w:left w:val="single" w:color="auto" w:sz="4" w:space="0"/>
              <w:bottom w:val="single" w:color="auto" w:sz="4" w:space="0"/>
              <w:right w:val="single" w:color="auto" w:sz="4" w:space="0"/>
            </w:tcBorders>
            <w:noWrap w:val="0"/>
            <w:vAlign w:val="center"/>
          </w:tcPr>
          <w:p w14:paraId="25A509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eastAsia="宋体" w:cs="Arial"/>
                <w:b w:val="0"/>
                <w:bCs w:val="0"/>
                <w:kern w:val="2"/>
                <w:sz w:val="22"/>
                <w:szCs w:val="22"/>
              </w:rPr>
            </w:pPr>
            <w:r>
              <w:rPr>
                <w:rFonts w:ascii="宋体" w:eastAsia="宋体" w:cs="Arial"/>
                <w:b w:val="0"/>
                <w:bCs w:val="0"/>
                <w:kern w:val="2"/>
                <w:sz w:val="22"/>
                <w:szCs w:val="22"/>
              </w:rPr>
              <w:t>项目负责人</w:t>
            </w:r>
          </w:p>
        </w:tc>
        <w:tc>
          <w:tcPr>
            <w:tcW w:w="7105" w:type="dxa"/>
            <w:tcBorders>
              <w:top w:val="single" w:color="auto" w:sz="4" w:space="0"/>
              <w:left w:val="nil"/>
              <w:bottom w:val="single" w:color="auto" w:sz="4" w:space="0"/>
              <w:right w:val="single" w:color="auto" w:sz="4" w:space="0"/>
            </w:tcBorders>
            <w:noWrap w:val="0"/>
            <w:vAlign w:val="center"/>
          </w:tcPr>
          <w:p w14:paraId="2C409024">
            <w:pPr>
              <w:spacing w:line="360" w:lineRule="auto"/>
              <w:rPr>
                <w:rFonts w:ascii="宋体" w:eastAsia="宋体" w:cs="Arial"/>
                <w:b w:val="0"/>
                <w:bCs w:val="0"/>
                <w:kern w:val="2"/>
                <w:sz w:val="22"/>
                <w:szCs w:val="22"/>
              </w:rPr>
            </w:pPr>
          </w:p>
        </w:tc>
      </w:tr>
      <w:tr w14:paraId="30E2448B">
        <w:tblPrEx>
          <w:tblCellMar>
            <w:top w:w="0" w:type="dxa"/>
            <w:left w:w="108" w:type="dxa"/>
            <w:bottom w:w="0" w:type="dxa"/>
            <w:right w:w="108" w:type="dxa"/>
          </w:tblCellMar>
        </w:tblPrEx>
        <w:trPr>
          <w:trHeight w:val="619"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14:paraId="744A38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eastAsia="宋体" w:cs="Arial"/>
                <w:b w:val="0"/>
                <w:bCs w:val="0"/>
                <w:kern w:val="2"/>
                <w:sz w:val="22"/>
                <w:szCs w:val="22"/>
              </w:rPr>
            </w:pPr>
            <w:r>
              <w:rPr>
                <w:rFonts w:ascii="宋体" w:eastAsia="宋体" w:cs="Arial"/>
                <w:b w:val="0"/>
                <w:bCs w:val="0"/>
                <w:kern w:val="2"/>
                <w:sz w:val="22"/>
                <w:szCs w:val="22"/>
              </w:rPr>
              <w:t>备     注</w:t>
            </w:r>
          </w:p>
        </w:tc>
        <w:tc>
          <w:tcPr>
            <w:tcW w:w="7105" w:type="dxa"/>
            <w:tcBorders>
              <w:top w:val="single" w:color="auto" w:sz="4" w:space="0"/>
              <w:left w:val="nil"/>
              <w:bottom w:val="single" w:color="auto" w:sz="4" w:space="0"/>
              <w:right w:val="single" w:color="auto" w:sz="4" w:space="0"/>
            </w:tcBorders>
            <w:noWrap w:val="0"/>
            <w:vAlign w:val="center"/>
          </w:tcPr>
          <w:p w14:paraId="1FDE7FD0">
            <w:pPr>
              <w:spacing w:line="360" w:lineRule="auto"/>
              <w:rPr>
                <w:rFonts w:ascii="宋体" w:eastAsia="宋体" w:cs="Arial"/>
                <w:b w:val="0"/>
                <w:bCs w:val="0"/>
                <w:kern w:val="2"/>
                <w:sz w:val="22"/>
                <w:szCs w:val="22"/>
              </w:rPr>
            </w:pPr>
          </w:p>
        </w:tc>
      </w:tr>
    </w:tbl>
    <w:p w14:paraId="747441E2">
      <w:pPr>
        <w:spacing w:line="360" w:lineRule="auto"/>
        <w:rPr>
          <w:rFonts w:ascii="宋体" w:eastAsia="宋体" w:cs="Arial"/>
          <w:b w:val="0"/>
          <w:bCs w:val="0"/>
          <w:kern w:val="2"/>
          <w:sz w:val="22"/>
          <w:szCs w:val="22"/>
        </w:rPr>
      </w:pPr>
      <w:r>
        <w:rPr>
          <w:rFonts w:ascii="宋体" w:eastAsia="宋体" w:cs="Arial"/>
          <w:b w:val="0"/>
          <w:bCs w:val="0"/>
          <w:kern w:val="2"/>
          <w:sz w:val="22"/>
          <w:szCs w:val="22"/>
        </w:rPr>
        <w:t>注：1、报价一经涂改，应在涂改处加盖单位公章或者由法定代表人或授权委托人签字或盖章，</w:t>
      </w:r>
      <w:r>
        <w:rPr>
          <w:rFonts w:ascii="宋体" w:eastAsia="宋体" w:cs="Arial"/>
          <w:b w:val="0"/>
          <w:kern w:val="2"/>
          <w:sz w:val="22"/>
          <w:szCs w:val="22"/>
        </w:rPr>
        <w:t>否则响应无效。</w:t>
      </w:r>
    </w:p>
    <w:p w14:paraId="38995E4B">
      <w:pPr>
        <w:adjustRightInd w:val="0"/>
        <w:snapToGrid w:val="0"/>
        <w:spacing w:line="400" w:lineRule="exact"/>
        <w:rPr>
          <w:rFonts w:ascii="宋体" w:eastAsia="宋体" w:cs="Times New Roman"/>
          <w:kern w:val="2"/>
          <w:sz w:val="22"/>
          <w:szCs w:val="22"/>
        </w:rPr>
      </w:pPr>
      <w:r>
        <w:rPr>
          <w:rFonts w:ascii="宋体" w:eastAsia="宋体" w:cs="Times New Roman"/>
          <w:kern w:val="2"/>
          <w:sz w:val="22"/>
          <w:szCs w:val="22"/>
        </w:rPr>
        <w:t>2、本表中的报价为总报价，应包括完成需要的全部内容,</w:t>
      </w:r>
      <w:r>
        <w:rPr>
          <w:rFonts w:hint="eastAsia" w:ascii="宋体" w:eastAsia="宋体" w:cs="Times New Roman"/>
          <w:kern w:val="2"/>
          <w:sz w:val="22"/>
          <w:szCs w:val="22"/>
        </w:rPr>
        <w:t xml:space="preserve"> 包括检测费、利润、税收、管理费、方案、调研费、设备购置维修费、方案计划评审费、差旅费、交通费、保险费、通信费、不可预见费、招标代理服务费及处理一切伤亡事故等完成合同所需的一切本身和不可或缺的所有工作开支、政策性文件规定及合同包含的所有风险、责任等各项全部费用，投标供应商应根据上述因素自行考虑含入投标总价。</w:t>
      </w:r>
    </w:p>
    <w:p w14:paraId="5EF94A77">
      <w:pPr>
        <w:snapToGrid w:val="0"/>
        <w:spacing w:line="360" w:lineRule="auto"/>
        <w:ind w:firstLine="480" w:firstLineChars="200"/>
        <w:jc w:val="left"/>
        <w:rPr>
          <w:rFonts w:cs="仿宋_GB2312" w:asciiTheme="minorEastAsia" w:hAnsiTheme="minorEastAsia" w:eastAsiaTheme="minorEastAsia"/>
          <w:color w:val="auto"/>
          <w:kern w:val="0"/>
          <w:sz w:val="24"/>
          <w:highlight w:val="none"/>
          <w:u w:val="single"/>
          <w:lang w:val="zh-CN"/>
        </w:rPr>
      </w:pPr>
    </w:p>
    <w:p w14:paraId="1960E9A7">
      <w:pPr>
        <w:spacing w:line="360" w:lineRule="auto"/>
        <w:ind w:right="-874" w:rightChars="-416"/>
        <w:rPr>
          <w:rFonts w:cs="仿宋_GB2312" w:asciiTheme="minorEastAsia" w:hAnsiTheme="minorEastAsia" w:eastAsiaTheme="minorEastAsia"/>
          <w:color w:val="auto"/>
          <w:sz w:val="24"/>
          <w:highlight w:val="none"/>
        </w:rPr>
      </w:pPr>
    </w:p>
    <w:p w14:paraId="5E89777B">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0C6F58D">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8ECD088">
      <w:pPr>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br w:type="page"/>
      </w:r>
    </w:p>
    <w:p w14:paraId="545A9CE0">
      <w:pPr>
        <w:rPr>
          <w:rFonts w:cs="仿宋_GB2312" w:asciiTheme="minorEastAsia" w:hAnsiTheme="minorEastAsia" w:eastAsiaTheme="minorEastAsia"/>
          <w:color w:val="auto"/>
          <w:kern w:val="0"/>
          <w:sz w:val="24"/>
          <w:highlight w:val="none"/>
          <w:lang w:val="zh-CN"/>
        </w:rPr>
      </w:pPr>
    </w:p>
    <w:p w14:paraId="7343FE08">
      <w:pPr>
        <w:spacing w:line="360" w:lineRule="auto"/>
        <w:jc w:val="center"/>
        <w:rPr>
          <w:rFonts w:ascii="华文中宋" w:hAnsi="华文中宋" w:eastAsia="宋体" w:cs="Times New Roman"/>
          <w:kern w:val="2"/>
          <w:sz w:val="32"/>
          <w:szCs w:val="32"/>
        </w:rPr>
      </w:pPr>
    </w:p>
    <w:p w14:paraId="0A4911CA">
      <w:pPr>
        <w:spacing w:line="360" w:lineRule="auto"/>
        <w:jc w:val="center"/>
        <w:rPr>
          <w:rFonts w:ascii="华文中宋" w:hAnsi="华文中宋" w:eastAsia="宋体" w:cs="Times New Roman"/>
          <w:kern w:val="2"/>
          <w:sz w:val="32"/>
          <w:szCs w:val="32"/>
        </w:rPr>
      </w:pPr>
    </w:p>
    <w:p w14:paraId="5EF0BE11">
      <w:pPr>
        <w:spacing w:line="360" w:lineRule="auto"/>
        <w:jc w:val="center"/>
        <w:rPr>
          <w:rFonts w:ascii="华文中宋" w:hAnsi="华文中宋" w:eastAsia="宋体" w:cs="Times New Roman"/>
          <w:kern w:val="2"/>
          <w:sz w:val="32"/>
          <w:szCs w:val="32"/>
        </w:rPr>
      </w:pPr>
      <w:r>
        <w:rPr>
          <w:rFonts w:ascii="华文中宋" w:hAnsi="华文中宋" w:eastAsia="宋体" w:cs="Times New Roman"/>
          <w:kern w:val="2"/>
          <w:sz w:val="32"/>
          <w:szCs w:val="32"/>
        </w:rPr>
        <w:t>报价分析明细表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703"/>
        <w:gridCol w:w="2349"/>
        <w:gridCol w:w="2350"/>
      </w:tblGrid>
      <w:tr w14:paraId="7ACE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37666876">
            <w:pPr>
              <w:spacing w:line="460" w:lineRule="atLeast"/>
              <w:jc w:val="center"/>
              <w:rPr>
                <w:rFonts w:ascii="宋体" w:eastAsia="宋体" w:cs="Times New Roman"/>
                <w:kern w:val="2"/>
                <w:sz w:val="22"/>
                <w:szCs w:val="22"/>
              </w:rPr>
            </w:pPr>
            <w:r>
              <w:rPr>
                <w:rFonts w:ascii="宋体" w:eastAsia="宋体" w:cs="Times New Roman"/>
                <w:kern w:val="2"/>
                <w:sz w:val="22"/>
                <w:szCs w:val="22"/>
              </w:rPr>
              <w:t>序号</w:t>
            </w:r>
          </w:p>
        </w:tc>
        <w:tc>
          <w:tcPr>
            <w:tcW w:w="3703" w:type="dxa"/>
            <w:noWrap w:val="0"/>
            <w:vAlign w:val="top"/>
          </w:tcPr>
          <w:p w14:paraId="3DABA8AB">
            <w:pPr>
              <w:spacing w:line="460" w:lineRule="atLeast"/>
              <w:jc w:val="center"/>
              <w:rPr>
                <w:rFonts w:ascii="宋体" w:eastAsia="宋体" w:cs="Times New Roman"/>
                <w:kern w:val="2"/>
                <w:sz w:val="22"/>
                <w:szCs w:val="22"/>
              </w:rPr>
            </w:pPr>
            <w:r>
              <w:rPr>
                <w:rFonts w:ascii="宋体" w:eastAsia="宋体" w:cs="Times New Roman"/>
                <w:kern w:val="2"/>
                <w:sz w:val="22"/>
                <w:szCs w:val="22"/>
              </w:rPr>
              <w:t>报价内容</w:t>
            </w:r>
          </w:p>
        </w:tc>
        <w:tc>
          <w:tcPr>
            <w:tcW w:w="2349" w:type="dxa"/>
            <w:noWrap w:val="0"/>
            <w:vAlign w:val="top"/>
          </w:tcPr>
          <w:p w14:paraId="73C0BC47">
            <w:pPr>
              <w:spacing w:line="460" w:lineRule="atLeast"/>
              <w:jc w:val="center"/>
              <w:rPr>
                <w:rFonts w:ascii="宋体" w:eastAsia="宋体" w:cs="Times New Roman"/>
                <w:kern w:val="2"/>
                <w:sz w:val="22"/>
                <w:szCs w:val="22"/>
              </w:rPr>
            </w:pPr>
            <w:r>
              <w:rPr>
                <w:rFonts w:ascii="宋体" w:eastAsia="宋体" w:cs="Times New Roman"/>
                <w:kern w:val="2"/>
                <w:sz w:val="22"/>
                <w:szCs w:val="22"/>
              </w:rPr>
              <w:t>单价</w:t>
            </w:r>
          </w:p>
        </w:tc>
        <w:tc>
          <w:tcPr>
            <w:tcW w:w="2350" w:type="dxa"/>
            <w:noWrap w:val="0"/>
            <w:vAlign w:val="top"/>
          </w:tcPr>
          <w:p w14:paraId="6D8B3E49">
            <w:pPr>
              <w:spacing w:line="460" w:lineRule="atLeast"/>
              <w:jc w:val="center"/>
              <w:rPr>
                <w:rFonts w:ascii="宋体" w:eastAsia="宋体" w:cs="Times New Roman"/>
                <w:kern w:val="2"/>
                <w:sz w:val="22"/>
                <w:szCs w:val="22"/>
              </w:rPr>
            </w:pPr>
            <w:r>
              <w:rPr>
                <w:rFonts w:ascii="宋体" w:eastAsia="宋体" w:cs="Times New Roman"/>
                <w:kern w:val="2"/>
                <w:sz w:val="22"/>
                <w:szCs w:val="22"/>
              </w:rPr>
              <w:t>合价</w:t>
            </w:r>
          </w:p>
        </w:tc>
      </w:tr>
      <w:tr w14:paraId="2DE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04C9153B">
            <w:pPr>
              <w:spacing w:line="460" w:lineRule="atLeast"/>
              <w:jc w:val="center"/>
              <w:rPr>
                <w:rFonts w:ascii="宋体" w:eastAsia="宋体" w:cs="Times New Roman"/>
                <w:kern w:val="2"/>
                <w:sz w:val="22"/>
                <w:szCs w:val="22"/>
              </w:rPr>
            </w:pPr>
          </w:p>
        </w:tc>
        <w:tc>
          <w:tcPr>
            <w:tcW w:w="3703" w:type="dxa"/>
            <w:noWrap w:val="0"/>
            <w:vAlign w:val="top"/>
          </w:tcPr>
          <w:p w14:paraId="42717905">
            <w:pPr>
              <w:spacing w:line="460" w:lineRule="atLeast"/>
              <w:jc w:val="center"/>
              <w:rPr>
                <w:rFonts w:ascii="宋体" w:eastAsia="宋体" w:cs="Times New Roman"/>
                <w:kern w:val="2"/>
                <w:sz w:val="22"/>
                <w:szCs w:val="22"/>
              </w:rPr>
            </w:pPr>
          </w:p>
        </w:tc>
        <w:tc>
          <w:tcPr>
            <w:tcW w:w="2349" w:type="dxa"/>
            <w:noWrap w:val="0"/>
            <w:vAlign w:val="top"/>
          </w:tcPr>
          <w:p w14:paraId="2395B43F">
            <w:pPr>
              <w:spacing w:line="460" w:lineRule="atLeast"/>
              <w:jc w:val="center"/>
              <w:rPr>
                <w:rFonts w:ascii="宋体" w:eastAsia="宋体" w:cs="Times New Roman"/>
                <w:kern w:val="2"/>
                <w:sz w:val="22"/>
                <w:szCs w:val="22"/>
              </w:rPr>
            </w:pPr>
          </w:p>
        </w:tc>
        <w:tc>
          <w:tcPr>
            <w:tcW w:w="2350" w:type="dxa"/>
            <w:noWrap w:val="0"/>
            <w:vAlign w:val="top"/>
          </w:tcPr>
          <w:p w14:paraId="41D208D7">
            <w:pPr>
              <w:spacing w:line="460" w:lineRule="atLeast"/>
              <w:jc w:val="center"/>
              <w:rPr>
                <w:rFonts w:ascii="宋体" w:eastAsia="宋体" w:cs="Times New Roman"/>
                <w:kern w:val="2"/>
                <w:sz w:val="22"/>
                <w:szCs w:val="22"/>
              </w:rPr>
            </w:pPr>
          </w:p>
        </w:tc>
      </w:tr>
      <w:tr w14:paraId="0ADE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4350BE70">
            <w:pPr>
              <w:spacing w:line="460" w:lineRule="atLeast"/>
              <w:jc w:val="center"/>
              <w:rPr>
                <w:rFonts w:ascii="宋体" w:eastAsia="宋体" w:cs="Times New Roman"/>
                <w:kern w:val="2"/>
                <w:sz w:val="22"/>
                <w:szCs w:val="22"/>
              </w:rPr>
            </w:pPr>
          </w:p>
        </w:tc>
        <w:tc>
          <w:tcPr>
            <w:tcW w:w="3703" w:type="dxa"/>
            <w:noWrap w:val="0"/>
            <w:vAlign w:val="top"/>
          </w:tcPr>
          <w:p w14:paraId="6A6D27C7">
            <w:pPr>
              <w:spacing w:line="460" w:lineRule="atLeast"/>
              <w:jc w:val="center"/>
              <w:rPr>
                <w:rFonts w:ascii="宋体" w:eastAsia="宋体" w:cs="Times New Roman"/>
                <w:kern w:val="2"/>
                <w:sz w:val="22"/>
                <w:szCs w:val="22"/>
              </w:rPr>
            </w:pPr>
          </w:p>
        </w:tc>
        <w:tc>
          <w:tcPr>
            <w:tcW w:w="2349" w:type="dxa"/>
            <w:noWrap w:val="0"/>
            <w:vAlign w:val="top"/>
          </w:tcPr>
          <w:p w14:paraId="18BC32CA">
            <w:pPr>
              <w:spacing w:line="460" w:lineRule="atLeast"/>
              <w:jc w:val="center"/>
              <w:rPr>
                <w:rFonts w:ascii="宋体" w:eastAsia="宋体" w:cs="Times New Roman"/>
                <w:kern w:val="2"/>
                <w:sz w:val="22"/>
                <w:szCs w:val="22"/>
              </w:rPr>
            </w:pPr>
          </w:p>
        </w:tc>
        <w:tc>
          <w:tcPr>
            <w:tcW w:w="2350" w:type="dxa"/>
            <w:noWrap w:val="0"/>
            <w:vAlign w:val="top"/>
          </w:tcPr>
          <w:p w14:paraId="731CD0D5">
            <w:pPr>
              <w:spacing w:line="460" w:lineRule="atLeast"/>
              <w:jc w:val="center"/>
              <w:rPr>
                <w:rFonts w:ascii="宋体" w:eastAsia="宋体" w:cs="Times New Roman"/>
                <w:kern w:val="2"/>
                <w:sz w:val="22"/>
                <w:szCs w:val="22"/>
              </w:rPr>
            </w:pPr>
          </w:p>
        </w:tc>
      </w:tr>
      <w:tr w14:paraId="01D6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17130C97">
            <w:pPr>
              <w:spacing w:line="460" w:lineRule="atLeast"/>
              <w:jc w:val="center"/>
              <w:rPr>
                <w:rFonts w:ascii="宋体" w:eastAsia="宋体" w:cs="Times New Roman"/>
                <w:kern w:val="2"/>
                <w:sz w:val="22"/>
                <w:szCs w:val="22"/>
              </w:rPr>
            </w:pPr>
          </w:p>
        </w:tc>
        <w:tc>
          <w:tcPr>
            <w:tcW w:w="3703" w:type="dxa"/>
            <w:noWrap w:val="0"/>
            <w:vAlign w:val="top"/>
          </w:tcPr>
          <w:p w14:paraId="4FD10E43">
            <w:pPr>
              <w:spacing w:line="460" w:lineRule="atLeast"/>
              <w:jc w:val="center"/>
              <w:rPr>
                <w:rFonts w:ascii="宋体" w:eastAsia="宋体" w:cs="Times New Roman"/>
                <w:kern w:val="2"/>
                <w:sz w:val="22"/>
                <w:szCs w:val="22"/>
              </w:rPr>
            </w:pPr>
          </w:p>
        </w:tc>
        <w:tc>
          <w:tcPr>
            <w:tcW w:w="2349" w:type="dxa"/>
            <w:noWrap w:val="0"/>
            <w:vAlign w:val="top"/>
          </w:tcPr>
          <w:p w14:paraId="77FAA153">
            <w:pPr>
              <w:spacing w:line="460" w:lineRule="atLeast"/>
              <w:jc w:val="center"/>
              <w:rPr>
                <w:rFonts w:ascii="宋体" w:eastAsia="宋体" w:cs="Times New Roman"/>
                <w:kern w:val="2"/>
                <w:sz w:val="22"/>
                <w:szCs w:val="22"/>
              </w:rPr>
            </w:pPr>
          </w:p>
        </w:tc>
        <w:tc>
          <w:tcPr>
            <w:tcW w:w="2350" w:type="dxa"/>
            <w:noWrap w:val="0"/>
            <w:vAlign w:val="top"/>
          </w:tcPr>
          <w:p w14:paraId="1BB266AE">
            <w:pPr>
              <w:spacing w:line="460" w:lineRule="atLeast"/>
              <w:jc w:val="center"/>
              <w:rPr>
                <w:rFonts w:ascii="宋体" w:eastAsia="宋体" w:cs="Times New Roman"/>
                <w:kern w:val="2"/>
                <w:sz w:val="22"/>
                <w:szCs w:val="22"/>
              </w:rPr>
            </w:pPr>
          </w:p>
        </w:tc>
      </w:tr>
      <w:tr w14:paraId="7C8A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1539ED7A">
            <w:pPr>
              <w:spacing w:line="460" w:lineRule="atLeast"/>
              <w:jc w:val="center"/>
              <w:rPr>
                <w:rFonts w:ascii="宋体" w:eastAsia="宋体" w:cs="Times New Roman"/>
                <w:kern w:val="2"/>
                <w:sz w:val="22"/>
                <w:szCs w:val="22"/>
              </w:rPr>
            </w:pPr>
          </w:p>
        </w:tc>
        <w:tc>
          <w:tcPr>
            <w:tcW w:w="3703" w:type="dxa"/>
            <w:noWrap w:val="0"/>
            <w:vAlign w:val="top"/>
          </w:tcPr>
          <w:p w14:paraId="7D5784E5">
            <w:pPr>
              <w:spacing w:line="460" w:lineRule="atLeast"/>
              <w:jc w:val="center"/>
              <w:rPr>
                <w:rFonts w:ascii="宋体" w:eastAsia="宋体" w:cs="Times New Roman"/>
                <w:kern w:val="2"/>
                <w:sz w:val="22"/>
                <w:szCs w:val="22"/>
              </w:rPr>
            </w:pPr>
          </w:p>
        </w:tc>
        <w:tc>
          <w:tcPr>
            <w:tcW w:w="2349" w:type="dxa"/>
            <w:noWrap w:val="0"/>
            <w:vAlign w:val="top"/>
          </w:tcPr>
          <w:p w14:paraId="7D4D9C54">
            <w:pPr>
              <w:spacing w:line="460" w:lineRule="atLeast"/>
              <w:jc w:val="center"/>
              <w:rPr>
                <w:rFonts w:ascii="宋体" w:eastAsia="宋体" w:cs="Times New Roman"/>
                <w:kern w:val="2"/>
                <w:sz w:val="22"/>
                <w:szCs w:val="22"/>
              </w:rPr>
            </w:pPr>
          </w:p>
        </w:tc>
        <w:tc>
          <w:tcPr>
            <w:tcW w:w="2350" w:type="dxa"/>
            <w:noWrap w:val="0"/>
            <w:vAlign w:val="top"/>
          </w:tcPr>
          <w:p w14:paraId="617D5315">
            <w:pPr>
              <w:spacing w:line="460" w:lineRule="atLeast"/>
              <w:jc w:val="center"/>
              <w:rPr>
                <w:rFonts w:ascii="宋体" w:eastAsia="宋体" w:cs="Times New Roman"/>
                <w:kern w:val="2"/>
                <w:sz w:val="22"/>
                <w:szCs w:val="22"/>
              </w:rPr>
            </w:pPr>
          </w:p>
        </w:tc>
      </w:tr>
      <w:tr w14:paraId="669D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1EBAFD26">
            <w:pPr>
              <w:spacing w:line="460" w:lineRule="atLeast"/>
              <w:jc w:val="center"/>
              <w:rPr>
                <w:rFonts w:ascii="宋体" w:eastAsia="宋体" w:cs="Times New Roman"/>
                <w:kern w:val="2"/>
                <w:sz w:val="22"/>
                <w:szCs w:val="22"/>
              </w:rPr>
            </w:pPr>
          </w:p>
        </w:tc>
        <w:tc>
          <w:tcPr>
            <w:tcW w:w="3703" w:type="dxa"/>
            <w:noWrap w:val="0"/>
            <w:vAlign w:val="top"/>
          </w:tcPr>
          <w:p w14:paraId="3A8335B7">
            <w:pPr>
              <w:spacing w:line="460" w:lineRule="atLeast"/>
              <w:jc w:val="center"/>
              <w:rPr>
                <w:rFonts w:ascii="宋体" w:eastAsia="宋体" w:cs="Times New Roman"/>
                <w:kern w:val="2"/>
                <w:sz w:val="22"/>
                <w:szCs w:val="22"/>
              </w:rPr>
            </w:pPr>
          </w:p>
        </w:tc>
        <w:tc>
          <w:tcPr>
            <w:tcW w:w="2349" w:type="dxa"/>
            <w:noWrap w:val="0"/>
            <w:vAlign w:val="top"/>
          </w:tcPr>
          <w:p w14:paraId="16683BEB">
            <w:pPr>
              <w:spacing w:line="460" w:lineRule="atLeast"/>
              <w:jc w:val="center"/>
              <w:rPr>
                <w:rFonts w:ascii="宋体" w:eastAsia="宋体" w:cs="Times New Roman"/>
                <w:kern w:val="2"/>
                <w:sz w:val="22"/>
                <w:szCs w:val="22"/>
              </w:rPr>
            </w:pPr>
          </w:p>
        </w:tc>
        <w:tc>
          <w:tcPr>
            <w:tcW w:w="2350" w:type="dxa"/>
            <w:noWrap w:val="0"/>
            <w:vAlign w:val="top"/>
          </w:tcPr>
          <w:p w14:paraId="3114C8F1">
            <w:pPr>
              <w:spacing w:line="460" w:lineRule="atLeast"/>
              <w:jc w:val="center"/>
              <w:rPr>
                <w:rFonts w:ascii="宋体" w:eastAsia="宋体" w:cs="Times New Roman"/>
                <w:kern w:val="2"/>
                <w:sz w:val="22"/>
                <w:szCs w:val="22"/>
              </w:rPr>
            </w:pPr>
          </w:p>
        </w:tc>
      </w:tr>
      <w:tr w14:paraId="24D4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631CD397">
            <w:pPr>
              <w:spacing w:line="460" w:lineRule="atLeast"/>
              <w:jc w:val="center"/>
              <w:rPr>
                <w:rFonts w:ascii="宋体" w:eastAsia="宋体" w:cs="Times New Roman"/>
                <w:kern w:val="2"/>
                <w:sz w:val="22"/>
                <w:szCs w:val="22"/>
              </w:rPr>
            </w:pPr>
          </w:p>
        </w:tc>
        <w:tc>
          <w:tcPr>
            <w:tcW w:w="3703" w:type="dxa"/>
            <w:noWrap w:val="0"/>
            <w:vAlign w:val="top"/>
          </w:tcPr>
          <w:p w14:paraId="2936615A">
            <w:pPr>
              <w:spacing w:line="460" w:lineRule="atLeast"/>
              <w:jc w:val="center"/>
              <w:rPr>
                <w:rFonts w:ascii="宋体" w:eastAsia="宋体" w:cs="Times New Roman"/>
                <w:kern w:val="2"/>
                <w:sz w:val="22"/>
                <w:szCs w:val="22"/>
              </w:rPr>
            </w:pPr>
          </w:p>
        </w:tc>
        <w:tc>
          <w:tcPr>
            <w:tcW w:w="2349" w:type="dxa"/>
            <w:noWrap w:val="0"/>
            <w:vAlign w:val="top"/>
          </w:tcPr>
          <w:p w14:paraId="336DD781">
            <w:pPr>
              <w:spacing w:line="460" w:lineRule="atLeast"/>
              <w:jc w:val="center"/>
              <w:rPr>
                <w:rFonts w:ascii="宋体" w:eastAsia="宋体" w:cs="Times New Roman"/>
                <w:kern w:val="2"/>
                <w:sz w:val="22"/>
                <w:szCs w:val="22"/>
              </w:rPr>
            </w:pPr>
          </w:p>
        </w:tc>
        <w:tc>
          <w:tcPr>
            <w:tcW w:w="2350" w:type="dxa"/>
            <w:noWrap w:val="0"/>
            <w:vAlign w:val="top"/>
          </w:tcPr>
          <w:p w14:paraId="027C8808">
            <w:pPr>
              <w:spacing w:line="460" w:lineRule="atLeast"/>
              <w:jc w:val="center"/>
              <w:rPr>
                <w:rFonts w:ascii="宋体" w:eastAsia="宋体" w:cs="Times New Roman"/>
                <w:kern w:val="2"/>
                <w:sz w:val="22"/>
                <w:szCs w:val="22"/>
              </w:rPr>
            </w:pPr>
          </w:p>
        </w:tc>
      </w:tr>
      <w:tr w14:paraId="4011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2ABE83A6">
            <w:pPr>
              <w:spacing w:line="460" w:lineRule="atLeast"/>
              <w:jc w:val="center"/>
              <w:rPr>
                <w:rFonts w:ascii="宋体" w:eastAsia="宋体" w:cs="Times New Roman"/>
                <w:kern w:val="2"/>
                <w:sz w:val="22"/>
                <w:szCs w:val="22"/>
              </w:rPr>
            </w:pPr>
          </w:p>
        </w:tc>
        <w:tc>
          <w:tcPr>
            <w:tcW w:w="3703" w:type="dxa"/>
            <w:noWrap w:val="0"/>
            <w:vAlign w:val="top"/>
          </w:tcPr>
          <w:p w14:paraId="1471D48D">
            <w:pPr>
              <w:spacing w:line="460" w:lineRule="atLeast"/>
              <w:jc w:val="center"/>
              <w:rPr>
                <w:rFonts w:ascii="宋体" w:eastAsia="宋体" w:cs="Times New Roman"/>
                <w:kern w:val="2"/>
                <w:sz w:val="22"/>
                <w:szCs w:val="22"/>
              </w:rPr>
            </w:pPr>
          </w:p>
        </w:tc>
        <w:tc>
          <w:tcPr>
            <w:tcW w:w="2349" w:type="dxa"/>
            <w:noWrap w:val="0"/>
            <w:vAlign w:val="top"/>
          </w:tcPr>
          <w:p w14:paraId="2204C4C8">
            <w:pPr>
              <w:spacing w:line="460" w:lineRule="atLeast"/>
              <w:jc w:val="center"/>
              <w:rPr>
                <w:rFonts w:ascii="宋体" w:eastAsia="宋体" w:cs="Times New Roman"/>
                <w:kern w:val="2"/>
                <w:sz w:val="22"/>
                <w:szCs w:val="22"/>
              </w:rPr>
            </w:pPr>
          </w:p>
        </w:tc>
        <w:tc>
          <w:tcPr>
            <w:tcW w:w="2350" w:type="dxa"/>
            <w:noWrap w:val="0"/>
            <w:vAlign w:val="top"/>
          </w:tcPr>
          <w:p w14:paraId="18EDA637">
            <w:pPr>
              <w:spacing w:line="460" w:lineRule="atLeast"/>
              <w:jc w:val="center"/>
              <w:rPr>
                <w:rFonts w:ascii="宋体" w:eastAsia="宋体" w:cs="Times New Roman"/>
                <w:kern w:val="2"/>
                <w:sz w:val="22"/>
                <w:szCs w:val="22"/>
              </w:rPr>
            </w:pPr>
          </w:p>
        </w:tc>
      </w:tr>
      <w:tr w14:paraId="0552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0773B757">
            <w:pPr>
              <w:spacing w:line="460" w:lineRule="atLeast"/>
              <w:jc w:val="center"/>
              <w:rPr>
                <w:rFonts w:ascii="宋体" w:eastAsia="宋体" w:cs="Times New Roman"/>
                <w:kern w:val="2"/>
                <w:sz w:val="22"/>
                <w:szCs w:val="22"/>
              </w:rPr>
            </w:pPr>
          </w:p>
        </w:tc>
        <w:tc>
          <w:tcPr>
            <w:tcW w:w="3703" w:type="dxa"/>
            <w:noWrap w:val="0"/>
            <w:vAlign w:val="top"/>
          </w:tcPr>
          <w:p w14:paraId="5F2EA605">
            <w:pPr>
              <w:spacing w:line="460" w:lineRule="atLeast"/>
              <w:jc w:val="center"/>
              <w:rPr>
                <w:rFonts w:ascii="宋体" w:eastAsia="宋体" w:cs="Times New Roman"/>
                <w:kern w:val="2"/>
                <w:sz w:val="22"/>
                <w:szCs w:val="22"/>
              </w:rPr>
            </w:pPr>
          </w:p>
        </w:tc>
        <w:tc>
          <w:tcPr>
            <w:tcW w:w="2349" w:type="dxa"/>
            <w:noWrap w:val="0"/>
            <w:vAlign w:val="top"/>
          </w:tcPr>
          <w:p w14:paraId="52BC10D1">
            <w:pPr>
              <w:spacing w:line="460" w:lineRule="atLeast"/>
              <w:jc w:val="center"/>
              <w:rPr>
                <w:rFonts w:ascii="宋体" w:eastAsia="宋体" w:cs="Times New Roman"/>
                <w:kern w:val="2"/>
                <w:sz w:val="22"/>
                <w:szCs w:val="22"/>
              </w:rPr>
            </w:pPr>
          </w:p>
        </w:tc>
        <w:tc>
          <w:tcPr>
            <w:tcW w:w="2350" w:type="dxa"/>
            <w:noWrap w:val="0"/>
            <w:vAlign w:val="top"/>
          </w:tcPr>
          <w:p w14:paraId="015BA881">
            <w:pPr>
              <w:spacing w:line="460" w:lineRule="atLeast"/>
              <w:jc w:val="center"/>
              <w:rPr>
                <w:rFonts w:ascii="宋体" w:eastAsia="宋体" w:cs="Times New Roman"/>
                <w:kern w:val="2"/>
                <w:sz w:val="22"/>
                <w:szCs w:val="22"/>
              </w:rPr>
            </w:pPr>
          </w:p>
        </w:tc>
      </w:tr>
      <w:tr w14:paraId="04A8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top"/>
          </w:tcPr>
          <w:p w14:paraId="70FF0591">
            <w:pPr>
              <w:spacing w:line="460" w:lineRule="atLeast"/>
              <w:jc w:val="center"/>
              <w:rPr>
                <w:rFonts w:ascii="宋体" w:eastAsia="宋体" w:cs="Times New Roman"/>
                <w:kern w:val="2"/>
                <w:sz w:val="22"/>
                <w:szCs w:val="22"/>
              </w:rPr>
            </w:pPr>
          </w:p>
        </w:tc>
        <w:tc>
          <w:tcPr>
            <w:tcW w:w="3703" w:type="dxa"/>
            <w:noWrap w:val="0"/>
            <w:vAlign w:val="top"/>
          </w:tcPr>
          <w:p w14:paraId="029ACC65">
            <w:pPr>
              <w:spacing w:line="460" w:lineRule="atLeast"/>
              <w:jc w:val="center"/>
              <w:rPr>
                <w:rFonts w:ascii="宋体" w:eastAsia="宋体" w:cs="Times New Roman"/>
                <w:kern w:val="2"/>
                <w:sz w:val="22"/>
                <w:szCs w:val="22"/>
              </w:rPr>
            </w:pPr>
          </w:p>
        </w:tc>
        <w:tc>
          <w:tcPr>
            <w:tcW w:w="2349" w:type="dxa"/>
            <w:noWrap w:val="0"/>
            <w:vAlign w:val="top"/>
          </w:tcPr>
          <w:p w14:paraId="3553FDF9">
            <w:pPr>
              <w:spacing w:line="460" w:lineRule="atLeast"/>
              <w:jc w:val="center"/>
              <w:rPr>
                <w:rFonts w:ascii="宋体" w:eastAsia="宋体" w:cs="Times New Roman"/>
                <w:kern w:val="2"/>
                <w:sz w:val="22"/>
                <w:szCs w:val="22"/>
              </w:rPr>
            </w:pPr>
          </w:p>
        </w:tc>
        <w:tc>
          <w:tcPr>
            <w:tcW w:w="2350" w:type="dxa"/>
            <w:noWrap w:val="0"/>
            <w:vAlign w:val="top"/>
          </w:tcPr>
          <w:p w14:paraId="139F4E0C">
            <w:pPr>
              <w:spacing w:line="460" w:lineRule="atLeast"/>
              <w:jc w:val="center"/>
              <w:rPr>
                <w:rFonts w:ascii="宋体" w:eastAsia="宋体" w:cs="Times New Roman"/>
                <w:kern w:val="2"/>
                <w:sz w:val="22"/>
                <w:szCs w:val="22"/>
              </w:rPr>
            </w:pPr>
          </w:p>
        </w:tc>
      </w:tr>
      <w:tr w14:paraId="43C5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7" w:type="dxa"/>
            <w:gridSpan w:val="2"/>
            <w:noWrap w:val="0"/>
            <w:vAlign w:val="top"/>
          </w:tcPr>
          <w:p w14:paraId="5F9B0349">
            <w:pPr>
              <w:spacing w:line="460" w:lineRule="atLeast"/>
              <w:jc w:val="center"/>
              <w:rPr>
                <w:rFonts w:ascii="宋体" w:eastAsia="宋体" w:cs="Times New Roman"/>
                <w:kern w:val="2"/>
                <w:sz w:val="22"/>
                <w:szCs w:val="22"/>
              </w:rPr>
            </w:pPr>
            <w:r>
              <w:rPr>
                <w:rFonts w:ascii="宋体" w:eastAsia="宋体" w:cs="Times New Roman"/>
                <w:kern w:val="2"/>
                <w:sz w:val="22"/>
                <w:szCs w:val="22"/>
              </w:rPr>
              <w:t>合计</w:t>
            </w:r>
          </w:p>
        </w:tc>
        <w:tc>
          <w:tcPr>
            <w:tcW w:w="4699" w:type="dxa"/>
            <w:gridSpan w:val="2"/>
            <w:noWrap w:val="0"/>
            <w:vAlign w:val="top"/>
          </w:tcPr>
          <w:p w14:paraId="3645DEDF">
            <w:pPr>
              <w:spacing w:line="460" w:lineRule="atLeast"/>
              <w:jc w:val="center"/>
              <w:rPr>
                <w:rFonts w:ascii="宋体" w:eastAsia="宋体" w:cs="Times New Roman"/>
                <w:kern w:val="2"/>
                <w:sz w:val="22"/>
                <w:szCs w:val="22"/>
              </w:rPr>
            </w:pPr>
          </w:p>
        </w:tc>
      </w:tr>
    </w:tbl>
    <w:p w14:paraId="38C668A0">
      <w:pPr>
        <w:spacing w:line="460" w:lineRule="atLeast"/>
        <w:rPr>
          <w:rFonts w:ascii="宋体" w:eastAsia="宋体" w:cs="Times New Roman"/>
          <w:kern w:val="2"/>
          <w:sz w:val="22"/>
          <w:szCs w:val="22"/>
        </w:rPr>
      </w:pPr>
      <w:r>
        <w:rPr>
          <w:rFonts w:ascii="宋体" w:eastAsia="宋体" w:cs="Times New Roman"/>
          <w:kern w:val="2"/>
          <w:sz w:val="22"/>
          <w:szCs w:val="22"/>
        </w:rPr>
        <w:t>1不提供此表格的将视为没有实质性响应采购文件。</w:t>
      </w:r>
    </w:p>
    <w:p w14:paraId="7C5D7ECC">
      <w:pPr>
        <w:spacing w:line="460" w:lineRule="atLeast"/>
        <w:rPr>
          <w:rFonts w:ascii="宋体" w:eastAsia="宋体" w:cs="Times New Roman"/>
          <w:kern w:val="2"/>
          <w:sz w:val="22"/>
          <w:szCs w:val="22"/>
        </w:rPr>
      </w:pPr>
      <w:r>
        <w:rPr>
          <w:rFonts w:ascii="宋体" w:eastAsia="宋体" w:cs="Times New Roman"/>
          <w:kern w:val="2"/>
          <w:sz w:val="22"/>
          <w:szCs w:val="22"/>
        </w:rPr>
        <w:t>2、表格可以延续</w:t>
      </w:r>
    </w:p>
    <w:p w14:paraId="2F09690A">
      <w:pPr>
        <w:widowControl/>
        <w:adjustRightInd/>
        <w:jc w:val="left"/>
        <w:rPr>
          <w:rFonts w:cs="仿宋_GB2312" w:asciiTheme="minorEastAsia" w:hAnsiTheme="minorEastAsia" w:eastAsiaTheme="minorEastAsia"/>
          <w:color w:val="auto"/>
          <w:kern w:val="0"/>
          <w:sz w:val="24"/>
          <w:highlight w:val="none"/>
          <w:lang w:val="zh-CN"/>
        </w:rPr>
      </w:pPr>
    </w:p>
    <w:p w14:paraId="3EE4643D">
      <w:pPr>
        <w:widowControl/>
        <w:adjustRightInd/>
        <w:jc w:val="left"/>
        <w:rPr>
          <w:rFonts w:cs="仿宋_GB2312" w:asciiTheme="minorEastAsia" w:hAnsiTheme="minorEastAsia" w:eastAsiaTheme="minorEastAsia"/>
          <w:color w:val="auto"/>
          <w:kern w:val="0"/>
          <w:sz w:val="24"/>
          <w:highlight w:val="none"/>
          <w:lang w:val="zh-CN"/>
        </w:rPr>
      </w:pPr>
    </w:p>
    <w:p w14:paraId="5BBDCEDB">
      <w:pPr>
        <w:widowControl/>
        <w:adjustRightInd/>
        <w:jc w:val="left"/>
        <w:rPr>
          <w:rFonts w:cs="仿宋_GB2312" w:asciiTheme="minorEastAsia" w:hAnsiTheme="minorEastAsia" w:eastAsiaTheme="minorEastAsia"/>
          <w:color w:val="auto"/>
          <w:kern w:val="0"/>
          <w:sz w:val="24"/>
          <w:highlight w:val="none"/>
          <w:lang w:val="zh-CN"/>
        </w:rPr>
      </w:pPr>
    </w:p>
    <w:p w14:paraId="543D5948">
      <w:pPr>
        <w:widowControl/>
        <w:adjustRightInd/>
        <w:jc w:val="left"/>
        <w:rPr>
          <w:rFonts w:cs="仿宋_GB2312" w:asciiTheme="minorEastAsia" w:hAnsiTheme="minorEastAsia" w:eastAsiaTheme="minorEastAsia"/>
          <w:color w:val="auto"/>
          <w:kern w:val="0"/>
          <w:sz w:val="24"/>
          <w:highlight w:val="none"/>
          <w:lang w:val="zh-CN"/>
        </w:rPr>
      </w:pPr>
    </w:p>
    <w:p w14:paraId="095824C1">
      <w:pPr>
        <w:widowControl/>
        <w:adjustRightInd/>
        <w:jc w:val="left"/>
        <w:rPr>
          <w:rFonts w:cs="仿宋_GB2312" w:asciiTheme="minorEastAsia" w:hAnsiTheme="minorEastAsia" w:eastAsiaTheme="minorEastAsia"/>
          <w:color w:val="auto"/>
          <w:kern w:val="0"/>
          <w:sz w:val="24"/>
          <w:highlight w:val="none"/>
          <w:lang w:val="zh-CN"/>
        </w:rPr>
      </w:pPr>
    </w:p>
    <w:p w14:paraId="66DE6B7D">
      <w:pPr>
        <w:widowControl/>
        <w:adjustRightInd/>
        <w:jc w:val="left"/>
        <w:rPr>
          <w:rFonts w:cs="仿宋_GB2312" w:asciiTheme="minorEastAsia" w:hAnsiTheme="minorEastAsia" w:eastAsiaTheme="minorEastAsia"/>
          <w:color w:val="auto"/>
          <w:kern w:val="0"/>
          <w:sz w:val="24"/>
          <w:highlight w:val="none"/>
          <w:lang w:val="zh-CN"/>
        </w:rPr>
      </w:pPr>
    </w:p>
    <w:p w14:paraId="308A7B25">
      <w:pPr>
        <w:widowControl/>
        <w:adjustRightInd/>
        <w:jc w:val="left"/>
        <w:rPr>
          <w:rFonts w:cs="仿宋_GB2312" w:asciiTheme="minorEastAsia" w:hAnsiTheme="minorEastAsia" w:eastAsiaTheme="minorEastAsia"/>
          <w:color w:val="auto"/>
          <w:kern w:val="0"/>
          <w:sz w:val="24"/>
          <w:highlight w:val="none"/>
          <w:lang w:val="zh-CN"/>
        </w:rPr>
      </w:pPr>
    </w:p>
    <w:p w14:paraId="4E7C6D44">
      <w:pPr>
        <w:widowControl/>
        <w:adjustRightInd/>
        <w:jc w:val="left"/>
        <w:rPr>
          <w:rFonts w:cs="仿宋_GB2312" w:asciiTheme="minorEastAsia" w:hAnsiTheme="minorEastAsia" w:eastAsiaTheme="minorEastAsia"/>
          <w:color w:val="auto"/>
          <w:kern w:val="0"/>
          <w:sz w:val="24"/>
          <w:highlight w:val="none"/>
          <w:lang w:val="zh-CN"/>
        </w:rPr>
      </w:pPr>
    </w:p>
    <w:p w14:paraId="00F2B6B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74CD4D3">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C07D505">
      <w:pPr>
        <w:widowControl/>
        <w:adjustRightInd/>
        <w:jc w:val="left"/>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p>
    <w:p w14:paraId="7451B033">
      <w:pPr>
        <w:pStyle w:val="19"/>
        <w:adjustRightInd/>
        <w:spacing w:before="240" w:after="60"/>
        <w:jc w:val="center"/>
        <w:outlineLvl w:val="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3" w:name="_Toc465665161"/>
      <w:r>
        <w:rPr>
          <w:rFonts w:hint="eastAsia" w:asciiTheme="minorEastAsia" w:hAnsiTheme="minorEastAsia" w:eastAsiaTheme="minorEastAsia"/>
          <w:b/>
          <w:color w:val="auto"/>
          <w:sz w:val="32"/>
          <w:szCs w:val="32"/>
          <w:highlight w:val="none"/>
        </w:rPr>
        <w:t>（如果有）</w:t>
      </w:r>
    </w:p>
    <w:p w14:paraId="446D3B1B">
      <w:pPr>
        <w:widowControl/>
        <w:spacing w:line="360" w:lineRule="auto"/>
        <w:ind w:firstLine="120" w:firstLineChars="50"/>
        <w:jc w:val="left"/>
        <w:rPr>
          <w:rFonts w:cs="宋体" w:asciiTheme="minorEastAsia" w:hAnsiTheme="minorEastAsia" w:eastAsiaTheme="minorEastAsia"/>
          <w:b/>
          <w:color w:val="auto"/>
          <w:sz w:val="24"/>
          <w:highlight w:val="none"/>
        </w:rPr>
      </w:pPr>
    </w:p>
    <w:p w14:paraId="6C706C84">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0BF9645">
      <w:pPr>
        <w:widowControl/>
        <w:adjustRightInd/>
        <w:jc w:val="center"/>
        <w:rPr>
          <w:rFonts w:cs="仿宋_GB2312" w:asciiTheme="minorEastAsia" w:hAnsiTheme="minorEastAsia" w:eastAsiaTheme="minorEastAsia"/>
          <w:color w:val="auto"/>
          <w:sz w:val="24"/>
          <w:highlight w:val="none"/>
        </w:rPr>
      </w:pPr>
    </w:p>
    <w:p w14:paraId="44F887B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923938E">
      <w:pPr>
        <w:pStyle w:val="19"/>
        <w:adjustRightInd/>
        <w:spacing w:before="240" w:after="60"/>
        <w:jc w:val="center"/>
        <w:outlineLvl w:val="0"/>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附件</w:t>
      </w:r>
      <w:bookmarkEnd w:id="73"/>
    </w:p>
    <w:p w14:paraId="51479221">
      <w:pPr>
        <w:pStyle w:val="19"/>
        <w:adjustRightInd/>
        <w:spacing w:before="240" w:after="60"/>
        <w:jc w:val="center"/>
        <w:outlineLvl w:val="0"/>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附件1：质疑函范本及制作说明</w:t>
      </w:r>
    </w:p>
    <w:p w14:paraId="24D25BC2">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4B383F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2250C2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AB6B3E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C288B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B97A8C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6DA9100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73E64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431C4F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FE23EB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04A13F2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A77519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BBA0C6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C24A91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9DFDEE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438F39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D4B605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EED177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FE1B3A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754DF0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FB2DD8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C2DC1E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158F76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522C02E">
      <w:pPr>
        <w:spacing w:line="360" w:lineRule="auto"/>
        <w:rPr>
          <w:rFonts w:cs="仿宋_GB2312" w:asciiTheme="minorEastAsia" w:hAnsiTheme="minorEastAsia" w:eastAsiaTheme="minorEastAsia"/>
          <w:color w:val="auto"/>
          <w:sz w:val="24"/>
          <w:highlight w:val="none"/>
        </w:rPr>
      </w:pPr>
    </w:p>
    <w:p w14:paraId="68007B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74C52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F505A9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D6C925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08C9D8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B26C4E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1478173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037FD2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1629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FECE63">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7451C9B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106F535">
      <w:pPr>
        <w:spacing w:line="360" w:lineRule="auto"/>
        <w:jc w:val="center"/>
        <w:rPr>
          <w:rFonts w:cs="仿宋_GB2312" w:asciiTheme="minorEastAsia" w:hAnsiTheme="minorEastAsia" w:eastAsiaTheme="minorEastAsia"/>
          <w:b/>
          <w:color w:val="auto"/>
          <w:sz w:val="24"/>
          <w:highlight w:val="none"/>
        </w:rPr>
      </w:pPr>
    </w:p>
    <w:p w14:paraId="62C3620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05CCB2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039F61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0F0B350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68D3B42">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2C1EA5E">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A66E3C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5C8FC9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CD538F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F31E9A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CA56F3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EAF88A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6DD739F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936BD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E61D82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6B9F75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0BAC7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8AC1D3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0300E7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6EFF23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443280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5264E05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265B86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5868C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1EB361E">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32340F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D8D9ABA">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B337F9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B5A725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7FFFA5B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C15C3E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383D16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362C13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4ED13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D3433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EE1023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C67D3B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805A4B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00C9BC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6F2170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950F05A">
      <w:pPr>
        <w:spacing w:line="360" w:lineRule="auto"/>
        <w:rPr>
          <w:rFonts w:cs="仿宋_GB2312" w:asciiTheme="minorEastAsia" w:hAnsiTheme="minorEastAsia" w:eastAsiaTheme="minorEastAsia"/>
          <w:b/>
          <w:color w:val="auto"/>
          <w:sz w:val="24"/>
          <w:highlight w:val="none"/>
        </w:rPr>
      </w:pPr>
    </w:p>
    <w:p w14:paraId="0193D4D5">
      <w:pPr>
        <w:spacing w:line="360" w:lineRule="auto"/>
        <w:rPr>
          <w:rFonts w:cs="仿宋_GB2312" w:asciiTheme="minorEastAsia" w:hAnsiTheme="minorEastAsia" w:eastAsiaTheme="minorEastAsia"/>
          <w:b/>
          <w:color w:val="auto"/>
          <w:sz w:val="24"/>
          <w:highlight w:val="none"/>
        </w:rPr>
      </w:pPr>
    </w:p>
    <w:p w14:paraId="1514F17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5A20C81">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4BF37C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B1DCEA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699E13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EF6442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6CC6389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19599D8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B6C108A">
      <w:pPr>
        <w:rPr>
          <w:rFonts w:cs="仿宋_GB2312" w:asciiTheme="minorEastAsia" w:hAnsiTheme="minorEastAsia" w:eastAsiaTheme="minorEastAsia"/>
          <w:b/>
          <w:color w:val="auto"/>
          <w:sz w:val="24"/>
          <w:highlight w:val="none"/>
        </w:rPr>
      </w:pPr>
    </w:p>
    <w:p w14:paraId="74BE5E7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9D510E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EB3FDCD">
      <w:pPr>
        <w:spacing w:line="360" w:lineRule="auto"/>
        <w:rPr>
          <w:rFonts w:asciiTheme="minorEastAsia" w:hAnsiTheme="minorEastAsia" w:eastAsiaTheme="minorEastAsia"/>
          <w:b/>
          <w:color w:val="auto"/>
          <w:spacing w:val="6"/>
          <w:sz w:val="32"/>
          <w:szCs w:val="32"/>
          <w:highlight w:val="none"/>
        </w:rPr>
      </w:pPr>
    </w:p>
    <w:p w14:paraId="2D7D2AE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3D755F4">
      <w:pPr>
        <w:spacing w:line="360" w:lineRule="auto"/>
        <w:rPr>
          <w:rFonts w:asciiTheme="minorEastAsia" w:hAnsiTheme="minorEastAsia" w:eastAsiaTheme="minorEastAsia"/>
          <w:b/>
          <w:color w:val="auto"/>
          <w:spacing w:val="6"/>
          <w:sz w:val="30"/>
          <w:szCs w:val="30"/>
          <w:highlight w:val="none"/>
        </w:rPr>
      </w:pPr>
    </w:p>
    <w:p w14:paraId="0C2738B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FC57AA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6D8E49C">
      <w:pPr>
        <w:spacing w:line="360" w:lineRule="auto"/>
        <w:ind w:firstLine="480" w:firstLineChars="200"/>
        <w:rPr>
          <w:rFonts w:cs="仿宋_GB2312" w:asciiTheme="minorEastAsia" w:hAnsiTheme="minorEastAsia" w:eastAsiaTheme="minorEastAsia"/>
          <w:color w:val="auto"/>
          <w:sz w:val="24"/>
          <w:highlight w:val="none"/>
        </w:rPr>
      </w:pPr>
    </w:p>
    <w:p w14:paraId="49D30FE5">
      <w:pPr>
        <w:spacing w:line="360" w:lineRule="auto"/>
        <w:ind w:firstLine="480" w:firstLineChars="200"/>
        <w:rPr>
          <w:rFonts w:cs="仿宋_GB2312" w:asciiTheme="minorEastAsia" w:hAnsiTheme="minorEastAsia" w:eastAsiaTheme="minorEastAsia"/>
          <w:color w:val="auto"/>
          <w:sz w:val="24"/>
          <w:highlight w:val="none"/>
        </w:rPr>
      </w:pPr>
    </w:p>
    <w:p w14:paraId="1E455A3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734EA2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19AC769">
      <w:pPr>
        <w:spacing w:line="360" w:lineRule="auto"/>
        <w:ind w:firstLine="480" w:firstLineChars="200"/>
        <w:rPr>
          <w:rFonts w:cs="仿宋_GB2312" w:asciiTheme="minorEastAsia" w:hAnsiTheme="minorEastAsia" w:eastAsiaTheme="minorEastAsia"/>
          <w:color w:val="auto"/>
          <w:sz w:val="24"/>
          <w:highlight w:val="none"/>
        </w:rPr>
      </w:pPr>
    </w:p>
    <w:p w14:paraId="4FBF7F5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D3ABED1">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1DAA49D">
      <w:pPr>
        <w:spacing w:line="360" w:lineRule="auto"/>
        <w:jc w:val="left"/>
        <w:rPr>
          <w:rFonts w:cs="仿宋_GB2312" w:asciiTheme="minorEastAsia" w:hAnsiTheme="minorEastAsia" w:eastAsiaTheme="minorEastAsia"/>
          <w:b/>
          <w:color w:val="auto"/>
          <w:sz w:val="24"/>
          <w:highlight w:val="none"/>
        </w:rPr>
      </w:pPr>
    </w:p>
    <w:p w14:paraId="69ECDF8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0C2E4D3">
      <w:pPr>
        <w:autoSpaceDE w:val="0"/>
        <w:autoSpaceDN w:val="0"/>
        <w:jc w:val="center"/>
        <w:rPr>
          <w:rFonts w:asciiTheme="minorEastAsia" w:hAnsiTheme="minorEastAsia" w:eastAsiaTheme="minorEastAsia"/>
          <w:b/>
          <w:bCs/>
          <w:color w:val="auto"/>
          <w:sz w:val="32"/>
          <w:szCs w:val="32"/>
          <w:highlight w:val="none"/>
        </w:rPr>
      </w:pPr>
    </w:p>
    <w:p w14:paraId="5A9E430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代理机构</w:t>
      </w:r>
      <w:r>
        <w:rPr>
          <w:rFonts w:hint="eastAsia" w:cs="仿宋_GB2312" w:asciiTheme="minorEastAsia" w:hAnsiTheme="minorEastAsia" w:eastAsiaTheme="minorEastAsia"/>
          <w:color w:val="auto"/>
          <w:sz w:val="24"/>
          <w:highlight w:val="none"/>
        </w:rPr>
        <w:t>）：</w:t>
      </w:r>
    </w:p>
    <w:p w14:paraId="797BD20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B78A93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B5446D6">
      <w:pPr>
        <w:spacing w:line="360" w:lineRule="auto"/>
        <w:ind w:firstLine="494"/>
        <w:rPr>
          <w:rFonts w:cs="宋体" w:asciiTheme="minorEastAsia" w:hAnsiTheme="minorEastAsia" w:eastAsiaTheme="minorEastAsia"/>
          <w:color w:val="auto"/>
          <w:sz w:val="24"/>
          <w:highlight w:val="none"/>
        </w:rPr>
      </w:pPr>
    </w:p>
    <w:p w14:paraId="68D81575">
      <w:pPr>
        <w:spacing w:line="360" w:lineRule="auto"/>
        <w:ind w:firstLine="494"/>
        <w:rPr>
          <w:rFonts w:cs="宋体" w:asciiTheme="minorEastAsia" w:hAnsiTheme="minorEastAsia" w:eastAsiaTheme="minorEastAsia"/>
          <w:color w:val="auto"/>
          <w:sz w:val="24"/>
          <w:highlight w:val="none"/>
        </w:rPr>
      </w:pPr>
    </w:p>
    <w:p w14:paraId="7D574244">
      <w:pPr>
        <w:spacing w:line="360" w:lineRule="auto"/>
        <w:ind w:firstLine="494"/>
        <w:rPr>
          <w:rFonts w:cs="宋体" w:asciiTheme="minorEastAsia" w:hAnsiTheme="minorEastAsia" w:eastAsiaTheme="minorEastAsia"/>
          <w:color w:val="auto"/>
          <w:sz w:val="24"/>
          <w:highlight w:val="none"/>
        </w:rPr>
      </w:pPr>
    </w:p>
    <w:p w14:paraId="533C6744">
      <w:pPr>
        <w:spacing w:line="360" w:lineRule="auto"/>
        <w:ind w:firstLine="494"/>
        <w:rPr>
          <w:rFonts w:cs="宋体" w:asciiTheme="minorEastAsia" w:hAnsiTheme="minorEastAsia" w:eastAsiaTheme="minorEastAsia"/>
          <w:color w:val="auto"/>
          <w:sz w:val="24"/>
          <w:highlight w:val="none"/>
        </w:rPr>
      </w:pPr>
    </w:p>
    <w:p w14:paraId="421807F9">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23137AD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69E7216">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E3B1A0A">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D024FCB">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74F9DEA">
      <w:pPr>
        <w:snapToGrid w:val="0"/>
        <w:spacing w:line="360" w:lineRule="auto"/>
        <w:jc w:val="center"/>
        <w:rPr>
          <w:rFonts w:cs="仿宋_GB2312" w:asciiTheme="minorEastAsia" w:hAnsiTheme="minorEastAsia" w:eastAsiaTheme="minorEastAsia"/>
          <w:b/>
          <w:color w:val="auto"/>
          <w:sz w:val="24"/>
          <w:highlight w:val="none"/>
        </w:rPr>
      </w:pPr>
    </w:p>
    <w:p w14:paraId="5EF5FC46">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6744345C">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E56885E">
      <w:pPr>
        <w:spacing w:line="360" w:lineRule="auto"/>
        <w:jc w:val="center"/>
        <w:rPr>
          <w:rFonts w:cs="宋体" w:asciiTheme="minorEastAsia" w:hAnsiTheme="minorEastAsia" w:eastAsiaTheme="minorEastAsia"/>
          <w:b/>
          <w:color w:val="auto"/>
          <w:sz w:val="32"/>
          <w:szCs w:val="32"/>
          <w:highlight w:val="none"/>
        </w:rPr>
      </w:pPr>
    </w:p>
    <w:p w14:paraId="613B29E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4BB2139">
      <w:pPr>
        <w:spacing w:line="360" w:lineRule="auto"/>
        <w:jc w:val="center"/>
        <w:rPr>
          <w:rFonts w:cs="宋体" w:asciiTheme="minorEastAsia" w:hAnsiTheme="minorEastAsia" w:eastAsiaTheme="minorEastAsia"/>
          <w:b/>
          <w:color w:val="auto"/>
          <w:sz w:val="32"/>
          <w:szCs w:val="32"/>
          <w:highlight w:val="none"/>
        </w:rPr>
      </w:pPr>
    </w:p>
    <w:p w14:paraId="15DA6046">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32D8F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BD8045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BBD9197">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66D582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257FF0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63D651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14EABF5">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52DDD75">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97B9D17">
      <w:pPr>
        <w:spacing w:line="360" w:lineRule="auto"/>
        <w:ind w:right="420"/>
        <w:rPr>
          <w:rFonts w:cs="宋体" w:asciiTheme="minorEastAsia" w:hAnsiTheme="minorEastAsia" w:eastAsiaTheme="minorEastAsia"/>
          <w:color w:val="auto"/>
          <w:sz w:val="24"/>
          <w:highlight w:val="none"/>
        </w:rPr>
      </w:pPr>
    </w:p>
    <w:p w14:paraId="78824F7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B044CFF">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F33F851">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979B41">
      <w:pPr>
        <w:spacing w:line="360" w:lineRule="auto"/>
        <w:rPr>
          <w:rFonts w:cs="仿宋_GB2312" w:asciiTheme="minorEastAsia" w:hAnsiTheme="minorEastAsia" w:eastAsiaTheme="minorEastAsia"/>
          <w:b/>
          <w:color w:val="auto"/>
          <w:sz w:val="24"/>
          <w:highlight w:val="none"/>
        </w:rPr>
      </w:pPr>
    </w:p>
    <w:p w14:paraId="07186B4A">
      <w:pPr>
        <w:spacing w:line="360" w:lineRule="auto"/>
        <w:ind w:firstLine="482" w:firstLineChars="200"/>
        <w:rPr>
          <w:rFonts w:cs="仿宋_GB2312" w:asciiTheme="minorEastAsia" w:hAnsiTheme="minorEastAsia" w:eastAsiaTheme="minorEastAsia"/>
          <w:b/>
          <w:color w:val="auto"/>
          <w:sz w:val="24"/>
          <w:highlight w:val="none"/>
        </w:rPr>
      </w:pPr>
    </w:p>
    <w:p w14:paraId="609DAF97">
      <w:pPr>
        <w:spacing w:line="360" w:lineRule="auto"/>
        <w:ind w:firstLine="482" w:firstLineChars="200"/>
        <w:rPr>
          <w:rFonts w:cs="仿宋_GB2312" w:asciiTheme="minorEastAsia" w:hAnsiTheme="minorEastAsia" w:eastAsiaTheme="minorEastAsia"/>
          <w:b/>
          <w:color w:val="auto"/>
          <w:sz w:val="24"/>
          <w:highlight w:val="none"/>
        </w:rPr>
      </w:pPr>
    </w:p>
    <w:sectPr>
      <w:footerReference r:id="rId10" w:type="first"/>
      <w:footerReference r:id="rId9" w:type="default"/>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09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A84B">
    <w:pPr>
      <w:pStyle w:val="41"/>
      <w:framePr w:wrap="around" w:vAnchor="text" w:hAnchor="margin" w:xAlign="right" w:y="1"/>
      <w:rPr>
        <w:rStyle w:val="65"/>
      </w:rPr>
    </w:pPr>
    <w:r>
      <w:fldChar w:fldCharType="begin"/>
    </w:r>
    <w:r>
      <w:rPr>
        <w:rStyle w:val="65"/>
      </w:rPr>
      <w:instrText xml:space="preserve">PAGE  </w:instrText>
    </w:r>
    <w:r>
      <w:fldChar w:fldCharType="end"/>
    </w:r>
  </w:p>
  <w:p w14:paraId="5866167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76C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161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1570">
    <w:pPr>
      <w:pStyle w:val="41"/>
      <w:framePr w:wrap="around" w:vAnchor="text" w:hAnchor="margin" w:xAlign="right" w:y="1"/>
      <w:rPr>
        <w:rStyle w:val="65"/>
      </w:rPr>
    </w:pPr>
    <w:r>
      <w:fldChar w:fldCharType="begin"/>
    </w:r>
    <w:r>
      <w:rPr>
        <w:rStyle w:val="65"/>
      </w:rPr>
      <w:instrText xml:space="preserve">PAGE  </w:instrText>
    </w:r>
    <w:r>
      <w:fldChar w:fldCharType="end"/>
    </w:r>
  </w:p>
  <w:p w14:paraId="60C11582">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93C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930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8F11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4" w:name="_Toc164085800"/>
    <w:bookmarkStart w:id="75" w:name="_Toc36110187"/>
    <w:bookmarkStart w:id="76" w:name="_Toc91899912"/>
    <w:bookmarkStart w:id="77" w:name="_Toc131845147"/>
    <w:r>
      <w:rPr>
        <w:rFonts w:hint="eastAsia" w:ascii="仿宋_GB2312" w:eastAsia="仿宋_GB2312"/>
        <w:kern w:val="0"/>
        <w:szCs w:val="21"/>
      </w:rPr>
      <w:t xml:space="preserve"> 页</w:t>
    </w:r>
    <w:bookmarkEnd w:id="74"/>
    <w:bookmarkEnd w:id="75"/>
    <w:bookmarkEnd w:id="76"/>
    <w:bookmarkEnd w:id="77"/>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61991"/>
    <w:multiLevelType w:val="singleLevel"/>
    <w:tmpl w:val="CDD61991"/>
    <w:lvl w:ilvl="0" w:tentative="0">
      <w:start w:val="3"/>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B33A731"/>
    <w:multiLevelType w:val="singleLevel"/>
    <w:tmpl w:val="3B33A731"/>
    <w:lvl w:ilvl="0" w:tentative="0">
      <w:start w:val="1"/>
      <w:numFmt w:val="bullet"/>
      <w:lvlText w:val=""/>
      <w:lvlJc w:val="left"/>
      <w:pPr>
        <w:ind w:left="42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5DE7EB8"/>
    <w:multiLevelType w:val="multilevel"/>
    <w:tmpl w:val="55DE7EB8"/>
    <w:lvl w:ilvl="0" w:tentative="0">
      <w:start w:val="1"/>
      <w:numFmt w:val="decimalEnclosedCircle"/>
      <w:lvlText w:val="%1"/>
      <w:lvlJc w:val="left"/>
      <w:pPr>
        <w:ind w:left="840" w:hanging="360"/>
      </w:pPr>
      <w:rPr>
        <w:rFonts w:ascii="仿宋" w:hAnsi="仿宋" w:eastAsia="仿宋"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E1B5ACA"/>
    <w:multiLevelType w:val="singleLevel"/>
    <w:tmpl w:val="5E1B5ACA"/>
    <w:lvl w:ilvl="0" w:tentative="0">
      <w:start w:val="3"/>
      <w:numFmt w:val="decimal"/>
      <w:suff w:val="nothing"/>
      <w:lvlText w:val="%1．"/>
      <w:lvlJc w:val="left"/>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6"/>
  </w:num>
  <w:num w:numId="8">
    <w:abstractNumId w:val="10"/>
  </w:num>
  <w:num w:numId="9">
    <w:abstractNumId w:val="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OThhNWFlOWYxMGU0YmI1YWNiMWNiZTM1OGZmZW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A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48C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E41F6"/>
    <w:rsid w:val="01752A35"/>
    <w:rsid w:val="02180773"/>
    <w:rsid w:val="02466E63"/>
    <w:rsid w:val="02DA0C0E"/>
    <w:rsid w:val="02E903CF"/>
    <w:rsid w:val="031A4AA5"/>
    <w:rsid w:val="039D2CA9"/>
    <w:rsid w:val="03DD35E4"/>
    <w:rsid w:val="03E432D5"/>
    <w:rsid w:val="045A2A09"/>
    <w:rsid w:val="04D073DD"/>
    <w:rsid w:val="04F50552"/>
    <w:rsid w:val="05C91C93"/>
    <w:rsid w:val="05E70762"/>
    <w:rsid w:val="065A6178"/>
    <w:rsid w:val="06CB49BC"/>
    <w:rsid w:val="06FA0DFD"/>
    <w:rsid w:val="074721FA"/>
    <w:rsid w:val="075562B7"/>
    <w:rsid w:val="07F6164B"/>
    <w:rsid w:val="087A1B7A"/>
    <w:rsid w:val="091F4B4B"/>
    <w:rsid w:val="0960001F"/>
    <w:rsid w:val="096B2097"/>
    <w:rsid w:val="0970184A"/>
    <w:rsid w:val="09F85FFA"/>
    <w:rsid w:val="0A073F5D"/>
    <w:rsid w:val="0A2E0407"/>
    <w:rsid w:val="0A5B7E63"/>
    <w:rsid w:val="0AAF76E2"/>
    <w:rsid w:val="0B325E2F"/>
    <w:rsid w:val="0C2F665E"/>
    <w:rsid w:val="0C87121B"/>
    <w:rsid w:val="0DAD4E1B"/>
    <w:rsid w:val="0DF702FE"/>
    <w:rsid w:val="0E1529C0"/>
    <w:rsid w:val="0E3F698B"/>
    <w:rsid w:val="0ED0346A"/>
    <w:rsid w:val="0F21508F"/>
    <w:rsid w:val="0F816ACD"/>
    <w:rsid w:val="0FB94501"/>
    <w:rsid w:val="10B047CF"/>
    <w:rsid w:val="10FC16EA"/>
    <w:rsid w:val="118963A1"/>
    <w:rsid w:val="127723A9"/>
    <w:rsid w:val="12E0010A"/>
    <w:rsid w:val="13072A44"/>
    <w:rsid w:val="1363315E"/>
    <w:rsid w:val="13776243"/>
    <w:rsid w:val="13777FE7"/>
    <w:rsid w:val="13837E0F"/>
    <w:rsid w:val="138C3907"/>
    <w:rsid w:val="13AE38F6"/>
    <w:rsid w:val="13EA0AB8"/>
    <w:rsid w:val="145044FA"/>
    <w:rsid w:val="161812A0"/>
    <w:rsid w:val="16907DDB"/>
    <w:rsid w:val="185479FD"/>
    <w:rsid w:val="186742B0"/>
    <w:rsid w:val="188B24AD"/>
    <w:rsid w:val="19156285"/>
    <w:rsid w:val="1A6745A4"/>
    <w:rsid w:val="1AC83A13"/>
    <w:rsid w:val="1ACD08AB"/>
    <w:rsid w:val="1AE77526"/>
    <w:rsid w:val="1B2A271F"/>
    <w:rsid w:val="1B890139"/>
    <w:rsid w:val="1BA75FED"/>
    <w:rsid w:val="1BAA4748"/>
    <w:rsid w:val="1C805614"/>
    <w:rsid w:val="1D0E0C02"/>
    <w:rsid w:val="1D266CE1"/>
    <w:rsid w:val="1D3963AF"/>
    <w:rsid w:val="1DBE53D1"/>
    <w:rsid w:val="1E2A56AB"/>
    <w:rsid w:val="1E714A66"/>
    <w:rsid w:val="1EFD5333"/>
    <w:rsid w:val="1F246713"/>
    <w:rsid w:val="1FE868A9"/>
    <w:rsid w:val="21022930"/>
    <w:rsid w:val="211E26D6"/>
    <w:rsid w:val="21283D08"/>
    <w:rsid w:val="21B92823"/>
    <w:rsid w:val="227C5D95"/>
    <w:rsid w:val="22A0641E"/>
    <w:rsid w:val="23BF2D5B"/>
    <w:rsid w:val="24210DAC"/>
    <w:rsid w:val="24D74561"/>
    <w:rsid w:val="259B4EEC"/>
    <w:rsid w:val="25B440B3"/>
    <w:rsid w:val="25C603D0"/>
    <w:rsid w:val="25EC3F94"/>
    <w:rsid w:val="25FB1DC5"/>
    <w:rsid w:val="281177B6"/>
    <w:rsid w:val="285919D0"/>
    <w:rsid w:val="28833F42"/>
    <w:rsid w:val="28836A4D"/>
    <w:rsid w:val="28C25AB4"/>
    <w:rsid w:val="2A2D1C68"/>
    <w:rsid w:val="2A894B48"/>
    <w:rsid w:val="2AA1365A"/>
    <w:rsid w:val="2ABC4842"/>
    <w:rsid w:val="2B5C5333"/>
    <w:rsid w:val="2C3F712F"/>
    <w:rsid w:val="2CC938F7"/>
    <w:rsid w:val="2D360531"/>
    <w:rsid w:val="2D40420E"/>
    <w:rsid w:val="2DD15014"/>
    <w:rsid w:val="2EE23DA1"/>
    <w:rsid w:val="2F5F0D9E"/>
    <w:rsid w:val="2FD25781"/>
    <w:rsid w:val="309641D1"/>
    <w:rsid w:val="30CF1791"/>
    <w:rsid w:val="30DF71EF"/>
    <w:rsid w:val="3157556A"/>
    <w:rsid w:val="318D26EA"/>
    <w:rsid w:val="319C6071"/>
    <w:rsid w:val="31AD0696"/>
    <w:rsid w:val="32040B2A"/>
    <w:rsid w:val="324649C2"/>
    <w:rsid w:val="32DB72BE"/>
    <w:rsid w:val="342E63AB"/>
    <w:rsid w:val="34515C51"/>
    <w:rsid w:val="345D260B"/>
    <w:rsid w:val="349D4154"/>
    <w:rsid w:val="350B4052"/>
    <w:rsid w:val="350F163D"/>
    <w:rsid w:val="3529097C"/>
    <w:rsid w:val="35683252"/>
    <w:rsid w:val="359F696E"/>
    <w:rsid w:val="362353CB"/>
    <w:rsid w:val="365302AE"/>
    <w:rsid w:val="373C4996"/>
    <w:rsid w:val="37D42E21"/>
    <w:rsid w:val="37F142D2"/>
    <w:rsid w:val="384635F3"/>
    <w:rsid w:val="394D2148"/>
    <w:rsid w:val="39A13F14"/>
    <w:rsid w:val="3A06303A"/>
    <w:rsid w:val="3A3D4074"/>
    <w:rsid w:val="3C5F759A"/>
    <w:rsid w:val="3C960A2E"/>
    <w:rsid w:val="3CA64660"/>
    <w:rsid w:val="3D295173"/>
    <w:rsid w:val="3D5C78D4"/>
    <w:rsid w:val="3E0C635B"/>
    <w:rsid w:val="3E962F68"/>
    <w:rsid w:val="3F450160"/>
    <w:rsid w:val="3FFF72A6"/>
    <w:rsid w:val="401A17FC"/>
    <w:rsid w:val="41923340"/>
    <w:rsid w:val="41966A1C"/>
    <w:rsid w:val="41C71300"/>
    <w:rsid w:val="4215030D"/>
    <w:rsid w:val="42E1381E"/>
    <w:rsid w:val="43275291"/>
    <w:rsid w:val="43302ED5"/>
    <w:rsid w:val="43FB717C"/>
    <w:rsid w:val="4428429C"/>
    <w:rsid w:val="451E447A"/>
    <w:rsid w:val="45345B76"/>
    <w:rsid w:val="45CD47A3"/>
    <w:rsid w:val="468974CC"/>
    <w:rsid w:val="47307808"/>
    <w:rsid w:val="47745A86"/>
    <w:rsid w:val="48621D83"/>
    <w:rsid w:val="486F747C"/>
    <w:rsid w:val="490746D8"/>
    <w:rsid w:val="496874A1"/>
    <w:rsid w:val="49734B0E"/>
    <w:rsid w:val="4A5B1180"/>
    <w:rsid w:val="4A8F2BD7"/>
    <w:rsid w:val="4ADB3D2E"/>
    <w:rsid w:val="4B0959A9"/>
    <w:rsid w:val="4B8216F2"/>
    <w:rsid w:val="4C71617F"/>
    <w:rsid w:val="4C8C2ED0"/>
    <w:rsid w:val="4CB93F3C"/>
    <w:rsid w:val="4D861CF6"/>
    <w:rsid w:val="4DA335EF"/>
    <w:rsid w:val="4E263853"/>
    <w:rsid w:val="4E854AB9"/>
    <w:rsid w:val="4F2204BE"/>
    <w:rsid w:val="4FC947A0"/>
    <w:rsid w:val="502E331C"/>
    <w:rsid w:val="509176A9"/>
    <w:rsid w:val="51A0432A"/>
    <w:rsid w:val="51A61C2D"/>
    <w:rsid w:val="51C43DED"/>
    <w:rsid w:val="526F0709"/>
    <w:rsid w:val="527140E5"/>
    <w:rsid w:val="5292508F"/>
    <w:rsid w:val="52A96B6F"/>
    <w:rsid w:val="53C41B44"/>
    <w:rsid w:val="545A44C2"/>
    <w:rsid w:val="549E05E7"/>
    <w:rsid w:val="54FA3F9A"/>
    <w:rsid w:val="550764A4"/>
    <w:rsid w:val="551926E0"/>
    <w:rsid w:val="55FF3307"/>
    <w:rsid w:val="561279B9"/>
    <w:rsid w:val="56515F3B"/>
    <w:rsid w:val="56B57E6A"/>
    <w:rsid w:val="572B71CA"/>
    <w:rsid w:val="57E958DA"/>
    <w:rsid w:val="58AE4F0C"/>
    <w:rsid w:val="58EB4D70"/>
    <w:rsid w:val="59A614A7"/>
    <w:rsid w:val="59B9557B"/>
    <w:rsid w:val="59C72271"/>
    <w:rsid w:val="5A0612BF"/>
    <w:rsid w:val="5A2A7C7B"/>
    <w:rsid w:val="5AF90B8C"/>
    <w:rsid w:val="5B3F1DB5"/>
    <w:rsid w:val="5BC02726"/>
    <w:rsid w:val="5C4B2618"/>
    <w:rsid w:val="5C797243"/>
    <w:rsid w:val="5C80234E"/>
    <w:rsid w:val="5CB472C3"/>
    <w:rsid w:val="5D010D8E"/>
    <w:rsid w:val="5D93776D"/>
    <w:rsid w:val="5DAA4B89"/>
    <w:rsid w:val="5DD12DA4"/>
    <w:rsid w:val="5E1D5979"/>
    <w:rsid w:val="5E261785"/>
    <w:rsid w:val="5EB365B4"/>
    <w:rsid w:val="5EC22BE0"/>
    <w:rsid w:val="5EF061D2"/>
    <w:rsid w:val="5F385194"/>
    <w:rsid w:val="5F5755E7"/>
    <w:rsid w:val="5F89122F"/>
    <w:rsid w:val="5FCC5339"/>
    <w:rsid w:val="5FE70807"/>
    <w:rsid w:val="5FF719BC"/>
    <w:rsid w:val="5FFA0CA0"/>
    <w:rsid w:val="5FFC2665"/>
    <w:rsid w:val="601B5B51"/>
    <w:rsid w:val="60E53485"/>
    <w:rsid w:val="61054A27"/>
    <w:rsid w:val="61123796"/>
    <w:rsid w:val="611D2366"/>
    <w:rsid w:val="619C7C5C"/>
    <w:rsid w:val="619D3808"/>
    <w:rsid w:val="623937F7"/>
    <w:rsid w:val="624E6BC1"/>
    <w:rsid w:val="627D3549"/>
    <w:rsid w:val="62885958"/>
    <w:rsid w:val="630E4AE8"/>
    <w:rsid w:val="63EB7336"/>
    <w:rsid w:val="641125B3"/>
    <w:rsid w:val="64CE2EAA"/>
    <w:rsid w:val="64CF0797"/>
    <w:rsid w:val="65AF4F23"/>
    <w:rsid w:val="662E75B1"/>
    <w:rsid w:val="66342C2E"/>
    <w:rsid w:val="663E784C"/>
    <w:rsid w:val="664F7993"/>
    <w:rsid w:val="66544FA9"/>
    <w:rsid w:val="667E5B82"/>
    <w:rsid w:val="672C1A82"/>
    <w:rsid w:val="67873066"/>
    <w:rsid w:val="678E063F"/>
    <w:rsid w:val="6798124F"/>
    <w:rsid w:val="67B1334A"/>
    <w:rsid w:val="68275A3B"/>
    <w:rsid w:val="685867EC"/>
    <w:rsid w:val="68776D2D"/>
    <w:rsid w:val="69072F3A"/>
    <w:rsid w:val="69327030"/>
    <w:rsid w:val="6A3944D6"/>
    <w:rsid w:val="6A7D43A3"/>
    <w:rsid w:val="6A9A4F55"/>
    <w:rsid w:val="6C3D712A"/>
    <w:rsid w:val="6CE30E35"/>
    <w:rsid w:val="6D785A21"/>
    <w:rsid w:val="6DD30D64"/>
    <w:rsid w:val="6E5673E4"/>
    <w:rsid w:val="6E8E12EF"/>
    <w:rsid w:val="6F32333E"/>
    <w:rsid w:val="6F654CF8"/>
    <w:rsid w:val="6FBB39A3"/>
    <w:rsid w:val="701D28B0"/>
    <w:rsid w:val="70383246"/>
    <w:rsid w:val="70E66126"/>
    <w:rsid w:val="71D43752"/>
    <w:rsid w:val="72F25FAE"/>
    <w:rsid w:val="7310309A"/>
    <w:rsid w:val="73722ADF"/>
    <w:rsid w:val="738B18DE"/>
    <w:rsid w:val="73DD6243"/>
    <w:rsid w:val="749C4185"/>
    <w:rsid w:val="74FD2335"/>
    <w:rsid w:val="75617ED1"/>
    <w:rsid w:val="75733D90"/>
    <w:rsid w:val="75DA2C18"/>
    <w:rsid w:val="76780840"/>
    <w:rsid w:val="76E43779"/>
    <w:rsid w:val="775319EF"/>
    <w:rsid w:val="781435EB"/>
    <w:rsid w:val="783055D3"/>
    <w:rsid w:val="78801C2E"/>
    <w:rsid w:val="790F1C77"/>
    <w:rsid w:val="79106E61"/>
    <w:rsid w:val="79E70B47"/>
    <w:rsid w:val="7A1F0BD3"/>
    <w:rsid w:val="7A636218"/>
    <w:rsid w:val="7A67303B"/>
    <w:rsid w:val="7AAB1D04"/>
    <w:rsid w:val="7ABA4368"/>
    <w:rsid w:val="7B257FFD"/>
    <w:rsid w:val="7C2B1DA5"/>
    <w:rsid w:val="7CCB0061"/>
    <w:rsid w:val="7DA4016C"/>
    <w:rsid w:val="7DB54128"/>
    <w:rsid w:val="7DD31805"/>
    <w:rsid w:val="7DF4317E"/>
    <w:rsid w:val="7E2E6078"/>
    <w:rsid w:val="7E4109A3"/>
    <w:rsid w:val="7E64308B"/>
    <w:rsid w:val="7E6873EC"/>
    <w:rsid w:val="7E7229BB"/>
    <w:rsid w:val="7F0A3FFF"/>
    <w:rsid w:val="7F9E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02"/>
    <w:qFormat/>
    <w:uiPriority w:val="0"/>
    <w:pPr>
      <w:adjustRightInd/>
      <w:spacing w:after="120" w:line="240" w:lineRule="auto"/>
      <w:ind w:left="420" w:leftChars="200" w:firstLine="210"/>
    </w:pPr>
    <w:rPr>
      <w:sz w:val="21"/>
    </w:rPr>
  </w:style>
  <w:style w:type="paragraph" w:styleId="3">
    <w:name w:val="Body Text Indent"/>
    <w:basedOn w:val="1"/>
    <w:next w:val="1"/>
    <w:link w:val="475"/>
    <w:qFormat/>
    <w:uiPriority w:val="0"/>
    <w:pPr>
      <w:spacing w:line="480" w:lineRule="exact"/>
      <w:ind w:firstLine="480" w:firstLineChars="200"/>
    </w:pPr>
    <w:rPr>
      <w:rFonts w:ascii="宋体" w:hAnsi="宋体"/>
      <w:sz w:val="24"/>
    </w:rPr>
  </w:style>
  <w:style w:type="paragraph" w:customStyle="1" w:styleId="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Body Text"/>
    <w:basedOn w:val="1"/>
    <w:next w:val="26"/>
    <w:link w:val="512"/>
    <w:qFormat/>
    <w:uiPriority w:val="0"/>
    <w:pPr>
      <w:autoSpaceDE w:val="0"/>
      <w:autoSpaceDN w:val="0"/>
      <w:spacing w:line="360" w:lineRule="auto"/>
    </w:pPr>
    <w:rPr>
      <w:rFonts w:ascii="宋体"/>
      <w:sz w:val="24"/>
      <w:szCs w:val="21"/>
      <w:lang w:val="zh-CN"/>
    </w:rPr>
  </w:style>
  <w:style w:type="paragraph" w:styleId="26">
    <w:name w:val="Body Text First Indent"/>
    <w:basedOn w:val="25"/>
    <w:next w:val="27"/>
    <w:link w:val="545"/>
    <w:qFormat/>
    <w:uiPriority w:val="0"/>
    <w:pPr>
      <w:ind w:firstLine="420"/>
    </w:pPr>
    <w:rPr>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89"/>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8"/>
    <w:qFormat/>
    <w:uiPriority w:val="0"/>
    <w:pPr>
      <w:ind w:left="100" w:leftChars="2500"/>
    </w:pPr>
    <w:rPr>
      <w:rFonts w:ascii="宋体"/>
      <w:sz w:val="24"/>
      <w:szCs w:val="21"/>
      <w:lang w:val="zh-CN"/>
    </w:rPr>
  </w:style>
  <w:style w:type="paragraph" w:styleId="39">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0">
    <w:name w:val="Balloon Text"/>
    <w:basedOn w:val="1"/>
    <w:link w:val="615"/>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semiHidden/>
    <w:qFormat/>
    <w:uiPriority w:val="0"/>
    <w:rPr>
      <w:b/>
      <w:bCs/>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签发人"/>
    <w:basedOn w:val="1"/>
    <w:qFormat/>
    <w:uiPriority w:val="0"/>
    <w:rPr>
      <w:rFonts w:eastAsia="楷体"/>
      <w:sz w:val="32"/>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next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8"/>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8"/>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6"/>
    <w:qFormat/>
    <w:uiPriority w:val="0"/>
    <w:pPr>
      <w:snapToGrid w:val="0"/>
      <w:spacing w:line="360" w:lineRule="auto"/>
    </w:pPr>
    <w:rPr>
      <w:rFonts w:ascii="宋体"/>
      <w:b/>
      <w:sz w:val="24"/>
      <w:szCs w:val="20"/>
    </w:rPr>
  </w:style>
  <w:style w:type="paragraph" w:customStyle="1" w:styleId="2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7"/>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7"/>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8"/>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1"/>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9"/>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9"/>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5"/>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5"/>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3"/>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2"/>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1"/>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1"/>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8"/>
    <w:qFormat/>
    <w:uiPriority w:val="0"/>
    <w:rPr>
      <w:rFonts w:ascii="Arial" w:hAnsi="Arial" w:eastAsia="隶书"/>
      <w:b/>
      <w:bCs/>
      <w:kern w:val="28"/>
      <w:sz w:val="44"/>
      <w:szCs w:val="32"/>
      <w:lang w:val="en-US" w:eastAsia="zh-CN" w:bidi="ar-SA"/>
    </w:rPr>
  </w:style>
  <w:style w:type="character" w:customStyle="1" w:styleId="48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2"/>
    <w:qFormat/>
    <w:uiPriority w:val="0"/>
    <w:rPr>
      <w:rFonts w:ascii="宋体" w:hAnsi="宋体"/>
      <w:kern w:val="2"/>
      <w:sz w:val="21"/>
      <w:szCs w:val="24"/>
    </w:rPr>
  </w:style>
  <w:style w:type="character" w:customStyle="1" w:styleId="503">
    <w:name w:val="正文文本缩进 2 Char"/>
    <w:link w:val="39"/>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3"/>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7"/>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6"/>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5"/>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2"/>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9"/>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3"/>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8"/>
    <w:qFormat/>
    <w:uiPriority w:val="0"/>
    <w:rPr>
      <w:rFonts w:ascii="宋体"/>
      <w:kern w:val="2"/>
      <w:sz w:val="24"/>
      <w:szCs w:val="21"/>
      <w:lang w:val="zh-CN"/>
    </w:rPr>
  </w:style>
  <w:style w:type="character" w:customStyle="1" w:styleId="599">
    <w:name w:val="标题 4 Char"/>
    <w:link w:val="8"/>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0"/>
    <w:qFormat/>
    <w:uiPriority w:val="0"/>
    <w:rPr>
      <w:rFonts w:ascii="Arial" w:hAnsi="Arial" w:eastAsia="黑体"/>
      <w:b/>
      <w:bCs/>
      <w:kern w:val="2"/>
      <w:sz w:val="24"/>
      <w:szCs w:val="24"/>
    </w:rPr>
  </w:style>
  <w:style w:type="character" w:customStyle="1" w:styleId="613">
    <w:name w:val="正文缩进 Char2"/>
    <w:link w:val="18"/>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40"/>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Normal_16"/>
    <w:qFormat/>
    <w:uiPriority w:val="0"/>
    <w:rPr>
      <w:rFonts w:ascii="Times New Roman" w:hAnsi="Times New Roman" w:eastAsia="Times New Roman" w:cs="Times New Roman"/>
      <w:sz w:val="24"/>
      <w:szCs w:val="24"/>
      <w:lang w:bidi="ar-SA"/>
    </w:rPr>
  </w:style>
  <w:style w:type="paragraph" w:customStyle="1" w:styleId="633">
    <w:name w:val="正文_15"/>
    <w:qFormat/>
    <w:uiPriority w:val="0"/>
    <w:rPr>
      <w:rFonts w:ascii="Times New Roman" w:hAnsi="Times New Roman" w:eastAsia="宋体" w:cs="Times New Roman"/>
      <w:sz w:val="24"/>
      <w:szCs w:val="24"/>
      <w:lang w:val="en-US" w:eastAsia="zh-CN" w:bidi="ar-SA"/>
    </w:rPr>
  </w:style>
  <w:style w:type="paragraph" w:customStyle="1" w:styleId="634">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character" w:customStyle="1" w:styleId="635">
    <w:name w:val="font51"/>
    <w:basedOn w:val="63"/>
    <w:qFormat/>
    <w:uiPriority w:val="0"/>
    <w:rPr>
      <w:rFonts w:hint="eastAsia" w:ascii="宋体" w:hAnsi="宋体" w:eastAsia="宋体" w:cs="宋体"/>
      <w:color w:val="000000"/>
      <w:sz w:val="20"/>
      <w:szCs w:val="20"/>
      <w:u w:val="none"/>
    </w:rPr>
  </w:style>
  <w:style w:type="table" w:customStyle="1" w:styleId="63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45373</Words>
  <Characters>49644</Characters>
  <Lines>379</Lines>
  <Paragraphs>106</Paragraphs>
  <TotalTime>2</TotalTime>
  <ScaleCrop>false</ScaleCrop>
  <LinksUpToDate>false</LinksUpToDate>
  <CharactersWithSpaces>54578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雀鹰</cp:lastModifiedBy>
  <cp:lastPrinted>2021-10-22T18:37:00Z</cp:lastPrinted>
  <dcterms:modified xsi:type="dcterms:W3CDTF">2025-06-05T01:20:48Z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763A5B8F876B452381B71B303DEF0D6D_13</vt:lpwstr>
  </property>
  <property fmtid="{D5CDD505-2E9C-101B-9397-08002B2CF9AE}" pid="4" name="KSOTemplateDocerSaveRecord">
    <vt:lpwstr>eyJoZGlkIjoiOGYxMTJmYjJjOGFhMWY2Yjc3ZjEyNzAzYjdkYTI5ZmMiLCJ1c2VySWQiOiI1NTUxMDc0In0=</vt:lpwstr>
  </property>
</Properties>
</file>