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F8147">
      <w:pPr>
        <w:jc w:val="center"/>
        <w:rPr>
          <w:rFonts w:ascii="宋体" w:hAnsi="宋体" w:cs="宋体"/>
          <w:b/>
          <w:bCs/>
          <w:color w:val="auto"/>
          <w:spacing w:val="26"/>
          <w:sz w:val="84"/>
          <w:szCs w:val="84"/>
          <w:highlight w:val="none"/>
        </w:rPr>
      </w:pPr>
      <w:r>
        <w:rPr>
          <w:rFonts w:hint="eastAsia" w:ascii="宋体" w:hAnsi="宋体" w:cs="宋体"/>
          <w:b/>
          <w:bCs/>
          <w:color w:val="auto"/>
          <w:spacing w:val="26"/>
          <w:sz w:val="84"/>
          <w:szCs w:val="84"/>
          <w:highlight w:val="none"/>
        </w:rPr>
        <w:t>苍南县消防救援大队</w:t>
      </w:r>
    </w:p>
    <w:p w14:paraId="63C14169">
      <w:pPr>
        <w:jc w:val="center"/>
        <w:rPr>
          <w:rFonts w:ascii="宋体" w:hAnsi="宋体" w:cs="宋体"/>
          <w:b/>
          <w:bCs/>
          <w:color w:val="auto"/>
          <w:spacing w:val="26"/>
          <w:sz w:val="52"/>
          <w:highlight w:val="none"/>
        </w:rPr>
      </w:pPr>
    </w:p>
    <w:p w14:paraId="0CA44FB5">
      <w:pPr>
        <w:jc w:val="center"/>
        <w:rPr>
          <w:rFonts w:ascii="宋体" w:hAnsi="宋体" w:cs="宋体"/>
          <w:b/>
          <w:bCs/>
          <w:color w:val="auto"/>
          <w:spacing w:val="26"/>
          <w:sz w:val="52"/>
          <w:highlight w:val="none"/>
        </w:rPr>
      </w:pPr>
    </w:p>
    <w:p w14:paraId="78DB5988">
      <w:pPr>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采购文件</w:t>
      </w:r>
    </w:p>
    <w:p w14:paraId="2BB604B4">
      <w:pPr>
        <w:spacing w:line="600" w:lineRule="exact"/>
        <w:jc w:val="center"/>
        <w:rPr>
          <w:rFonts w:ascii="宋体" w:hAnsi="宋体" w:cs="宋体"/>
          <w:b/>
          <w:bCs/>
          <w:color w:val="auto"/>
          <w:spacing w:val="140"/>
          <w:sz w:val="84"/>
          <w:szCs w:val="84"/>
          <w:highlight w:val="none"/>
        </w:rPr>
      </w:pPr>
    </w:p>
    <w:p w14:paraId="6B0CDBB8">
      <w:pPr>
        <w:spacing w:line="400" w:lineRule="exact"/>
        <w:jc w:val="center"/>
        <w:rPr>
          <w:rFonts w:ascii="宋体" w:hAnsi="宋体" w:cs="宋体"/>
          <w:b/>
          <w:bCs/>
          <w:color w:val="auto"/>
          <w:sz w:val="32"/>
          <w:szCs w:val="32"/>
          <w:highlight w:val="none"/>
        </w:rPr>
      </w:pPr>
    </w:p>
    <w:p w14:paraId="5B10AEF7">
      <w:pPr>
        <w:pStyle w:val="23"/>
        <w:rPr>
          <w:rFonts w:ascii="宋体" w:hAnsi="宋体" w:cs="宋体"/>
          <w:color w:val="auto"/>
          <w:highlight w:val="none"/>
        </w:rPr>
      </w:pPr>
    </w:p>
    <w:p w14:paraId="3189EDCB">
      <w:pPr>
        <w:jc w:val="center"/>
        <w:rPr>
          <w:rFonts w:ascii="宋体" w:hAnsi="宋体" w:cs="宋体"/>
          <w:color w:val="auto"/>
          <w:spacing w:val="40"/>
          <w:sz w:val="30"/>
          <w:szCs w:val="30"/>
          <w:highlight w:val="none"/>
        </w:rPr>
      </w:pPr>
    </w:p>
    <w:p w14:paraId="6E8C6E75">
      <w:pPr>
        <w:jc w:val="center"/>
        <w:rPr>
          <w:rFonts w:ascii="宋体" w:hAnsi="宋体" w:cs="宋体"/>
          <w:color w:val="auto"/>
          <w:spacing w:val="40"/>
          <w:sz w:val="30"/>
          <w:szCs w:val="30"/>
          <w:highlight w:val="none"/>
        </w:rPr>
      </w:pPr>
    </w:p>
    <w:p w14:paraId="0FECE810">
      <w:pPr>
        <w:jc w:val="center"/>
        <w:rPr>
          <w:rFonts w:ascii="宋体" w:hAnsi="宋体" w:cs="宋体"/>
          <w:color w:val="auto"/>
          <w:spacing w:val="40"/>
          <w:sz w:val="30"/>
          <w:szCs w:val="30"/>
          <w:highlight w:val="none"/>
        </w:rPr>
      </w:pPr>
    </w:p>
    <w:tbl>
      <w:tblPr>
        <w:tblStyle w:val="58"/>
        <w:tblW w:w="0" w:type="auto"/>
        <w:jc w:val="center"/>
        <w:tblLayout w:type="fixed"/>
        <w:tblCellMar>
          <w:top w:w="0" w:type="dxa"/>
          <w:left w:w="108" w:type="dxa"/>
          <w:bottom w:w="0" w:type="dxa"/>
          <w:right w:w="108" w:type="dxa"/>
        </w:tblCellMar>
      </w:tblPr>
      <w:tblGrid>
        <w:gridCol w:w="1483"/>
        <w:gridCol w:w="3976"/>
      </w:tblGrid>
      <w:tr w14:paraId="149AFE13">
        <w:tblPrEx>
          <w:tblCellMar>
            <w:top w:w="0" w:type="dxa"/>
            <w:left w:w="108" w:type="dxa"/>
            <w:bottom w:w="0" w:type="dxa"/>
            <w:right w:w="108" w:type="dxa"/>
          </w:tblCellMar>
        </w:tblPrEx>
        <w:trPr>
          <w:trHeight w:val="707" w:hRule="atLeast"/>
          <w:jc w:val="center"/>
        </w:trPr>
        <w:tc>
          <w:tcPr>
            <w:tcW w:w="1483" w:type="dxa"/>
            <w:vAlign w:val="center"/>
          </w:tcPr>
          <w:p w14:paraId="5F79D4DE">
            <w:pPr>
              <w:rPr>
                <w:rFonts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976" w:type="dxa"/>
            <w:vAlign w:val="center"/>
          </w:tcPr>
          <w:p w14:paraId="396C828F">
            <w:pPr>
              <w:rPr>
                <w:rFonts w:ascii="宋体" w:hAnsi="宋体" w:cs="宋体"/>
                <w:b/>
                <w:color w:val="auto"/>
                <w:sz w:val="28"/>
                <w:szCs w:val="28"/>
                <w:highlight w:val="none"/>
              </w:rPr>
            </w:pPr>
            <w:r>
              <w:rPr>
                <w:rFonts w:hint="eastAsia" w:ascii="宋体" w:hAnsi="宋体" w:cs="宋体"/>
                <w:b/>
                <w:color w:val="auto"/>
                <w:sz w:val="28"/>
                <w:szCs w:val="28"/>
                <w:highlight w:val="none"/>
              </w:rPr>
              <w:t>ZXZB-F20250312-XFPS</w:t>
            </w:r>
          </w:p>
        </w:tc>
      </w:tr>
      <w:tr w14:paraId="548B743E">
        <w:tblPrEx>
          <w:tblCellMar>
            <w:top w:w="0" w:type="dxa"/>
            <w:left w:w="108" w:type="dxa"/>
            <w:bottom w:w="0" w:type="dxa"/>
            <w:right w:w="108" w:type="dxa"/>
          </w:tblCellMar>
        </w:tblPrEx>
        <w:trPr>
          <w:trHeight w:val="942" w:hRule="atLeast"/>
          <w:jc w:val="center"/>
        </w:trPr>
        <w:tc>
          <w:tcPr>
            <w:tcW w:w="1483" w:type="dxa"/>
            <w:vAlign w:val="center"/>
          </w:tcPr>
          <w:p w14:paraId="692D9D49">
            <w:pPr>
              <w:rPr>
                <w:rFonts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976" w:type="dxa"/>
            <w:vAlign w:val="center"/>
          </w:tcPr>
          <w:p w14:paraId="5276A909">
            <w:pPr>
              <w:rPr>
                <w:rFonts w:ascii="宋体" w:hAnsi="宋体" w:cs="宋体"/>
                <w:b/>
                <w:color w:val="auto"/>
                <w:sz w:val="28"/>
                <w:szCs w:val="28"/>
                <w:highlight w:val="none"/>
              </w:rPr>
            </w:pPr>
            <w:r>
              <w:rPr>
                <w:rFonts w:hint="eastAsia" w:ascii="宋体" w:hAnsi="宋体" w:cs="宋体"/>
                <w:b/>
                <w:color w:val="auto"/>
                <w:sz w:val="28"/>
                <w:szCs w:val="28"/>
                <w:highlight w:val="none"/>
              </w:rPr>
              <w:t>苍南（龙港）消防救援大队伙食集中配送服务采购</w:t>
            </w:r>
          </w:p>
        </w:tc>
      </w:tr>
      <w:tr w14:paraId="240D3FFC">
        <w:tblPrEx>
          <w:tblCellMar>
            <w:top w:w="0" w:type="dxa"/>
            <w:left w:w="108" w:type="dxa"/>
            <w:bottom w:w="0" w:type="dxa"/>
            <w:right w:w="108" w:type="dxa"/>
          </w:tblCellMar>
        </w:tblPrEx>
        <w:trPr>
          <w:trHeight w:val="707" w:hRule="atLeast"/>
          <w:jc w:val="center"/>
        </w:trPr>
        <w:tc>
          <w:tcPr>
            <w:tcW w:w="1483" w:type="dxa"/>
            <w:vAlign w:val="center"/>
          </w:tcPr>
          <w:p w14:paraId="4700CEFA">
            <w:pPr>
              <w:rPr>
                <w:rFonts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976" w:type="dxa"/>
            <w:vAlign w:val="center"/>
          </w:tcPr>
          <w:p w14:paraId="2E83F217">
            <w:pPr>
              <w:rPr>
                <w:rFonts w:ascii="宋体" w:hAnsi="宋体" w:cs="宋体"/>
                <w:b/>
                <w:color w:val="auto"/>
                <w:sz w:val="28"/>
                <w:szCs w:val="28"/>
                <w:highlight w:val="none"/>
              </w:rPr>
            </w:pPr>
            <w:r>
              <w:rPr>
                <w:rFonts w:hint="eastAsia" w:ascii="宋体" w:hAnsi="宋体" w:cs="宋体"/>
                <w:b/>
                <w:color w:val="auto"/>
                <w:sz w:val="28"/>
                <w:szCs w:val="28"/>
                <w:highlight w:val="none"/>
              </w:rPr>
              <w:t>公开招标</w:t>
            </w:r>
          </w:p>
        </w:tc>
      </w:tr>
    </w:tbl>
    <w:p w14:paraId="79C6DD8B">
      <w:pPr>
        <w:spacing w:line="600" w:lineRule="exact"/>
        <w:jc w:val="center"/>
        <w:rPr>
          <w:rFonts w:ascii="宋体" w:hAnsi="宋体" w:cs="宋体"/>
          <w:b/>
          <w:color w:val="auto"/>
          <w:sz w:val="30"/>
          <w:szCs w:val="30"/>
          <w:highlight w:val="none"/>
        </w:rPr>
      </w:pPr>
    </w:p>
    <w:p w14:paraId="5FBD486F">
      <w:pPr>
        <w:spacing w:line="600" w:lineRule="exact"/>
        <w:jc w:val="center"/>
        <w:rPr>
          <w:rFonts w:ascii="宋体" w:hAnsi="宋体" w:cs="宋体"/>
          <w:b/>
          <w:color w:val="auto"/>
          <w:sz w:val="30"/>
          <w:szCs w:val="30"/>
          <w:highlight w:val="none"/>
        </w:rPr>
      </w:pPr>
    </w:p>
    <w:p w14:paraId="027AA987">
      <w:pPr>
        <w:spacing w:line="600" w:lineRule="exact"/>
        <w:jc w:val="center"/>
        <w:rPr>
          <w:rFonts w:ascii="宋体" w:hAnsi="宋体" w:cs="宋体"/>
          <w:b/>
          <w:color w:val="auto"/>
          <w:sz w:val="30"/>
          <w:szCs w:val="30"/>
          <w:highlight w:val="none"/>
        </w:rPr>
      </w:pPr>
    </w:p>
    <w:p w14:paraId="3A657690">
      <w:pPr>
        <w:spacing w:line="600" w:lineRule="exact"/>
        <w:jc w:val="center"/>
        <w:rPr>
          <w:rFonts w:ascii="宋体" w:hAnsi="宋体" w:cs="宋体"/>
          <w:b/>
          <w:color w:val="auto"/>
          <w:sz w:val="30"/>
          <w:szCs w:val="30"/>
          <w:highlight w:val="none"/>
        </w:rPr>
      </w:pPr>
    </w:p>
    <w:p w14:paraId="41088E1B">
      <w:pPr>
        <w:rPr>
          <w:color w:val="auto"/>
          <w:highlight w:val="none"/>
        </w:rPr>
      </w:pPr>
    </w:p>
    <w:p w14:paraId="6B14442E">
      <w:pPr>
        <w:pStyle w:val="16"/>
        <w:rPr>
          <w:color w:val="auto"/>
          <w:highlight w:val="none"/>
        </w:rPr>
      </w:pPr>
    </w:p>
    <w:tbl>
      <w:tblPr>
        <w:tblStyle w:val="58"/>
        <w:tblW w:w="0" w:type="auto"/>
        <w:jc w:val="center"/>
        <w:tblLayout w:type="fixed"/>
        <w:tblCellMar>
          <w:top w:w="0" w:type="dxa"/>
          <w:left w:w="108" w:type="dxa"/>
          <w:bottom w:w="0" w:type="dxa"/>
          <w:right w:w="108" w:type="dxa"/>
        </w:tblCellMar>
      </w:tblPr>
      <w:tblGrid>
        <w:gridCol w:w="1342"/>
        <w:gridCol w:w="236"/>
        <w:gridCol w:w="4542"/>
      </w:tblGrid>
      <w:tr w14:paraId="4E39280D">
        <w:tblPrEx>
          <w:tblCellMar>
            <w:top w:w="0" w:type="dxa"/>
            <w:left w:w="108" w:type="dxa"/>
            <w:bottom w:w="0" w:type="dxa"/>
            <w:right w:w="108" w:type="dxa"/>
          </w:tblCellMar>
        </w:tblPrEx>
        <w:trPr>
          <w:trHeight w:val="707" w:hRule="atLeast"/>
          <w:jc w:val="center"/>
        </w:trPr>
        <w:tc>
          <w:tcPr>
            <w:tcW w:w="1342" w:type="dxa"/>
            <w:vAlign w:val="center"/>
          </w:tcPr>
          <w:p w14:paraId="03783B53">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采购人</w:t>
            </w:r>
          </w:p>
        </w:tc>
        <w:tc>
          <w:tcPr>
            <w:tcW w:w="236" w:type="dxa"/>
            <w:vAlign w:val="center"/>
          </w:tcPr>
          <w:p w14:paraId="334305FE">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vAlign w:val="center"/>
          </w:tcPr>
          <w:p w14:paraId="3AEFD42B">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苍南县消防救援大队</w:t>
            </w:r>
          </w:p>
        </w:tc>
      </w:tr>
      <w:tr w14:paraId="67C599A3">
        <w:tblPrEx>
          <w:tblCellMar>
            <w:top w:w="0" w:type="dxa"/>
            <w:left w:w="108" w:type="dxa"/>
            <w:bottom w:w="0" w:type="dxa"/>
            <w:right w:w="108" w:type="dxa"/>
          </w:tblCellMar>
        </w:tblPrEx>
        <w:trPr>
          <w:trHeight w:val="707" w:hRule="atLeast"/>
          <w:jc w:val="center"/>
        </w:trPr>
        <w:tc>
          <w:tcPr>
            <w:tcW w:w="1342" w:type="dxa"/>
            <w:vAlign w:val="center"/>
          </w:tcPr>
          <w:p w14:paraId="5DAA2459">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代理机构</w:t>
            </w:r>
          </w:p>
        </w:tc>
        <w:tc>
          <w:tcPr>
            <w:tcW w:w="236" w:type="dxa"/>
            <w:vAlign w:val="center"/>
          </w:tcPr>
          <w:p w14:paraId="67D041DB">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vAlign w:val="center"/>
          </w:tcPr>
          <w:p w14:paraId="034ACE79">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温州市智信招标代理有限公司</w:t>
            </w:r>
          </w:p>
        </w:tc>
      </w:tr>
    </w:tbl>
    <w:p w14:paraId="51AE6547">
      <w:pPr>
        <w:spacing w:line="600" w:lineRule="exact"/>
        <w:jc w:val="center"/>
        <w:rPr>
          <w:rFonts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二○二五年</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月</w:t>
      </w:r>
    </w:p>
    <w:p w14:paraId="273DFC1C">
      <w:pPr>
        <w:pStyle w:val="41"/>
        <w:tabs>
          <w:tab w:val="right" w:leader="dot" w:pos="9638"/>
        </w:tabs>
        <w:ind w:left="1030" w:hanging="103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5EE1489B">
      <w:pPr>
        <w:rPr>
          <w:rFonts w:ascii="宋体" w:hAnsi="宋体" w:cs="宋体"/>
          <w:color w:val="auto"/>
          <w:highlight w:val="none"/>
        </w:rPr>
      </w:pPr>
    </w:p>
    <w:p w14:paraId="1C98EC66">
      <w:pPr>
        <w:pStyle w:val="41"/>
        <w:tabs>
          <w:tab w:val="right" w:leader="dot" w:pos="9628"/>
        </w:tabs>
        <w:spacing w:line="480" w:lineRule="auto"/>
        <w:ind w:left="824" w:hanging="824"/>
        <w:rPr>
          <w:rFonts w:ascii="新宋体" w:hAnsi="新宋体" w:eastAsia="新宋体" w:cs="Times New Roman"/>
          <w:color w:val="auto"/>
          <w:sz w:val="24"/>
          <w:highlight w:val="none"/>
        </w:rPr>
      </w:pPr>
      <w:r>
        <w:rPr>
          <w:rFonts w:hint="eastAsia" w:ascii="新宋体" w:hAnsi="新宋体" w:eastAsia="新宋体" w:cs="宋体"/>
          <w:b/>
          <w:bCs/>
          <w:color w:val="auto"/>
          <w:sz w:val="24"/>
          <w:highlight w:val="none"/>
        </w:rPr>
        <w:fldChar w:fldCharType="begin"/>
      </w:r>
      <w:r>
        <w:rPr>
          <w:rFonts w:hint="eastAsia" w:ascii="新宋体" w:hAnsi="新宋体" w:eastAsia="新宋体" w:cs="宋体"/>
          <w:b/>
          <w:bCs/>
          <w:color w:val="auto"/>
          <w:sz w:val="24"/>
          <w:highlight w:val="none"/>
        </w:rPr>
        <w:instrText xml:space="preserve">TOC \o "1-3" \h \u </w:instrText>
      </w:r>
      <w:r>
        <w:rPr>
          <w:rFonts w:hint="eastAsia" w:ascii="新宋体" w:hAnsi="新宋体" w:eastAsia="新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"_Toc58406681" </w:instrText>
      </w:r>
      <w:r>
        <w:rPr>
          <w:color w:val="auto"/>
          <w:highlight w:val="none"/>
        </w:rPr>
        <w:fldChar w:fldCharType="separate"/>
      </w:r>
      <w:r>
        <w:rPr>
          <w:rStyle w:val="70"/>
          <w:rFonts w:hint="eastAsia" w:ascii="新宋体" w:hAnsi="新宋体" w:eastAsia="新宋体" w:cs="宋体"/>
          <w:color w:val="auto"/>
          <w:sz w:val="24"/>
          <w:szCs w:val="24"/>
          <w:highlight w:val="none"/>
        </w:rPr>
        <w:t>第一部分</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投标人须知</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_Toc58406681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6624B538">
      <w:pPr>
        <w:pStyle w:val="41"/>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"_Toc58406682" </w:instrText>
      </w:r>
      <w:r>
        <w:rPr>
          <w:color w:val="auto"/>
          <w:highlight w:val="none"/>
        </w:rPr>
        <w:fldChar w:fldCharType="separate"/>
      </w:r>
      <w:r>
        <w:rPr>
          <w:rStyle w:val="70"/>
          <w:rFonts w:hint="eastAsia" w:ascii="新宋体" w:hAnsi="新宋体" w:eastAsia="新宋体" w:cs="宋体"/>
          <w:color w:val="auto"/>
          <w:sz w:val="24"/>
          <w:szCs w:val="24"/>
          <w:highlight w:val="none"/>
        </w:rPr>
        <w:t>投标人须知前附表</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_Toc58406682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74C1070F">
      <w:pPr>
        <w:pStyle w:val="49"/>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"_Toc58406683" </w:instrText>
      </w:r>
      <w:r>
        <w:rPr>
          <w:color w:val="auto"/>
          <w:highlight w:val="none"/>
        </w:rPr>
        <w:fldChar w:fldCharType="separate"/>
      </w:r>
      <w:r>
        <w:rPr>
          <w:rStyle w:val="70"/>
          <w:rFonts w:hint="eastAsia" w:ascii="新宋体" w:hAnsi="新宋体" w:eastAsia="新宋体" w:cs="宋体"/>
          <w:color w:val="auto"/>
          <w:sz w:val="24"/>
          <w:szCs w:val="24"/>
          <w:highlight w:val="none"/>
        </w:rPr>
        <w:t>一、</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说明</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_Toc58406683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6</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4C2A2AAF">
      <w:pPr>
        <w:pStyle w:val="49"/>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"_Toc58406684" </w:instrText>
      </w:r>
      <w:r>
        <w:rPr>
          <w:color w:val="auto"/>
          <w:highlight w:val="none"/>
        </w:rPr>
        <w:fldChar w:fldCharType="separate"/>
      </w:r>
      <w:r>
        <w:rPr>
          <w:rStyle w:val="70"/>
          <w:rFonts w:hint="eastAsia" w:ascii="新宋体" w:hAnsi="新宋体" w:eastAsia="新宋体" w:cs="宋体"/>
          <w:color w:val="auto"/>
          <w:sz w:val="24"/>
          <w:szCs w:val="24"/>
          <w:highlight w:val="none"/>
        </w:rPr>
        <w:t>二、</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采购文件</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_Toc58406684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7</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60771DEA">
      <w:pPr>
        <w:pStyle w:val="49"/>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"_Toc58406685" </w:instrText>
      </w:r>
      <w:r>
        <w:rPr>
          <w:color w:val="auto"/>
          <w:highlight w:val="none"/>
        </w:rPr>
        <w:fldChar w:fldCharType="separate"/>
      </w:r>
      <w:r>
        <w:rPr>
          <w:rStyle w:val="70"/>
          <w:rFonts w:hint="eastAsia" w:ascii="新宋体" w:hAnsi="新宋体" w:eastAsia="新宋体" w:cs="宋体"/>
          <w:color w:val="auto"/>
          <w:sz w:val="24"/>
          <w:szCs w:val="24"/>
          <w:highlight w:val="none"/>
        </w:rPr>
        <w:t>三、</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投标文件的编制</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_Toc58406685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8</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2408813F">
      <w:pPr>
        <w:pStyle w:val="49"/>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"_Toc58406686" </w:instrText>
      </w:r>
      <w:r>
        <w:rPr>
          <w:color w:val="auto"/>
          <w:highlight w:val="none"/>
        </w:rPr>
        <w:fldChar w:fldCharType="separate"/>
      </w:r>
      <w:r>
        <w:rPr>
          <w:rStyle w:val="70"/>
          <w:rFonts w:hint="eastAsia" w:ascii="新宋体" w:hAnsi="新宋体" w:eastAsia="新宋体" w:cs="宋体"/>
          <w:color w:val="auto"/>
          <w:sz w:val="24"/>
          <w:szCs w:val="24"/>
          <w:highlight w:val="none"/>
        </w:rPr>
        <w:t>四、</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投标文件的递交</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_Toc58406686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11</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08C66D11">
      <w:pPr>
        <w:pStyle w:val="49"/>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"_Toc58406687" </w:instrText>
      </w:r>
      <w:r>
        <w:rPr>
          <w:color w:val="auto"/>
          <w:highlight w:val="none"/>
        </w:rPr>
        <w:fldChar w:fldCharType="separate"/>
      </w:r>
      <w:r>
        <w:rPr>
          <w:rStyle w:val="70"/>
          <w:rFonts w:hint="eastAsia" w:ascii="新宋体" w:hAnsi="新宋体" w:eastAsia="新宋体" w:cs="宋体"/>
          <w:color w:val="auto"/>
          <w:sz w:val="24"/>
          <w:szCs w:val="24"/>
          <w:highlight w:val="none"/>
        </w:rPr>
        <w:t>五、</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开标和评标</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_Toc58406687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372AFCF7">
      <w:pPr>
        <w:pStyle w:val="49"/>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"_Toc58406689" </w:instrText>
      </w:r>
      <w:r>
        <w:rPr>
          <w:color w:val="auto"/>
          <w:highlight w:val="none"/>
        </w:rPr>
        <w:fldChar w:fldCharType="separate"/>
      </w:r>
      <w:r>
        <w:rPr>
          <w:rStyle w:val="70"/>
          <w:rFonts w:hint="eastAsia" w:ascii="新宋体" w:hAnsi="新宋体" w:eastAsia="新宋体" w:cs="宋体"/>
          <w:color w:val="auto"/>
          <w:sz w:val="24"/>
          <w:szCs w:val="24"/>
          <w:highlight w:val="none"/>
        </w:rPr>
        <w:t>六、</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授予合同</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_Toc58406689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15</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5D6B5D75">
      <w:pPr>
        <w:pStyle w:val="41"/>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"_Toc58406690" </w:instrText>
      </w:r>
      <w:r>
        <w:rPr>
          <w:color w:val="auto"/>
          <w:highlight w:val="none"/>
        </w:rPr>
        <w:fldChar w:fldCharType="separate"/>
      </w:r>
      <w:r>
        <w:rPr>
          <w:rStyle w:val="70"/>
          <w:rFonts w:hint="eastAsia" w:ascii="新宋体" w:hAnsi="新宋体" w:eastAsia="新宋体" w:cs="宋体"/>
          <w:color w:val="auto"/>
          <w:sz w:val="24"/>
          <w:szCs w:val="24"/>
          <w:highlight w:val="none"/>
        </w:rPr>
        <w:t>第二部分</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政府采购政策功能相关说明</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_Toc58406690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18</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41F80C95">
      <w:pPr>
        <w:pStyle w:val="41"/>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"_Toc58406691" </w:instrText>
      </w:r>
      <w:r>
        <w:rPr>
          <w:color w:val="auto"/>
          <w:highlight w:val="none"/>
        </w:rPr>
        <w:fldChar w:fldCharType="separate"/>
      </w:r>
      <w:r>
        <w:rPr>
          <w:rStyle w:val="70"/>
          <w:rFonts w:hint="eastAsia" w:ascii="新宋体" w:hAnsi="新宋体" w:eastAsia="新宋体" w:cs="宋体"/>
          <w:color w:val="auto"/>
          <w:sz w:val="24"/>
          <w:szCs w:val="24"/>
          <w:highlight w:val="none"/>
        </w:rPr>
        <w:t>第三部分</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合同条款及格式</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_Toc58406691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399649BA">
      <w:pPr>
        <w:pStyle w:val="41"/>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"_Toc58406692" </w:instrText>
      </w:r>
      <w:r>
        <w:rPr>
          <w:color w:val="auto"/>
          <w:highlight w:val="none"/>
        </w:rPr>
        <w:fldChar w:fldCharType="separate"/>
      </w:r>
      <w:r>
        <w:rPr>
          <w:rStyle w:val="70"/>
          <w:rFonts w:hint="eastAsia" w:ascii="新宋体" w:hAnsi="新宋体" w:eastAsia="新宋体" w:cs="宋体"/>
          <w:color w:val="auto"/>
          <w:sz w:val="24"/>
          <w:szCs w:val="24"/>
          <w:highlight w:val="none"/>
        </w:rPr>
        <w:t>第四部分</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投标文件格式</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_Toc58406692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025C035F">
      <w:pPr>
        <w:pStyle w:val="41"/>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"_Toc58406693" </w:instrText>
      </w:r>
      <w:r>
        <w:rPr>
          <w:color w:val="auto"/>
          <w:highlight w:val="none"/>
        </w:rPr>
        <w:fldChar w:fldCharType="separate"/>
      </w:r>
      <w:r>
        <w:rPr>
          <w:rStyle w:val="70"/>
          <w:rFonts w:hint="eastAsia" w:ascii="新宋体" w:hAnsi="新宋体" w:eastAsia="新宋体" w:cs="宋体"/>
          <w:color w:val="auto"/>
          <w:sz w:val="24"/>
          <w:szCs w:val="24"/>
          <w:highlight w:val="none"/>
        </w:rPr>
        <w:t>第五部分</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采购内容及要求</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_Toc58406693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45</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5E5D75DB">
      <w:pPr>
        <w:pStyle w:val="41"/>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"_Toc58406694" </w:instrText>
      </w:r>
      <w:r>
        <w:rPr>
          <w:color w:val="auto"/>
          <w:highlight w:val="none"/>
        </w:rPr>
        <w:fldChar w:fldCharType="separate"/>
      </w:r>
      <w:r>
        <w:rPr>
          <w:rStyle w:val="70"/>
          <w:rFonts w:hint="eastAsia" w:ascii="新宋体" w:hAnsi="新宋体" w:eastAsia="新宋体" w:cs="宋体"/>
          <w:color w:val="auto"/>
          <w:sz w:val="24"/>
          <w:szCs w:val="24"/>
          <w:highlight w:val="none"/>
        </w:rPr>
        <w:t>第六部分</w:t>
      </w:r>
      <w:r>
        <w:rPr>
          <w:rStyle w:val="70"/>
          <w:rFonts w:ascii="新宋体" w:hAnsi="新宋体" w:eastAsia="新宋体" w:cs="宋体"/>
          <w:color w:val="auto"/>
          <w:sz w:val="24"/>
          <w:szCs w:val="24"/>
          <w:highlight w:val="none"/>
        </w:rPr>
        <w:t xml:space="preserve">   </w:t>
      </w:r>
      <w:r>
        <w:rPr>
          <w:rStyle w:val="70"/>
          <w:rFonts w:hint="eastAsia" w:ascii="新宋体" w:hAnsi="新宋体" w:eastAsia="新宋体" w:cs="宋体"/>
          <w:color w:val="auto"/>
          <w:sz w:val="24"/>
          <w:szCs w:val="24"/>
          <w:highlight w:val="none"/>
        </w:rPr>
        <w:t>评标原则及方法</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_Toc58406694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54</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14:paraId="6619D2E2">
      <w:pPr>
        <w:pStyle w:val="24"/>
        <w:ind w:firstLine="241"/>
        <w:rPr>
          <w:rFonts w:ascii="宋体" w:hAnsi="宋体" w:cs="宋体"/>
          <w:b w:val="0"/>
          <w:bCs/>
          <w:color w:val="auto"/>
          <w:szCs w:val="21"/>
          <w:highlight w:val="none"/>
        </w:rPr>
      </w:pPr>
      <w:r>
        <w:rPr>
          <w:rFonts w:hint="eastAsia" w:ascii="新宋体" w:hAnsi="新宋体" w:eastAsia="新宋体" w:cs="宋体"/>
          <w:bCs/>
          <w:color w:val="auto"/>
          <w:sz w:val="24"/>
          <w:highlight w:val="none"/>
        </w:rPr>
        <w:fldChar w:fldCharType="end"/>
      </w:r>
    </w:p>
    <w:p w14:paraId="1F3FDE83">
      <w:pPr>
        <w:pStyle w:val="24"/>
        <w:ind w:firstLine="320"/>
        <w:rPr>
          <w:rFonts w:ascii="宋体" w:hAnsi="宋体" w:cs="宋体"/>
          <w:b w:val="0"/>
          <w:bCs/>
          <w:color w:val="auto"/>
          <w:szCs w:val="21"/>
          <w:highlight w:val="none"/>
        </w:rPr>
      </w:pPr>
    </w:p>
    <w:p w14:paraId="2460E49C">
      <w:pPr>
        <w:spacing w:line="5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注：采购文件中加“▲”且加下划线的条款，为招标的实质性要求和条件，着重提醒各供应商注意，并认真查看采购文件中的每一个条款及要求，因误读采购文件而造成的后果，采购人概不负责。</w:t>
      </w:r>
    </w:p>
    <w:p w14:paraId="066665ED">
      <w:pPr>
        <w:pStyle w:val="24"/>
        <w:ind w:firstLine="320"/>
        <w:rPr>
          <w:rFonts w:ascii="宋体" w:hAnsi="宋体" w:cs="宋体"/>
          <w:b w:val="0"/>
          <w:bCs/>
          <w:color w:val="auto"/>
          <w:szCs w:val="21"/>
          <w:highlight w:val="none"/>
        </w:rPr>
      </w:pPr>
    </w:p>
    <w:p w14:paraId="6991DDF3">
      <w:pPr>
        <w:pStyle w:val="24"/>
        <w:ind w:firstLine="320"/>
        <w:rPr>
          <w:rFonts w:ascii="宋体" w:hAnsi="宋体" w:cs="宋体"/>
          <w:b w:val="0"/>
          <w:bCs/>
          <w:color w:val="auto"/>
          <w:szCs w:val="21"/>
          <w:highlight w:val="none"/>
        </w:rPr>
      </w:pPr>
    </w:p>
    <w:p w14:paraId="03192F53">
      <w:pPr>
        <w:pStyle w:val="24"/>
        <w:ind w:firstLine="320"/>
        <w:rPr>
          <w:rFonts w:ascii="宋体" w:hAnsi="宋体" w:cs="宋体"/>
          <w:b w:val="0"/>
          <w:bCs/>
          <w:color w:val="auto"/>
          <w:szCs w:val="21"/>
          <w:highlight w:val="none"/>
        </w:rPr>
      </w:pPr>
    </w:p>
    <w:p w14:paraId="44B728B6">
      <w:pPr>
        <w:pStyle w:val="24"/>
        <w:ind w:firstLine="320"/>
        <w:rPr>
          <w:rFonts w:ascii="宋体" w:hAnsi="宋体" w:cs="宋体"/>
          <w:b w:val="0"/>
          <w:bCs/>
          <w:color w:val="auto"/>
          <w:szCs w:val="21"/>
          <w:highlight w:val="none"/>
        </w:rPr>
      </w:pPr>
    </w:p>
    <w:p w14:paraId="4051C5F6">
      <w:pPr>
        <w:pStyle w:val="2"/>
        <w:rPr>
          <w:rFonts w:ascii="宋体" w:hAnsi="宋体" w:eastAsia="宋体" w:cs="宋体"/>
          <w:color w:val="auto"/>
          <w:sz w:val="36"/>
          <w:szCs w:val="36"/>
          <w:highlight w:val="none"/>
        </w:rPr>
      </w:pPr>
      <w:bookmarkStart w:id="0" w:name="_Toc32301"/>
      <w:r>
        <w:rPr>
          <w:rFonts w:hint="eastAsia" w:ascii="宋体" w:hAnsi="宋体" w:eastAsia="宋体" w:cs="宋体"/>
          <w:color w:val="auto"/>
          <w:sz w:val="36"/>
          <w:szCs w:val="36"/>
          <w:highlight w:val="none"/>
        </w:rPr>
        <w:br w:type="page"/>
      </w:r>
      <w:bookmarkStart w:id="1" w:name="_Toc58406681"/>
      <w:r>
        <w:rPr>
          <w:rFonts w:hint="eastAsia" w:ascii="宋体" w:hAnsi="宋体" w:eastAsia="宋体" w:cs="宋体"/>
          <w:color w:val="auto"/>
          <w:sz w:val="36"/>
          <w:szCs w:val="36"/>
          <w:highlight w:val="none"/>
        </w:rPr>
        <w:t>第一部分  投标人须知</w:t>
      </w:r>
      <w:bookmarkEnd w:id="1"/>
    </w:p>
    <w:p w14:paraId="2EBAFE6B">
      <w:pPr>
        <w:pStyle w:val="2"/>
        <w:rPr>
          <w:rFonts w:ascii="宋体" w:hAnsi="宋体" w:eastAsia="宋体" w:cs="宋体"/>
          <w:color w:val="auto"/>
          <w:sz w:val="36"/>
          <w:szCs w:val="36"/>
          <w:highlight w:val="none"/>
        </w:rPr>
      </w:pPr>
      <w:bookmarkStart w:id="2" w:name="_Toc58406682"/>
      <w:r>
        <w:rPr>
          <w:rFonts w:hint="eastAsia" w:ascii="宋体" w:hAnsi="宋体" w:eastAsia="宋体" w:cs="宋体"/>
          <w:color w:val="auto"/>
          <w:sz w:val="36"/>
          <w:szCs w:val="36"/>
          <w:highlight w:val="none"/>
        </w:rPr>
        <w:t>投标人须知前附表</w:t>
      </w:r>
      <w:bookmarkEnd w:id="0"/>
      <w:bookmarkEnd w:id="2"/>
    </w:p>
    <w:tbl>
      <w:tblPr>
        <w:tblStyle w:val="58"/>
        <w:tblW w:w="10123" w:type="dxa"/>
        <w:jc w:val="center"/>
        <w:tblLayout w:type="fixed"/>
        <w:tblCellMar>
          <w:top w:w="0" w:type="dxa"/>
          <w:left w:w="108" w:type="dxa"/>
          <w:bottom w:w="0" w:type="dxa"/>
          <w:right w:w="108" w:type="dxa"/>
        </w:tblCellMar>
      </w:tblPr>
      <w:tblGrid>
        <w:gridCol w:w="667"/>
        <w:gridCol w:w="2037"/>
        <w:gridCol w:w="7419"/>
      </w:tblGrid>
      <w:tr w14:paraId="3FFC87C2">
        <w:tblPrEx>
          <w:tblCellMar>
            <w:top w:w="0" w:type="dxa"/>
            <w:left w:w="108" w:type="dxa"/>
            <w:bottom w:w="0" w:type="dxa"/>
            <w:right w:w="108" w:type="dxa"/>
          </w:tblCellMar>
        </w:tblPrEx>
        <w:trPr>
          <w:trHeight w:val="560"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14:paraId="7E04FFD1">
            <w:pPr>
              <w:keepLines w:val="0"/>
              <w:pageBreakBefore w:val="0"/>
              <w:kinsoku/>
              <w:wordWrap/>
              <w:overflowPunct/>
              <w:topLinePunct w:val="0"/>
              <w:bidi w:val="0"/>
              <w:spacing w:line="312"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14:paraId="68786D6B">
            <w:pPr>
              <w:keepLines w:val="0"/>
              <w:pageBreakBefore w:val="0"/>
              <w:kinsoku/>
              <w:wordWrap/>
              <w:overflowPunct/>
              <w:topLinePunct w:val="0"/>
              <w:bidi w:val="0"/>
              <w:spacing w:line="312"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14:paraId="230723E0">
            <w:pPr>
              <w:keepLines w:val="0"/>
              <w:pageBreakBefore w:val="0"/>
              <w:kinsoku/>
              <w:wordWrap/>
              <w:overflowPunct/>
              <w:topLinePunct w:val="0"/>
              <w:bidi w:val="0"/>
              <w:spacing w:line="312"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15AE39A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638B8BF">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14:paraId="23AC8254">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14:paraId="2F4DE32C">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采购人名称：苍南县消防救援大队</w:t>
            </w:r>
          </w:p>
          <w:p w14:paraId="048B5211">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联系地址： 浙江省苍南县灵溪镇百丈村1号</w:t>
            </w:r>
          </w:p>
          <w:p w14:paraId="21B6C30D">
            <w:pPr>
              <w:keepLines w:val="0"/>
              <w:pageBreakBefore w:val="0"/>
              <w:kinsoku/>
              <w:wordWrap/>
              <w:overflowPunct/>
              <w:topLinePunct w:val="0"/>
              <w:bidi w:val="0"/>
              <w:spacing w:line="312" w:lineRule="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联系人： 朱</w:t>
            </w:r>
            <w:r>
              <w:rPr>
                <w:rFonts w:hint="eastAsia" w:ascii="宋体" w:hAnsi="宋体" w:cs="宋体"/>
                <w:bCs/>
                <w:color w:val="auto"/>
                <w:kern w:val="0"/>
                <w:sz w:val="22"/>
                <w:szCs w:val="22"/>
                <w:highlight w:val="none"/>
                <w:lang w:val="en-US" w:eastAsia="zh-CN"/>
              </w:rPr>
              <w:t>先生</w:t>
            </w:r>
            <w:bookmarkStart w:id="113" w:name="_GoBack"/>
            <w:bookmarkEnd w:id="113"/>
          </w:p>
          <w:p w14:paraId="53A3A338">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联系电话：19880838378</w:t>
            </w:r>
          </w:p>
        </w:tc>
      </w:tr>
      <w:tr w14:paraId="193F76B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AA943D1">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14:paraId="2D4A8568">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14:paraId="683301E8">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14:paraId="07964577">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w:t>
            </w:r>
            <w:r>
              <w:rPr>
                <w:rFonts w:hint="eastAsia" w:ascii="宋体" w:hAnsi="宋体" w:cs="宋体"/>
                <w:bCs/>
                <w:color w:val="auto"/>
                <w:kern w:val="0"/>
                <w:sz w:val="22"/>
                <w:szCs w:val="22"/>
                <w:highlight w:val="none"/>
                <w:lang w:val="en-US" w:eastAsia="zh-CN"/>
              </w:rPr>
              <w:t>浙江省</w:t>
            </w:r>
            <w:r>
              <w:rPr>
                <w:rFonts w:hint="eastAsia" w:ascii="宋体" w:hAnsi="宋体" w:cs="宋体"/>
                <w:bCs/>
                <w:color w:val="auto"/>
                <w:kern w:val="0"/>
                <w:sz w:val="22"/>
                <w:szCs w:val="22"/>
                <w:highlight w:val="none"/>
              </w:rPr>
              <w:t>温州市瓯海区新桥街道高昂路1号牛山广场2号楼1409室</w:t>
            </w:r>
          </w:p>
          <w:p w14:paraId="13A7BC6F">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联系人：苏先生 、叶先生</w:t>
            </w:r>
          </w:p>
          <w:p w14:paraId="4D907E11">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联系电话：13626506308、13958779970</w:t>
            </w:r>
          </w:p>
        </w:tc>
      </w:tr>
      <w:tr w14:paraId="41CDB01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FAE878A">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14:paraId="118B3BBC">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vAlign w:val="center"/>
          </w:tcPr>
          <w:p w14:paraId="5289D79B">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项目名称：苍南（龙港）消防救援大队伙食集中配送服务采购</w:t>
            </w:r>
          </w:p>
          <w:p w14:paraId="346DC3F9">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项目编号：ZXZB-F20250312-XFPS</w:t>
            </w:r>
          </w:p>
        </w:tc>
      </w:tr>
      <w:tr w14:paraId="2D7AA2C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7837AB2">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14:paraId="03364E9A">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14:paraId="2A8048D2">
            <w:pPr>
              <w:keepLines w:val="0"/>
              <w:pageBreakBefore w:val="0"/>
              <w:kinsoku/>
              <w:wordWrap/>
              <w:overflowPunct/>
              <w:topLinePunct w:val="0"/>
              <w:bidi w:val="0"/>
              <w:spacing w:line="312" w:lineRule="auto"/>
              <w:rPr>
                <w:rFonts w:hint="default" w:ascii="宋体" w:hAnsi="宋体" w:eastAsia="新宋体" w:cs="宋体"/>
                <w:color w:val="auto"/>
                <w:sz w:val="22"/>
                <w:szCs w:val="22"/>
                <w:highlight w:val="none"/>
                <w:lang w:val="en-US" w:eastAsia="zh-CN"/>
              </w:rPr>
            </w:pPr>
            <w:r>
              <w:rPr>
                <w:rFonts w:hint="eastAsia" w:ascii="宋体" w:hAnsi="宋体" w:cs="宋体"/>
                <w:bCs/>
                <w:color w:val="auto"/>
                <w:kern w:val="0"/>
                <w:sz w:val="22"/>
                <w:szCs w:val="22"/>
                <w:highlight w:val="none"/>
              </w:rPr>
              <w:t>苍南（龙港）消防救援大队伙食集中配送服务采购</w:t>
            </w:r>
            <w:r>
              <w:rPr>
                <w:rFonts w:hint="eastAsia" w:ascii="宋体" w:hAnsi="宋体" w:cs="宋体"/>
                <w:color w:val="auto"/>
                <w:sz w:val="22"/>
                <w:szCs w:val="22"/>
                <w:highlight w:val="none"/>
              </w:rPr>
              <w:t>，具体内容详见采购文件相关部分。项目采购预算：</w:t>
            </w:r>
            <w:r>
              <w:rPr>
                <w:rFonts w:hint="eastAsia" w:ascii="新宋体" w:hAnsi="新宋体" w:eastAsia="新宋体"/>
                <w:bCs/>
                <w:color w:val="auto"/>
                <w:kern w:val="0"/>
                <w:sz w:val="22"/>
                <w:szCs w:val="22"/>
                <w:highlight w:val="none"/>
              </w:rPr>
              <w:t>2923786</w:t>
            </w:r>
            <w:r>
              <w:rPr>
                <w:rFonts w:hint="eastAsia" w:ascii="新宋体" w:hAnsi="新宋体" w:eastAsia="新宋体"/>
                <w:bCs/>
                <w:color w:val="auto"/>
                <w:kern w:val="0"/>
                <w:sz w:val="22"/>
                <w:szCs w:val="22"/>
                <w:highlight w:val="none"/>
                <w:lang w:val="en-US" w:eastAsia="zh-CN"/>
              </w:rPr>
              <w:t>.00</w:t>
            </w:r>
            <w:r>
              <w:rPr>
                <w:rFonts w:hint="eastAsia" w:ascii="新宋体" w:hAnsi="新宋体" w:eastAsia="新宋体"/>
                <w:bCs/>
                <w:color w:val="auto"/>
                <w:kern w:val="0"/>
                <w:sz w:val="22"/>
                <w:szCs w:val="22"/>
                <w:highlight w:val="none"/>
              </w:rPr>
              <w:t>元整</w:t>
            </w:r>
            <w:r>
              <w:rPr>
                <w:rFonts w:hint="eastAsia" w:ascii="新宋体" w:hAnsi="新宋体" w:eastAsia="新宋体"/>
                <w:bCs/>
                <w:color w:val="auto"/>
                <w:kern w:val="0"/>
                <w:sz w:val="22"/>
                <w:szCs w:val="22"/>
                <w:highlight w:val="none"/>
                <w:lang w:eastAsia="zh-CN"/>
              </w:rPr>
              <w:t>（</w:t>
            </w:r>
            <w:r>
              <w:rPr>
                <w:rFonts w:hint="eastAsia" w:ascii="新宋体" w:hAnsi="新宋体" w:eastAsia="新宋体"/>
                <w:bCs/>
                <w:color w:val="auto"/>
                <w:kern w:val="0"/>
                <w:sz w:val="22"/>
                <w:szCs w:val="22"/>
                <w:highlight w:val="none"/>
                <w:lang w:val="en-US" w:eastAsia="zh-CN"/>
              </w:rPr>
              <w:t>其中</w:t>
            </w:r>
            <w:r>
              <w:rPr>
                <w:rFonts w:hint="eastAsia" w:ascii="新宋体" w:hAnsi="新宋体" w:eastAsia="新宋体"/>
                <w:bCs/>
                <w:color w:val="auto"/>
                <w:kern w:val="0"/>
                <w:sz w:val="22"/>
                <w:szCs w:val="22"/>
                <w:highlight w:val="none"/>
              </w:rPr>
              <w:t>苍南</w:t>
            </w:r>
            <w:r>
              <w:rPr>
                <w:rFonts w:hint="eastAsia" w:ascii="新宋体" w:hAnsi="新宋体" w:eastAsia="新宋体"/>
                <w:bCs/>
                <w:color w:val="auto"/>
                <w:kern w:val="0"/>
                <w:sz w:val="22"/>
                <w:szCs w:val="22"/>
                <w:highlight w:val="none"/>
                <w:lang w:val="en-US" w:eastAsia="zh-CN"/>
              </w:rPr>
              <w:t>采购预算</w:t>
            </w:r>
            <w:r>
              <w:rPr>
                <w:rFonts w:hint="eastAsia" w:ascii="新宋体" w:hAnsi="新宋体" w:eastAsia="新宋体"/>
                <w:bCs/>
                <w:color w:val="auto"/>
                <w:kern w:val="0"/>
                <w:sz w:val="22"/>
                <w:szCs w:val="22"/>
                <w:highlight w:val="none"/>
              </w:rPr>
              <w:t>1181200</w:t>
            </w:r>
            <w:r>
              <w:rPr>
                <w:rFonts w:hint="eastAsia" w:ascii="新宋体" w:hAnsi="新宋体" w:eastAsia="新宋体"/>
                <w:bCs/>
                <w:color w:val="auto"/>
                <w:kern w:val="0"/>
                <w:sz w:val="22"/>
                <w:szCs w:val="22"/>
                <w:highlight w:val="none"/>
                <w:lang w:val="en-US" w:eastAsia="zh-CN"/>
              </w:rPr>
              <w:t>.00元，</w:t>
            </w:r>
            <w:r>
              <w:rPr>
                <w:rFonts w:hint="eastAsia" w:ascii="新宋体" w:hAnsi="新宋体" w:eastAsia="新宋体"/>
                <w:bCs/>
                <w:color w:val="auto"/>
                <w:kern w:val="0"/>
                <w:sz w:val="22"/>
                <w:szCs w:val="22"/>
                <w:highlight w:val="none"/>
              </w:rPr>
              <w:t>龙港</w:t>
            </w:r>
            <w:r>
              <w:rPr>
                <w:rFonts w:hint="eastAsia" w:ascii="新宋体" w:hAnsi="新宋体" w:eastAsia="新宋体"/>
                <w:bCs/>
                <w:color w:val="auto"/>
                <w:kern w:val="0"/>
                <w:sz w:val="22"/>
                <w:szCs w:val="22"/>
                <w:highlight w:val="none"/>
                <w:lang w:val="en-US" w:eastAsia="zh-CN"/>
              </w:rPr>
              <w:t>采购预算</w:t>
            </w:r>
            <w:r>
              <w:rPr>
                <w:rFonts w:hint="eastAsia" w:ascii="新宋体" w:hAnsi="新宋体" w:eastAsia="新宋体"/>
                <w:bCs/>
                <w:color w:val="auto"/>
                <w:kern w:val="0"/>
                <w:sz w:val="22"/>
                <w:szCs w:val="22"/>
                <w:highlight w:val="none"/>
              </w:rPr>
              <w:t>1742586</w:t>
            </w:r>
            <w:r>
              <w:rPr>
                <w:rFonts w:hint="eastAsia" w:ascii="新宋体" w:hAnsi="新宋体" w:eastAsia="新宋体"/>
                <w:bCs/>
                <w:color w:val="auto"/>
                <w:kern w:val="0"/>
                <w:sz w:val="22"/>
                <w:szCs w:val="22"/>
                <w:highlight w:val="none"/>
                <w:lang w:val="en-US" w:eastAsia="zh-CN"/>
              </w:rPr>
              <w:t>.00元</w:t>
            </w:r>
            <w:r>
              <w:rPr>
                <w:rFonts w:hint="eastAsia" w:ascii="新宋体" w:hAnsi="新宋体" w:eastAsia="新宋体"/>
                <w:bCs/>
                <w:color w:val="auto"/>
                <w:kern w:val="0"/>
                <w:sz w:val="22"/>
                <w:szCs w:val="22"/>
                <w:highlight w:val="none"/>
                <w:lang w:eastAsia="zh-CN"/>
              </w:rPr>
              <w:t>）。</w:t>
            </w:r>
          </w:p>
        </w:tc>
      </w:tr>
      <w:tr w14:paraId="5579DECA">
        <w:tblPrEx>
          <w:tblCellMar>
            <w:top w:w="0" w:type="dxa"/>
            <w:left w:w="108" w:type="dxa"/>
            <w:bottom w:w="0" w:type="dxa"/>
            <w:right w:w="108" w:type="dxa"/>
          </w:tblCellMar>
        </w:tblPrEx>
        <w:trPr>
          <w:trHeight w:val="110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10CEDD0">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14:paraId="3342E29C">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服务期限</w:t>
            </w:r>
          </w:p>
        </w:tc>
        <w:tc>
          <w:tcPr>
            <w:tcW w:w="7419" w:type="dxa"/>
            <w:tcBorders>
              <w:top w:val="single" w:color="auto" w:sz="4" w:space="0"/>
              <w:left w:val="single" w:color="auto" w:sz="4" w:space="0"/>
              <w:bottom w:val="single" w:color="auto" w:sz="4" w:space="0"/>
              <w:right w:val="single" w:color="auto" w:sz="4" w:space="0"/>
            </w:tcBorders>
            <w:vAlign w:val="center"/>
          </w:tcPr>
          <w:p w14:paraId="09622D87">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w:t>
            </w:r>
            <w:r>
              <w:rPr>
                <w:rFonts w:ascii="宋体" w:hAnsi="宋体" w:cs="宋体"/>
                <w:color w:val="auto"/>
                <w:kern w:val="0"/>
                <w:sz w:val="22"/>
                <w:szCs w:val="22"/>
                <w:highlight w:val="none"/>
              </w:rPr>
              <w:t>年或</w:t>
            </w:r>
            <w:r>
              <w:rPr>
                <w:rFonts w:hint="eastAsia" w:ascii="宋体" w:hAnsi="宋体" w:cs="宋体"/>
                <w:color w:val="auto"/>
                <w:kern w:val="0"/>
                <w:sz w:val="22"/>
                <w:szCs w:val="22"/>
                <w:highlight w:val="none"/>
              </w:rPr>
              <w:t>年</w:t>
            </w:r>
            <w:r>
              <w:rPr>
                <w:rFonts w:ascii="宋体" w:hAnsi="宋体" w:cs="宋体"/>
                <w:color w:val="auto"/>
                <w:kern w:val="0"/>
                <w:sz w:val="22"/>
                <w:szCs w:val="22"/>
                <w:highlight w:val="none"/>
              </w:rPr>
              <w:t>采购金额达到总预算金额，任一条件达到即视为</w:t>
            </w:r>
            <w:r>
              <w:rPr>
                <w:rFonts w:hint="eastAsia" w:ascii="宋体" w:hAnsi="宋体" w:cs="宋体"/>
                <w:color w:val="auto"/>
                <w:kern w:val="0"/>
                <w:sz w:val="22"/>
                <w:szCs w:val="22"/>
                <w:highlight w:val="none"/>
              </w:rPr>
              <w:t>服务</w:t>
            </w:r>
            <w:r>
              <w:rPr>
                <w:rFonts w:ascii="宋体" w:hAnsi="宋体" w:cs="宋体"/>
                <w:color w:val="auto"/>
                <w:kern w:val="0"/>
                <w:sz w:val="22"/>
                <w:szCs w:val="22"/>
                <w:highlight w:val="none"/>
              </w:rPr>
              <w:t>期结束。</w:t>
            </w:r>
            <w:r>
              <w:rPr>
                <w:rFonts w:hint="eastAsia" w:ascii="宋体" w:hAnsi="宋体" w:cs="宋体"/>
                <w:color w:val="auto"/>
                <w:kern w:val="0"/>
                <w:sz w:val="22"/>
                <w:szCs w:val="22"/>
                <w:highlight w:val="none"/>
              </w:rPr>
              <w:t>一年服务期或年</w:t>
            </w:r>
            <w:r>
              <w:rPr>
                <w:rFonts w:ascii="宋体" w:hAnsi="宋体" w:cs="宋体"/>
                <w:color w:val="auto"/>
                <w:kern w:val="0"/>
                <w:sz w:val="22"/>
                <w:szCs w:val="22"/>
                <w:highlight w:val="none"/>
              </w:rPr>
              <w:t>采购金额达到总预算金额</w:t>
            </w:r>
            <w:r>
              <w:rPr>
                <w:rFonts w:hint="eastAsia" w:ascii="宋体" w:hAnsi="宋体" w:cs="宋体"/>
                <w:color w:val="auto"/>
                <w:kern w:val="0"/>
                <w:sz w:val="22"/>
                <w:szCs w:val="22"/>
                <w:highlight w:val="none"/>
              </w:rPr>
              <w:t>满后，在财政资金保障前提下，</w:t>
            </w:r>
            <w:r>
              <w:rPr>
                <w:rFonts w:hint="eastAsia" w:ascii="新宋体" w:hAnsi="新宋体" w:eastAsia="新宋体" w:cs="新宋体"/>
                <w:bCs/>
                <w:color w:val="auto"/>
                <w:kern w:val="0"/>
                <w:sz w:val="22"/>
                <w:szCs w:val="22"/>
                <w:highlight w:val="none"/>
              </w:rPr>
              <w:t>通过采购人考核后，采购人可选择续签下一年服务合同</w:t>
            </w:r>
            <w:r>
              <w:rPr>
                <w:rFonts w:hint="eastAsia" w:ascii="新宋体" w:hAnsi="新宋体" w:eastAsia="新宋体"/>
                <w:color w:val="auto"/>
                <w:spacing w:val="6"/>
                <w:szCs w:val="21"/>
                <w:highlight w:val="none"/>
              </w:rPr>
              <w:t>，续签期间按原合同条款履行，最多续签2次。</w:t>
            </w:r>
          </w:p>
        </w:tc>
      </w:tr>
      <w:tr w14:paraId="27915FB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23B5B14">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14:paraId="187827F8">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vAlign w:val="center"/>
          </w:tcPr>
          <w:p w14:paraId="077DB2B8">
            <w:pPr>
              <w:keepLines w:val="0"/>
              <w:pageBreakBefore w:val="0"/>
              <w:kinsoku/>
              <w:wordWrap/>
              <w:overflowPunct/>
              <w:topLinePunct w:val="0"/>
              <w:autoSpaceDE w:val="0"/>
              <w:autoSpaceDN w:val="0"/>
              <w:bidi w:val="0"/>
              <w:adjustRightInd w:val="0"/>
              <w:spacing w:line="312"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1.一般资格条件：</w:t>
            </w:r>
          </w:p>
          <w:p w14:paraId="5C5FEBB2">
            <w:pPr>
              <w:keepLines w:val="0"/>
              <w:pageBreakBefore w:val="0"/>
              <w:kinsoku/>
              <w:wordWrap/>
              <w:overflowPunct/>
              <w:topLinePunct w:val="0"/>
              <w:autoSpaceDE w:val="0"/>
              <w:autoSpaceDN w:val="0"/>
              <w:bidi w:val="0"/>
              <w:adjustRightInd w:val="0"/>
              <w:spacing w:line="312"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5E6C80E8">
            <w:pPr>
              <w:keepLines w:val="0"/>
              <w:pageBreakBefore w:val="0"/>
              <w:kinsoku/>
              <w:wordWrap/>
              <w:overflowPunct/>
              <w:topLinePunct w:val="0"/>
              <w:autoSpaceDE w:val="0"/>
              <w:autoSpaceDN w:val="0"/>
              <w:bidi w:val="0"/>
              <w:adjustRightInd w:val="0"/>
              <w:spacing w:line="312"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26010791">
            <w:pPr>
              <w:keepLines w:val="0"/>
              <w:pageBreakBefore w:val="0"/>
              <w:kinsoku/>
              <w:wordWrap/>
              <w:overflowPunct/>
              <w:topLinePunct w:val="0"/>
              <w:autoSpaceDE w:val="0"/>
              <w:autoSpaceDN w:val="0"/>
              <w:bidi w:val="0"/>
              <w:adjustRightInd w:val="0"/>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2.落实政府采购政策需满足的资格要求: 本项目为</w:t>
            </w:r>
            <w:r>
              <w:rPr>
                <w:rFonts w:hint="eastAsia" w:ascii="新宋体" w:hAnsi="新宋体" w:eastAsia="新宋体" w:cs="新宋体"/>
                <w:color w:val="auto"/>
                <w:kern w:val="0"/>
                <w:sz w:val="22"/>
                <w:szCs w:val="22"/>
                <w:highlight w:val="none"/>
              </w:rPr>
              <w:t>服务类</w:t>
            </w:r>
            <w:r>
              <w:rPr>
                <w:rFonts w:hint="eastAsia" w:ascii="新宋体" w:hAnsi="新宋体" w:eastAsia="新宋体" w:cs="新宋体"/>
                <w:color w:val="auto"/>
                <w:kern w:val="0"/>
                <w:sz w:val="22"/>
                <w:szCs w:val="22"/>
                <w:highlight w:val="none"/>
                <w:lang w:val="zh-CN"/>
              </w:rPr>
              <w:t>项目，本项目</w:t>
            </w:r>
            <w:r>
              <w:rPr>
                <w:rFonts w:hint="eastAsia" w:ascii="新宋体" w:hAnsi="新宋体" w:eastAsia="新宋体" w:cs="新宋体"/>
                <w:color w:val="auto"/>
                <w:kern w:val="0"/>
                <w:sz w:val="22"/>
                <w:szCs w:val="22"/>
                <w:highlight w:val="none"/>
              </w:rPr>
              <w:t>所</w:t>
            </w:r>
            <w:r>
              <w:rPr>
                <w:rFonts w:hint="eastAsia" w:ascii="新宋体" w:hAnsi="新宋体" w:eastAsia="新宋体" w:cs="新宋体"/>
                <w:color w:val="auto"/>
                <w:kern w:val="0"/>
                <w:sz w:val="22"/>
                <w:szCs w:val="22"/>
                <w:highlight w:val="none"/>
                <w:lang w:val="zh-CN"/>
              </w:rPr>
              <w:t>属</w:t>
            </w:r>
            <w:r>
              <w:rPr>
                <w:rFonts w:hint="eastAsia" w:ascii="新宋体" w:hAnsi="新宋体" w:eastAsia="新宋体" w:cs="新宋体"/>
                <w:color w:val="auto"/>
                <w:kern w:val="0"/>
                <w:sz w:val="22"/>
                <w:szCs w:val="22"/>
                <w:highlight w:val="none"/>
              </w:rPr>
              <w:t>行业为</w:t>
            </w:r>
            <w:r>
              <w:rPr>
                <w:rFonts w:hint="eastAsia" w:ascii="新宋体" w:hAnsi="新宋体" w:eastAsia="新宋体" w:cs="新宋体"/>
                <w:color w:val="auto"/>
                <w:kern w:val="0"/>
                <w:sz w:val="22"/>
                <w:szCs w:val="22"/>
                <w:highlight w:val="none"/>
                <w:lang w:val="zh-CN"/>
              </w:rPr>
              <w:t>【批发业】，要求</w:t>
            </w:r>
            <w:r>
              <w:rPr>
                <w:rFonts w:hint="eastAsia" w:ascii="新宋体" w:hAnsi="新宋体" w:eastAsia="新宋体" w:cs="新宋体"/>
                <w:color w:val="auto"/>
                <w:kern w:val="0"/>
                <w:sz w:val="22"/>
                <w:szCs w:val="22"/>
                <w:highlight w:val="none"/>
              </w:rPr>
              <w:t>供应商</w:t>
            </w:r>
            <w:r>
              <w:rPr>
                <w:rFonts w:hint="eastAsia" w:ascii="新宋体" w:hAnsi="新宋体" w:eastAsia="新宋体" w:cs="新宋体"/>
                <w:color w:val="auto"/>
                <w:kern w:val="0"/>
                <w:sz w:val="22"/>
                <w:szCs w:val="22"/>
                <w:highlight w:val="none"/>
                <w:lang w:val="zh-CN"/>
              </w:rPr>
              <w:t>为中小企业/小微企业。中小企业是指满足《政府采购促进中小企业发展管理办法》（财库〔2020〕46 号）第二条规定的企业，监狱企业、残疾人福利性单位视为中小企业。</w:t>
            </w:r>
          </w:p>
          <w:p w14:paraId="54EEF5ED">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zh-CN"/>
              </w:rPr>
              <w:t>特殊资格条件：具备有效的食品经营许可证。</w:t>
            </w:r>
          </w:p>
        </w:tc>
      </w:tr>
      <w:tr w14:paraId="11410BA9">
        <w:tblPrEx>
          <w:tblCellMar>
            <w:top w:w="0" w:type="dxa"/>
            <w:left w:w="108" w:type="dxa"/>
            <w:bottom w:w="0" w:type="dxa"/>
            <w:right w:w="108" w:type="dxa"/>
          </w:tblCellMar>
        </w:tblPrEx>
        <w:trPr>
          <w:trHeight w:val="63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18F311B">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14:paraId="58DF5911">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14:paraId="40D60F4E">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vAlign w:val="center"/>
          </w:tcPr>
          <w:p w14:paraId="4D988089">
            <w:pPr>
              <w:keepLines w:val="0"/>
              <w:pageBreakBefore w:val="0"/>
              <w:widowControl/>
              <w:kinsoku/>
              <w:wordWrap/>
              <w:overflowPunct/>
              <w:topLinePunct w:val="0"/>
              <w:bidi w:val="0"/>
              <w:spacing w:line="312" w:lineRule="auto"/>
              <w:jc w:val="left"/>
              <w:rPr>
                <w:rFonts w:ascii="宋体" w:hAnsi="宋体" w:cs="宋体"/>
                <w:color w:val="auto"/>
                <w:sz w:val="22"/>
                <w:szCs w:val="22"/>
                <w:highlight w:val="none"/>
              </w:rPr>
            </w:pPr>
            <w:r>
              <w:rPr>
                <w:rFonts w:hint="eastAsia" w:ascii="宋体" w:hAnsi="宋体" w:cs="宋体"/>
                <w:b/>
                <w:bCs/>
                <w:color w:val="auto"/>
                <w:sz w:val="22"/>
                <w:szCs w:val="22"/>
                <w:highlight w:val="none"/>
              </w:rPr>
              <w:t>不接受，</w:t>
            </w:r>
            <w:r>
              <w:rPr>
                <w:rFonts w:hint="eastAsia" w:ascii="宋体" w:hAnsi="宋体" w:cs="宋体"/>
                <w:color w:val="auto"/>
                <w:sz w:val="22"/>
                <w:szCs w:val="22"/>
                <w:highlight w:val="none"/>
              </w:rPr>
              <w:t>本项目不属于技术复杂、需跨专业合作项目，为保障合同执行管理的便捷性，谢绝联合体参与项目投标响应。</w:t>
            </w:r>
          </w:p>
        </w:tc>
      </w:tr>
      <w:tr w14:paraId="0DA21005">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0D7F679">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14:paraId="7CD119D3">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14:paraId="730F2C7C">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14:paraId="2BD7C791">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14:paraId="16912E8E">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E974584">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14:paraId="6B09EB8B">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14:paraId="685E3A79">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14:paraId="1D8DE020">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14:paraId="028FBAC3">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5434883">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14:paraId="02DCF658">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14:paraId="63A97B7D">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2025年XX月XX日09时00分</w:t>
            </w:r>
          </w:p>
        </w:tc>
      </w:tr>
      <w:tr w14:paraId="217B392B">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64AEFC5">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14:paraId="713CE839">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14:paraId="13624B8F">
            <w:pPr>
              <w:keepLines w:val="0"/>
              <w:pageBreakBefore w:val="0"/>
              <w:kinsoku/>
              <w:wordWrap/>
              <w:overflowPunct/>
              <w:topLinePunct w:val="0"/>
              <w:bidi w:val="0"/>
              <w:spacing w:line="312" w:lineRule="auto"/>
              <w:rPr>
                <w:rFonts w:ascii="宋体" w:hAnsi="宋体" w:cs="宋体"/>
                <w:bCs/>
                <w:color w:val="auto"/>
                <w:kern w:val="0"/>
                <w:sz w:val="22"/>
                <w:szCs w:val="22"/>
                <w:highlight w:val="none"/>
              </w:rPr>
            </w:pPr>
            <w:r>
              <w:rPr>
                <w:rFonts w:hint="eastAsia" w:ascii="新宋体" w:hAnsi="新宋体" w:eastAsia="新宋体" w:cs="新宋体"/>
                <w:b/>
                <w:bCs/>
                <w:color w:val="auto"/>
                <w:kern w:val="0"/>
                <w:sz w:val="22"/>
                <w:szCs w:val="22"/>
                <w:highlight w:val="none"/>
              </w:rPr>
              <w:t>不允许，</w:t>
            </w:r>
            <w:r>
              <w:rPr>
                <w:rFonts w:hint="eastAsia" w:ascii="新宋体" w:hAnsi="新宋体" w:eastAsia="新宋体" w:cs="新宋体"/>
                <w:color w:val="auto"/>
                <w:kern w:val="0"/>
                <w:sz w:val="22"/>
                <w:szCs w:val="22"/>
                <w:highlight w:val="none"/>
              </w:rPr>
              <w:t>本项目不属于技术复杂、需跨专业合作项目，为保障合同执行管理的便捷性，不接受投标人提出任何形式的合同内容分包方案。</w:t>
            </w:r>
          </w:p>
        </w:tc>
      </w:tr>
      <w:tr w14:paraId="454E338A">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F7BB809">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14:paraId="2D539810">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14:paraId="1B1C0702">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769405E7">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E20E2AA">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14:paraId="4654362E">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14:paraId="656634E9">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14:paraId="26F621F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F9642EE">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14:paraId="51594734">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14:paraId="3EB43B36">
            <w:pPr>
              <w:keepLines w:val="0"/>
              <w:pageBreakBefore w:val="0"/>
              <w:kinsoku/>
              <w:wordWrap/>
              <w:overflowPunct/>
              <w:topLinePunct w:val="0"/>
              <w:bidi w:val="0"/>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14:paraId="6EEBA57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12BDA78">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2037" w:type="dxa"/>
            <w:tcBorders>
              <w:top w:val="single" w:color="auto" w:sz="4" w:space="0"/>
              <w:left w:val="single" w:color="auto" w:sz="4" w:space="0"/>
              <w:bottom w:val="single" w:color="auto" w:sz="4" w:space="0"/>
              <w:right w:val="single" w:color="auto" w:sz="4" w:space="0"/>
            </w:tcBorders>
            <w:vAlign w:val="center"/>
          </w:tcPr>
          <w:p w14:paraId="3C3857C2">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14:paraId="6FCFD2F6">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14:paraId="69AECC2D">
        <w:tblPrEx>
          <w:tblCellMar>
            <w:top w:w="0" w:type="dxa"/>
            <w:left w:w="108" w:type="dxa"/>
            <w:bottom w:w="0" w:type="dxa"/>
            <w:right w:w="108" w:type="dxa"/>
          </w:tblCellMar>
        </w:tblPrEx>
        <w:trPr>
          <w:trHeight w:val="1469"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D40A2C2">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14:paraId="663C77DF">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14:paraId="0184A6BA">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投标文件的相应位置应加盖：</w:t>
            </w:r>
          </w:p>
          <w:p w14:paraId="56B0265B">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（1）单位公章；</w:t>
            </w:r>
          </w:p>
          <w:p w14:paraId="168A9894">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（2）法定代表人（单位负责人）或被授权人签字或盖章（如为被授权人签字或盖章的须提供法定代表人（单位负责人）授权委托书）。</w:t>
            </w:r>
          </w:p>
        </w:tc>
      </w:tr>
      <w:tr w14:paraId="7D69210E">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255C5D4">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2037" w:type="dxa"/>
            <w:tcBorders>
              <w:top w:val="single" w:color="auto" w:sz="4" w:space="0"/>
              <w:left w:val="single" w:color="auto" w:sz="4" w:space="0"/>
              <w:bottom w:val="single" w:color="auto" w:sz="4" w:space="0"/>
              <w:right w:val="single" w:color="auto" w:sz="4" w:space="0"/>
            </w:tcBorders>
            <w:vAlign w:val="center"/>
          </w:tcPr>
          <w:p w14:paraId="1B97211B">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14:paraId="52341E46">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（1）资格审查资料一式5份，正本1份，副本4份；</w:t>
            </w:r>
          </w:p>
          <w:p w14:paraId="23A8C30F">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（2）技术资信标一式5份，正本1份，副本4份；</w:t>
            </w:r>
          </w:p>
          <w:p w14:paraId="0AC5DAE8">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（3）商务报价标一式5份，正本1份，副本4份。</w:t>
            </w:r>
          </w:p>
          <w:p w14:paraId="433137A1">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（4）“资格审查资料”、“技术资信标”、“商务报价标”三份文件正本盖章扫描件密封于U盘内与纸质投标文件一并提交，用于后续电子存档，不作为评审依据。</w:t>
            </w:r>
          </w:p>
          <w:p w14:paraId="5219895E">
            <w:pPr>
              <w:keepLines w:val="0"/>
              <w:pageBreakBefore w:val="0"/>
              <w:kinsoku/>
              <w:wordWrap/>
              <w:overflowPunct/>
              <w:topLinePunct w:val="0"/>
              <w:autoSpaceDE w:val="0"/>
              <w:autoSpaceDN w:val="0"/>
              <w:bidi w:val="0"/>
              <w:adjustRightInd w:val="0"/>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zh-CN"/>
              </w:rPr>
              <w:t>）投标文件“资格审查资料”、“技术资信标”、“商务报价标”分别密封于各自包封袋中，并加盖密封印章，并在封套的封口处加盖投标供应商单位章，并由法定代表人或其授权代表签字。</w:t>
            </w:r>
          </w:p>
        </w:tc>
      </w:tr>
      <w:tr w14:paraId="308CF035">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DD33616">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2037" w:type="dxa"/>
            <w:tcBorders>
              <w:top w:val="single" w:color="auto" w:sz="4" w:space="0"/>
              <w:left w:val="single" w:color="auto" w:sz="4" w:space="0"/>
              <w:bottom w:val="single" w:color="auto" w:sz="4" w:space="0"/>
              <w:right w:val="single" w:color="auto" w:sz="4" w:space="0"/>
            </w:tcBorders>
            <w:vAlign w:val="center"/>
          </w:tcPr>
          <w:p w14:paraId="7A158C7F">
            <w:pPr>
              <w:keepLines w:val="0"/>
              <w:pageBreakBefore w:val="0"/>
              <w:kinsoku/>
              <w:wordWrap/>
              <w:overflowPunct/>
              <w:topLinePunct w:val="0"/>
              <w:bidi w:val="0"/>
              <w:spacing w:line="312" w:lineRule="auto"/>
              <w:ind w:firstLine="2" w:firstLineChars="1"/>
              <w:jc w:val="center"/>
              <w:rPr>
                <w:rFonts w:ascii="宋体" w:hAnsi="宋体" w:cs="宋体"/>
                <w:color w:val="auto"/>
                <w:kern w:val="0"/>
                <w:sz w:val="22"/>
                <w:szCs w:val="22"/>
                <w:highlight w:val="none"/>
                <w:lang w:val="zh-CN"/>
              </w:rPr>
            </w:pPr>
            <w:r>
              <w:rPr>
                <w:rFonts w:hint="eastAsia" w:cs="新宋体" w:asciiTheme="majorEastAsia" w:hAnsiTheme="majorEastAsia" w:eastAsiaTheme="majorEastAsia"/>
                <w:color w:val="auto"/>
                <w:kern w:val="0"/>
                <w:szCs w:val="22"/>
                <w:highlight w:val="none"/>
              </w:rPr>
              <w:t>开评标程序</w:t>
            </w:r>
          </w:p>
        </w:tc>
        <w:tc>
          <w:tcPr>
            <w:tcW w:w="7419" w:type="dxa"/>
            <w:tcBorders>
              <w:top w:val="single" w:color="auto" w:sz="4" w:space="0"/>
              <w:left w:val="single" w:color="auto" w:sz="4" w:space="0"/>
              <w:bottom w:val="single" w:color="auto" w:sz="4" w:space="0"/>
              <w:right w:val="single" w:color="auto" w:sz="4" w:space="0"/>
            </w:tcBorders>
            <w:vAlign w:val="center"/>
          </w:tcPr>
          <w:p w14:paraId="41D3CD2B">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（1）宣布开标纪律；</w:t>
            </w:r>
          </w:p>
          <w:p w14:paraId="2A695656">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（2）公布在投标截止时间前递交投标文件的供应商名称，并点名确认供应商是否派被授权人到场；</w:t>
            </w:r>
          </w:p>
          <w:p w14:paraId="281B693C">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（3）宣布唱标人、记录人、监督人员等有关人员姓名；</w:t>
            </w:r>
          </w:p>
          <w:p w14:paraId="7928C842">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（4）密封情况检查：由监督人员或供应商推选的代表检查投标文件密封情况；</w:t>
            </w:r>
          </w:p>
          <w:p w14:paraId="1BCD7749">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（5）开标顺序：供应商送达投标文件的逆序；开启各供应商的投标文件；</w:t>
            </w:r>
          </w:p>
          <w:p w14:paraId="1A326804">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（6）确认开标结果：供应商被授权人对开标记录进行当场校核及勘误，并签字确认；并同时由记录人、监督人当场签字确认。</w:t>
            </w:r>
          </w:p>
          <w:p w14:paraId="134153E7">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（7）宣布开标结束。</w:t>
            </w:r>
          </w:p>
          <w:p w14:paraId="12A63453">
            <w:pPr>
              <w:keepLines w:val="0"/>
              <w:pageBreakBefore w:val="0"/>
              <w:kinsoku/>
              <w:wordWrap/>
              <w:overflowPunct/>
              <w:topLinePunct w:val="0"/>
              <w:bidi w:val="0"/>
              <w:spacing w:line="312" w:lineRule="auto"/>
              <w:ind w:right="71" w:firstLine="2" w:firstLineChars="1"/>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（8）供应商被授权人未参加开标会议；未到场签字确认的，不影响开标，评标过程，视同认可开标结果；事后不得对采购相关人员、开标过程和开标结果提出异议。</w:t>
            </w:r>
          </w:p>
          <w:p w14:paraId="7B63A34E">
            <w:pPr>
              <w:keepLines w:val="0"/>
              <w:pageBreakBefore w:val="0"/>
              <w:kinsoku/>
              <w:wordWrap/>
              <w:overflowPunct/>
              <w:topLinePunct w:val="0"/>
              <w:bidi w:val="0"/>
              <w:spacing w:line="312" w:lineRule="auto"/>
              <w:ind w:right="71" w:firstLine="2" w:firstLineChars="1"/>
              <w:rPr>
                <w:rFonts w:ascii="宋体" w:hAnsi="宋体" w:cs="宋体"/>
                <w:color w:val="auto"/>
                <w:kern w:val="0"/>
                <w:sz w:val="22"/>
                <w:szCs w:val="22"/>
                <w:highlight w:val="none"/>
                <w:lang w:val="zh-CN"/>
              </w:rPr>
            </w:pPr>
            <w:r>
              <w:rPr>
                <w:rFonts w:hint="eastAsia" w:cs="新宋体" w:asciiTheme="majorEastAsia" w:hAnsiTheme="majorEastAsia" w:eastAsiaTheme="majorEastAsia"/>
                <w:color w:val="auto"/>
                <w:kern w:val="0"/>
                <w:szCs w:val="22"/>
                <w:highlight w:val="none"/>
              </w:rPr>
              <w:t>（9）将开启的投标文件送交评标委员会评审。</w:t>
            </w:r>
          </w:p>
        </w:tc>
      </w:tr>
      <w:tr w14:paraId="2705E08F">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FA662C2">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2037" w:type="dxa"/>
            <w:tcBorders>
              <w:top w:val="single" w:color="auto" w:sz="4" w:space="0"/>
              <w:left w:val="single" w:color="auto" w:sz="4" w:space="0"/>
              <w:bottom w:val="single" w:color="auto" w:sz="4" w:space="0"/>
              <w:right w:val="single" w:color="auto" w:sz="4" w:space="0"/>
            </w:tcBorders>
            <w:vAlign w:val="center"/>
          </w:tcPr>
          <w:p w14:paraId="3D1C0175">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14:paraId="18A476FF">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14:paraId="55CD7C4C">
            <w:pPr>
              <w:keepLines w:val="0"/>
              <w:pageBreakBefore w:val="0"/>
              <w:kinsoku/>
              <w:wordWrap/>
              <w:overflowPunct/>
              <w:topLinePunct w:val="0"/>
              <w:bidi w:val="0"/>
              <w:spacing w:line="312" w:lineRule="auto"/>
              <w:rPr>
                <w:rFonts w:ascii="宋体" w:hAnsi="宋体" w:cs="宋体"/>
                <w:color w:val="auto"/>
                <w:kern w:val="0"/>
                <w:sz w:val="22"/>
                <w:szCs w:val="22"/>
                <w:highlight w:val="none"/>
                <w:lang w:val="zh-CN"/>
              </w:rPr>
            </w:pPr>
            <w:r>
              <w:rPr>
                <w:rFonts w:hint="eastAsia" w:ascii="宋体" w:hAnsi="宋体" w:cs="宋体"/>
                <w:bCs/>
                <w:color w:val="auto"/>
                <w:kern w:val="0"/>
                <w:sz w:val="22"/>
                <w:szCs w:val="22"/>
                <w:highlight w:val="none"/>
              </w:rPr>
              <w:t>温州市会展路119号温州市消防救援支队8楼开标室</w:t>
            </w:r>
          </w:p>
        </w:tc>
      </w:tr>
      <w:tr w14:paraId="20996AE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CDDB7E0">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2037" w:type="dxa"/>
            <w:tcBorders>
              <w:top w:val="single" w:color="auto" w:sz="4" w:space="0"/>
              <w:left w:val="single" w:color="auto" w:sz="4" w:space="0"/>
              <w:bottom w:val="single" w:color="auto" w:sz="4" w:space="0"/>
              <w:right w:val="single" w:color="auto" w:sz="4" w:space="0"/>
            </w:tcBorders>
            <w:vAlign w:val="center"/>
          </w:tcPr>
          <w:p w14:paraId="11B01191">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2A98F9C8">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7419" w:type="dxa"/>
            <w:tcBorders>
              <w:top w:val="single" w:color="auto" w:sz="4" w:space="0"/>
              <w:left w:val="single" w:color="auto" w:sz="4" w:space="0"/>
              <w:bottom w:val="single" w:color="auto" w:sz="4" w:space="0"/>
              <w:right w:val="single" w:color="auto" w:sz="4" w:space="0"/>
            </w:tcBorders>
            <w:vAlign w:val="center"/>
          </w:tcPr>
          <w:p w14:paraId="09EA4FE4">
            <w:pPr>
              <w:pStyle w:val="2"/>
              <w:keepLines w:val="0"/>
              <w:pageBreakBefore w:val="0"/>
              <w:kinsoku/>
              <w:wordWrap/>
              <w:overflowPunct/>
              <w:topLinePunct w:val="0"/>
              <w:bidi w:val="0"/>
              <w:spacing w:line="312" w:lineRule="auto"/>
              <w:jc w:val="both"/>
              <w:rPr>
                <w:rFonts w:hint="eastAsia" w:ascii="宋体" w:hAnsi="宋体" w:eastAsia="宋体" w:cs="宋体"/>
                <w:b w:val="0"/>
                <w:bCs/>
                <w:color w:val="auto"/>
                <w:kern w:val="0"/>
                <w:sz w:val="22"/>
                <w:szCs w:val="22"/>
                <w:highlight w:val="none"/>
                <w:lang w:val="zh-CN" w:eastAsia="zh-CN" w:bidi="ar-SA"/>
              </w:rPr>
            </w:pPr>
            <w:r>
              <w:rPr>
                <w:rFonts w:hint="eastAsia" w:ascii="宋体" w:hAnsi="宋体" w:eastAsia="宋体" w:cs="宋体"/>
                <w:b w:val="0"/>
                <w:bCs/>
                <w:color w:val="auto"/>
                <w:kern w:val="0"/>
                <w:sz w:val="22"/>
                <w:szCs w:val="22"/>
                <w:highlight w:val="none"/>
                <w:lang w:val="zh-CN" w:eastAsia="zh-CN" w:bidi="ar-SA"/>
              </w:rPr>
              <w:t>开标时间：2025年XX月XX日09时00分</w:t>
            </w:r>
          </w:p>
          <w:p w14:paraId="0B614E16">
            <w:pPr>
              <w:pStyle w:val="2"/>
              <w:keepLines w:val="0"/>
              <w:pageBreakBefore w:val="0"/>
              <w:kinsoku/>
              <w:wordWrap/>
              <w:overflowPunct/>
              <w:topLinePunct w:val="0"/>
              <w:bidi w:val="0"/>
              <w:spacing w:line="312" w:lineRule="auto"/>
              <w:jc w:val="both"/>
              <w:rPr>
                <w:rFonts w:hint="eastAsia" w:ascii="宋体" w:hAnsi="宋体" w:eastAsia="宋体" w:cs="宋体"/>
                <w:b w:val="0"/>
                <w:bCs/>
                <w:color w:val="auto"/>
                <w:kern w:val="0"/>
                <w:sz w:val="22"/>
                <w:szCs w:val="22"/>
                <w:highlight w:val="none"/>
                <w:lang w:val="zh-CN" w:eastAsia="zh-CN" w:bidi="ar-SA"/>
              </w:rPr>
            </w:pPr>
            <w:r>
              <w:rPr>
                <w:rFonts w:hint="eastAsia" w:ascii="宋体" w:hAnsi="宋体" w:eastAsia="宋体" w:cs="宋体"/>
                <w:b w:val="0"/>
                <w:bCs/>
                <w:color w:val="auto"/>
                <w:kern w:val="0"/>
                <w:sz w:val="22"/>
                <w:szCs w:val="22"/>
                <w:highlight w:val="none"/>
                <w:lang w:val="zh-CN" w:eastAsia="zh-CN" w:bidi="ar-SA"/>
              </w:rPr>
              <w:t>开标地点：温州市会展路119号温州市消防救援支队8楼开标室</w:t>
            </w:r>
          </w:p>
          <w:p w14:paraId="0078E004">
            <w:pPr>
              <w:pStyle w:val="2"/>
              <w:keepLines w:val="0"/>
              <w:pageBreakBefore w:val="0"/>
              <w:kinsoku/>
              <w:wordWrap/>
              <w:overflowPunct/>
              <w:topLinePunct w:val="0"/>
              <w:bidi w:val="0"/>
              <w:spacing w:line="312" w:lineRule="auto"/>
              <w:jc w:val="both"/>
              <w:rPr>
                <w:color w:val="auto"/>
                <w:highlight w:val="none"/>
                <w:lang w:val="zh-CN"/>
              </w:rPr>
            </w:pPr>
            <w:r>
              <w:rPr>
                <w:rFonts w:hint="eastAsia" w:ascii="宋体" w:hAnsi="宋体" w:eastAsia="宋体" w:cs="宋体"/>
                <w:b w:val="0"/>
                <w:bCs/>
                <w:color w:val="auto"/>
                <w:kern w:val="0"/>
                <w:sz w:val="22"/>
                <w:szCs w:val="22"/>
                <w:highlight w:val="none"/>
                <w:lang w:val="zh-CN" w:eastAsia="zh-CN" w:bidi="ar-SA"/>
              </w:rPr>
              <w:t>评标地点：温州市会展路119号温州市消防救援支队8楼评标室</w:t>
            </w:r>
          </w:p>
        </w:tc>
      </w:tr>
      <w:tr w14:paraId="465C80B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BA5FB62">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2037" w:type="dxa"/>
            <w:tcBorders>
              <w:top w:val="single" w:color="auto" w:sz="4" w:space="0"/>
              <w:left w:val="single" w:color="auto" w:sz="4" w:space="0"/>
              <w:bottom w:val="single" w:color="auto" w:sz="4" w:space="0"/>
              <w:right w:val="single" w:color="auto" w:sz="4" w:space="0"/>
            </w:tcBorders>
            <w:vAlign w:val="center"/>
          </w:tcPr>
          <w:p w14:paraId="41B282AA">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19584844">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vAlign w:val="center"/>
          </w:tcPr>
          <w:p w14:paraId="12FC201E">
            <w:pPr>
              <w:keepLines w:val="0"/>
              <w:pageBreakBefore w:val="0"/>
              <w:kinsoku/>
              <w:wordWrap/>
              <w:overflowPunct/>
              <w:topLinePunct w:val="0"/>
              <w:bidi w:val="0"/>
              <w:spacing w:line="312" w:lineRule="auto"/>
              <w:rPr>
                <w:rFonts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50C6C80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DBEF512">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2037" w:type="dxa"/>
            <w:tcBorders>
              <w:top w:val="single" w:color="auto" w:sz="4" w:space="0"/>
              <w:left w:val="single" w:color="auto" w:sz="4" w:space="0"/>
              <w:bottom w:val="single" w:color="auto" w:sz="4" w:space="0"/>
              <w:right w:val="single" w:color="auto" w:sz="4" w:space="0"/>
            </w:tcBorders>
            <w:vAlign w:val="center"/>
          </w:tcPr>
          <w:p w14:paraId="6192C082">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履约保证金</w:t>
            </w:r>
          </w:p>
        </w:tc>
        <w:tc>
          <w:tcPr>
            <w:tcW w:w="7419" w:type="dxa"/>
            <w:tcBorders>
              <w:top w:val="single" w:color="auto" w:sz="4" w:space="0"/>
              <w:left w:val="single" w:color="auto" w:sz="4" w:space="0"/>
              <w:bottom w:val="single" w:color="auto" w:sz="4" w:space="0"/>
              <w:right w:val="single" w:color="auto" w:sz="4" w:space="0"/>
            </w:tcBorders>
            <w:vAlign w:val="center"/>
          </w:tcPr>
          <w:p w14:paraId="20ACDA08">
            <w:pPr>
              <w:keepLines w:val="0"/>
              <w:pageBreakBefore w:val="0"/>
              <w:kinsoku/>
              <w:wordWrap/>
              <w:overflowPunct/>
              <w:topLinePunct w:val="0"/>
              <w:bidi w:val="0"/>
              <w:snapToGrid w:val="0"/>
              <w:spacing w:line="312"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00FE"/>
            </w:r>
            <w:r>
              <w:rPr>
                <w:rFonts w:hint="eastAsia" w:ascii="宋体" w:hAnsi="宋体" w:cs="宋体"/>
                <w:color w:val="auto"/>
                <w:kern w:val="0"/>
                <w:sz w:val="22"/>
                <w:szCs w:val="22"/>
                <w:highlight w:val="none"/>
              </w:rPr>
              <w:t>需要，人民币贰万元整</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¥20000.00</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本</w:t>
            </w:r>
            <w:r>
              <w:rPr>
                <w:rFonts w:hint="eastAsia" w:ascii="宋体" w:hAnsi="宋体" w:cs="宋体"/>
                <w:color w:val="auto"/>
                <w:kern w:val="0"/>
                <w:sz w:val="22"/>
                <w:szCs w:val="22"/>
                <w:highlight w:val="none"/>
                <w:lang w:val="en-US" w:eastAsia="zh-CN"/>
              </w:rPr>
              <w:t>项目</w:t>
            </w:r>
            <w:r>
              <w:rPr>
                <w:rFonts w:hint="eastAsia" w:ascii="宋体" w:hAnsi="宋体" w:cs="宋体"/>
                <w:color w:val="auto"/>
                <w:kern w:val="0"/>
                <w:sz w:val="22"/>
                <w:szCs w:val="22"/>
                <w:highlight w:val="none"/>
              </w:rPr>
              <w:t>合同分别与苍南县消防救援大队和龙港市消防救援大队签订，履约保证金各壹万</w:t>
            </w:r>
            <w:r>
              <w:rPr>
                <w:rFonts w:hint="eastAsia" w:ascii="宋体" w:hAnsi="宋体" w:cs="宋体"/>
                <w:color w:val="auto"/>
                <w:kern w:val="0"/>
                <w:sz w:val="22"/>
                <w:szCs w:val="22"/>
                <w:highlight w:val="none"/>
                <w:lang w:val="en-US" w:eastAsia="zh-CN"/>
              </w:rPr>
              <w:t>元整（¥10000.00）</w:t>
            </w:r>
            <w:r>
              <w:rPr>
                <w:rFonts w:hint="eastAsia" w:ascii="宋体" w:hAnsi="宋体" w:cs="宋体"/>
                <w:color w:val="auto"/>
                <w:kern w:val="0"/>
                <w:sz w:val="22"/>
                <w:szCs w:val="22"/>
                <w:highlight w:val="none"/>
              </w:rPr>
              <w:t>）</w:t>
            </w:r>
          </w:p>
          <w:p w14:paraId="78DFB583">
            <w:pPr>
              <w:keepLines w:val="0"/>
              <w:pageBreakBefore w:val="0"/>
              <w:kinsoku/>
              <w:wordWrap/>
              <w:overflowPunct/>
              <w:topLinePunct w:val="0"/>
              <w:bidi w:val="0"/>
              <w:snapToGrid w:val="0"/>
              <w:spacing w:line="312" w:lineRule="auto"/>
              <w:rPr>
                <w:rFonts w:ascii="宋体" w:hAnsi="宋体" w:cs="宋体"/>
                <w:color w:val="auto"/>
                <w:kern w:val="0"/>
                <w:sz w:val="22"/>
                <w:szCs w:val="22"/>
                <w:highlight w:val="none"/>
              </w:rPr>
            </w:pPr>
            <w:r>
              <w:rPr>
                <w:rFonts w:eastAsia="新宋体"/>
                <w:color w:val="auto"/>
                <w:sz w:val="22"/>
                <w:szCs w:val="22"/>
                <w:highlight w:val="none"/>
              </w:rPr>
              <w:t xml:space="preserve">履约担保的形式：银行转帐或者银行保函等非现金模式。  </w:t>
            </w:r>
            <w:r>
              <w:rPr>
                <w:rFonts w:hint="eastAsia" w:ascii="宋体" w:hAnsi="宋体" w:cs="宋体"/>
                <w:color w:val="auto"/>
                <w:kern w:val="0"/>
                <w:sz w:val="22"/>
                <w:szCs w:val="22"/>
                <w:highlight w:val="none"/>
              </w:rPr>
              <w:t xml:space="preserve"> </w:t>
            </w:r>
          </w:p>
        </w:tc>
      </w:tr>
      <w:tr w14:paraId="3203DF74">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F585624">
            <w:pPr>
              <w:keepLines w:val="0"/>
              <w:pageBreakBefore w:val="0"/>
              <w:kinsoku/>
              <w:wordWrap/>
              <w:overflowPunct/>
              <w:topLinePunct w:val="0"/>
              <w:autoSpaceDE w:val="0"/>
              <w:autoSpaceDN w:val="0"/>
              <w:bidi w:val="0"/>
              <w:adjustRightInd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2037" w:type="dxa"/>
            <w:tcBorders>
              <w:top w:val="single" w:color="auto" w:sz="4" w:space="0"/>
              <w:left w:val="single" w:color="auto" w:sz="4" w:space="0"/>
              <w:bottom w:val="single" w:color="auto" w:sz="4" w:space="0"/>
              <w:right w:val="single" w:color="auto" w:sz="4" w:space="0"/>
            </w:tcBorders>
            <w:vAlign w:val="center"/>
          </w:tcPr>
          <w:p w14:paraId="20141D56">
            <w:pPr>
              <w:keepLines w:val="0"/>
              <w:pageBreakBefore w:val="0"/>
              <w:kinsoku/>
              <w:wordWrap/>
              <w:overflowPunct/>
              <w:topLinePunct w:val="0"/>
              <w:bidi w:val="0"/>
              <w:adjustRightInd w:val="0"/>
              <w:spacing w:line="312" w:lineRule="auto"/>
              <w:jc w:val="left"/>
              <w:rPr>
                <w:rFonts w:ascii="宋体" w:hAnsi="宋体"/>
                <w:b/>
                <w:color w:val="auto"/>
                <w:kern w:val="0"/>
                <w:sz w:val="22"/>
                <w:szCs w:val="22"/>
                <w:highlight w:val="none"/>
                <w:lang w:val="zh-CN"/>
              </w:rPr>
            </w:pPr>
            <w:r>
              <w:rPr>
                <w:rFonts w:hint="eastAsia" w:ascii="宋体" w:hAnsi="宋体" w:cs="新宋体"/>
                <w:b/>
                <w:color w:val="auto"/>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vAlign w:val="center"/>
          </w:tcPr>
          <w:p w14:paraId="6D85D8AF">
            <w:pPr>
              <w:keepLines w:val="0"/>
              <w:pageBreakBefore w:val="0"/>
              <w:kinsoku/>
              <w:wordWrap/>
              <w:overflowPunct/>
              <w:topLinePunct w:val="0"/>
              <w:bidi w:val="0"/>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1.本项目属于预留份额专门面向中小企业/小微企业采购项目，监狱企业、残疾人福利性单位视为中小企业。</w:t>
            </w:r>
          </w:p>
          <w:p w14:paraId="528C6B5A">
            <w:pPr>
              <w:keepLines w:val="0"/>
              <w:pageBreakBefore w:val="0"/>
              <w:kinsoku/>
              <w:wordWrap/>
              <w:overflowPunct/>
              <w:topLinePunct w:val="0"/>
              <w:bidi w:val="0"/>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2.中小企业/小微企业为满足转发财政部 工业和信息化部关于印发《政府采购促进中小企业发展管理办法》（财库﹝2020﹞46 号）的规定的中小企业。</w:t>
            </w:r>
          </w:p>
          <w:p w14:paraId="4F9FAB17">
            <w:pPr>
              <w:keepLines w:val="0"/>
              <w:pageBreakBefore w:val="0"/>
              <w:kinsoku/>
              <w:wordWrap/>
              <w:overflowPunct/>
              <w:topLinePunct w:val="0"/>
              <w:bidi w:val="0"/>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3.专门面向中小企业/小微企业采购的项目，不再执行价格评审优惠的扶持政策。</w:t>
            </w:r>
          </w:p>
          <w:p w14:paraId="40D50171">
            <w:pPr>
              <w:keepLines w:val="0"/>
              <w:pageBreakBefore w:val="0"/>
              <w:kinsoku/>
              <w:wordWrap/>
              <w:overflowPunct/>
              <w:topLinePunct w:val="0"/>
              <w:bidi w:val="0"/>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4.依据《政府采购促进中小企业发展管理办法》（财库﹝2020﹞46 号）规定享受扶持政策获得政府采购合同的，小微企业不得将合同分包给大中型企业，中型企业不得将合同分包给大型企业。</w:t>
            </w:r>
          </w:p>
          <w:p w14:paraId="2C0C8133">
            <w:pPr>
              <w:pStyle w:val="16"/>
              <w:keepLines w:val="0"/>
              <w:pageBreakBefore w:val="0"/>
              <w:kinsoku/>
              <w:wordWrap/>
              <w:overflowPunct/>
              <w:topLinePunct w:val="0"/>
              <w:bidi w:val="0"/>
              <w:spacing w:line="312" w:lineRule="auto"/>
              <w:ind w:firstLine="0"/>
              <w:rPr>
                <w:color w:val="auto"/>
                <w:highlight w:val="none"/>
              </w:rPr>
            </w:pPr>
            <w:r>
              <w:rPr>
                <w:rFonts w:hint="eastAsia" w:ascii="新宋体" w:hAnsi="新宋体" w:eastAsia="新宋体" w:cs="新宋体"/>
                <w:bCs/>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97D86F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CF17BD3">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14:paraId="6225489D">
            <w:pPr>
              <w:keepLines w:val="0"/>
              <w:pageBreakBefore w:val="0"/>
              <w:kinsoku/>
              <w:wordWrap/>
              <w:overflowPunct/>
              <w:topLinePunct w:val="0"/>
              <w:bidi w:val="0"/>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投标人信用</w:t>
            </w:r>
          </w:p>
          <w:p w14:paraId="68DC6C49">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vAlign w:val="center"/>
          </w:tcPr>
          <w:p w14:paraId="137D5212">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14:paraId="757F5FA8">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（2）供应商信用信息查询截止时点：公告发布至投标文件递交截止时间。</w:t>
            </w:r>
          </w:p>
          <w:p w14:paraId="69459B48">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14:paraId="77A4B618">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14:paraId="2C1801DB">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①在“信用中国”具有负面记录：列入失信被执行人、重大税收违法案件当事人名单、政府采购严重违法失信行为名单；</w:t>
            </w:r>
          </w:p>
          <w:p w14:paraId="46EA06FE">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②被“中国政府采购网”(www.ccgp.gov.cn)列入政府采购严重违法失信行为记录名单。</w:t>
            </w:r>
          </w:p>
          <w:p w14:paraId="4F17FB07">
            <w:pPr>
              <w:keepLines w:val="0"/>
              <w:pageBreakBefore w:val="0"/>
              <w:kinsoku/>
              <w:wordWrap/>
              <w:overflowPunct/>
              <w:topLinePunct w:val="0"/>
              <w:bidi w:val="0"/>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（5）具有以上（4）所述信息记录的供应商，其投标作无效投标处理。</w:t>
            </w:r>
          </w:p>
          <w:p w14:paraId="06FBE714">
            <w:pPr>
              <w:keepLines w:val="0"/>
              <w:pageBreakBefore w:val="0"/>
              <w:kinsoku/>
              <w:wordWrap/>
              <w:overflowPunct/>
              <w:topLinePunct w:val="0"/>
              <w:bidi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（6）▲</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0AD1AF9E">
            <w:pPr>
              <w:keepLines w:val="0"/>
              <w:pageBreakBefore w:val="0"/>
              <w:kinsoku/>
              <w:wordWrap/>
              <w:overflowPunct/>
              <w:topLinePunct w:val="0"/>
              <w:bidi w:val="0"/>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56F0822A">
            <w:pPr>
              <w:keepLines w:val="0"/>
              <w:pageBreakBefore w:val="0"/>
              <w:kinsoku/>
              <w:wordWrap/>
              <w:overflowPunct/>
              <w:topLinePunct w:val="0"/>
              <w:bidi w:val="0"/>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p w14:paraId="30DFE676">
            <w:pPr>
              <w:keepLines w:val="0"/>
              <w:pageBreakBefore w:val="0"/>
              <w:kinsoku/>
              <w:wordWrap/>
              <w:overflowPunct/>
              <w:topLinePunct w:val="0"/>
              <w:bidi w:val="0"/>
              <w:spacing w:line="312" w:lineRule="auto"/>
              <w:rPr>
                <w:rFonts w:ascii="宋体" w:hAnsi="宋体" w:cs="宋体"/>
                <w:color w:val="auto"/>
                <w:highlight w:val="none"/>
                <w:lang w:val="zh-CN"/>
              </w:rPr>
            </w:pPr>
            <w:r>
              <w:rPr>
                <w:rFonts w:hint="eastAsia" w:ascii="新宋体" w:hAnsi="新宋体" w:eastAsia="新宋体" w:cs="新宋体"/>
                <w:bCs/>
                <w:color w:val="auto"/>
                <w:sz w:val="22"/>
                <w:szCs w:val="22"/>
                <w:highlight w:val="none"/>
              </w:rPr>
              <w:t>（7）具体结果以开标当日采购人或采购代理机构对</w:t>
            </w:r>
            <w:r>
              <w:rPr>
                <w:rFonts w:hint="eastAsia" w:ascii="新宋体" w:hAnsi="新宋体" w:eastAsia="新宋体" w:cs="楷体"/>
                <w:color w:val="auto"/>
                <w:kern w:val="0"/>
                <w:sz w:val="22"/>
                <w:szCs w:val="22"/>
                <w:highlight w:val="none"/>
              </w:rPr>
              <w:t>供应商信用查询网页的</w:t>
            </w:r>
            <w:r>
              <w:rPr>
                <w:rFonts w:hint="eastAsia" w:ascii="新宋体" w:hAnsi="新宋体" w:eastAsia="新宋体" w:cs="新宋体"/>
                <w:bCs/>
                <w:color w:val="auto"/>
                <w:sz w:val="22"/>
                <w:szCs w:val="22"/>
                <w:highlight w:val="none"/>
              </w:rPr>
              <w:t>查询结果为准。</w:t>
            </w:r>
          </w:p>
        </w:tc>
      </w:tr>
      <w:tr w14:paraId="5EF77FF5">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72855DB">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14:paraId="1364A5AF">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14:paraId="1F9210BD">
            <w:pPr>
              <w:keepLines w:val="0"/>
              <w:pageBreakBefore w:val="0"/>
              <w:kinsoku/>
              <w:wordWrap/>
              <w:overflowPunct/>
              <w:topLinePunct w:val="0"/>
              <w:bidi w:val="0"/>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14:paraId="6B48DB1E">
            <w:pPr>
              <w:keepLines w:val="0"/>
              <w:pageBreakBefore w:val="0"/>
              <w:kinsoku/>
              <w:wordWrap/>
              <w:overflowPunct/>
              <w:topLinePunct w:val="0"/>
              <w:bidi w:val="0"/>
              <w:spacing w:line="312" w:lineRule="auto"/>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14:paraId="03587073">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617459F">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14:paraId="297C141B">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14:paraId="17E90FF8">
            <w:pPr>
              <w:keepLines w:val="0"/>
              <w:pageBreakBefore w:val="0"/>
              <w:kinsoku/>
              <w:wordWrap/>
              <w:overflowPunct/>
              <w:topLinePunct w:val="0"/>
              <w:bidi w:val="0"/>
              <w:spacing w:line="312" w:lineRule="auto"/>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FBD407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5F9137C">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14:paraId="42FACFA6">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14:paraId="6611536B">
            <w:pPr>
              <w:keepLines w:val="0"/>
              <w:pageBreakBefore w:val="0"/>
              <w:kinsoku/>
              <w:wordWrap/>
              <w:overflowPunct/>
              <w:topLinePunct w:val="0"/>
              <w:bidi w:val="0"/>
              <w:spacing w:line="312" w:lineRule="auto"/>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033C958">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DC8DA49">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14:paraId="19F53467">
            <w:pPr>
              <w:keepLines w:val="0"/>
              <w:pageBreakBefore w:val="0"/>
              <w:kinsoku/>
              <w:wordWrap/>
              <w:overflowPunct/>
              <w:topLinePunct w:val="0"/>
              <w:bidi w:val="0"/>
              <w:spacing w:line="312" w:lineRule="auto"/>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14:paraId="41F16FF6">
            <w:pPr>
              <w:keepLines w:val="0"/>
              <w:pageBreakBefore w:val="0"/>
              <w:kinsoku/>
              <w:wordWrap/>
              <w:overflowPunct/>
              <w:topLinePunct w:val="0"/>
              <w:bidi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（1）招标代理服务费按照《招标代理服务收费管理暂行办法》（计价格[2002]1980号）中招标代理服务收费标准（费率）的八折计收执行。</w:t>
            </w:r>
          </w:p>
          <w:p w14:paraId="5865FFE5">
            <w:pPr>
              <w:keepLines w:val="0"/>
              <w:pageBreakBefore w:val="0"/>
              <w:kinsoku/>
              <w:wordWrap/>
              <w:overflowPunct/>
              <w:topLinePunct w:val="0"/>
              <w:bidi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14:paraId="31016EAE">
            <w:pPr>
              <w:keepLines w:val="0"/>
              <w:pageBreakBefore w:val="0"/>
              <w:kinsoku/>
              <w:wordWrap/>
              <w:overflowPunct/>
              <w:topLinePunct w:val="0"/>
              <w:bidi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收款账户户名：温州市智信招标代理有限公司</w:t>
            </w:r>
          </w:p>
          <w:p w14:paraId="2B4E9567">
            <w:pPr>
              <w:keepLines w:val="0"/>
              <w:pageBreakBefore w:val="0"/>
              <w:kinsoku/>
              <w:wordWrap/>
              <w:overflowPunct/>
              <w:topLinePunct w:val="0"/>
              <w:bidi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收款账号：333504140018800009390</w:t>
            </w:r>
          </w:p>
          <w:p w14:paraId="582D5CEB">
            <w:pPr>
              <w:keepLines w:val="0"/>
              <w:pageBreakBefore w:val="0"/>
              <w:kinsoku/>
              <w:wordWrap/>
              <w:overflowPunct/>
              <w:topLinePunct w:val="0"/>
              <w:bidi w:val="0"/>
              <w:spacing w:line="312" w:lineRule="auto"/>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开户行：交通银行温州分行瓯海支行</w:t>
            </w:r>
          </w:p>
        </w:tc>
      </w:tr>
      <w:tr w14:paraId="09011283">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337500F">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14:paraId="495BD42D">
            <w:pPr>
              <w:keepLines w:val="0"/>
              <w:pageBreakBefore w:val="0"/>
              <w:kinsoku/>
              <w:wordWrap/>
              <w:overflowPunct/>
              <w:topLinePunct w:val="0"/>
              <w:bidi w:val="0"/>
              <w:spacing w:line="312" w:lineRule="auto"/>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项目类型及行业</w:t>
            </w:r>
          </w:p>
        </w:tc>
        <w:tc>
          <w:tcPr>
            <w:tcW w:w="7419" w:type="dxa"/>
            <w:tcBorders>
              <w:top w:val="single" w:color="auto" w:sz="4" w:space="0"/>
              <w:left w:val="single" w:color="auto" w:sz="4" w:space="0"/>
              <w:bottom w:val="single" w:color="auto" w:sz="4" w:space="0"/>
              <w:right w:val="single" w:color="auto" w:sz="4" w:space="0"/>
            </w:tcBorders>
            <w:vAlign w:val="center"/>
          </w:tcPr>
          <w:p w14:paraId="30FB92A6">
            <w:pPr>
              <w:keepLines w:val="0"/>
              <w:pageBreakBefore w:val="0"/>
              <w:kinsoku/>
              <w:wordWrap/>
              <w:overflowPunct/>
              <w:topLinePunct w:val="0"/>
              <w:bidi w:val="0"/>
              <w:spacing w:line="312" w:lineRule="auto"/>
              <w:ind w:firstLine="110" w:firstLineChars="50"/>
              <w:rPr>
                <w:rFonts w:ascii="宋体" w:hAnsi="宋体" w:cs="宋体"/>
                <w:color w:val="auto"/>
                <w:sz w:val="22"/>
                <w:szCs w:val="22"/>
                <w:highlight w:val="none"/>
                <w:lang w:val="zh-CN"/>
              </w:rPr>
            </w:pPr>
            <w:r>
              <w:rPr>
                <w:rFonts w:hint="eastAsia" w:ascii="宋体" w:hAnsi="宋体" w:cs="宋体"/>
                <w:b/>
                <w:bCs/>
                <w:color w:val="auto"/>
                <w:sz w:val="22"/>
                <w:szCs w:val="22"/>
                <w:highlight w:val="none"/>
              </w:rPr>
              <w:t>服务类</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rPr>
              <w:t>所属行业：批发业</w:t>
            </w:r>
          </w:p>
        </w:tc>
      </w:tr>
      <w:tr w14:paraId="74493C9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2405D99">
            <w:pPr>
              <w:keepLines w:val="0"/>
              <w:pageBreakBefore w:val="0"/>
              <w:kinsoku/>
              <w:wordWrap/>
              <w:overflowPunct/>
              <w:topLinePunct w:val="0"/>
              <w:bidi w:val="0"/>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14:paraId="6ADC5856">
            <w:pPr>
              <w:keepLines w:val="0"/>
              <w:pageBreakBefore w:val="0"/>
              <w:kinsoku/>
              <w:wordWrap/>
              <w:overflowPunct/>
              <w:topLinePunct w:val="0"/>
              <w:bidi w:val="0"/>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其他事项</w:t>
            </w:r>
          </w:p>
        </w:tc>
        <w:tc>
          <w:tcPr>
            <w:tcW w:w="7419" w:type="dxa"/>
            <w:tcBorders>
              <w:top w:val="single" w:color="auto" w:sz="4" w:space="0"/>
              <w:left w:val="single" w:color="auto" w:sz="4" w:space="0"/>
              <w:bottom w:val="single" w:color="auto" w:sz="4" w:space="0"/>
              <w:right w:val="single" w:color="auto" w:sz="4" w:space="0"/>
            </w:tcBorders>
            <w:vAlign w:val="center"/>
          </w:tcPr>
          <w:p w14:paraId="3EEDEBFC">
            <w:pPr>
              <w:keepLines w:val="0"/>
              <w:pageBreakBefore w:val="0"/>
              <w:kinsoku/>
              <w:wordWrap/>
              <w:overflowPunct/>
              <w:topLinePunct w:val="0"/>
              <w:bidi w:val="0"/>
              <w:spacing w:line="312" w:lineRule="auto"/>
              <w:rPr>
                <w:rFonts w:ascii="宋体" w:hAnsi="宋体" w:cs="宋体"/>
                <w:b/>
                <w:bCs/>
                <w:color w:val="auto"/>
                <w:sz w:val="22"/>
                <w:szCs w:val="22"/>
                <w:highlight w:val="none"/>
              </w:rPr>
            </w:pPr>
            <w:r>
              <w:rPr>
                <w:rFonts w:hint="eastAsia" w:ascii="宋体" w:hAnsi="宋体" w:cs="宋体"/>
                <w:color w:val="auto"/>
                <w:sz w:val="22"/>
                <w:szCs w:val="22"/>
                <w:highlight w:val="none"/>
              </w:rPr>
              <w:t>本项目由苍南县消防救援大队组织统一招标采购，中标供应商在中标后需和苍南县消防救援大队、龙港市消防救援大队分别签订合同。</w:t>
            </w:r>
          </w:p>
        </w:tc>
      </w:tr>
    </w:tbl>
    <w:p w14:paraId="36EFCD6C">
      <w:pPr>
        <w:spacing w:line="500" w:lineRule="exact"/>
        <w:rPr>
          <w:rFonts w:ascii="宋体" w:hAnsi="宋体" w:cs="宋体"/>
          <w:b/>
          <w:bCs/>
          <w:color w:val="auto"/>
          <w:sz w:val="36"/>
          <w:szCs w:val="36"/>
          <w:highlight w:val="none"/>
        </w:rPr>
      </w:pPr>
    </w:p>
    <w:p w14:paraId="77A5E65B">
      <w:pPr>
        <w:pStyle w:val="4"/>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36"/>
          <w:szCs w:val="36"/>
          <w:highlight w:val="none"/>
        </w:rPr>
        <w:br w:type="page"/>
      </w:r>
      <w:bookmarkStart w:id="3" w:name="_Toc221356883"/>
      <w:bookmarkStart w:id="4" w:name="_Toc34508130"/>
      <w:bookmarkStart w:id="5" w:name="_Toc265529380"/>
      <w:bookmarkStart w:id="6" w:name="_Toc241404199"/>
      <w:bookmarkStart w:id="7" w:name="_Toc58406683"/>
      <w:bookmarkStart w:id="8" w:name="_Toc222114876"/>
      <w:bookmarkStart w:id="9" w:name="_Toc221423616"/>
      <w:bookmarkStart w:id="10" w:name="_Toc223715995"/>
      <w:bookmarkStart w:id="11" w:name="_Toc221356948"/>
      <w:bookmarkStart w:id="12" w:name="_Toc239145351"/>
      <w:bookmarkStart w:id="13" w:name="_Toc221374623"/>
      <w:bookmarkStart w:id="14" w:name="_Toc393699549"/>
      <w:r>
        <w:rPr>
          <w:rFonts w:hint="eastAsia" w:ascii="宋体" w:hAnsi="宋体" w:eastAsia="宋体" w:cs="宋体"/>
          <w:color w:val="auto"/>
          <w:sz w:val="24"/>
          <w:szCs w:val="24"/>
          <w:highlight w:val="none"/>
        </w:rPr>
        <w:t>一、  说明</w:t>
      </w:r>
      <w:bookmarkEnd w:id="3"/>
      <w:bookmarkEnd w:id="4"/>
      <w:bookmarkEnd w:id="5"/>
      <w:bookmarkEnd w:id="6"/>
      <w:bookmarkEnd w:id="7"/>
      <w:bookmarkEnd w:id="8"/>
      <w:bookmarkEnd w:id="9"/>
      <w:bookmarkEnd w:id="10"/>
      <w:bookmarkEnd w:id="11"/>
      <w:bookmarkEnd w:id="12"/>
      <w:bookmarkEnd w:id="13"/>
    </w:p>
    <w:p w14:paraId="242466A0">
      <w:pPr>
        <w:tabs>
          <w:tab w:val="left" w:pos="540"/>
          <w:tab w:val="left" w:pos="90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1854C681">
      <w:pPr>
        <w:tabs>
          <w:tab w:val="left" w:pos="540"/>
          <w:tab w:val="left" w:pos="900"/>
        </w:tabs>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2.合格投标人要求以采购公告对投标人资格条件要求的表述为准。</w:t>
      </w:r>
    </w:p>
    <w:p w14:paraId="30280C3C">
      <w:pPr>
        <w:tabs>
          <w:tab w:val="left" w:pos="540"/>
          <w:tab w:val="left" w:pos="90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3.投标人代表</w:t>
      </w:r>
    </w:p>
    <w:p w14:paraId="3128D05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14:paraId="3FA57CE0">
      <w:pPr>
        <w:tabs>
          <w:tab w:val="left" w:pos="540"/>
          <w:tab w:val="left" w:pos="90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4.投标费用</w:t>
      </w:r>
    </w:p>
    <w:p w14:paraId="64F7A7D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4.1投标人应承担所有与准备和参加投标有关费用，不论投标的结果如何，采购人和采购代理机构均无义务和责任承担这些费用。</w:t>
      </w:r>
    </w:p>
    <w:p w14:paraId="28FF79FA">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5.优化政府采购金融服务</w:t>
      </w:r>
    </w:p>
    <w:p w14:paraId="0200099F">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223250B2">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01B2AD8D">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6.特别说明：</w:t>
      </w:r>
    </w:p>
    <w:p w14:paraId="07C60FF0">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6.1投标人应仔细阅读采购文件的所有内容，按照采购文件的要求提交投标文件，并对所提供的全部资料的真实性承担法律责任。</w:t>
      </w:r>
    </w:p>
    <w:p w14:paraId="20B5861C">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AE4D104">
      <w:pPr>
        <w:spacing w:line="400" w:lineRule="exact"/>
        <w:ind w:firstLine="464" w:firstLineChars="200"/>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0B56DF66">
      <w:pPr>
        <w:spacing w:line="400" w:lineRule="exact"/>
        <w:ind w:firstLine="464" w:firstLineChars="200"/>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注：所有核心产品品牌均相同按同品牌投标人计算。</w:t>
      </w:r>
    </w:p>
    <w:p w14:paraId="786AF92C">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A1A2B10">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7651079">
      <w:pPr>
        <w:spacing w:line="460" w:lineRule="exact"/>
        <w:rPr>
          <w:rFonts w:ascii="宋体" w:hAnsi="宋体" w:cs="宋体"/>
          <w:color w:val="auto"/>
          <w:sz w:val="22"/>
          <w:szCs w:val="22"/>
          <w:highlight w:val="none"/>
        </w:rPr>
      </w:pPr>
      <w:r>
        <w:rPr>
          <w:rFonts w:hint="eastAsia" w:ascii="宋体" w:hAnsi="宋体" w:cs="宋体"/>
          <w:bCs/>
          <w:color w:val="auto"/>
          <w:spacing w:val="6"/>
          <w:sz w:val="22"/>
          <w:szCs w:val="22"/>
          <w:highlight w:val="none"/>
        </w:rPr>
        <w:t>6.5</w:t>
      </w:r>
      <w:r>
        <w:rPr>
          <w:rFonts w:hint="eastAsia" w:ascii="宋体" w:hAnsi="宋体" w:cs="宋体"/>
          <w:bCs/>
          <w:color w:val="auto"/>
          <w:kern w:val="0"/>
          <w:sz w:val="22"/>
          <w:szCs w:val="22"/>
          <w:highlight w:val="none"/>
          <w:lang w:val="zh-CN"/>
        </w:rPr>
        <w:t>非中国政府采购网注册的供应商或发生变更且未及时更新的供应商。一旦被确定为中标人的，在合同签订前按本办法的规定完成注册并成为正式注册供应商。</w:t>
      </w:r>
    </w:p>
    <w:p w14:paraId="05448223">
      <w:pPr>
        <w:pStyle w:val="4"/>
        <w:spacing w:line="500" w:lineRule="exact"/>
        <w:jc w:val="center"/>
        <w:rPr>
          <w:rFonts w:ascii="宋体" w:hAnsi="宋体" w:eastAsia="宋体" w:cs="宋体"/>
          <w:color w:val="auto"/>
          <w:sz w:val="24"/>
          <w:szCs w:val="24"/>
          <w:highlight w:val="none"/>
        </w:rPr>
      </w:pPr>
      <w:bookmarkStart w:id="15" w:name="_Toc239145352"/>
      <w:bookmarkStart w:id="16" w:name="_Toc221374624"/>
      <w:bookmarkStart w:id="17" w:name="_Toc34508131"/>
      <w:bookmarkStart w:id="18" w:name="_Toc221423617"/>
      <w:bookmarkStart w:id="19" w:name="_Toc241404200"/>
      <w:bookmarkStart w:id="20" w:name="_Toc223715996"/>
      <w:bookmarkStart w:id="21" w:name="_Toc58406684"/>
      <w:bookmarkStart w:id="22" w:name="_Toc221356884"/>
      <w:bookmarkStart w:id="23" w:name="_Toc222114877"/>
      <w:bookmarkStart w:id="24" w:name="_Toc221356949"/>
      <w:bookmarkStart w:id="25" w:name="_Toc265529381"/>
      <w:r>
        <w:rPr>
          <w:rFonts w:hint="eastAsia" w:ascii="宋体" w:hAnsi="宋体" w:eastAsia="宋体" w:cs="宋体"/>
          <w:color w:val="auto"/>
          <w:sz w:val="24"/>
          <w:szCs w:val="24"/>
          <w:highlight w:val="none"/>
        </w:rPr>
        <w:t>二、 采购文件</w:t>
      </w:r>
      <w:bookmarkEnd w:id="15"/>
      <w:bookmarkEnd w:id="16"/>
      <w:bookmarkEnd w:id="17"/>
      <w:bookmarkEnd w:id="18"/>
      <w:bookmarkEnd w:id="19"/>
      <w:bookmarkEnd w:id="20"/>
      <w:bookmarkEnd w:id="21"/>
      <w:bookmarkEnd w:id="22"/>
      <w:bookmarkEnd w:id="23"/>
      <w:bookmarkEnd w:id="24"/>
      <w:bookmarkEnd w:id="25"/>
    </w:p>
    <w:p w14:paraId="66E738FF">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7.采购文件由采购文件目录所列内容及相关资料组成。</w:t>
      </w:r>
    </w:p>
    <w:p w14:paraId="0C5BD98B">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8.质疑</w:t>
      </w:r>
    </w:p>
    <w:p w14:paraId="257E788F">
      <w:pPr>
        <w:tabs>
          <w:tab w:val="left" w:pos="540"/>
        </w:tabs>
        <w:spacing w:line="460" w:lineRule="exact"/>
        <w:rPr>
          <w:rFonts w:ascii="宋体" w:hAnsi="宋体" w:cs="宋体"/>
          <w:color w:val="auto"/>
          <w:spacing w:val="6"/>
          <w:sz w:val="22"/>
          <w:highlight w:val="none"/>
        </w:rPr>
      </w:pPr>
      <w:r>
        <w:rPr>
          <w:rFonts w:hint="eastAsia" w:ascii="宋体" w:hAnsi="宋体" w:cs="宋体"/>
          <w:color w:val="auto"/>
          <w:sz w:val="22"/>
          <w:szCs w:val="22"/>
          <w:highlight w:val="none"/>
        </w:rPr>
        <w:t>8.1</w:t>
      </w:r>
      <w:r>
        <w:rPr>
          <w:rFonts w:hint="eastAsia" w:ascii="宋体" w:hAnsi="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FAC44BE">
      <w:pPr>
        <w:tabs>
          <w:tab w:val="left" w:pos="540"/>
        </w:tabs>
        <w:spacing w:line="460" w:lineRule="exact"/>
        <w:rPr>
          <w:rFonts w:ascii="宋体" w:hAnsi="宋体" w:cs="宋体"/>
          <w:color w:val="auto"/>
          <w:spacing w:val="6"/>
          <w:sz w:val="22"/>
          <w:highlight w:val="none"/>
        </w:rPr>
      </w:pPr>
      <w:r>
        <w:rPr>
          <w:rFonts w:hint="eastAsia" w:ascii="宋体" w:hAnsi="宋体" w:cs="宋体"/>
          <w:color w:val="auto"/>
          <w:spacing w:val="6"/>
          <w:sz w:val="22"/>
          <w:highlight w:val="none"/>
        </w:rPr>
        <w:t>8.2投标人提出质疑应当提交质疑函和必要的证明材料，质疑函范本请到“中国政府采购网”下载，质疑函内容及签署等相关要求请参看《政府采购质疑和投诉办法》相关规定。</w:t>
      </w:r>
    </w:p>
    <w:p w14:paraId="4126A27F">
      <w:pPr>
        <w:tabs>
          <w:tab w:val="left" w:pos="540"/>
        </w:tabs>
        <w:spacing w:line="460" w:lineRule="exact"/>
        <w:rPr>
          <w:rFonts w:ascii="宋体" w:hAnsi="宋体" w:cs="宋体"/>
          <w:bCs/>
          <w:color w:val="auto"/>
          <w:spacing w:val="6"/>
          <w:sz w:val="22"/>
          <w:highlight w:val="none"/>
        </w:rPr>
      </w:pPr>
      <w:r>
        <w:rPr>
          <w:rFonts w:hint="eastAsia" w:ascii="宋体" w:hAnsi="宋体" w:cs="宋体"/>
          <w:color w:val="auto"/>
          <w:spacing w:val="6"/>
          <w:sz w:val="22"/>
          <w:highlight w:val="none"/>
        </w:rPr>
        <w:t>8.3提出质疑的投标人应当是参与本项目采购活动的投标人。</w:t>
      </w:r>
      <w:r>
        <w:rPr>
          <w:rFonts w:hint="eastAsia" w:ascii="宋体" w:hAnsi="宋体" w:cs="宋体"/>
          <w:bCs/>
          <w:color w:val="auto"/>
          <w:spacing w:val="6"/>
          <w:sz w:val="22"/>
          <w:highlight w:val="none"/>
        </w:rPr>
        <w:t>投标人在法定质疑期内一次性提出针对同一采购程序环节的质疑。</w:t>
      </w:r>
    </w:p>
    <w:p w14:paraId="76F76B02">
      <w:pPr>
        <w:tabs>
          <w:tab w:val="left" w:pos="540"/>
        </w:tabs>
        <w:spacing w:line="460" w:lineRule="exact"/>
        <w:rPr>
          <w:rFonts w:ascii="宋体" w:hAnsi="宋体" w:cs="宋体"/>
          <w:color w:val="auto"/>
          <w:spacing w:val="6"/>
          <w:sz w:val="22"/>
          <w:highlight w:val="none"/>
        </w:rPr>
      </w:pPr>
      <w:r>
        <w:rPr>
          <w:rFonts w:hint="eastAsia" w:ascii="宋体" w:hAnsi="宋体" w:cs="宋体"/>
          <w:bCs/>
          <w:color w:val="auto"/>
          <w:spacing w:val="6"/>
          <w:sz w:val="22"/>
          <w:highlight w:val="none"/>
        </w:rPr>
        <w:t>8.4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2988E02D">
      <w:pPr>
        <w:tabs>
          <w:tab w:val="left" w:pos="540"/>
        </w:tabs>
        <w:spacing w:line="460" w:lineRule="exact"/>
        <w:rPr>
          <w:rFonts w:ascii="宋体" w:hAnsi="宋体" w:cs="宋体"/>
          <w:color w:val="auto"/>
          <w:spacing w:val="6"/>
          <w:sz w:val="22"/>
          <w:highlight w:val="none"/>
        </w:rPr>
      </w:pPr>
      <w:r>
        <w:rPr>
          <w:rFonts w:hint="eastAsia" w:ascii="宋体" w:hAnsi="宋体" w:cs="宋体"/>
          <w:color w:val="auto"/>
          <w:spacing w:val="6"/>
          <w:sz w:val="22"/>
          <w:highlight w:val="none"/>
        </w:rPr>
        <w:t>9.投诉</w:t>
      </w:r>
    </w:p>
    <w:p w14:paraId="32CCC4A5">
      <w:pPr>
        <w:tabs>
          <w:tab w:val="left" w:pos="540"/>
        </w:tabs>
        <w:spacing w:line="460" w:lineRule="exact"/>
        <w:rPr>
          <w:rFonts w:ascii="宋体" w:hAnsi="宋体" w:cs="宋体"/>
          <w:color w:val="auto"/>
          <w:sz w:val="22"/>
          <w:szCs w:val="22"/>
          <w:highlight w:val="none"/>
        </w:rPr>
      </w:pPr>
      <w:r>
        <w:rPr>
          <w:rFonts w:hint="eastAsia" w:ascii="宋体" w:hAnsi="宋体" w:cs="宋体"/>
          <w:color w:val="auto"/>
          <w:spacing w:val="6"/>
          <w:sz w:val="22"/>
          <w:highlight w:val="none"/>
        </w:rPr>
        <w:t>9.1质疑投标人对采购人、采购代理机构的答复不满意或者采购人、采购代理机构未在规定的时间内作出答复的，可以在答复期满后十五个工作日内向同级采购监督部门投诉。投诉书范本请到“中国政府采购网”下载。</w:t>
      </w:r>
    </w:p>
    <w:p w14:paraId="6AA14CD4">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10.采购文件的澄清或修改</w:t>
      </w:r>
    </w:p>
    <w:p w14:paraId="674851F2">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10.1采购人或者采购代理机构可以对已发出的采购文件进行必要的澄清或者修改。澄清或者修改在中国政府采购网</w:t>
      </w:r>
      <w:r>
        <w:rPr>
          <w:rFonts w:hint="eastAsia" w:ascii="宋体" w:hAnsi="宋体" w:cs="宋体"/>
          <w:color w:val="auto"/>
          <w:spacing w:val="6"/>
          <w:sz w:val="22"/>
          <w:highlight w:val="none"/>
          <w:lang w:eastAsia="zh-CN"/>
        </w:rPr>
        <w:t>、</w:t>
      </w:r>
      <w:r>
        <w:rPr>
          <w:rFonts w:hint="eastAsia" w:ascii="宋体" w:hAnsi="宋体" w:cs="宋体"/>
          <w:color w:val="auto"/>
          <w:spacing w:val="6"/>
          <w:sz w:val="22"/>
          <w:highlight w:val="none"/>
          <w:lang w:val="en-US" w:eastAsia="zh-CN"/>
        </w:rPr>
        <w:t>浙江政府采购网</w:t>
      </w:r>
      <w:r>
        <w:rPr>
          <w:rFonts w:hint="eastAsia" w:ascii="宋体" w:hAnsi="宋体" w:cs="宋体"/>
          <w:color w:val="auto"/>
          <w:spacing w:val="6"/>
          <w:sz w:val="22"/>
          <w:highlight w:val="none"/>
        </w:rPr>
        <w:t>上发布公告，潜在投标人请自行到中国政府采购网</w:t>
      </w:r>
      <w:r>
        <w:rPr>
          <w:rFonts w:hint="eastAsia" w:ascii="宋体" w:hAnsi="宋体" w:cs="宋体"/>
          <w:color w:val="auto"/>
          <w:spacing w:val="6"/>
          <w:sz w:val="22"/>
          <w:highlight w:val="none"/>
          <w:lang w:eastAsia="zh-CN"/>
        </w:rPr>
        <w:t>、</w:t>
      </w:r>
      <w:r>
        <w:rPr>
          <w:rFonts w:hint="eastAsia" w:ascii="宋体" w:hAnsi="宋体" w:cs="宋体"/>
          <w:color w:val="auto"/>
          <w:spacing w:val="6"/>
          <w:sz w:val="22"/>
          <w:highlight w:val="none"/>
          <w:lang w:val="en-US" w:eastAsia="zh-CN"/>
        </w:rPr>
        <w:t>浙江政府采购网</w:t>
      </w:r>
      <w:r>
        <w:rPr>
          <w:rFonts w:hint="eastAsia" w:ascii="宋体" w:hAnsi="宋体" w:cs="宋体"/>
          <w:color w:val="auto"/>
          <w:spacing w:val="6"/>
          <w:sz w:val="22"/>
          <w:highlight w:val="none"/>
        </w:rPr>
        <w:t>上获取公告信息，潜在投标人在收到该公告信息后应于1日内，以书面或传真形式（签署意见并加盖公章）向采购代理机构回函给予确认。过期未回复的，视为默认接受。澄清或者修改的内容为采购文件的组成部分。</w:t>
      </w:r>
    </w:p>
    <w:p w14:paraId="7583E93D">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宋体" w:hAnsi="宋体" w:cs="宋体"/>
          <w:bCs/>
          <w:color w:val="auto"/>
          <w:spacing w:val="6"/>
          <w:highlight w:val="none"/>
        </w:rPr>
        <w:t>在中国政府采购网</w:t>
      </w:r>
      <w:r>
        <w:rPr>
          <w:rFonts w:hint="eastAsia" w:ascii="宋体" w:hAnsi="宋体" w:cs="宋体"/>
          <w:bCs/>
          <w:color w:val="auto"/>
          <w:spacing w:val="6"/>
          <w:highlight w:val="none"/>
          <w:lang w:eastAsia="zh-CN"/>
        </w:rPr>
        <w:t>、</w:t>
      </w:r>
      <w:r>
        <w:rPr>
          <w:rFonts w:hint="eastAsia" w:ascii="宋体" w:hAnsi="宋体" w:cs="宋体"/>
          <w:bCs/>
          <w:color w:val="auto"/>
          <w:spacing w:val="6"/>
          <w:highlight w:val="none"/>
          <w:lang w:val="en-US" w:eastAsia="zh-CN"/>
        </w:rPr>
        <w:t>浙江政府采购网</w:t>
      </w:r>
      <w:r>
        <w:rPr>
          <w:rFonts w:hint="eastAsia" w:ascii="宋体" w:hAnsi="宋体" w:cs="宋体"/>
          <w:bCs/>
          <w:color w:val="auto"/>
          <w:spacing w:val="6"/>
          <w:highlight w:val="none"/>
        </w:rPr>
        <w:t>上发布公告</w:t>
      </w:r>
      <w:r>
        <w:rPr>
          <w:rFonts w:hint="eastAsia" w:ascii="宋体" w:hAnsi="宋体" w:cs="宋体"/>
          <w:color w:val="auto"/>
          <w:spacing w:val="6"/>
          <w:sz w:val="22"/>
          <w:highlight w:val="none"/>
        </w:rPr>
        <w:t>）通知所有获取采购文件的潜在投标人；不足15日的，采购人或者采购代理机构应当顺延提交投标文件的截止时间。</w:t>
      </w:r>
    </w:p>
    <w:p w14:paraId="7441E0C8">
      <w:pPr>
        <w:tabs>
          <w:tab w:val="left" w:pos="540"/>
        </w:tabs>
        <w:spacing w:line="460" w:lineRule="exact"/>
        <w:rPr>
          <w:rFonts w:ascii="宋体" w:hAnsi="宋体" w:cs="宋体"/>
          <w:color w:val="auto"/>
          <w:sz w:val="22"/>
          <w:szCs w:val="22"/>
          <w:highlight w:val="none"/>
        </w:rPr>
      </w:pPr>
      <w:r>
        <w:rPr>
          <w:rFonts w:hint="eastAsia" w:ascii="宋体" w:hAnsi="宋体" w:cs="宋体"/>
          <w:color w:val="auto"/>
          <w:spacing w:val="6"/>
          <w:sz w:val="22"/>
          <w:highlight w:val="none"/>
        </w:rPr>
        <w:t>10.3采购文件如有补充更正均见“</w:t>
      </w:r>
      <w:r>
        <w:rPr>
          <w:rFonts w:hint="eastAsia" w:ascii="宋体" w:hAnsi="宋体" w:cs="宋体"/>
          <w:color w:val="auto"/>
          <w:spacing w:val="6"/>
          <w:sz w:val="22"/>
          <w:highlight w:val="none"/>
          <w:lang w:eastAsia="zh-CN"/>
        </w:rPr>
        <w:t>中国政府采购网、浙江政府采购网</w:t>
      </w:r>
      <w:r>
        <w:rPr>
          <w:rFonts w:hint="eastAsia" w:ascii="宋体" w:hAnsi="宋体" w:cs="宋体"/>
          <w:color w:val="auto"/>
          <w:spacing w:val="6"/>
          <w:sz w:val="22"/>
          <w:highlight w:val="none"/>
        </w:rPr>
        <w:t>”。投标人须在开标前一日自行查看是否有补充更正文件，并按补充更正文件要求投标，否则责任自负。</w:t>
      </w:r>
    </w:p>
    <w:p w14:paraId="2EB7277F">
      <w:pPr>
        <w:pStyle w:val="4"/>
        <w:spacing w:line="500" w:lineRule="exact"/>
        <w:jc w:val="center"/>
        <w:rPr>
          <w:rFonts w:ascii="宋体" w:hAnsi="宋体" w:eastAsia="宋体" w:cs="宋体"/>
          <w:color w:val="auto"/>
          <w:sz w:val="24"/>
          <w:szCs w:val="24"/>
          <w:highlight w:val="none"/>
        </w:rPr>
      </w:pPr>
      <w:bookmarkStart w:id="26" w:name="_Toc223715997"/>
      <w:bookmarkStart w:id="27" w:name="_Toc241404201"/>
      <w:bookmarkStart w:id="28" w:name="_Toc222114878"/>
      <w:bookmarkStart w:id="29" w:name="_Toc265529382"/>
      <w:bookmarkStart w:id="30" w:name="_Toc221356950"/>
      <w:bookmarkStart w:id="31" w:name="_Toc221423618"/>
      <w:bookmarkStart w:id="32" w:name="_Toc34508132"/>
      <w:bookmarkStart w:id="33" w:name="_Toc58406685"/>
      <w:bookmarkStart w:id="34" w:name="_Toc221356885"/>
      <w:bookmarkStart w:id="35" w:name="_Toc239145353"/>
      <w:bookmarkStart w:id="36" w:name="_Toc221374625"/>
      <w:r>
        <w:rPr>
          <w:rFonts w:hint="eastAsia" w:ascii="宋体" w:hAnsi="宋体" w:eastAsia="宋体" w:cs="宋体"/>
          <w:color w:val="auto"/>
          <w:sz w:val="24"/>
          <w:szCs w:val="24"/>
          <w:highlight w:val="none"/>
        </w:rPr>
        <w:t>三、 投标文件的编制</w:t>
      </w:r>
      <w:bookmarkEnd w:id="26"/>
      <w:bookmarkEnd w:id="27"/>
      <w:bookmarkEnd w:id="28"/>
      <w:bookmarkEnd w:id="29"/>
      <w:bookmarkEnd w:id="30"/>
      <w:bookmarkEnd w:id="31"/>
      <w:bookmarkEnd w:id="32"/>
      <w:bookmarkEnd w:id="33"/>
      <w:bookmarkEnd w:id="34"/>
      <w:bookmarkEnd w:id="35"/>
      <w:bookmarkEnd w:id="36"/>
    </w:p>
    <w:p w14:paraId="18F05066">
      <w:pPr>
        <w:spacing w:line="440" w:lineRule="exact"/>
        <w:rPr>
          <w:rFonts w:ascii="宋体" w:hAnsi="宋体" w:cs="宋体"/>
          <w:snapToGrid w:val="0"/>
          <w:color w:val="auto"/>
          <w:sz w:val="22"/>
          <w:szCs w:val="22"/>
          <w:highlight w:val="none"/>
        </w:rPr>
      </w:pPr>
      <w:bookmarkStart w:id="37" w:name="_Toc221356886"/>
      <w:r>
        <w:rPr>
          <w:rFonts w:hint="eastAsia" w:ascii="宋体" w:hAnsi="宋体" w:cs="宋体"/>
          <w:snapToGrid w:val="0"/>
          <w:color w:val="auto"/>
          <w:sz w:val="22"/>
          <w:szCs w:val="22"/>
          <w:highlight w:val="none"/>
        </w:rPr>
        <w:t>11投标人应认真阅读采购文件中所有事项格式、条款和技术规范等。投标人没有按照采购文件要求提交全部资料，或者没有对采购文件各个方面做出实质性响应，导致投标被拒绝的风险由投标人自行承担。</w:t>
      </w:r>
    </w:p>
    <w:p w14:paraId="64495F6C">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12.投标人法律责任</w:t>
      </w:r>
    </w:p>
    <w:p w14:paraId="01F37695">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12.1 投标人应保证所提供文件资料的真实性，所有文件资料必须是针对本次投标的。如发现投标人提供了虚假文件资料，其投标将被拒绝，并自行承担相应的法律责任。</w:t>
      </w:r>
    </w:p>
    <w:p w14:paraId="7C63FD49">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12.2 参加投标的单位不得有行贿犯罪档案记录，否则其投标将被否决。</w:t>
      </w:r>
    </w:p>
    <w:p w14:paraId="5B5BC682">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13. 投标文件的构成</w:t>
      </w:r>
    </w:p>
    <w:p w14:paraId="7172B12E">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13.1 投标文件包括资格审查资料、商务技术文件、报价文件三部分。</w:t>
      </w:r>
    </w:p>
    <w:p w14:paraId="3588672D">
      <w:pPr>
        <w:spacing w:line="43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13.2 投标文件资格审查资料须包括下列部分：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3C8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26A85820">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vAlign w:val="center"/>
          </w:tcPr>
          <w:p w14:paraId="4A88C896">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 容</w:t>
            </w:r>
          </w:p>
        </w:tc>
      </w:tr>
      <w:tr w14:paraId="263D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6996B554">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358754CF">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14:paraId="1497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5401D15">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01C6DFB1">
            <w:pP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具备有效的食品经营许可证</w:t>
            </w:r>
          </w:p>
        </w:tc>
      </w:tr>
      <w:tr w14:paraId="0298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EA2FF58">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14:paraId="491A3086">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14:paraId="7069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473C0D91">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vAlign w:val="center"/>
          </w:tcPr>
          <w:p w14:paraId="3808D903">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中小企业声明函（或监狱企业声明函、残疾人福利性单位声明函）（采购文件第二部分相关附件）</w:t>
            </w:r>
          </w:p>
        </w:tc>
      </w:tr>
      <w:tr w14:paraId="32D5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F5782AE">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vAlign w:val="center"/>
          </w:tcPr>
          <w:p w14:paraId="0B4BE2DC">
            <w:pPr>
              <w:rPr>
                <w:rFonts w:ascii="宋体" w:hAnsi="宋体" w:cs="宋体"/>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p>
        </w:tc>
      </w:tr>
      <w:tr w14:paraId="1F03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CAECF94">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9115" w:type="dxa"/>
            <w:tcBorders>
              <w:top w:val="single" w:color="auto" w:sz="4" w:space="0"/>
              <w:left w:val="single" w:color="auto" w:sz="4" w:space="0"/>
              <w:bottom w:val="single" w:color="auto" w:sz="4" w:space="0"/>
              <w:right w:val="single" w:color="auto" w:sz="4" w:space="0"/>
            </w:tcBorders>
            <w:vAlign w:val="center"/>
          </w:tcPr>
          <w:p w14:paraId="53F3C0AF">
            <w:pPr>
              <w:rPr>
                <w:rFonts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tbl>
    <w:p w14:paraId="5B343577">
      <w:pPr>
        <w:spacing w:line="43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p w14:paraId="528A2018">
      <w:pPr>
        <w:numPr>
          <w:ilvl w:val="0"/>
          <w:numId w:val="17"/>
        </w:numPr>
        <w:spacing w:line="430" w:lineRule="exact"/>
        <w:rPr>
          <w:rFonts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289809C">
      <w:pPr>
        <w:numPr>
          <w:ilvl w:val="0"/>
          <w:numId w:val="17"/>
        </w:numPr>
        <w:spacing w:line="430" w:lineRule="exact"/>
        <w:rPr>
          <w:rFonts w:ascii="宋体" w:hAnsi="宋体" w:cs="宋体"/>
          <w:color w:val="auto"/>
          <w:sz w:val="22"/>
          <w:szCs w:val="22"/>
          <w:highlight w:val="none"/>
        </w:rPr>
      </w:pPr>
      <w:r>
        <w:rPr>
          <w:rFonts w:hint="eastAsia" w:ascii="宋体" w:hAnsi="宋体" w:cs="宋体"/>
          <w:b/>
          <w:bCs/>
          <w:color w:val="auto"/>
          <w:szCs w:val="21"/>
          <w:highlight w:val="none"/>
          <w:u w:val="single"/>
        </w:rPr>
        <w:t>▲</w:t>
      </w:r>
      <w:r>
        <w:rPr>
          <w:rFonts w:hint="eastAsia" w:ascii="宋体" w:hAnsi="宋体" w:cs="宋体"/>
          <w:b/>
          <w:color w:val="auto"/>
          <w:sz w:val="22"/>
          <w:szCs w:val="22"/>
          <w:highlight w:val="none"/>
          <w:u w:val="single"/>
        </w:rPr>
        <w:t>以上所需的各种证书、证件、证明等若系扫描件，须加盖投标人有效的公章。</w:t>
      </w:r>
    </w:p>
    <w:p w14:paraId="372C20B4">
      <w:pPr>
        <w:numPr>
          <w:ilvl w:val="0"/>
          <w:numId w:val="17"/>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39AAB68A">
      <w:pPr>
        <w:tabs>
          <w:tab w:val="left" w:pos="360"/>
        </w:tabs>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13.3投标文件商务技术文件应包括下列部分：</w:t>
      </w: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03D3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14:paraId="312B54CC">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14:paraId="2F1A18BF">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61D7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303A80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109" w:type="dxa"/>
            <w:vAlign w:val="center"/>
          </w:tcPr>
          <w:p w14:paraId="22C3CC74">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4FF9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422E5C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vAlign w:val="center"/>
          </w:tcPr>
          <w:p w14:paraId="72B6D4E4">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技术条款偏离表、商务条款偏离表</w:t>
            </w:r>
          </w:p>
        </w:tc>
      </w:tr>
      <w:tr w14:paraId="0AFC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D23B70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vAlign w:val="center"/>
          </w:tcPr>
          <w:p w14:paraId="21FF525A">
            <w:pPr>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资信证明文件（以评分表为依据，本项为量化评分内容，非强制性要求）</w:t>
            </w:r>
          </w:p>
        </w:tc>
      </w:tr>
      <w:tr w14:paraId="28A4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662C539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vAlign w:val="center"/>
          </w:tcPr>
          <w:p w14:paraId="10D8C90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供应商场地情况</w:t>
            </w:r>
          </w:p>
        </w:tc>
      </w:tr>
      <w:tr w14:paraId="5669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7951507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vAlign w:val="center"/>
          </w:tcPr>
          <w:p w14:paraId="3C833E22">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供应商体系认证</w:t>
            </w:r>
          </w:p>
        </w:tc>
      </w:tr>
      <w:tr w14:paraId="50D2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3D3C763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9109" w:type="dxa"/>
            <w:vAlign w:val="center"/>
          </w:tcPr>
          <w:p w14:paraId="016F8354">
            <w:pPr>
              <w:rPr>
                <w:rFonts w:ascii="新宋体" w:hAnsi="新宋体" w:eastAsia="新宋体" w:cs="新宋体"/>
                <w:color w:val="auto"/>
                <w:sz w:val="22"/>
                <w:szCs w:val="22"/>
                <w:highlight w:val="none"/>
              </w:rPr>
            </w:pPr>
            <w:r>
              <w:rPr>
                <w:rFonts w:hint="eastAsia" w:ascii="新宋体" w:hAnsi="新宋体" w:eastAsia="新宋体" w:cs="宋体"/>
                <w:color w:val="auto"/>
                <w:kern w:val="0"/>
                <w:sz w:val="22"/>
                <w:szCs w:val="22"/>
                <w:highlight w:val="none"/>
              </w:rPr>
              <w:t>同类项目业绩</w:t>
            </w:r>
          </w:p>
        </w:tc>
      </w:tr>
      <w:tr w14:paraId="2B69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7C88C0C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9109" w:type="dxa"/>
            <w:vAlign w:val="center"/>
          </w:tcPr>
          <w:p w14:paraId="504255D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供货服务方案及保障措施</w:t>
            </w:r>
          </w:p>
        </w:tc>
      </w:tr>
      <w:tr w14:paraId="401E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630A06B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9109" w:type="dxa"/>
            <w:vAlign w:val="center"/>
          </w:tcPr>
          <w:p w14:paraId="247E4D8C">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食品安全责任保险</w:t>
            </w:r>
          </w:p>
        </w:tc>
      </w:tr>
      <w:tr w14:paraId="317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7004B55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9109" w:type="dxa"/>
            <w:vAlign w:val="center"/>
          </w:tcPr>
          <w:p w14:paraId="0642CDD0">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配送能力</w:t>
            </w:r>
          </w:p>
        </w:tc>
      </w:tr>
      <w:tr w14:paraId="2976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3602ED5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109" w:type="dxa"/>
            <w:vAlign w:val="center"/>
          </w:tcPr>
          <w:p w14:paraId="1D9F915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食品检测设备</w:t>
            </w:r>
          </w:p>
        </w:tc>
      </w:tr>
      <w:tr w14:paraId="5919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64591F9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9109" w:type="dxa"/>
            <w:vAlign w:val="center"/>
          </w:tcPr>
          <w:p w14:paraId="323D6686">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项目组成员</w:t>
            </w:r>
          </w:p>
        </w:tc>
      </w:tr>
      <w:tr w14:paraId="7297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19A8A7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9109" w:type="dxa"/>
            <w:vAlign w:val="center"/>
          </w:tcPr>
          <w:p w14:paraId="283562E1">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管理制度</w:t>
            </w:r>
          </w:p>
        </w:tc>
      </w:tr>
      <w:tr w14:paraId="4C59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6DA2CC0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9109" w:type="dxa"/>
            <w:vAlign w:val="center"/>
          </w:tcPr>
          <w:p w14:paraId="775848A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突发事件应急预案</w:t>
            </w:r>
          </w:p>
        </w:tc>
      </w:tr>
      <w:tr w14:paraId="4D51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628FAE1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9109" w:type="dxa"/>
            <w:vAlign w:val="center"/>
          </w:tcPr>
          <w:p w14:paraId="79FC3139">
            <w:pPr>
              <w:rPr>
                <w:rFonts w:ascii="新宋体" w:hAnsi="新宋体" w:eastAsia="新宋体" w:cs="宋体"/>
                <w:color w:val="auto"/>
                <w:kern w:val="0"/>
                <w:sz w:val="22"/>
                <w:szCs w:val="22"/>
                <w:highlight w:val="none"/>
              </w:rPr>
            </w:pPr>
            <w:r>
              <w:rPr>
                <w:rFonts w:hint="eastAsia" w:ascii="宋体" w:hAnsi="宋体"/>
                <w:color w:val="auto"/>
                <w:sz w:val="22"/>
                <w:szCs w:val="22"/>
                <w:highlight w:val="none"/>
              </w:rPr>
              <w:t>投标人参照本项目技术资信评分细则认为需要提交的其他资信技术证明文件</w:t>
            </w:r>
          </w:p>
        </w:tc>
      </w:tr>
    </w:tbl>
    <w:p w14:paraId="6C28BD18">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2DEAF668">
      <w:pPr>
        <w:numPr>
          <w:ilvl w:val="0"/>
          <w:numId w:val="18"/>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投标人可根据采购文件中的采购内容及需求和商务技术文件评分细则，提供投标人认为需要提供的文件和资料。</w:t>
      </w:r>
    </w:p>
    <w:p w14:paraId="43237C34">
      <w:pPr>
        <w:numPr>
          <w:ilvl w:val="0"/>
          <w:numId w:val="18"/>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297B1099">
      <w:pPr>
        <w:numPr>
          <w:ilvl w:val="0"/>
          <w:numId w:val="18"/>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以上所需的各种证书、证件、证明等若系扫描件，须加盖投标人有效的公章。</w:t>
      </w:r>
    </w:p>
    <w:p w14:paraId="1953462D">
      <w:pPr>
        <w:numPr>
          <w:ilvl w:val="0"/>
          <w:numId w:val="18"/>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3B966CF4">
      <w:pPr>
        <w:tabs>
          <w:tab w:val="left" w:pos="5355"/>
        </w:tabs>
        <w:spacing w:line="43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13.4 投标文件商务报价标应包括下列部分：</w:t>
      </w:r>
    </w:p>
    <w:bookmarkEnd w:id="37"/>
    <w:tbl>
      <w:tblPr>
        <w:tblStyle w:val="58"/>
        <w:tblW w:w="9854" w:type="dxa"/>
        <w:tblInd w:w="0" w:type="dxa"/>
        <w:tblLayout w:type="fixed"/>
        <w:tblCellMar>
          <w:top w:w="0" w:type="dxa"/>
          <w:left w:w="108" w:type="dxa"/>
          <w:bottom w:w="0" w:type="dxa"/>
          <w:right w:w="108" w:type="dxa"/>
        </w:tblCellMar>
      </w:tblPr>
      <w:tblGrid>
        <w:gridCol w:w="966"/>
        <w:gridCol w:w="8888"/>
      </w:tblGrid>
      <w:tr w14:paraId="6FA9759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AE7523">
            <w:pPr>
              <w:autoSpaceDE w:val="0"/>
              <w:autoSpaceDN w:val="0"/>
              <w:adjustRightInd w:val="0"/>
              <w:spacing w:line="430" w:lineRule="atLeast"/>
              <w:jc w:val="center"/>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CAB2CE">
            <w:pPr>
              <w:autoSpaceDE w:val="0"/>
              <w:autoSpaceDN w:val="0"/>
              <w:adjustRightInd w:val="0"/>
              <w:spacing w:line="430" w:lineRule="atLeast"/>
              <w:jc w:val="center"/>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14:paraId="622E0AB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22867D">
            <w:pPr>
              <w:autoSpaceDE w:val="0"/>
              <w:autoSpaceDN w:val="0"/>
              <w:adjustRightInd w:val="0"/>
              <w:spacing w:line="430" w:lineRule="atLeas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339727">
            <w:pPr>
              <w:autoSpaceDE w:val="0"/>
              <w:autoSpaceDN w:val="0"/>
              <w:adjustRightInd w:val="0"/>
              <w:spacing w:line="43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bl>
    <w:p w14:paraId="5220A07F">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14.投标文件格式</w:t>
      </w:r>
    </w:p>
    <w:p w14:paraId="6473922B">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①　投标人应根据采购文件中所提供的格式，内容按顺序填写并装订成册；</w:t>
      </w:r>
    </w:p>
    <w:p w14:paraId="1D8EC042">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②　投标文件应有目录以及页码，以便评委检索；</w:t>
      </w:r>
    </w:p>
    <w:p w14:paraId="36274BEF">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③　投标文件表述内容应简练，尽可能以双面打印（复印）制作；</w:t>
      </w:r>
    </w:p>
    <w:p w14:paraId="4A3F0D23">
      <w:pPr>
        <w:tabs>
          <w:tab w:val="left" w:pos="360"/>
        </w:tabs>
        <w:spacing w:line="460" w:lineRule="exact"/>
        <w:ind w:left="437" w:leftChars="208"/>
        <w:rPr>
          <w:rFonts w:ascii="宋体" w:hAnsi="宋体" w:cs="宋体"/>
          <w:color w:val="auto"/>
          <w:sz w:val="22"/>
          <w:szCs w:val="22"/>
          <w:highlight w:val="none"/>
        </w:rPr>
      </w:pPr>
      <w:r>
        <w:rPr>
          <w:rFonts w:hint="eastAsia" w:ascii="宋体" w:hAnsi="宋体" w:cs="宋体"/>
          <w:color w:val="auto"/>
          <w:sz w:val="22"/>
          <w:szCs w:val="22"/>
          <w:highlight w:val="none"/>
        </w:rPr>
        <w:t>④　资格审查资料、技术资信标与商务报价标分别包装于各自标函袋中，标函袋不做统一要求；</w:t>
      </w:r>
      <w:r>
        <w:rPr>
          <w:rFonts w:hint="eastAsia" w:ascii="宋体" w:hAnsi="宋体" w:cs="宋体"/>
          <w:b/>
          <w:bCs/>
          <w:color w:val="auto"/>
          <w:sz w:val="22"/>
          <w:szCs w:val="22"/>
          <w:highlight w:val="none"/>
        </w:rPr>
        <w:t>注：提供1套电子版投标文件</w:t>
      </w:r>
      <w:r>
        <w:rPr>
          <w:rFonts w:hint="eastAsia" w:ascii="宋体" w:hAnsi="宋体" w:cs="宋体"/>
          <w:b/>
          <w:bCs/>
          <w:color w:val="auto"/>
          <w:sz w:val="22"/>
          <w:szCs w:val="22"/>
          <w:highlight w:val="none"/>
          <w:lang w:val="zh-CN"/>
        </w:rPr>
        <w:t>“资格审查资料”、“技术资信标”、“商务报价标”三份文件正本盖章扫描件密封于U盘内与纸质投标文件一并提交，用于后续电子存档，不作为评审依据。</w:t>
      </w:r>
    </w:p>
    <w:p w14:paraId="27BF91A7">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证书、证件、证明等原件，属备查项目，并非强制性要求。投标人若提交原件资料，可将原件单独包封，与投标文件一同向采购代理机构递交。评标主要依据投标人投标文件中加盖有效公章的证书/证明文件复印件，如评标委员会对复印件有异议的，可向投标人要求提供原件，若投标人届时未能提供原件佐证的，则承担相应评分项不得分的风险。</w:t>
      </w:r>
    </w:p>
    <w:p w14:paraId="433D38EE">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14.1本采购文件“第四部分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33E98210">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14.2投标文件内容不完整、编排混乱导致投标文件被误读、漏读或者查找不到相关内容的，是投标人的责任。</w:t>
      </w:r>
    </w:p>
    <w:p w14:paraId="40CFA59B">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14.3投标文件因字迹潦草或表达不清所引起的后果由投标人负责。</w:t>
      </w:r>
    </w:p>
    <w:p w14:paraId="20AF880F">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14.4投标人没有按照本章节 “投标文件组成”要求提供全部资料，或者没有仔细阅读采购文件，或者没有对采购文件在各方面的要求作出实质性响应是投标人的风险，由此造成的一切后果由投标人自行承担。</w:t>
      </w:r>
    </w:p>
    <w:p w14:paraId="5DF0064F">
      <w:pPr>
        <w:spacing w:line="440" w:lineRule="exact"/>
        <w:ind w:left="331" w:hanging="331" w:hangingChars="150"/>
        <w:rPr>
          <w:rFonts w:ascii="宋体" w:hAnsi="宋体" w:cs="宋体"/>
          <w:b/>
          <w:bCs/>
          <w:color w:val="auto"/>
          <w:sz w:val="22"/>
          <w:szCs w:val="22"/>
          <w:highlight w:val="none"/>
        </w:rPr>
      </w:pPr>
      <w:r>
        <w:rPr>
          <w:rFonts w:hint="eastAsia" w:ascii="宋体" w:hAnsi="宋体" w:cs="宋体"/>
          <w:b/>
          <w:bCs/>
          <w:color w:val="auto"/>
          <w:sz w:val="22"/>
          <w:szCs w:val="22"/>
          <w:highlight w:val="none"/>
        </w:rPr>
        <w:t>15.投标文件的签章</w:t>
      </w:r>
    </w:p>
    <w:p w14:paraId="21A55187">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15.1投标文件的签章要求：投标人须知前附表第16款；</w:t>
      </w:r>
    </w:p>
    <w:p w14:paraId="277123DF">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15.2投标文件应由投标人法定代表人或其授权代表签章，并时加盖投标人公章。</w:t>
      </w:r>
    </w:p>
    <w:p w14:paraId="1DEB6287">
      <w:pPr>
        <w:spacing w:line="440" w:lineRule="exact"/>
        <w:ind w:left="331" w:hanging="331" w:hangingChars="150"/>
        <w:rPr>
          <w:rFonts w:ascii="宋体" w:hAnsi="宋体" w:cs="宋体"/>
          <w:b/>
          <w:bCs/>
          <w:color w:val="auto"/>
          <w:sz w:val="22"/>
          <w:szCs w:val="22"/>
          <w:highlight w:val="none"/>
        </w:rPr>
      </w:pPr>
      <w:r>
        <w:rPr>
          <w:rFonts w:hint="eastAsia" w:ascii="宋体" w:hAnsi="宋体" w:cs="宋体"/>
          <w:b/>
          <w:bCs/>
          <w:color w:val="auto"/>
          <w:sz w:val="22"/>
          <w:szCs w:val="22"/>
          <w:highlight w:val="none"/>
        </w:rPr>
        <w:t>16.投标文件的份数</w:t>
      </w:r>
    </w:p>
    <w:p w14:paraId="1FA90491">
      <w:pPr>
        <w:tabs>
          <w:tab w:val="left" w:pos="5355"/>
        </w:tabs>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16.1投标文件的份数：见投标人须知前附表第17款。</w:t>
      </w:r>
    </w:p>
    <w:p w14:paraId="1DB8F4F3">
      <w:pPr>
        <w:tabs>
          <w:tab w:val="left" w:pos="540"/>
        </w:tabs>
        <w:spacing w:line="460" w:lineRule="exact"/>
        <w:rPr>
          <w:rFonts w:ascii="宋体" w:hAnsi="宋体" w:cs="宋体"/>
          <w:color w:val="auto"/>
          <w:sz w:val="22"/>
          <w:szCs w:val="22"/>
          <w:highlight w:val="none"/>
        </w:rPr>
      </w:pPr>
      <w:r>
        <w:rPr>
          <w:rFonts w:hint="eastAsia" w:ascii="宋体" w:hAnsi="宋体" w:cs="宋体"/>
          <w:bCs/>
          <w:color w:val="auto"/>
          <w:sz w:val="22"/>
          <w:szCs w:val="22"/>
          <w:highlight w:val="none"/>
        </w:rPr>
        <w:t>17.投标报价</w:t>
      </w:r>
    </w:p>
    <w:p w14:paraId="4DA1F1B1">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14:paraId="6EF0FD74">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17.2本项目投标报价根据温州市发展和改革委员会官方网站（http://wzfgw.wenzhou.gov.cn/col/col1216782/index.html）最近之日公布的温州市区农贸市场价格监测表中新田园农贸市场的产品价格</w:t>
      </w:r>
      <w:r>
        <w:rPr>
          <w:rFonts w:hint="eastAsia" w:ascii="宋体" w:hAnsi="宋体" w:cs="宋体"/>
          <w:color w:val="auto"/>
          <w:sz w:val="22"/>
          <w:szCs w:val="22"/>
          <w:highlight w:val="none"/>
          <w:lang w:val="en-US" w:eastAsia="zh-CN"/>
        </w:rPr>
        <w:t>作为</w:t>
      </w:r>
      <w:r>
        <w:rPr>
          <w:rFonts w:hint="eastAsia" w:ascii="宋体" w:hAnsi="宋体" w:cs="宋体"/>
          <w:color w:val="auto"/>
          <w:sz w:val="22"/>
          <w:szCs w:val="22"/>
          <w:highlight w:val="none"/>
        </w:rPr>
        <w:t>所需产品参考价格，温州市发展和改革委员会官方网站上未列明的货品，采购人有权选苍龙区域较近农贸市场进行市场询价的市场价作为产品参考价格。中标人所报折扣将作为下一周期供货商所供货品最高限价协商重要依据，采购人成立采价组，每半个月对食堂食品原料的价格进行采集，参考相关部门发布的市场信息，与供货商及时对接，原则上每半个月确定一次。，投标人应自行考虑食材的供货（包括但不限于宰杀、预处理、预加工等）、税金、包装、运输、装卸、验收及其所有税费、招标代理服务费等全部费用后计算价格折扣。</w:t>
      </w:r>
    </w:p>
    <w:p w14:paraId="6C37F181">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ADAA317">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17.4 投标人必须按第三部分附件的开标一览表、投标分项报价表的内容填写单价、合价及其他事项，并由法定代表人或授权代表签署。</w:t>
      </w:r>
    </w:p>
    <w:p w14:paraId="42014477">
      <w:pPr>
        <w:tabs>
          <w:tab w:val="left" w:pos="540"/>
        </w:tabs>
        <w:spacing w:line="460" w:lineRule="exact"/>
        <w:rPr>
          <w:rFonts w:ascii="宋体" w:hAnsi="宋体" w:cs="宋体"/>
          <w:b/>
          <w:color w:val="auto"/>
          <w:sz w:val="22"/>
          <w:szCs w:val="22"/>
          <w:highlight w:val="none"/>
        </w:rPr>
      </w:pPr>
      <w:r>
        <w:rPr>
          <w:rFonts w:hint="eastAsia" w:ascii="宋体" w:hAnsi="宋体" w:cs="宋体"/>
          <w:color w:val="auto"/>
          <w:sz w:val="22"/>
          <w:szCs w:val="22"/>
          <w:highlight w:val="none"/>
        </w:rPr>
        <w:t>17.5 所有投标报价均以人民币报价。</w:t>
      </w:r>
    </w:p>
    <w:p w14:paraId="5908B756">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17.6 采购人不接受任何选择报价，对每一项货物/服务只允许一个报价。</w:t>
      </w:r>
    </w:p>
    <w:p w14:paraId="53AC19A9">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17.7 采购人要求分类报价是为了方便评标，但在任何情况下不限制采购人以其认为最合适的条款、条件签订合同的权利。</w:t>
      </w:r>
    </w:p>
    <w:p w14:paraId="6DDED466">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17.8报价是成交的一个重要因素，但最低报价不是成交的唯一依据。</w:t>
      </w:r>
    </w:p>
    <w:p w14:paraId="7A2D4DFE">
      <w:pPr>
        <w:tabs>
          <w:tab w:val="left" w:pos="-180"/>
          <w:tab w:val="left" w:pos="180"/>
          <w:tab w:val="left" w:pos="360"/>
        </w:tabs>
        <w:spacing w:line="440" w:lineRule="exact"/>
        <w:ind w:left="660" w:hanging="660" w:hangingChars="300"/>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18. </w:t>
      </w:r>
      <w:r>
        <w:rPr>
          <w:rFonts w:hint="eastAsia" w:ascii="宋体" w:hAnsi="宋体" w:cs="宋体"/>
          <w:b/>
          <w:bCs/>
          <w:color w:val="auto"/>
          <w:sz w:val="22"/>
          <w:szCs w:val="22"/>
          <w:highlight w:val="none"/>
        </w:rPr>
        <w:t>投标人如发生下列情况之一，将上报同级采购监督管理部门，追究其责任：</w:t>
      </w:r>
    </w:p>
    <w:p w14:paraId="3921EA7B">
      <w:pPr>
        <w:numPr>
          <w:ilvl w:val="0"/>
          <w:numId w:val="19"/>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投标人在采购文件规定的投标有效期内撤回投标；</w:t>
      </w:r>
    </w:p>
    <w:p w14:paraId="6307D2D6">
      <w:pPr>
        <w:numPr>
          <w:ilvl w:val="0"/>
          <w:numId w:val="19"/>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5C013B37">
      <w:pPr>
        <w:numPr>
          <w:ilvl w:val="0"/>
          <w:numId w:val="19"/>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投标人在采购文件中提供虚假技术指标及参数，经评标委员会确认属实的。</w:t>
      </w:r>
    </w:p>
    <w:p w14:paraId="12EE8D67">
      <w:pPr>
        <w:numPr>
          <w:ilvl w:val="0"/>
          <w:numId w:val="19"/>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经同级采购监督管理部门审查认定投标人有违反有关法律法规的行为。</w:t>
      </w:r>
    </w:p>
    <w:p w14:paraId="724544EF">
      <w:pPr>
        <w:tabs>
          <w:tab w:val="left" w:pos="-180"/>
          <w:tab w:val="left" w:pos="180"/>
          <w:tab w:val="left" w:pos="360"/>
        </w:tabs>
        <w:spacing w:line="440" w:lineRule="exact"/>
        <w:rPr>
          <w:rFonts w:ascii="宋体" w:hAnsi="宋体" w:cs="宋体"/>
          <w:b/>
          <w:bCs/>
          <w:color w:val="auto"/>
          <w:sz w:val="22"/>
          <w:szCs w:val="22"/>
          <w:highlight w:val="none"/>
        </w:rPr>
      </w:pPr>
      <w:bookmarkStart w:id="38" w:name="_Toc239145354"/>
      <w:bookmarkStart w:id="39" w:name="_Toc221356951"/>
      <w:bookmarkStart w:id="40" w:name="_Toc222114879"/>
      <w:bookmarkStart w:id="41" w:name="_Toc265529383"/>
      <w:bookmarkStart w:id="42" w:name="_Toc221374626"/>
      <w:bookmarkStart w:id="43" w:name="_Toc223715998"/>
      <w:bookmarkStart w:id="44" w:name="_Toc221356887"/>
      <w:bookmarkStart w:id="45" w:name="_Toc221423619"/>
      <w:bookmarkStart w:id="46" w:name="_Toc241404202"/>
      <w:r>
        <w:rPr>
          <w:rFonts w:hint="eastAsia" w:ascii="宋体" w:hAnsi="宋体" w:cs="宋体"/>
          <w:b/>
          <w:bCs/>
          <w:color w:val="auto"/>
          <w:sz w:val="22"/>
          <w:szCs w:val="22"/>
          <w:highlight w:val="none"/>
        </w:rPr>
        <w:t>19. 投标有效期</w:t>
      </w:r>
    </w:p>
    <w:p w14:paraId="2842C6E1">
      <w:pPr>
        <w:tabs>
          <w:tab w:val="left" w:pos="540"/>
          <w:tab w:val="left" w:pos="992"/>
        </w:tabs>
        <w:autoSpaceDE w:val="0"/>
        <w:autoSpaceDN w:val="0"/>
        <w:adjustRightInd w:val="0"/>
        <w:spacing w:line="460" w:lineRule="atLeast"/>
        <w:rPr>
          <w:rFonts w:ascii="宋体" w:hAnsi="宋体" w:cs="宋体"/>
          <w:color w:val="auto"/>
          <w:kern w:val="0"/>
          <w:sz w:val="22"/>
          <w:szCs w:val="22"/>
          <w:highlight w:val="none"/>
        </w:rPr>
      </w:pPr>
      <w:r>
        <w:rPr>
          <w:rFonts w:hint="eastAsia" w:ascii="宋体" w:hAnsi="宋体" w:cs="宋体"/>
          <w:color w:val="auto"/>
          <w:kern w:val="0"/>
          <w:sz w:val="22"/>
          <w:szCs w:val="22"/>
          <w:highlight w:val="none"/>
        </w:rPr>
        <w:t>19.1 自开标之日起 90天内投标应保持有效。投标有效期短于这个规定期限的投标将视为非响应性投标而予以拒绝。</w:t>
      </w:r>
    </w:p>
    <w:p w14:paraId="496D9ED3">
      <w:pPr>
        <w:spacing w:line="44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78BBC0FA">
      <w:pPr>
        <w:pStyle w:val="4"/>
        <w:spacing w:line="500" w:lineRule="exact"/>
        <w:jc w:val="center"/>
        <w:rPr>
          <w:rFonts w:ascii="宋体" w:hAnsi="宋体" w:eastAsia="宋体" w:cs="宋体"/>
          <w:color w:val="auto"/>
          <w:sz w:val="24"/>
          <w:szCs w:val="24"/>
          <w:highlight w:val="none"/>
        </w:rPr>
      </w:pPr>
      <w:bookmarkStart w:id="47" w:name="_Toc58406686"/>
      <w:bookmarkStart w:id="48" w:name="_Toc34508133"/>
      <w:r>
        <w:rPr>
          <w:rFonts w:hint="eastAsia" w:ascii="宋体" w:hAnsi="宋体" w:eastAsia="宋体" w:cs="宋体"/>
          <w:color w:val="auto"/>
          <w:sz w:val="24"/>
          <w:szCs w:val="24"/>
          <w:highlight w:val="none"/>
        </w:rPr>
        <w:t>四、 投标文件的递交</w:t>
      </w:r>
      <w:bookmarkEnd w:id="38"/>
      <w:bookmarkEnd w:id="39"/>
      <w:bookmarkEnd w:id="40"/>
      <w:bookmarkEnd w:id="41"/>
      <w:bookmarkEnd w:id="42"/>
      <w:bookmarkEnd w:id="43"/>
      <w:bookmarkEnd w:id="44"/>
      <w:bookmarkEnd w:id="45"/>
      <w:bookmarkEnd w:id="46"/>
      <w:bookmarkEnd w:id="47"/>
      <w:bookmarkEnd w:id="48"/>
    </w:p>
    <w:p w14:paraId="6DCB1024">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投标文件的递交</w:t>
      </w:r>
    </w:p>
    <w:p w14:paraId="3C5479C2">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20.1投标文件必须在规定的投标截止时间前送达到指定的收标地点。</w:t>
      </w:r>
    </w:p>
    <w:p w14:paraId="0FAFFC35">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21. 投标文件的补充、修改或撤回</w:t>
      </w:r>
    </w:p>
    <w:p w14:paraId="1788B716">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21.1在投标截止时间前，投标人可以用书面形式提出修改或撤回其投标并送达到采购人，但不得影响开标活动的正常进行。</w:t>
      </w:r>
    </w:p>
    <w:p w14:paraId="0CA15B10">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21.2“投标文件修改”或“投标文件撤回通知”都应密封并在密封袋上写明投标项目名称、项目编号、投标单位名称，并注明“投标文件修改”或“投标文件撤回通知”字样。</w:t>
      </w:r>
    </w:p>
    <w:p w14:paraId="4E5889AB">
      <w:pPr>
        <w:tabs>
          <w:tab w:val="left" w:pos="540"/>
        </w:tabs>
        <w:spacing w:line="460" w:lineRule="exact"/>
        <w:rPr>
          <w:rFonts w:ascii="宋体" w:hAnsi="宋体" w:cs="宋体"/>
          <w:bCs/>
          <w:color w:val="auto"/>
          <w:kern w:val="0"/>
          <w:sz w:val="22"/>
          <w:szCs w:val="22"/>
          <w:highlight w:val="none"/>
        </w:rPr>
      </w:pPr>
      <w:r>
        <w:rPr>
          <w:rFonts w:hint="eastAsia" w:ascii="新宋体" w:hAnsi="新宋体" w:eastAsia="新宋体" w:cs="新宋体"/>
          <w:bCs/>
          <w:color w:val="auto"/>
          <w:kern w:val="0"/>
          <w:sz w:val="22"/>
          <w:szCs w:val="22"/>
          <w:highlight w:val="none"/>
        </w:rPr>
        <w:t>21.3从投标截止日期起至投标有效期满这段时间内，投标人不得撤回其投标</w:t>
      </w:r>
      <w:r>
        <w:rPr>
          <w:rFonts w:hint="eastAsia" w:ascii="宋体" w:hAnsi="宋体" w:cs="宋体"/>
          <w:bCs/>
          <w:color w:val="auto"/>
          <w:kern w:val="0"/>
          <w:sz w:val="22"/>
          <w:szCs w:val="22"/>
          <w:highlight w:val="none"/>
        </w:rPr>
        <w:t>。</w:t>
      </w:r>
    </w:p>
    <w:p w14:paraId="0388DFDD">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递交投标文件时，需满足以下要求，否则该投标文件予以拒收：</w:t>
      </w:r>
    </w:p>
    <w:p w14:paraId="47AFA1F3">
      <w:pPr>
        <w:tabs>
          <w:tab w:val="left" w:pos="540"/>
        </w:tabs>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22.1在投标截止时间之前递交。</w:t>
      </w:r>
    </w:p>
    <w:p w14:paraId="47655A14">
      <w:pPr>
        <w:tabs>
          <w:tab w:val="left" w:pos="540"/>
        </w:tabs>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22.2包装与密封符合采购文件要求。</w:t>
      </w:r>
    </w:p>
    <w:p w14:paraId="306FC9DD">
      <w:pPr>
        <w:tabs>
          <w:tab w:val="left" w:pos="540"/>
        </w:tabs>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22.3投标文件递交到指定的投标地点。</w:t>
      </w:r>
    </w:p>
    <w:p w14:paraId="63210671">
      <w:pPr>
        <w:tabs>
          <w:tab w:val="left" w:pos="540"/>
        </w:tabs>
        <w:spacing w:line="460" w:lineRule="exact"/>
        <w:rPr>
          <w:rFonts w:ascii="宋体" w:hAnsi="宋体" w:cs="宋体"/>
          <w:bCs/>
          <w:color w:val="auto"/>
          <w:kern w:val="0"/>
          <w:sz w:val="22"/>
          <w:szCs w:val="22"/>
          <w:highlight w:val="none"/>
        </w:rPr>
      </w:pPr>
      <w:r>
        <w:rPr>
          <w:rFonts w:hint="eastAsia" w:ascii="宋体" w:hAnsi="宋体" w:cs="宋体"/>
          <w:b/>
          <w:bCs/>
          <w:color w:val="auto"/>
          <w:kern w:val="0"/>
          <w:sz w:val="22"/>
          <w:szCs w:val="22"/>
          <w:highlight w:val="none"/>
        </w:rPr>
        <w:t>23. 投标文件的备选方案</w:t>
      </w:r>
    </w:p>
    <w:p w14:paraId="29EF8999">
      <w:pPr>
        <w:tabs>
          <w:tab w:val="left" w:pos="540"/>
        </w:tabs>
        <w:spacing w:line="460" w:lineRule="exact"/>
        <w:rPr>
          <w:rFonts w:ascii="宋体" w:hAnsi="宋体" w:cs="宋体"/>
          <w:b/>
          <w:color w:val="auto"/>
          <w:sz w:val="22"/>
          <w:szCs w:val="22"/>
          <w:highlight w:val="none"/>
        </w:rPr>
      </w:pPr>
      <w:r>
        <w:rPr>
          <w:rFonts w:hint="eastAsia" w:ascii="宋体" w:hAnsi="宋体" w:cs="宋体"/>
          <w:bCs/>
          <w:color w:val="auto"/>
          <w:kern w:val="0"/>
          <w:sz w:val="22"/>
          <w:szCs w:val="22"/>
          <w:highlight w:val="none"/>
        </w:rPr>
        <w:t>23.1投标人不得递交任何的投标备选（替代）方案，否则其投标文件将作无效标处理。</w:t>
      </w:r>
    </w:p>
    <w:p w14:paraId="0477B9DF">
      <w:pPr>
        <w:pStyle w:val="4"/>
        <w:spacing w:line="500" w:lineRule="exact"/>
        <w:jc w:val="center"/>
        <w:rPr>
          <w:rFonts w:ascii="宋体" w:hAnsi="宋体" w:eastAsia="宋体" w:cs="宋体"/>
          <w:color w:val="auto"/>
          <w:sz w:val="24"/>
          <w:szCs w:val="24"/>
          <w:highlight w:val="none"/>
        </w:rPr>
      </w:pPr>
      <w:bookmarkStart w:id="49" w:name="_Toc34508134"/>
      <w:bookmarkStart w:id="50" w:name="_Toc265529384"/>
      <w:bookmarkStart w:id="51" w:name="_Toc221374627"/>
      <w:bookmarkStart w:id="52" w:name="_Toc239145355"/>
      <w:bookmarkStart w:id="53" w:name="_Toc223715999"/>
      <w:bookmarkStart w:id="54" w:name="_Toc241404203"/>
      <w:bookmarkStart w:id="55" w:name="_Toc222114880"/>
      <w:bookmarkStart w:id="56" w:name="_Toc58406687"/>
      <w:bookmarkStart w:id="57" w:name="_Toc221423620"/>
      <w:bookmarkStart w:id="58" w:name="_Toc221356952"/>
      <w:bookmarkStart w:id="59" w:name="_Toc221356888"/>
      <w:r>
        <w:rPr>
          <w:rFonts w:hint="eastAsia" w:ascii="宋体" w:hAnsi="宋体" w:eastAsia="宋体" w:cs="宋体"/>
          <w:color w:val="auto"/>
          <w:sz w:val="24"/>
          <w:szCs w:val="24"/>
          <w:highlight w:val="none"/>
        </w:rPr>
        <w:t>五、 开标</w:t>
      </w:r>
      <w:bookmarkEnd w:id="49"/>
      <w:bookmarkEnd w:id="50"/>
      <w:bookmarkEnd w:id="51"/>
      <w:bookmarkEnd w:id="52"/>
      <w:bookmarkEnd w:id="53"/>
      <w:bookmarkEnd w:id="54"/>
      <w:bookmarkEnd w:id="55"/>
      <w:bookmarkEnd w:id="56"/>
      <w:bookmarkEnd w:id="57"/>
      <w:bookmarkEnd w:id="58"/>
      <w:bookmarkEnd w:id="59"/>
      <w:r>
        <w:rPr>
          <w:rFonts w:hint="eastAsia" w:ascii="宋体" w:hAnsi="宋体" w:eastAsia="宋体" w:cs="宋体"/>
          <w:color w:val="auto"/>
          <w:sz w:val="24"/>
          <w:szCs w:val="24"/>
          <w:highlight w:val="none"/>
        </w:rPr>
        <w:t>和评标</w:t>
      </w:r>
    </w:p>
    <w:p w14:paraId="6C261901">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24. 评标委员会</w:t>
      </w:r>
    </w:p>
    <w:p w14:paraId="5424CC03">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采购人按照有关法律、法规的规定组建评标委员会，评标委员会成员由采购人代表和有关技术、经济等方面的专家组成，成员人数为5人（含）以上单数。</w:t>
      </w:r>
    </w:p>
    <w:p w14:paraId="2B359807">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25. 评标过程的保密性</w:t>
      </w:r>
    </w:p>
    <w:p w14:paraId="6E25E9F9">
      <w:pPr>
        <w:tabs>
          <w:tab w:val="left" w:pos="360"/>
        </w:tabs>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527118C5">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26.开标、评标</w:t>
      </w:r>
    </w:p>
    <w:p w14:paraId="4AFDB200">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26.1 开标时邀请所有投标人代表参加，参加开标的代表应准时出席并签名报到以证明其出席。</w:t>
      </w:r>
    </w:p>
    <w:p w14:paraId="3F72C1D4">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26.2 开标时，应当由投标人推选的代表检查投标文件的密封情况；经确认无误后，由采购代理机构工作人员当众拆封，宣布投标人名称、投标价格和采购文件规定的需要宣布的其他内容。</w:t>
      </w:r>
    </w:p>
    <w:p w14:paraId="1E70E3A0">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投标人不足3家的，不得开标。</w:t>
      </w:r>
    </w:p>
    <w:p w14:paraId="1E60468E">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开标过程应当由采购人或者采购代理机构负责记录，由参加开标的各投标人代表和相关工作人员签字确认后随采购文件一并存档。</w:t>
      </w:r>
    </w:p>
    <w:p w14:paraId="4562AD3C">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投标人代表对开标过程和开标记录有疑义，以及认为采购人、采购代理机构相关工作人员有需要回避的情形的，应当场提出询问或者回避申请。</w:t>
      </w:r>
    </w:p>
    <w:p w14:paraId="7157336E">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投标人未参加开标的，视同认可开标结果。</w:t>
      </w:r>
    </w:p>
    <w:p w14:paraId="7054AEDD">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26.3开标结束后，采购代理机构依法对投标人的资格进行审查，合格投标人不足3家的，不得评标。</w:t>
      </w:r>
    </w:p>
    <w:p w14:paraId="314D1594">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26.4评标委员会对符合资格的投标人的投标文件进行符合性审查，以确定其是否满足采购文件的实质性要求。</w:t>
      </w:r>
    </w:p>
    <w:p w14:paraId="6F9556DC">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26.5没有满足采购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0B0EB5B">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26.6评标委员按照采购文件中规定的评标方法和标准，对投标文件进行商务和技术评估，综合比较与评价。</w:t>
      </w:r>
    </w:p>
    <w:p w14:paraId="2EFC2D6A">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26.7▲</w:t>
      </w:r>
      <w:r>
        <w:rPr>
          <w:rFonts w:hint="eastAsia" w:ascii="宋体" w:hAnsi="宋体" w:cs="宋体"/>
          <w:b/>
          <w:bCs/>
          <w:color w:val="auto"/>
          <w:kern w:val="0"/>
          <w:sz w:val="22"/>
          <w:szCs w:val="22"/>
          <w:highlight w:val="none"/>
          <w:u w:val="single"/>
        </w:rPr>
        <w:t>投标人存在下列情况之一的，投标无效</w:t>
      </w:r>
      <w:r>
        <w:rPr>
          <w:rFonts w:hint="eastAsia" w:ascii="宋体" w:hAnsi="宋体" w:cs="宋体"/>
          <w:color w:val="auto"/>
          <w:kern w:val="0"/>
          <w:sz w:val="22"/>
          <w:szCs w:val="22"/>
          <w:highlight w:val="none"/>
        </w:rPr>
        <w:t>:</w:t>
      </w:r>
    </w:p>
    <w:p w14:paraId="7377FE9F">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1）投标文件未按采购文件要求签署、盖章的；</w:t>
      </w:r>
    </w:p>
    <w:p w14:paraId="6F61D963">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2）不具备采购文件中规定的资格要求的；</w:t>
      </w:r>
    </w:p>
    <w:p w14:paraId="45CC4A91">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3）报价超过采购文件中规定的预算金额或者最高限价的；</w:t>
      </w:r>
    </w:p>
    <w:p w14:paraId="1ABC6F28">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4）投标文件含有采购人不能接受的附加条件的（包括采购文件中明确要求不得偏离的采购要求，存在负偏离的）；</w:t>
      </w:r>
    </w:p>
    <w:p w14:paraId="0FFA6ACD">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5）对关键条文的偏离、保留或反对，例如关于付款方式、完工期（服务期）、免费质保期、适用法律法规、标准、税费等其他内容；</w:t>
      </w:r>
    </w:p>
    <w:p w14:paraId="3A966621">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6）存在串标、抬标或弄虚作假情况的；</w:t>
      </w:r>
    </w:p>
    <w:p w14:paraId="4C6AEE8E">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7）法律、法规和采购文件规定的其他无效情形（或出现重大偏差）。</w:t>
      </w:r>
    </w:p>
    <w:p w14:paraId="7D554029">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26.8▲</w:t>
      </w:r>
      <w:r>
        <w:rPr>
          <w:rFonts w:hint="eastAsia" w:ascii="宋体" w:hAnsi="宋体" w:cs="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宋体"/>
          <w:color w:val="auto"/>
          <w:kern w:val="0"/>
          <w:sz w:val="22"/>
          <w:szCs w:val="22"/>
          <w:highlight w:val="none"/>
        </w:rPr>
        <w:t>：</w:t>
      </w:r>
    </w:p>
    <w:p w14:paraId="6502B764">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1）未按采购文件要求编制或字迹模糊、辨认不清的投标文件；</w:t>
      </w:r>
    </w:p>
    <w:p w14:paraId="357EA036">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2）除26.7条款以外，出现其它明显不符合技术规格、技术标准的要求或不满足采购文件技术规格书中的主要参数的投标文件；</w:t>
      </w:r>
    </w:p>
    <w:p w14:paraId="1066F5DE">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3）除26.7条款以外，出现投标项目数量与采购文件对比出现较大偏差；商务报价明细表计算错误，出现较大差错；</w:t>
      </w:r>
    </w:p>
    <w:p w14:paraId="62957432">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4）除26.7条款以外，出现其它不符合采购文件中规定的实质性要求的投标文件，是否为偏离实质性要求由评标委员会认定。</w:t>
      </w:r>
    </w:p>
    <w:p w14:paraId="1CA872C2">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26.9</w:t>
      </w:r>
      <w:r>
        <w:rPr>
          <w:rFonts w:hint="eastAsia" w:ascii="宋体" w:hAnsi="宋体" w:cs="宋体"/>
          <w:b/>
          <w:bCs/>
          <w:color w:val="auto"/>
          <w:kern w:val="0"/>
          <w:sz w:val="22"/>
          <w:szCs w:val="22"/>
          <w:highlight w:val="none"/>
          <w:u w:val="single"/>
        </w:rPr>
        <w:t>有下列情形之一的，视为投标人串通投标，其投标无效</w:t>
      </w:r>
      <w:r>
        <w:rPr>
          <w:rFonts w:hint="eastAsia" w:ascii="宋体" w:hAnsi="宋体" w:cs="宋体"/>
          <w:color w:val="auto"/>
          <w:kern w:val="0"/>
          <w:sz w:val="22"/>
          <w:szCs w:val="22"/>
          <w:highlight w:val="none"/>
        </w:rPr>
        <w:t>：</w:t>
      </w:r>
    </w:p>
    <w:p w14:paraId="67215B11">
      <w:pPr>
        <w:numPr>
          <w:ilvl w:val="0"/>
          <w:numId w:val="20"/>
        </w:num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不同投标人的投标文件由同一单位或者个人编制；</w:t>
      </w:r>
    </w:p>
    <w:p w14:paraId="0ED44B58">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 不同投标人委托同一单位或者个人办理投标事宜；</w:t>
      </w:r>
    </w:p>
    <w:p w14:paraId="51B87396">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 不同投标人的投标文件载明的项目管理成员或者联系人员为同一人；</w:t>
      </w:r>
    </w:p>
    <w:p w14:paraId="38C05ADD">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4）不同投标人的投标文件异常一致或者投标报价呈规律性差异；</w:t>
      </w:r>
    </w:p>
    <w:p w14:paraId="3D325801">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5）不同投标人的投标文件相互混装；</w:t>
      </w:r>
    </w:p>
    <w:p w14:paraId="634B37FE">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26.10在详细评标之前，评标委员会要审查每份投标文件是否实质上响应了采购文件的要求。实质上响应的投标应该是与采购文件要求的全部条款、条件和规格基本相符，没有重大偏离。</w:t>
      </w:r>
    </w:p>
    <w:p w14:paraId="23E6D604">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26.11实质上没有响应采购文件要求的投标将被否决，投标人不得通过修正或撤消不合要求的偏离或保留从而使其投标成为实质上响应的投标。</w:t>
      </w:r>
    </w:p>
    <w:p w14:paraId="47C2F3E3">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27.投标文件的澄清</w:t>
      </w:r>
    </w:p>
    <w:p w14:paraId="60872E3D">
      <w:pPr>
        <w:spacing w:line="460" w:lineRule="exact"/>
        <w:rPr>
          <w:rFonts w:ascii="宋体" w:hAnsi="宋体" w:cs="宋体"/>
          <w:b/>
          <w:bCs/>
          <w:color w:val="auto"/>
          <w:sz w:val="22"/>
          <w:szCs w:val="22"/>
          <w:highlight w:val="none"/>
        </w:rPr>
      </w:pPr>
      <w:r>
        <w:rPr>
          <w:rFonts w:hint="eastAsia" w:ascii="宋体" w:hAnsi="宋体" w:cs="宋体"/>
          <w:color w:val="auto"/>
          <w:kern w:val="0"/>
          <w:sz w:val="22"/>
          <w:szCs w:val="22"/>
          <w:highlight w:val="none"/>
        </w:rPr>
        <w:t>27.1</w:t>
      </w:r>
      <w:r>
        <w:rPr>
          <w:rFonts w:hint="eastAsia" w:cs="新宋体" w:asciiTheme="majorEastAsia" w:hAnsiTheme="majorEastAsia" w:eastAsiaTheme="majorEastAsia"/>
          <w:color w:val="auto"/>
          <w:szCs w:val="22"/>
          <w:highlight w:val="none"/>
        </w:rPr>
        <w:t>在评标期间，评标委员会可以书面方式要求投标人对投标文件中含义不明确、对同类问题表述不一致或者有明显文字和计算错误的内容作必要的澄清、说明或补正。澄清、说明或补正应以书面形式并由被授权人签署，但澄清内容不得超出投标文件的范围或者改变投标文件的实质性内容。拒不按要求对其投标文件进行澄清，说明或补正的投标人，评标委员会可以否决其投标</w:t>
      </w:r>
      <w:r>
        <w:rPr>
          <w:rFonts w:hint="eastAsia" w:ascii="宋体" w:hAnsi="宋体" w:cs="宋体"/>
          <w:b/>
          <w:bCs/>
          <w:color w:val="auto"/>
          <w:sz w:val="22"/>
          <w:szCs w:val="22"/>
          <w:highlight w:val="none"/>
        </w:rPr>
        <w:t>。</w:t>
      </w:r>
    </w:p>
    <w:p w14:paraId="1BA38F0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27.2经澄清后，若偏差仍存在，且不可接受，投标人则被认为是“没有实质性响应采购文件要求”，其投标不进入下一步评审</w:t>
      </w:r>
    </w:p>
    <w:p w14:paraId="7D46880F">
      <w:pPr>
        <w:spacing w:line="460" w:lineRule="exact"/>
        <w:rPr>
          <w:rFonts w:ascii="宋体" w:hAnsi="宋体" w:cs="宋体"/>
          <w:b/>
          <w:bCs/>
          <w:color w:val="auto"/>
          <w:sz w:val="22"/>
          <w:szCs w:val="22"/>
          <w:highlight w:val="none"/>
        </w:rPr>
      </w:pPr>
      <w:r>
        <w:rPr>
          <w:rFonts w:hint="eastAsia" w:ascii="宋体" w:hAnsi="宋体" w:cs="宋体"/>
          <w:color w:val="auto"/>
          <w:kern w:val="0"/>
          <w:sz w:val="22"/>
          <w:szCs w:val="22"/>
          <w:highlight w:val="none"/>
        </w:rPr>
        <w:t>27.3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8EF7C39">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27.4</w:t>
      </w: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14:paraId="0E366683">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43C14DA6">
      <w:pPr>
        <w:spacing w:line="46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0B6D7015">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092C53B3">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40EA4E24">
      <w:pPr>
        <w:spacing w:line="460" w:lineRule="exact"/>
        <w:ind w:firstLine="420" w:firstLineChars="190"/>
        <w:rPr>
          <w:rFonts w:ascii="宋体" w:hAnsi="宋体" w:cs="宋体"/>
          <w:color w:val="auto"/>
          <w:sz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14:paraId="52F82BE9">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27.5</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作出在线澄清并提供书面说明，必要时提交相关证明材料；投标人不能证明其报价合理性的，评标委员会应当将其作为无效投标处理</w:t>
      </w:r>
      <w:r>
        <w:rPr>
          <w:rFonts w:hint="eastAsia" w:ascii="宋体" w:hAnsi="宋体" w:cs="宋体"/>
          <w:color w:val="auto"/>
          <w:kern w:val="0"/>
          <w:sz w:val="22"/>
          <w:szCs w:val="22"/>
          <w:highlight w:val="none"/>
        </w:rPr>
        <w:t>。</w:t>
      </w:r>
    </w:p>
    <w:p w14:paraId="7A40D45E">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27.6如果投标人代表拒绝按评标委员会要求作出回复的，评标委员会可以对其作出否决投标处理。</w:t>
      </w:r>
    </w:p>
    <w:p w14:paraId="1816B687">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28.</w:t>
      </w:r>
      <w:r>
        <w:rPr>
          <w:rFonts w:hint="eastAsia" w:ascii="宋体" w:hAnsi="宋体" w:cs="宋体"/>
          <w:b/>
          <w:bCs/>
          <w:color w:val="auto"/>
          <w:sz w:val="22"/>
          <w:highlight w:val="none"/>
        </w:rPr>
        <w:t xml:space="preserve"> 评标原则和评标办法</w:t>
      </w:r>
    </w:p>
    <w:p w14:paraId="7796A527">
      <w:pPr>
        <w:pStyle w:val="31"/>
        <w:snapToGrid w:val="0"/>
        <w:spacing w:line="460" w:lineRule="exact"/>
        <w:rPr>
          <w:rFonts w:hAnsi="宋体" w:cs="宋体"/>
          <w:color w:val="auto"/>
          <w:sz w:val="22"/>
          <w:highlight w:val="none"/>
        </w:rPr>
      </w:pPr>
      <w:r>
        <w:rPr>
          <w:rFonts w:hint="eastAsia" w:hAnsi="宋体" w:cs="宋体"/>
          <w:color w:val="auto"/>
          <w:sz w:val="22"/>
          <w:highlight w:val="none"/>
        </w:rPr>
        <w:t>28.1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142FA299">
      <w:pPr>
        <w:pStyle w:val="53"/>
        <w:spacing w:before="0" w:beforeAutospacing="0" w:after="0" w:afterAutospacing="0" w:line="460" w:lineRule="exact"/>
        <w:jc w:val="both"/>
        <w:rPr>
          <w:rFonts w:cs="宋体"/>
          <w:color w:val="auto"/>
          <w:sz w:val="22"/>
          <w:highlight w:val="none"/>
        </w:rPr>
      </w:pPr>
      <w:r>
        <w:rPr>
          <w:rFonts w:hint="eastAsia" w:cs="宋体"/>
          <w:color w:val="auto"/>
          <w:sz w:val="22"/>
          <w:highlight w:val="none"/>
        </w:rPr>
        <w:t>28.2评标中因评标委员会成员缺席、回避或者健康等特殊原因导致评标委员会组成不符合规定的，依法补足后继续评标。被更换的评标委员会成员所作出的评标意见无效。</w:t>
      </w:r>
    </w:p>
    <w:p w14:paraId="0274D172">
      <w:pPr>
        <w:pStyle w:val="31"/>
        <w:snapToGrid w:val="0"/>
        <w:spacing w:line="460" w:lineRule="exact"/>
        <w:rPr>
          <w:rFonts w:hAnsi="宋体" w:cs="宋体"/>
          <w:color w:val="auto"/>
          <w:sz w:val="22"/>
          <w:highlight w:val="none"/>
        </w:rPr>
      </w:pPr>
      <w:r>
        <w:rPr>
          <w:rFonts w:hint="eastAsia" w:hAnsi="宋体" w:cs="宋体"/>
          <w:color w:val="auto"/>
          <w:sz w:val="22"/>
          <w:highlight w:val="none"/>
        </w:rPr>
        <w:t>28.3评标委员会成员对需要共同认定的事项存在争议的，应当按照少数服从多数的原则作出结论。持不同意见的评标委员会成员应当在评标报告上签署不同意见及理由，否则视为同意评标报告。</w:t>
      </w:r>
    </w:p>
    <w:p w14:paraId="5E3A475C">
      <w:pPr>
        <w:pStyle w:val="31"/>
        <w:snapToGrid w:val="0"/>
        <w:spacing w:line="460" w:lineRule="exact"/>
        <w:rPr>
          <w:rFonts w:hAnsi="宋体" w:cs="宋体"/>
          <w:color w:val="auto"/>
          <w:sz w:val="22"/>
          <w:highlight w:val="none"/>
        </w:rPr>
      </w:pPr>
      <w:r>
        <w:rPr>
          <w:rFonts w:hint="eastAsia" w:hAnsi="宋体" w:cs="宋体"/>
          <w:color w:val="auto"/>
          <w:sz w:val="22"/>
          <w:highlight w:val="none"/>
        </w:rPr>
        <w:t>28.4本项目评标办法是综合评分法，具体评标内容及评分标准等详见第六部分“评标原则及方法”。</w:t>
      </w:r>
    </w:p>
    <w:p w14:paraId="54A6A44B">
      <w:pPr>
        <w:pStyle w:val="31"/>
        <w:snapToGrid w:val="0"/>
        <w:spacing w:line="460" w:lineRule="exact"/>
        <w:rPr>
          <w:rFonts w:hAnsi="宋体" w:cs="宋体"/>
          <w:b/>
          <w:color w:val="auto"/>
          <w:sz w:val="22"/>
          <w:highlight w:val="none"/>
        </w:rPr>
      </w:pPr>
      <w:r>
        <w:rPr>
          <w:rFonts w:hint="eastAsia" w:hAnsi="宋体" w:cs="宋体"/>
          <w:b/>
          <w:color w:val="auto"/>
          <w:sz w:val="22"/>
          <w:highlight w:val="none"/>
          <w:u w:val="single"/>
        </w:rPr>
        <w:t>28.5▲根据《中华人民共和国政府采购法》第三十六条规定：在招标采购中，符合专业条件的投标人或者对采购文件作实质响应的投标人不足三家的，此项目废标，应重新组织采购。</w:t>
      </w:r>
    </w:p>
    <w:p w14:paraId="0C36C7A0">
      <w:pPr>
        <w:spacing w:line="460" w:lineRule="exact"/>
        <w:rPr>
          <w:rFonts w:ascii="宋体" w:hAnsi="宋体" w:cs="宋体"/>
          <w:color w:val="auto"/>
          <w:kern w:val="0"/>
          <w:sz w:val="22"/>
          <w:szCs w:val="22"/>
          <w:highlight w:val="none"/>
        </w:rPr>
      </w:pPr>
      <w:r>
        <w:rPr>
          <w:rFonts w:hint="eastAsia" w:ascii="宋体" w:hAnsi="宋体" w:cs="宋体"/>
          <w:color w:val="auto"/>
          <w:sz w:val="22"/>
          <w:highlight w:val="none"/>
        </w:rPr>
        <w:t>28.6评标过程中遇到特殊情况，由评标委员会遵循公开、公正原则，采取投票方式按照少数服从多数原则决定。</w:t>
      </w:r>
    </w:p>
    <w:p w14:paraId="7F6647FC">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29.确定中标候选人</w:t>
      </w:r>
    </w:p>
    <w:p w14:paraId="149156A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29.1本次采购由评标委员会推荐中标候选人，采购人根据评标委员会的推荐结果进行最终确认。</w:t>
      </w:r>
    </w:p>
    <w:p w14:paraId="2B25E98A">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29.2</w:t>
      </w:r>
      <w:r>
        <w:rPr>
          <w:rFonts w:hint="eastAsia" w:ascii="新宋体" w:hAnsi="新宋体" w:eastAsia="新宋体" w:cs="新宋体"/>
          <w:color w:val="auto"/>
          <w:sz w:val="22"/>
          <w:szCs w:val="22"/>
          <w:highlight w:val="none"/>
        </w:rPr>
        <w:t>评标委员会依据法律、法规及采购文件有关规定在有效标中按投标人的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color w:val="auto"/>
          <w:kern w:val="0"/>
          <w:sz w:val="22"/>
          <w:szCs w:val="22"/>
          <w:highlight w:val="none"/>
        </w:rPr>
        <w:t>。</w:t>
      </w:r>
    </w:p>
    <w:p w14:paraId="091ECF0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29.3若出现以下情形之一，采购人可视具体情况确定是否由备选中标人为中标人或重新组织采购：</w:t>
      </w:r>
    </w:p>
    <w:p w14:paraId="79A261E2">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14:paraId="57717B04">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14:paraId="0E45D999">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14:paraId="400D6929">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14:paraId="4976E011">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29.4采购人、采购代理机构及评标委员会对未中标的供应商不作解释。同时根据政府采购法实施条例第四十条规定，本项目不对供应商公布详细的评审情况，不公布具体评标细则中小项得分。</w:t>
      </w:r>
    </w:p>
    <w:p w14:paraId="68B00B8E">
      <w:pPr>
        <w:tabs>
          <w:tab w:val="left" w:pos="1365"/>
        </w:tabs>
        <w:spacing w:line="460" w:lineRule="exact"/>
        <w:ind w:left="550" w:hanging="550" w:hangingChars="250"/>
        <w:rPr>
          <w:rFonts w:ascii="宋体" w:hAnsi="宋体" w:cs="宋体"/>
          <w:bCs/>
          <w:color w:val="auto"/>
          <w:sz w:val="22"/>
          <w:szCs w:val="22"/>
          <w:highlight w:val="none"/>
        </w:rPr>
      </w:pPr>
      <w:r>
        <w:rPr>
          <w:rFonts w:hint="eastAsia" w:ascii="新宋体" w:hAnsi="新宋体" w:eastAsia="新宋体" w:cs="新宋体"/>
          <w:color w:val="auto"/>
          <w:kern w:val="0"/>
          <w:sz w:val="22"/>
          <w:szCs w:val="22"/>
          <w:highlight w:val="none"/>
        </w:rPr>
        <w:t>30. 评标细则详见“评标原则及方法”</w:t>
      </w:r>
      <w:r>
        <w:rPr>
          <w:rFonts w:hint="eastAsia" w:ascii="新宋体" w:hAnsi="新宋体" w:eastAsia="新宋体" w:cs="新宋体"/>
          <w:bCs/>
          <w:color w:val="auto"/>
          <w:sz w:val="22"/>
          <w:szCs w:val="22"/>
          <w:highlight w:val="none"/>
        </w:rPr>
        <w:t>。</w:t>
      </w:r>
    </w:p>
    <w:p w14:paraId="1C30888D">
      <w:pPr>
        <w:pStyle w:val="4"/>
        <w:spacing w:line="500" w:lineRule="exact"/>
        <w:jc w:val="center"/>
        <w:rPr>
          <w:rFonts w:ascii="宋体" w:hAnsi="宋体" w:eastAsia="宋体" w:cs="宋体"/>
          <w:color w:val="auto"/>
          <w:sz w:val="24"/>
          <w:szCs w:val="24"/>
          <w:highlight w:val="none"/>
        </w:rPr>
      </w:pPr>
      <w:bookmarkStart w:id="60" w:name="_Toc58406689"/>
      <w:bookmarkStart w:id="61" w:name="_Toc34221901"/>
      <w:bookmarkStart w:id="62" w:name="_Toc34508136"/>
      <w:bookmarkStart w:id="63" w:name="_Toc306613654"/>
      <w:r>
        <w:rPr>
          <w:rFonts w:hint="eastAsia" w:ascii="宋体" w:hAnsi="宋体" w:eastAsia="宋体" w:cs="宋体"/>
          <w:color w:val="auto"/>
          <w:sz w:val="24"/>
          <w:szCs w:val="24"/>
          <w:highlight w:val="none"/>
        </w:rPr>
        <w:t>六、 授予合同</w:t>
      </w:r>
      <w:bookmarkEnd w:id="60"/>
      <w:bookmarkEnd w:id="61"/>
      <w:bookmarkEnd w:id="62"/>
      <w:bookmarkEnd w:id="63"/>
    </w:p>
    <w:p w14:paraId="590D4365">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 确定中标人</w:t>
      </w:r>
    </w:p>
    <w:p w14:paraId="5A62E39A">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31.1采购人自收到评标报告之日起5个工作日内，在评标报告确定的中标候选人名单中按顺序确定中标人。</w:t>
      </w:r>
    </w:p>
    <w:p w14:paraId="5507652D">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31.2中标人确定之日起2个工作日内，在“</w:t>
      </w:r>
      <w:r>
        <w:rPr>
          <w:rFonts w:hint="eastAsia" w:ascii="新宋体" w:hAnsi="新宋体" w:eastAsia="新宋体" w:cs="新宋体"/>
          <w:color w:val="auto"/>
          <w:sz w:val="22"/>
          <w:szCs w:val="22"/>
          <w:highlight w:val="none"/>
          <w:lang w:eastAsia="zh-CN"/>
        </w:rPr>
        <w:t>中国政府采购网、浙江政府采购网</w:t>
      </w:r>
      <w:r>
        <w:rPr>
          <w:rFonts w:hint="eastAsia" w:ascii="新宋体" w:hAnsi="新宋体" w:eastAsia="新宋体" w:cs="新宋体"/>
          <w:color w:val="auto"/>
          <w:sz w:val="22"/>
          <w:szCs w:val="22"/>
          <w:highlight w:val="none"/>
        </w:rPr>
        <w:t>”平台上公示中标结果，中标公告期限为1个工作日；</w:t>
      </w:r>
    </w:p>
    <w:p w14:paraId="6EAFC1C6">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31.3在公告中标结果的同时，采购人向中标人发出中标通知书。</w:t>
      </w:r>
    </w:p>
    <w:p w14:paraId="4461446E">
      <w:pPr>
        <w:tabs>
          <w:tab w:val="left" w:pos="540"/>
        </w:tabs>
        <w:spacing w:line="440" w:lineRule="exact"/>
        <w:rPr>
          <w:rFonts w:ascii="宋体" w:hAnsi="宋体" w:cs="宋体"/>
          <w:color w:val="auto"/>
          <w:kern w:val="0"/>
          <w:sz w:val="22"/>
          <w:szCs w:val="22"/>
          <w:highlight w:val="none"/>
        </w:rPr>
      </w:pPr>
      <w:r>
        <w:rPr>
          <w:rFonts w:hint="eastAsia" w:ascii="新宋体" w:hAnsi="新宋体" w:eastAsia="新宋体" w:cs="新宋体"/>
          <w:color w:val="auto"/>
          <w:sz w:val="22"/>
          <w:szCs w:val="22"/>
          <w:highlight w:val="none"/>
        </w:rPr>
        <w:t>31.4各投标人对评标结果如有异议，可在中标结果公示之日起7个工作日内以书面形式向采购人</w:t>
      </w:r>
      <w:r>
        <w:rPr>
          <w:rFonts w:hint="eastAsia" w:ascii="新宋体" w:hAnsi="新宋体" w:eastAsia="新宋体" w:cs="新宋体"/>
          <w:color w:val="auto"/>
          <w:sz w:val="22"/>
          <w:szCs w:val="22"/>
          <w:highlight w:val="none"/>
          <w:lang w:val="en-US" w:eastAsia="zh-CN"/>
        </w:rPr>
        <w:t>或代理机构</w:t>
      </w:r>
      <w:r>
        <w:rPr>
          <w:rFonts w:hint="eastAsia" w:ascii="新宋体" w:hAnsi="新宋体" w:eastAsia="新宋体" w:cs="新宋体"/>
          <w:color w:val="auto"/>
          <w:sz w:val="22"/>
          <w:szCs w:val="22"/>
          <w:highlight w:val="none"/>
        </w:rPr>
        <w:t>提出质疑，但需对投诉或质疑内容的真实性承担法律责任。</w:t>
      </w:r>
    </w:p>
    <w:p w14:paraId="4B4BFFBF">
      <w:pPr>
        <w:tabs>
          <w:tab w:val="left" w:pos="540"/>
        </w:tabs>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32. 签订合同</w:t>
      </w:r>
    </w:p>
    <w:p w14:paraId="6F508B44">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32.1公示期结束后，中标投标人须在5个工作日内主动联系采购人或采购机构领取中标通知书。中标投标人应当在中标通知书发出之日起</w:t>
      </w:r>
      <w:r>
        <w:rPr>
          <w:rFonts w:hint="eastAsia" w:ascii="宋体" w:hAnsi="宋体" w:cs="宋体"/>
          <w:color w:val="auto"/>
          <w:sz w:val="22"/>
          <w:szCs w:val="22"/>
          <w:highlight w:val="none"/>
          <w:lang w:val="en-US" w:eastAsia="zh-CN"/>
        </w:rPr>
        <w:t>30</w:t>
      </w:r>
      <w:r>
        <w:rPr>
          <w:rFonts w:hint="eastAsia" w:ascii="宋体" w:hAnsi="宋体" w:cs="宋体"/>
          <w:color w:val="auto"/>
          <w:sz w:val="22"/>
          <w:szCs w:val="22"/>
          <w:highlight w:val="none"/>
        </w:rPr>
        <w:t>日内与采购人签订合同。中标投标人未经采购人许可，在规定时间内未到采购人处与采购人签订合同，则视为拒签合同。</w:t>
      </w:r>
    </w:p>
    <w:p w14:paraId="67182B32">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322采购文件、中标投标人的投标文件及投标修改文件、评标过程中有关澄清文件及经双方签字的询标纪要（承诺）和中标通知书均作为合同附件。</w:t>
      </w:r>
    </w:p>
    <w:p w14:paraId="072A90DA">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32.3拒签合同的责任</w:t>
      </w:r>
    </w:p>
    <w:p w14:paraId="6FD82764">
      <w:pPr>
        <w:tabs>
          <w:tab w:val="left" w:pos="6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32.4中标投标人在规定时间内（30日历天）借故否认已经承诺的条件、拒签合同，以投标违约处理，并赔偿采购人由此造成的直接经济损失；采购人重新组织采购的，所需费用由原中标投标人承担。</w:t>
      </w:r>
    </w:p>
    <w:p w14:paraId="7ABE2FC5">
      <w:pPr>
        <w:pStyle w:val="657"/>
        <w:spacing w:line="500" w:lineRule="exact"/>
        <w:ind w:firstLine="442"/>
        <w:jc w:val="center"/>
        <w:rPr>
          <w:rFonts w:hAnsi="宋体" w:cs="宋体"/>
          <w:b/>
          <w:color w:val="auto"/>
          <w:sz w:val="24"/>
          <w:highlight w:val="none"/>
        </w:rPr>
      </w:pPr>
      <w:r>
        <w:rPr>
          <w:rFonts w:hint="eastAsia" w:hAnsi="宋体" w:cs="宋体"/>
          <w:b/>
          <w:bCs/>
          <w:color w:val="auto"/>
          <w:sz w:val="22"/>
          <w:szCs w:val="22"/>
          <w:highlight w:val="none"/>
        </w:rPr>
        <w:br w:type="page"/>
      </w:r>
      <w:r>
        <w:rPr>
          <w:rFonts w:hint="eastAsia" w:hAnsi="宋体" w:cs="宋体"/>
          <w:b/>
          <w:color w:val="auto"/>
          <w:sz w:val="24"/>
          <w:highlight w:val="none"/>
        </w:rPr>
        <w:t>采购活动现场确认声明书</w:t>
      </w:r>
    </w:p>
    <w:p w14:paraId="71F91EA2">
      <w:pPr>
        <w:pStyle w:val="657"/>
        <w:spacing w:line="500" w:lineRule="exact"/>
        <w:ind w:firstLine="0" w:firstLineChars="0"/>
        <w:rPr>
          <w:rFonts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14:paraId="7E8C93AE">
      <w:pPr>
        <w:pStyle w:val="657"/>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）采购活动，经与本单位法人代表（负责人）联系确认，现就有关公平竞争事项郑重声明如下： </w:t>
      </w:r>
    </w:p>
    <w:p w14:paraId="46B314EC">
      <w:pPr>
        <w:pStyle w:val="594"/>
        <w:widowControl/>
        <w:numPr>
          <w:ilvl w:val="0"/>
          <w:numId w:val="21"/>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11286D32">
      <w:pPr>
        <w:pStyle w:val="594"/>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76B1117D">
      <w:pPr>
        <w:pStyle w:val="594"/>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0F92FC7B">
      <w:pPr>
        <w:pStyle w:val="594"/>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02828A31">
      <w:pPr>
        <w:pStyle w:val="657"/>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15D0F6AC">
      <w:pPr>
        <w:pStyle w:val="657"/>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68E06923">
      <w:pPr>
        <w:pStyle w:val="657"/>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B020D5F">
      <w:pPr>
        <w:pStyle w:val="657"/>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231C248A">
      <w:pPr>
        <w:pStyle w:val="657"/>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229D061F">
      <w:pPr>
        <w:pStyle w:val="657"/>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25F74C93">
      <w:pPr>
        <w:pStyle w:val="657"/>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55CD3CC1">
      <w:pPr>
        <w:pStyle w:val="657"/>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6B868385">
      <w:pPr>
        <w:pStyle w:val="657"/>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3E681DFF">
      <w:pPr>
        <w:pStyle w:val="594"/>
        <w:widowControl/>
        <w:numPr>
          <w:ilvl w:val="0"/>
          <w:numId w:val="22"/>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严格遵守法律法规和现场纪律。</w:t>
      </w:r>
    </w:p>
    <w:p w14:paraId="659940B9">
      <w:pPr>
        <w:pStyle w:val="594"/>
        <w:widowControl/>
        <w:numPr>
          <w:ilvl w:val="0"/>
          <w:numId w:val="22"/>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01D4CDBC">
      <w:pPr>
        <w:pStyle w:val="657"/>
        <w:spacing w:line="500" w:lineRule="exact"/>
        <w:ind w:firstLine="440"/>
        <w:rPr>
          <w:rFonts w:hAnsi="宋体" w:cs="宋体"/>
          <w:color w:val="auto"/>
          <w:sz w:val="22"/>
          <w:szCs w:val="22"/>
          <w:highlight w:val="none"/>
        </w:rPr>
      </w:pPr>
    </w:p>
    <w:p w14:paraId="4A925CD5">
      <w:pPr>
        <w:pStyle w:val="657"/>
        <w:spacing w:line="500" w:lineRule="exact"/>
        <w:ind w:firstLine="440"/>
        <w:rPr>
          <w:rFonts w:hAnsi="宋体" w:cs="宋体"/>
          <w:color w:val="auto"/>
          <w:sz w:val="22"/>
          <w:szCs w:val="22"/>
          <w:highlight w:val="none"/>
          <w:u w:val="single"/>
        </w:rPr>
      </w:pPr>
      <w:r>
        <w:rPr>
          <w:rFonts w:hint="eastAsia" w:hAnsi="宋体" w:cs="宋体"/>
          <w:color w:val="auto"/>
          <w:sz w:val="22"/>
          <w:szCs w:val="22"/>
          <w:highlight w:val="none"/>
        </w:rPr>
        <w:t>投标人代表签字：</w:t>
      </w:r>
    </w:p>
    <w:p w14:paraId="64E5D77E">
      <w:pPr>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373A9469">
      <w:pPr>
        <w:spacing w:line="440" w:lineRule="exact"/>
        <w:jc w:val="right"/>
        <w:rPr>
          <w:rFonts w:ascii="宋体" w:hAnsi="宋体" w:cs="宋体"/>
          <w:color w:val="auto"/>
          <w:sz w:val="22"/>
          <w:szCs w:val="22"/>
          <w:highlight w:val="none"/>
        </w:rPr>
      </w:pPr>
    </w:p>
    <w:p w14:paraId="2A36A3E0">
      <w:pPr>
        <w:spacing w:line="440" w:lineRule="exact"/>
        <w:jc w:val="right"/>
        <w:rPr>
          <w:rFonts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4CED081C">
      <w:pPr>
        <w:spacing w:line="440" w:lineRule="exact"/>
        <w:rPr>
          <w:rFonts w:ascii="宋体" w:hAnsi="宋体" w:cs="宋体"/>
          <w:b/>
          <w:bCs/>
          <w:color w:val="auto"/>
          <w:sz w:val="22"/>
          <w:szCs w:val="22"/>
          <w:highlight w:val="none"/>
        </w:rPr>
      </w:pPr>
    </w:p>
    <w:p w14:paraId="01E8D8D5">
      <w:pPr>
        <w:pStyle w:val="55"/>
        <w:rPr>
          <w:rFonts w:ascii="宋体" w:hAnsi="宋体" w:cs="宋体"/>
          <w:color w:val="auto"/>
          <w:kern w:val="2"/>
          <w:sz w:val="36"/>
          <w:szCs w:val="36"/>
          <w:highlight w:val="none"/>
        </w:rPr>
      </w:pPr>
      <w:r>
        <w:rPr>
          <w:rFonts w:hint="eastAsia" w:ascii="宋体" w:hAnsi="宋体" w:cs="宋体"/>
          <w:b w:val="0"/>
          <w:bCs w:val="0"/>
          <w:color w:val="auto"/>
          <w:sz w:val="22"/>
          <w:szCs w:val="22"/>
          <w:highlight w:val="none"/>
        </w:rPr>
        <w:br w:type="page"/>
      </w:r>
      <w:bookmarkStart w:id="64" w:name="_Toc495955195"/>
      <w:bookmarkStart w:id="65" w:name="_Toc34508137"/>
      <w:bookmarkStart w:id="66" w:name="_Toc58406690"/>
      <w:r>
        <w:rPr>
          <w:rFonts w:hint="eastAsia" w:ascii="宋体" w:hAnsi="宋体" w:cs="宋体"/>
          <w:color w:val="auto"/>
          <w:kern w:val="2"/>
          <w:sz w:val="36"/>
          <w:szCs w:val="36"/>
          <w:highlight w:val="none"/>
        </w:rPr>
        <w:t>第二部分   政府采购政策功能相关说明</w:t>
      </w:r>
      <w:bookmarkEnd w:id="64"/>
      <w:bookmarkEnd w:id="65"/>
      <w:bookmarkEnd w:id="66"/>
    </w:p>
    <w:p w14:paraId="1F80D00F">
      <w:pPr>
        <w:jc w:val="left"/>
        <w:rPr>
          <w:rFonts w:ascii="宋体" w:hAnsi="宋体" w:cs="宋体"/>
          <w:b/>
          <w:color w:val="auto"/>
          <w:sz w:val="22"/>
          <w:highlight w:val="none"/>
        </w:rPr>
      </w:pPr>
    </w:p>
    <w:p w14:paraId="24CDE318">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4AE01237">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1.文件依据</w:t>
      </w:r>
    </w:p>
    <w:p w14:paraId="09674F7F">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59FA0A11">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（2）《工业和信息化部、国家统计局、国家发展和改革委员会、财政部关于印发中小企业划型标准规定的通知》（工信部联企业[2011]300号）</w:t>
      </w:r>
    </w:p>
    <w:p w14:paraId="235FFC59">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4EC36D1B">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67938C54">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68AEFA23">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793B5283">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507A05B8">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00B0D712">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6829C3C9">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（1）本项目对小型企业和微型企业（含监狱企业、残疾人福利性单位）的投标报价给予10%的扣除，用扣除后的价格参与评审。</w:t>
      </w:r>
    </w:p>
    <w:p w14:paraId="0E65E4D3">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7D45FA38">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3B1524B4">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（4）对于联合体协议或者分包意向协议约定小微企业合同份额占到合同总金额30%以上的，对其投标报价给予4%的扣除，用扣除后的价格参与评审。</w:t>
      </w:r>
    </w:p>
    <w:p w14:paraId="69BA71AA">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14:paraId="520697E6">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14:paraId="72732435">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14:paraId="232614C5">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4128384D">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Cs/>
          <w:color w:val="auto"/>
          <w:sz w:val="22"/>
          <w:highlight w:val="none"/>
        </w:rPr>
        <w:t>：</w:t>
      </w:r>
    </w:p>
    <w:p w14:paraId="66B6A8A9">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66576B77">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0AF789A1">
      <w:pPr>
        <w:spacing w:line="440" w:lineRule="atLeast"/>
        <w:jc w:val="left"/>
        <w:rPr>
          <w:rFonts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7512450C">
      <w:pPr>
        <w:spacing w:line="440" w:lineRule="atLeast"/>
        <w:jc w:val="left"/>
        <w:rPr>
          <w:rFonts w:ascii="宋体" w:hAnsi="宋体" w:cs="宋体"/>
          <w:b/>
          <w:color w:val="auto"/>
          <w:sz w:val="22"/>
          <w:highlight w:val="none"/>
        </w:rPr>
      </w:pPr>
    </w:p>
    <w:p w14:paraId="39927961">
      <w:pPr>
        <w:spacing w:line="440" w:lineRule="atLeast"/>
        <w:jc w:val="left"/>
        <w:rPr>
          <w:rFonts w:ascii="宋体" w:hAnsi="宋体" w:cs="宋体"/>
          <w:b/>
          <w:color w:val="auto"/>
          <w:sz w:val="22"/>
          <w:highlight w:val="none"/>
        </w:rPr>
      </w:pPr>
    </w:p>
    <w:p w14:paraId="195B7623">
      <w:pPr>
        <w:spacing w:line="440" w:lineRule="atLeast"/>
        <w:jc w:val="left"/>
        <w:rPr>
          <w:rFonts w:ascii="宋体" w:hAnsi="宋体" w:cs="宋体"/>
          <w:b/>
          <w:color w:val="auto"/>
          <w:sz w:val="22"/>
          <w:highlight w:val="none"/>
        </w:rPr>
      </w:pPr>
    </w:p>
    <w:p w14:paraId="6E3EEEEA">
      <w:pPr>
        <w:spacing w:line="440" w:lineRule="atLeast"/>
        <w:jc w:val="left"/>
        <w:rPr>
          <w:rFonts w:ascii="宋体" w:hAnsi="宋体" w:cs="宋体"/>
          <w:b/>
          <w:color w:val="auto"/>
          <w:sz w:val="22"/>
          <w:highlight w:val="none"/>
        </w:rPr>
      </w:pPr>
    </w:p>
    <w:p w14:paraId="0064CD7B">
      <w:pPr>
        <w:spacing w:line="440" w:lineRule="atLeast"/>
        <w:jc w:val="left"/>
        <w:rPr>
          <w:rFonts w:ascii="宋体" w:hAnsi="宋体" w:cs="宋体"/>
          <w:b/>
          <w:color w:val="auto"/>
          <w:sz w:val="22"/>
          <w:highlight w:val="none"/>
        </w:rPr>
      </w:pPr>
    </w:p>
    <w:p w14:paraId="5E35945A">
      <w:pPr>
        <w:pStyle w:val="16"/>
        <w:rPr>
          <w:rFonts w:ascii="宋体" w:hAnsi="宋体" w:cs="宋体"/>
          <w:b/>
          <w:color w:val="auto"/>
          <w:sz w:val="22"/>
          <w:highlight w:val="none"/>
        </w:rPr>
      </w:pPr>
    </w:p>
    <w:p w14:paraId="3EA5356A">
      <w:pPr>
        <w:rPr>
          <w:rFonts w:ascii="宋体" w:hAnsi="宋体" w:cs="宋体"/>
          <w:b/>
          <w:color w:val="auto"/>
          <w:sz w:val="22"/>
          <w:highlight w:val="none"/>
        </w:rPr>
      </w:pPr>
    </w:p>
    <w:p w14:paraId="3105049D">
      <w:pPr>
        <w:pStyle w:val="16"/>
        <w:rPr>
          <w:rFonts w:ascii="宋体" w:hAnsi="宋体" w:cs="宋体"/>
          <w:b/>
          <w:color w:val="auto"/>
          <w:sz w:val="22"/>
          <w:highlight w:val="none"/>
        </w:rPr>
      </w:pPr>
    </w:p>
    <w:p w14:paraId="13C63E3A">
      <w:pPr>
        <w:rPr>
          <w:rFonts w:ascii="宋体" w:hAnsi="宋体" w:cs="宋体"/>
          <w:b/>
          <w:color w:val="auto"/>
          <w:sz w:val="22"/>
          <w:highlight w:val="none"/>
        </w:rPr>
      </w:pPr>
    </w:p>
    <w:p w14:paraId="4E5E49E5">
      <w:pPr>
        <w:pStyle w:val="16"/>
        <w:rPr>
          <w:rFonts w:ascii="宋体" w:hAnsi="宋体" w:cs="宋体"/>
          <w:b/>
          <w:color w:val="auto"/>
          <w:sz w:val="22"/>
          <w:highlight w:val="none"/>
        </w:rPr>
      </w:pPr>
    </w:p>
    <w:p w14:paraId="01696DA4">
      <w:pPr>
        <w:rPr>
          <w:rFonts w:ascii="宋体" w:hAnsi="宋体" w:cs="宋体"/>
          <w:b/>
          <w:color w:val="auto"/>
          <w:sz w:val="22"/>
          <w:highlight w:val="none"/>
        </w:rPr>
      </w:pPr>
    </w:p>
    <w:p w14:paraId="66BC3F0A">
      <w:pPr>
        <w:pStyle w:val="16"/>
        <w:rPr>
          <w:rFonts w:ascii="宋体" w:hAnsi="宋体" w:cs="宋体"/>
          <w:b/>
          <w:color w:val="auto"/>
          <w:sz w:val="22"/>
          <w:highlight w:val="none"/>
        </w:rPr>
      </w:pPr>
    </w:p>
    <w:p w14:paraId="12F84437">
      <w:pPr>
        <w:rPr>
          <w:rFonts w:ascii="宋体" w:hAnsi="宋体" w:cs="宋体"/>
          <w:b/>
          <w:color w:val="auto"/>
          <w:sz w:val="22"/>
          <w:highlight w:val="none"/>
        </w:rPr>
      </w:pPr>
    </w:p>
    <w:p w14:paraId="1E8CBDC6">
      <w:pPr>
        <w:pStyle w:val="16"/>
        <w:rPr>
          <w:rFonts w:ascii="宋体" w:hAnsi="宋体" w:cs="宋体"/>
          <w:b/>
          <w:color w:val="auto"/>
          <w:sz w:val="22"/>
          <w:highlight w:val="none"/>
        </w:rPr>
      </w:pPr>
    </w:p>
    <w:p w14:paraId="2020A007">
      <w:pPr>
        <w:rPr>
          <w:rFonts w:ascii="宋体" w:hAnsi="宋体" w:cs="宋体"/>
          <w:b/>
          <w:color w:val="auto"/>
          <w:sz w:val="22"/>
          <w:highlight w:val="none"/>
        </w:rPr>
      </w:pPr>
    </w:p>
    <w:p w14:paraId="1FCCBA59">
      <w:pPr>
        <w:pStyle w:val="16"/>
        <w:rPr>
          <w:rFonts w:ascii="宋体" w:hAnsi="宋体" w:cs="宋体"/>
          <w:b/>
          <w:color w:val="auto"/>
          <w:sz w:val="22"/>
          <w:highlight w:val="none"/>
        </w:rPr>
      </w:pPr>
    </w:p>
    <w:p w14:paraId="7E31C9A6">
      <w:pPr>
        <w:rPr>
          <w:rFonts w:ascii="宋体" w:hAnsi="宋体" w:cs="宋体"/>
          <w:b/>
          <w:color w:val="auto"/>
          <w:sz w:val="22"/>
          <w:highlight w:val="none"/>
        </w:rPr>
      </w:pPr>
    </w:p>
    <w:p w14:paraId="2661BC02">
      <w:pPr>
        <w:pStyle w:val="16"/>
        <w:rPr>
          <w:rFonts w:ascii="宋体" w:hAnsi="宋体" w:cs="宋体"/>
          <w:b/>
          <w:color w:val="auto"/>
          <w:sz w:val="22"/>
          <w:highlight w:val="none"/>
        </w:rPr>
      </w:pPr>
    </w:p>
    <w:p w14:paraId="3E8DD9CD">
      <w:pPr>
        <w:rPr>
          <w:rFonts w:ascii="宋体" w:hAnsi="宋体" w:cs="宋体"/>
          <w:b/>
          <w:color w:val="auto"/>
          <w:sz w:val="22"/>
          <w:highlight w:val="none"/>
        </w:rPr>
      </w:pPr>
    </w:p>
    <w:p w14:paraId="12093CCD">
      <w:pPr>
        <w:pStyle w:val="16"/>
        <w:rPr>
          <w:rFonts w:ascii="宋体" w:hAnsi="宋体" w:cs="宋体"/>
          <w:b/>
          <w:color w:val="auto"/>
          <w:sz w:val="22"/>
          <w:highlight w:val="none"/>
        </w:rPr>
      </w:pPr>
    </w:p>
    <w:p w14:paraId="7D6E9A6F">
      <w:pPr>
        <w:rPr>
          <w:color w:val="auto"/>
          <w:highlight w:val="none"/>
        </w:rPr>
      </w:pPr>
    </w:p>
    <w:p w14:paraId="50FCF92E">
      <w:pPr>
        <w:rPr>
          <w:rFonts w:ascii="宋体" w:hAnsi="宋体" w:cs="宋体"/>
          <w:b/>
          <w:color w:val="auto"/>
          <w:sz w:val="24"/>
          <w:highlight w:val="none"/>
        </w:rPr>
      </w:pPr>
      <w:r>
        <w:rPr>
          <w:rFonts w:hint="eastAsia" w:ascii="宋体" w:hAnsi="宋体" w:cs="宋体"/>
          <w:b/>
          <w:color w:val="auto"/>
          <w:sz w:val="24"/>
          <w:highlight w:val="none"/>
        </w:rPr>
        <w:br w:type="page"/>
      </w:r>
    </w:p>
    <w:p w14:paraId="643CC86F">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t>附件1：</w:t>
      </w:r>
    </w:p>
    <w:p w14:paraId="6275EA51">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bCs/>
          <w:color w:val="auto"/>
          <w:sz w:val="24"/>
          <w:highlight w:val="none"/>
        </w:rPr>
        <w:t>中小企业声明函（服务）</w:t>
      </w:r>
    </w:p>
    <w:p w14:paraId="509391E0">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688B0D5">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00692C1C">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747A170F">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14:paraId="4B33B2B8">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50330027">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3388BB59">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48CF98B9">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14:paraId="0514B59F">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7DB11133">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1E198156">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6C268E54">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7C6E0CF7">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06C97F6E">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76774871">
      <w:pPr>
        <w:widowControl/>
        <w:spacing w:before="100" w:beforeAutospacing="1" w:after="100" w:afterAutospacing="1" w:line="440" w:lineRule="atLeast"/>
        <w:jc w:val="center"/>
        <w:rPr>
          <w:rFonts w:ascii="宋体" w:hAnsi="宋体" w:cs="宋体"/>
          <w:b/>
          <w:bCs/>
          <w:color w:val="auto"/>
          <w:sz w:val="24"/>
          <w:highlight w:val="none"/>
        </w:rPr>
      </w:pPr>
      <w:bookmarkStart w:id="67" w:name="OLE_LINK14"/>
      <w:bookmarkStart w:id="68" w:name="OLE_LINK13"/>
      <w:r>
        <w:rPr>
          <w:rFonts w:hint="eastAsia" w:ascii="宋体" w:hAnsi="宋体" w:cs="宋体"/>
          <w:b/>
          <w:bCs/>
          <w:color w:val="auto"/>
          <w:sz w:val="24"/>
          <w:highlight w:val="none"/>
        </w:rPr>
        <w:t>残疾人福利性单位声明函</w:t>
      </w:r>
    </w:p>
    <w:bookmarkEnd w:id="67"/>
    <w:bookmarkEnd w:id="68"/>
    <w:p w14:paraId="01503D3E">
      <w:pPr>
        <w:spacing w:line="588" w:lineRule="exact"/>
        <w:rPr>
          <w:rFonts w:ascii="宋体" w:hAnsi="宋体" w:cs="宋体"/>
          <w:b/>
          <w:color w:val="auto"/>
          <w:spacing w:val="6"/>
          <w:sz w:val="30"/>
          <w:szCs w:val="30"/>
          <w:highlight w:val="none"/>
        </w:rPr>
      </w:pPr>
    </w:p>
    <w:p w14:paraId="2C8E0D43">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70F466">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5CE67ECE">
      <w:pPr>
        <w:spacing w:line="588" w:lineRule="exact"/>
        <w:ind w:firstLine="464" w:firstLineChars="200"/>
        <w:rPr>
          <w:rFonts w:ascii="宋体" w:hAnsi="宋体" w:cs="宋体"/>
          <w:color w:val="auto"/>
          <w:spacing w:val="6"/>
          <w:sz w:val="22"/>
          <w:szCs w:val="22"/>
          <w:highlight w:val="none"/>
        </w:rPr>
      </w:pPr>
    </w:p>
    <w:p w14:paraId="75AA6315">
      <w:pPr>
        <w:tabs>
          <w:tab w:val="left" w:pos="4860"/>
        </w:tabs>
        <w:spacing w:line="588" w:lineRule="exact"/>
        <w:ind w:right="1560" w:firstLine="464" w:firstLineChars="200"/>
        <w:rPr>
          <w:rFonts w:ascii="宋体" w:hAnsi="宋体" w:cs="宋体"/>
          <w:color w:val="auto"/>
          <w:spacing w:val="6"/>
          <w:sz w:val="22"/>
          <w:szCs w:val="22"/>
          <w:highlight w:val="none"/>
        </w:rPr>
      </w:pPr>
    </w:p>
    <w:p w14:paraId="4A055344">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0DD26629">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3F113D91">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3DAB90F4">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223BC73C">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14:paraId="53BAA22C">
      <w:pPr>
        <w:numPr>
          <w:ilvl w:val="2"/>
          <w:numId w:val="0"/>
        </w:numPr>
        <w:tabs>
          <w:tab w:val="left" w:pos="0"/>
        </w:tabs>
        <w:spacing w:line="588" w:lineRule="exact"/>
        <w:ind w:right="114"/>
        <w:jc w:val="left"/>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如中标，将在中标公示中将此残疾人福利性单位声明函予以公示，接受社会监督。</w:t>
      </w:r>
    </w:p>
    <w:p w14:paraId="2C67FDA5">
      <w:pPr>
        <w:numPr>
          <w:ilvl w:val="2"/>
          <w:numId w:val="0"/>
        </w:numPr>
        <w:tabs>
          <w:tab w:val="left" w:pos="0"/>
        </w:tabs>
        <w:spacing w:line="588" w:lineRule="exact"/>
        <w:ind w:right="114"/>
        <w:jc w:val="left"/>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14:paraId="0D5864FE">
      <w:pPr>
        <w:rPr>
          <w:color w:val="auto"/>
          <w:highlight w:val="none"/>
        </w:rPr>
      </w:pPr>
    </w:p>
    <w:p w14:paraId="0579225B">
      <w:pPr>
        <w:pStyle w:val="55"/>
        <w:rPr>
          <w:rFonts w:ascii="宋体" w:hAnsi="宋体" w:cs="宋体"/>
          <w:color w:val="auto"/>
          <w:sz w:val="22"/>
          <w:szCs w:val="22"/>
          <w:highlight w:val="none"/>
        </w:rPr>
      </w:pPr>
    </w:p>
    <w:p w14:paraId="172AEB68">
      <w:pPr>
        <w:tabs>
          <w:tab w:val="left" w:pos="0"/>
        </w:tabs>
        <w:spacing w:line="588" w:lineRule="exact"/>
        <w:ind w:right="114"/>
        <w:jc w:val="left"/>
        <w:rPr>
          <w:rFonts w:ascii="宋体" w:hAnsi="宋体" w:cs="宋体"/>
          <w:color w:val="auto"/>
          <w:sz w:val="22"/>
          <w:szCs w:val="22"/>
          <w:highlight w:val="none"/>
        </w:rPr>
      </w:pPr>
    </w:p>
    <w:p w14:paraId="249C53A3">
      <w:pPr>
        <w:pStyle w:val="55"/>
        <w:rPr>
          <w:rFonts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69" w:name="_Toc58406691"/>
      <w:bookmarkStart w:id="70" w:name="_Toc9491"/>
      <w:r>
        <w:rPr>
          <w:rFonts w:hint="eastAsia" w:ascii="宋体" w:hAnsi="宋体" w:cs="宋体"/>
          <w:color w:val="auto"/>
          <w:kern w:val="2"/>
          <w:sz w:val="36"/>
          <w:szCs w:val="36"/>
          <w:highlight w:val="none"/>
        </w:rPr>
        <w:t>第三部分   合同条款及格式</w:t>
      </w:r>
      <w:bookmarkEnd w:id="69"/>
      <w:bookmarkEnd w:id="70"/>
    </w:p>
    <w:p w14:paraId="36D53711">
      <w:pPr>
        <w:spacing w:line="460" w:lineRule="exact"/>
        <w:ind w:firstLine="330" w:firstLineChars="150"/>
        <w:rPr>
          <w:rFonts w:eastAsia="新宋体"/>
          <w:color w:val="auto"/>
          <w:sz w:val="22"/>
          <w:szCs w:val="22"/>
          <w:highlight w:val="none"/>
        </w:rPr>
      </w:pPr>
      <w:bookmarkStart w:id="71" w:name="_Toc29422"/>
      <w:bookmarkStart w:id="72" w:name="_Toc58406692"/>
      <w:bookmarkStart w:id="73" w:name="_Toc5314"/>
      <w:bookmarkStart w:id="74" w:name="_Toc21106"/>
      <w:bookmarkStart w:id="75" w:name="_Toc296602498"/>
      <w:bookmarkStart w:id="76" w:name="_Toc152045610"/>
      <w:bookmarkStart w:id="77" w:name="_Toc221423623"/>
      <w:bookmarkStart w:id="78" w:name="_Toc152042388"/>
      <w:bookmarkStart w:id="79" w:name="_Toc221374630"/>
      <w:bookmarkStart w:id="80" w:name="_Toc221356955"/>
      <w:bookmarkStart w:id="81" w:name="_Toc241404206"/>
      <w:bookmarkStart w:id="82" w:name="_Toc265529387"/>
      <w:bookmarkStart w:id="83" w:name="_Toc144974578"/>
      <w:bookmarkStart w:id="84" w:name="_Toc221356891"/>
      <w:bookmarkStart w:id="85" w:name="_Toc179632628"/>
      <w:bookmarkStart w:id="86" w:name="_Toc223716002"/>
      <w:bookmarkStart w:id="87" w:name="_Toc239145358"/>
      <w:bookmarkStart w:id="88" w:name="_Toc222114883"/>
      <w:bookmarkStart w:id="89" w:name="_Toc247085768"/>
      <w:bookmarkStart w:id="90" w:name="_Toc246996253"/>
      <w:bookmarkStart w:id="91" w:name="_Toc246996996"/>
      <w:r>
        <w:rPr>
          <w:rFonts w:eastAsia="新宋体"/>
          <w:color w:val="auto"/>
          <w:sz w:val="22"/>
          <w:szCs w:val="22"/>
          <w:highlight w:val="none"/>
        </w:rPr>
        <w:t>本条款为</w:t>
      </w:r>
      <w:r>
        <w:rPr>
          <w:rFonts w:hint="eastAsia" w:eastAsia="新宋体"/>
          <w:color w:val="auto"/>
          <w:sz w:val="22"/>
          <w:szCs w:val="22"/>
          <w:highlight w:val="none"/>
          <w:lang w:eastAsia="zh-CN"/>
        </w:rPr>
        <w:t>甲乙</w:t>
      </w:r>
      <w:r>
        <w:rPr>
          <w:rFonts w:eastAsia="新宋体"/>
          <w:color w:val="auto"/>
          <w:sz w:val="22"/>
          <w:szCs w:val="22"/>
          <w:highlight w:val="none"/>
        </w:rPr>
        <w:t>双方必须遵守的基本条款，</w:t>
      </w:r>
      <w:r>
        <w:rPr>
          <w:rFonts w:hint="eastAsia" w:eastAsia="新宋体"/>
          <w:color w:val="auto"/>
          <w:sz w:val="22"/>
          <w:szCs w:val="22"/>
          <w:highlight w:val="none"/>
          <w:lang w:eastAsia="zh-CN"/>
        </w:rPr>
        <w:t>甲乙</w:t>
      </w:r>
      <w:r>
        <w:rPr>
          <w:rFonts w:eastAsia="新宋体"/>
          <w:color w:val="auto"/>
          <w:sz w:val="22"/>
          <w:szCs w:val="22"/>
          <w:highlight w:val="none"/>
        </w:rPr>
        <w:t>双方也可根据实际情况另签合同条款，正式合同以双方签字盖章的文本为准。</w:t>
      </w:r>
    </w:p>
    <w:p w14:paraId="25C80FA8">
      <w:pPr>
        <w:rPr>
          <w:rFonts w:eastAsia="新宋体"/>
          <w:color w:val="auto"/>
          <w:sz w:val="22"/>
          <w:szCs w:val="22"/>
          <w:highlight w:val="none"/>
        </w:rPr>
      </w:pPr>
    </w:p>
    <w:p w14:paraId="04A2BBBF">
      <w:pPr>
        <w:autoSpaceDE w:val="0"/>
        <w:autoSpaceDN w:val="0"/>
        <w:spacing w:line="500" w:lineRule="atLeast"/>
        <w:jc w:val="center"/>
        <w:textAlignment w:val="bottom"/>
        <w:rPr>
          <w:rFonts w:eastAsia="新宋体"/>
          <w:color w:val="auto"/>
          <w:sz w:val="22"/>
          <w:szCs w:val="22"/>
          <w:highlight w:val="none"/>
        </w:rPr>
      </w:pPr>
      <w:r>
        <w:rPr>
          <w:rFonts w:eastAsia="新宋体"/>
          <w:color w:val="auto"/>
          <w:sz w:val="22"/>
          <w:szCs w:val="22"/>
          <w:highlight w:val="none"/>
        </w:rPr>
        <w:t>中标合同</w:t>
      </w:r>
    </w:p>
    <w:p w14:paraId="7B3DA9D8">
      <w:pPr>
        <w:autoSpaceDE w:val="0"/>
        <w:autoSpaceDN w:val="0"/>
        <w:spacing w:line="500" w:lineRule="atLeast"/>
        <w:jc w:val="center"/>
        <w:textAlignment w:val="bottom"/>
        <w:rPr>
          <w:rFonts w:eastAsia="新宋体"/>
          <w:color w:val="auto"/>
          <w:sz w:val="22"/>
          <w:szCs w:val="22"/>
          <w:highlight w:val="none"/>
        </w:rPr>
      </w:pPr>
    </w:p>
    <w:p w14:paraId="18704098">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项目名称：</w:t>
      </w:r>
      <w:r>
        <w:rPr>
          <w:rFonts w:eastAsia="新宋体"/>
          <w:color w:val="auto"/>
          <w:sz w:val="22"/>
          <w:szCs w:val="22"/>
          <w:highlight w:val="none"/>
          <w:u w:val="single"/>
        </w:rPr>
        <w:t xml:space="preserve">                      </w:t>
      </w:r>
    </w:p>
    <w:p w14:paraId="26D62C08">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设备名称：</w:t>
      </w:r>
      <w:r>
        <w:rPr>
          <w:rFonts w:eastAsia="新宋体"/>
          <w:color w:val="auto"/>
          <w:sz w:val="22"/>
          <w:szCs w:val="22"/>
          <w:highlight w:val="none"/>
          <w:u w:val="single"/>
        </w:rPr>
        <w:t xml:space="preserve">                      </w:t>
      </w:r>
    </w:p>
    <w:p w14:paraId="51A6BFB1">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合同编号：</w:t>
      </w:r>
      <w:r>
        <w:rPr>
          <w:rFonts w:eastAsia="新宋体"/>
          <w:color w:val="auto"/>
          <w:sz w:val="22"/>
          <w:szCs w:val="22"/>
          <w:highlight w:val="none"/>
          <w:u w:val="single"/>
        </w:rPr>
        <w:t xml:space="preserve">                      </w:t>
      </w:r>
    </w:p>
    <w:p w14:paraId="45561485">
      <w:pPr>
        <w:autoSpaceDE w:val="0"/>
        <w:autoSpaceDN w:val="0"/>
        <w:spacing w:line="580" w:lineRule="atLeast"/>
        <w:textAlignment w:val="bottom"/>
        <w:rPr>
          <w:rFonts w:eastAsia="新宋体"/>
          <w:color w:val="auto"/>
          <w:sz w:val="22"/>
          <w:szCs w:val="22"/>
          <w:highlight w:val="none"/>
        </w:rPr>
      </w:pPr>
    </w:p>
    <w:p w14:paraId="74C7CBA5">
      <w:pPr>
        <w:autoSpaceDE w:val="0"/>
        <w:autoSpaceDN w:val="0"/>
        <w:spacing w:line="580" w:lineRule="atLeast"/>
        <w:textAlignment w:val="bottom"/>
        <w:rPr>
          <w:rFonts w:eastAsia="新宋体"/>
          <w:color w:val="auto"/>
          <w:sz w:val="22"/>
          <w:szCs w:val="22"/>
          <w:highlight w:val="none"/>
        </w:rPr>
      </w:pPr>
    </w:p>
    <w:p w14:paraId="288C97FF">
      <w:pPr>
        <w:autoSpaceDE w:val="0"/>
        <w:autoSpaceDN w:val="0"/>
        <w:spacing w:line="580" w:lineRule="atLeast"/>
        <w:textAlignment w:val="bottom"/>
        <w:rPr>
          <w:rFonts w:eastAsia="新宋体"/>
          <w:color w:val="auto"/>
          <w:sz w:val="22"/>
          <w:szCs w:val="22"/>
          <w:highlight w:val="none"/>
        </w:rPr>
      </w:pPr>
    </w:p>
    <w:p w14:paraId="7DE31EEB">
      <w:pPr>
        <w:autoSpaceDE w:val="0"/>
        <w:autoSpaceDN w:val="0"/>
        <w:spacing w:line="580" w:lineRule="atLeast"/>
        <w:textAlignment w:val="bottom"/>
        <w:rPr>
          <w:rFonts w:eastAsia="新宋体"/>
          <w:color w:val="auto"/>
          <w:sz w:val="22"/>
          <w:szCs w:val="22"/>
          <w:highlight w:val="none"/>
        </w:rPr>
      </w:pPr>
    </w:p>
    <w:p w14:paraId="7E05DD4C">
      <w:pPr>
        <w:autoSpaceDE w:val="0"/>
        <w:autoSpaceDN w:val="0"/>
        <w:spacing w:line="580" w:lineRule="atLeast"/>
        <w:textAlignment w:val="bottom"/>
        <w:rPr>
          <w:rFonts w:eastAsia="新宋体"/>
          <w:color w:val="auto"/>
          <w:sz w:val="22"/>
          <w:szCs w:val="22"/>
          <w:highlight w:val="none"/>
          <w:u w:val="singl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甲    方：</w:t>
      </w:r>
      <w:r>
        <w:rPr>
          <w:rFonts w:eastAsia="新宋体"/>
          <w:color w:val="auto"/>
          <w:sz w:val="22"/>
          <w:szCs w:val="22"/>
          <w:highlight w:val="none"/>
          <w:u w:val="single"/>
        </w:rPr>
        <w:t xml:space="preserve">                      </w:t>
      </w:r>
    </w:p>
    <w:p w14:paraId="08F2F131">
      <w:pPr>
        <w:autoSpaceDE w:val="0"/>
        <w:autoSpaceDN w:val="0"/>
        <w:spacing w:line="580" w:lineRule="atLeast"/>
        <w:textAlignment w:val="bottom"/>
        <w:rPr>
          <w:rFonts w:eastAsia="新宋体"/>
          <w:color w:val="auto"/>
          <w:sz w:val="22"/>
          <w:szCs w:val="22"/>
          <w:highlight w:val="non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乙    方：</w:t>
      </w:r>
      <w:r>
        <w:rPr>
          <w:rFonts w:eastAsia="新宋体"/>
          <w:color w:val="auto"/>
          <w:sz w:val="22"/>
          <w:szCs w:val="22"/>
          <w:highlight w:val="none"/>
          <w:u w:val="single"/>
        </w:rPr>
        <w:t xml:space="preserve">                      </w:t>
      </w:r>
    </w:p>
    <w:p w14:paraId="03449A78">
      <w:pPr>
        <w:spacing w:line="460" w:lineRule="exact"/>
        <w:rPr>
          <w:rFonts w:eastAsia="新宋体"/>
          <w:color w:val="auto"/>
          <w:sz w:val="22"/>
          <w:szCs w:val="22"/>
          <w:highlight w:val="none"/>
          <w:u w:val="single"/>
        </w:rPr>
      </w:pP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ab/>
      </w:r>
      <w:r>
        <w:rPr>
          <w:rFonts w:eastAsia="新宋体"/>
          <w:color w:val="auto"/>
          <w:sz w:val="22"/>
          <w:szCs w:val="22"/>
          <w:highlight w:val="none"/>
        </w:rPr>
        <w:t>签署日期：</w:t>
      </w:r>
      <w:r>
        <w:rPr>
          <w:rFonts w:eastAsia="新宋体"/>
          <w:color w:val="auto"/>
          <w:sz w:val="22"/>
          <w:szCs w:val="22"/>
          <w:highlight w:val="none"/>
          <w:u w:val="single"/>
        </w:rPr>
        <w:t xml:space="preserve">                      </w:t>
      </w:r>
    </w:p>
    <w:p w14:paraId="4C4EE495">
      <w:pPr>
        <w:jc w:val="center"/>
        <w:rPr>
          <w:rFonts w:eastAsia="新宋体"/>
          <w:color w:val="auto"/>
          <w:sz w:val="24"/>
          <w:highlight w:val="none"/>
          <w:u w:val="single"/>
        </w:rPr>
      </w:pPr>
      <w:r>
        <w:rPr>
          <w:rFonts w:eastAsia="新宋体"/>
          <w:color w:val="auto"/>
          <w:sz w:val="24"/>
          <w:highlight w:val="none"/>
          <w:u w:val="single"/>
        </w:rPr>
        <w:br w:type="page"/>
      </w:r>
    </w:p>
    <w:p w14:paraId="4293375E">
      <w:pPr>
        <w:jc w:val="center"/>
        <w:rPr>
          <w:rFonts w:eastAsia="新宋体"/>
          <w:b/>
          <w:bCs/>
          <w:color w:val="auto"/>
          <w:highlight w:val="none"/>
        </w:rPr>
      </w:pPr>
      <w:r>
        <w:rPr>
          <w:rFonts w:eastAsia="新宋体"/>
          <w:b/>
          <w:color w:val="auto"/>
          <w:sz w:val="32"/>
          <w:highlight w:val="none"/>
        </w:rPr>
        <w:t>合同主要条款</w:t>
      </w:r>
    </w:p>
    <w:p w14:paraId="32A8CEFA">
      <w:pPr>
        <w:snapToGrid w:val="0"/>
        <w:spacing w:line="460" w:lineRule="exact"/>
        <w:rPr>
          <w:rFonts w:eastAsia="新宋体"/>
          <w:bCs/>
          <w:color w:val="auto"/>
          <w:sz w:val="22"/>
          <w:szCs w:val="22"/>
          <w:highlight w:val="none"/>
        </w:rPr>
      </w:pPr>
      <w:r>
        <w:rPr>
          <w:rFonts w:eastAsia="新宋体"/>
          <w:bCs/>
          <w:color w:val="auto"/>
          <w:sz w:val="22"/>
          <w:szCs w:val="22"/>
          <w:highlight w:val="none"/>
        </w:rPr>
        <w:t>采购方：（甲方）</w:t>
      </w:r>
    </w:p>
    <w:p w14:paraId="32324BD6">
      <w:pPr>
        <w:snapToGrid w:val="0"/>
        <w:spacing w:line="460" w:lineRule="exact"/>
        <w:rPr>
          <w:rFonts w:eastAsia="新宋体"/>
          <w:bCs/>
          <w:color w:val="auto"/>
          <w:sz w:val="22"/>
          <w:szCs w:val="22"/>
          <w:highlight w:val="none"/>
        </w:rPr>
      </w:pPr>
      <w:r>
        <w:rPr>
          <w:rFonts w:eastAsia="新宋体"/>
          <w:bCs/>
          <w:color w:val="auto"/>
          <w:sz w:val="22"/>
          <w:szCs w:val="22"/>
          <w:highlight w:val="none"/>
        </w:rPr>
        <w:t>供货方：（乙方）</w:t>
      </w:r>
    </w:p>
    <w:p w14:paraId="5D5C2642">
      <w:pPr>
        <w:snapToGrid w:val="0"/>
        <w:spacing w:line="460" w:lineRule="exact"/>
        <w:ind w:firstLine="440" w:firstLineChars="200"/>
        <w:rPr>
          <w:rFonts w:eastAsia="新宋体"/>
          <w:bCs/>
          <w:color w:val="auto"/>
          <w:sz w:val="22"/>
          <w:szCs w:val="22"/>
          <w:highlight w:val="none"/>
        </w:rPr>
      </w:pPr>
      <w:r>
        <w:rPr>
          <w:rFonts w:hint="eastAsia" w:eastAsia="新宋体"/>
          <w:color w:val="auto"/>
          <w:sz w:val="22"/>
          <w:szCs w:val="22"/>
          <w:highlight w:val="none"/>
          <w:lang w:val="zh-CN"/>
        </w:rPr>
        <w:t>苍南（龙港）消防救援大队伙食集中配送服务采购</w:t>
      </w:r>
      <w:r>
        <w:rPr>
          <w:rFonts w:eastAsia="新宋体"/>
          <w:color w:val="auto"/>
          <w:sz w:val="22"/>
          <w:szCs w:val="22"/>
          <w:highlight w:val="none"/>
          <w:lang w:val="zh-CN"/>
        </w:rPr>
        <w:t>项目</w:t>
      </w:r>
      <w:r>
        <w:rPr>
          <w:rFonts w:eastAsia="新宋体"/>
          <w:bCs/>
          <w:color w:val="auto"/>
          <w:sz w:val="22"/>
          <w:szCs w:val="22"/>
          <w:highlight w:val="none"/>
        </w:rPr>
        <w:t>（招标编号：</w:t>
      </w:r>
      <w:r>
        <w:rPr>
          <w:rFonts w:eastAsia="新宋体"/>
          <w:bCs/>
          <w:color w:val="auto"/>
          <w:sz w:val="22"/>
          <w:szCs w:val="22"/>
          <w:highlight w:val="none"/>
          <w:u w:val="single"/>
        </w:rPr>
        <w:t xml:space="preserve">            </w:t>
      </w:r>
      <w:r>
        <w:rPr>
          <w:rFonts w:eastAsia="新宋体"/>
          <w:bCs/>
          <w:color w:val="auto"/>
          <w:sz w:val="22"/>
          <w:szCs w:val="22"/>
          <w:highlight w:val="none"/>
        </w:rPr>
        <w:t>）经过公开招标，确定</w:t>
      </w:r>
      <w:r>
        <w:rPr>
          <w:rFonts w:eastAsia="新宋体"/>
          <w:bCs/>
          <w:color w:val="auto"/>
          <w:sz w:val="22"/>
          <w:szCs w:val="22"/>
          <w:highlight w:val="none"/>
          <w:u w:val="single"/>
        </w:rPr>
        <w:t xml:space="preserve">              </w:t>
      </w:r>
      <w:r>
        <w:rPr>
          <w:rFonts w:eastAsia="新宋体"/>
          <w:bCs/>
          <w:color w:val="auto"/>
          <w:sz w:val="22"/>
          <w:szCs w:val="22"/>
          <w:highlight w:val="none"/>
        </w:rPr>
        <w:t>为中标单位，双方经协商，达成以下条款：</w:t>
      </w:r>
    </w:p>
    <w:p w14:paraId="16BA1645">
      <w:pPr>
        <w:snapToGrid w:val="0"/>
        <w:rPr>
          <w:rFonts w:eastAsia="新宋体"/>
          <w:b/>
          <w:bCs/>
          <w:color w:val="auto"/>
          <w:sz w:val="22"/>
          <w:szCs w:val="22"/>
          <w:highlight w:val="none"/>
        </w:rPr>
      </w:pPr>
      <w:r>
        <w:rPr>
          <w:rFonts w:eastAsia="新宋体"/>
          <w:b/>
          <w:bCs/>
          <w:color w:val="auto"/>
          <w:sz w:val="22"/>
          <w:szCs w:val="22"/>
          <w:highlight w:val="none"/>
        </w:rPr>
        <w:t>一、配送期限及金额：</w:t>
      </w:r>
    </w:p>
    <w:p w14:paraId="3D06702F">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1、本项目服务期限为 1年（      年   月    日至    年   月   日）。</w:t>
      </w:r>
    </w:p>
    <w:p w14:paraId="47BE2D05">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2、本项目服务总预算金额：￥</w:t>
      </w:r>
      <w:r>
        <w:rPr>
          <w:rFonts w:hint="eastAsia" w:eastAsia="新宋体"/>
          <w:b/>
          <w:bCs/>
          <w:color w:val="auto"/>
          <w:sz w:val="22"/>
          <w:szCs w:val="22"/>
          <w:highlight w:val="none"/>
        </w:rPr>
        <w:t>2923786</w:t>
      </w:r>
      <w:r>
        <w:rPr>
          <w:rFonts w:hint="eastAsia" w:eastAsia="新宋体"/>
          <w:b/>
          <w:bCs/>
          <w:color w:val="auto"/>
          <w:sz w:val="22"/>
          <w:szCs w:val="22"/>
          <w:highlight w:val="none"/>
          <w:lang w:val="en-US" w:eastAsia="zh-CN"/>
        </w:rPr>
        <w:t>.00</w:t>
      </w:r>
      <w:r>
        <w:rPr>
          <w:rFonts w:eastAsia="新宋体"/>
          <w:b/>
          <w:bCs/>
          <w:color w:val="auto"/>
          <w:sz w:val="22"/>
          <w:szCs w:val="22"/>
          <w:highlight w:val="none"/>
        </w:rPr>
        <w:t>元</w:t>
      </w:r>
      <w:r>
        <w:rPr>
          <w:rFonts w:hint="eastAsia" w:eastAsia="新宋体"/>
          <w:b/>
          <w:bCs/>
          <w:color w:val="auto"/>
          <w:sz w:val="22"/>
          <w:szCs w:val="22"/>
          <w:highlight w:val="none"/>
          <w:lang w:eastAsia="zh-CN"/>
        </w:rPr>
        <w:t>（</w:t>
      </w:r>
      <w:r>
        <w:rPr>
          <w:rFonts w:hint="eastAsia" w:eastAsia="新宋体"/>
          <w:b/>
          <w:bCs/>
          <w:color w:val="auto"/>
          <w:sz w:val="22"/>
          <w:szCs w:val="22"/>
          <w:highlight w:val="none"/>
          <w:lang w:val="en-US" w:eastAsia="zh-CN"/>
        </w:rPr>
        <w:t>其中</w:t>
      </w:r>
      <w:r>
        <w:rPr>
          <w:rFonts w:hint="eastAsia" w:eastAsia="新宋体"/>
          <w:b/>
          <w:bCs/>
          <w:color w:val="auto"/>
          <w:sz w:val="22"/>
          <w:szCs w:val="22"/>
          <w:highlight w:val="none"/>
        </w:rPr>
        <w:t>苍南</w:t>
      </w:r>
      <w:r>
        <w:rPr>
          <w:rFonts w:hint="eastAsia" w:eastAsia="新宋体"/>
          <w:b/>
          <w:bCs/>
          <w:color w:val="auto"/>
          <w:sz w:val="22"/>
          <w:szCs w:val="22"/>
          <w:highlight w:val="none"/>
          <w:lang w:val="en-US" w:eastAsia="zh-CN"/>
        </w:rPr>
        <w:t>采购预算</w:t>
      </w:r>
      <w:r>
        <w:rPr>
          <w:rFonts w:hint="eastAsia" w:eastAsia="新宋体"/>
          <w:b/>
          <w:bCs/>
          <w:color w:val="auto"/>
          <w:sz w:val="22"/>
          <w:szCs w:val="22"/>
          <w:highlight w:val="none"/>
        </w:rPr>
        <w:t>1181200</w:t>
      </w:r>
      <w:r>
        <w:rPr>
          <w:rFonts w:hint="eastAsia" w:eastAsia="新宋体"/>
          <w:b/>
          <w:bCs/>
          <w:color w:val="auto"/>
          <w:sz w:val="22"/>
          <w:szCs w:val="22"/>
          <w:highlight w:val="none"/>
          <w:lang w:val="en-US" w:eastAsia="zh-CN"/>
        </w:rPr>
        <w:t>.00元，</w:t>
      </w:r>
      <w:r>
        <w:rPr>
          <w:rFonts w:hint="eastAsia" w:eastAsia="新宋体"/>
          <w:b/>
          <w:bCs/>
          <w:color w:val="auto"/>
          <w:sz w:val="22"/>
          <w:szCs w:val="22"/>
          <w:highlight w:val="none"/>
        </w:rPr>
        <w:t>龙港</w:t>
      </w:r>
      <w:r>
        <w:rPr>
          <w:rFonts w:hint="eastAsia" w:eastAsia="新宋体"/>
          <w:b/>
          <w:bCs/>
          <w:color w:val="auto"/>
          <w:sz w:val="22"/>
          <w:szCs w:val="22"/>
          <w:highlight w:val="none"/>
          <w:lang w:val="en-US" w:eastAsia="zh-CN"/>
        </w:rPr>
        <w:t>采购预算</w:t>
      </w:r>
      <w:r>
        <w:rPr>
          <w:rFonts w:hint="eastAsia" w:eastAsia="新宋体"/>
          <w:b/>
          <w:bCs/>
          <w:color w:val="auto"/>
          <w:sz w:val="22"/>
          <w:szCs w:val="22"/>
          <w:highlight w:val="none"/>
        </w:rPr>
        <w:t>1742586</w:t>
      </w:r>
      <w:r>
        <w:rPr>
          <w:rFonts w:hint="eastAsia" w:eastAsia="新宋体"/>
          <w:b/>
          <w:bCs/>
          <w:color w:val="auto"/>
          <w:sz w:val="22"/>
          <w:szCs w:val="22"/>
          <w:highlight w:val="none"/>
          <w:lang w:val="en-US" w:eastAsia="zh-CN"/>
        </w:rPr>
        <w:t>.00元</w:t>
      </w:r>
      <w:r>
        <w:rPr>
          <w:rFonts w:hint="eastAsia" w:eastAsia="新宋体"/>
          <w:b/>
          <w:bCs/>
          <w:color w:val="auto"/>
          <w:sz w:val="22"/>
          <w:szCs w:val="22"/>
          <w:highlight w:val="none"/>
          <w:lang w:eastAsia="zh-CN"/>
        </w:rPr>
        <w:t>）</w:t>
      </w:r>
    </w:p>
    <w:p w14:paraId="6769C2BA">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3、本项目服务期限为 1年或采购金额达到总预算金额，任一条件达到即视为合作期结束。</w:t>
      </w:r>
      <w:r>
        <w:rPr>
          <w:rFonts w:hint="eastAsia" w:ascii="宋体" w:hAnsi="宋体" w:cs="宋体"/>
          <w:b/>
          <w:bCs/>
          <w:color w:val="auto"/>
          <w:kern w:val="0"/>
          <w:sz w:val="22"/>
          <w:szCs w:val="22"/>
          <w:highlight w:val="none"/>
        </w:rPr>
        <w:t>一年服务期或年</w:t>
      </w:r>
      <w:r>
        <w:rPr>
          <w:rFonts w:ascii="宋体" w:hAnsi="宋体" w:cs="宋体"/>
          <w:b/>
          <w:bCs/>
          <w:color w:val="auto"/>
          <w:kern w:val="0"/>
          <w:sz w:val="22"/>
          <w:szCs w:val="22"/>
          <w:highlight w:val="none"/>
        </w:rPr>
        <w:t>采购金额达到总预算金额</w:t>
      </w:r>
      <w:r>
        <w:rPr>
          <w:rFonts w:hint="eastAsia" w:ascii="宋体" w:hAnsi="宋体" w:cs="宋体"/>
          <w:b/>
          <w:bCs/>
          <w:color w:val="auto"/>
          <w:kern w:val="0"/>
          <w:sz w:val="22"/>
          <w:szCs w:val="22"/>
          <w:highlight w:val="none"/>
        </w:rPr>
        <w:t>满后，在财政资金保障前提下，</w:t>
      </w:r>
      <w:r>
        <w:rPr>
          <w:rFonts w:hint="eastAsia" w:ascii="新宋体" w:hAnsi="新宋体" w:eastAsia="新宋体" w:cs="新宋体"/>
          <w:b/>
          <w:bCs/>
          <w:color w:val="auto"/>
          <w:kern w:val="0"/>
          <w:sz w:val="22"/>
          <w:szCs w:val="22"/>
          <w:highlight w:val="none"/>
        </w:rPr>
        <w:t>通过采购方考核后，采购方可选择续签下一年服务合同</w:t>
      </w:r>
      <w:r>
        <w:rPr>
          <w:rFonts w:hint="eastAsia" w:ascii="新宋体" w:hAnsi="新宋体" w:eastAsia="新宋体"/>
          <w:b/>
          <w:bCs/>
          <w:color w:val="auto"/>
          <w:spacing w:val="6"/>
          <w:szCs w:val="21"/>
          <w:highlight w:val="none"/>
        </w:rPr>
        <w:t>，续签期间按原合同条款履行，最多续签2次。</w:t>
      </w:r>
    </w:p>
    <w:p w14:paraId="4559A3F4">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特别约定：合同期内如遇政策性原因或内部管理等特殊情况，导致合同无法履行，甲方可提前1个月告知乙方解除合同，且不用任何赔偿，合同自行终止。</w:t>
      </w:r>
    </w:p>
    <w:p w14:paraId="40264BCD">
      <w:pPr>
        <w:snapToGrid w:val="0"/>
        <w:spacing w:line="460" w:lineRule="exact"/>
        <w:ind w:firstLine="442" w:firstLineChars="200"/>
        <w:rPr>
          <w:rFonts w:eastAsia="新宋体"/>
          <w:b/>
          <w:bCs/>
          <w:color w:val="auto"/>
          <w:sz w:val="22"/>
          <w:szCs w:val="22"/>
          <w:highlight w:val="none"/>
        </w:rPr>
      </w:pPr>
      <w:r>
        <w:rPr>
          <w:rFonts w:eastAsia="新宋体"/>
          <w:b/>
          <w:bCs/>
          <w:color w:val="auto"/>
          <w:sz w:val="22"/>
          <w:szCs w:val="22"/>
          <w:highlight w:val="none"/>
        </w:rPr>
        <w:t>采购内容：详见</w:t>
      </w:r>
      <w:r>
        <w:rPr>
          <w:rFonts w:hint="eastAsia" w:eastAsia="新宋体"/>
          <w:b/>
          <w:bCs/>
          <w:color w:val="auto"/>
          <w:sz w:val="22"/>
          <w:szCs w:val="22"/>
          <w:highlight w:val="none"/>
        </w:rPr>
        <w:t>采购文件第五部分</w:t>
      </w:r>
      <w:r>
        <w:rPr>
          <w:rFonts w:eastAsia="新宋体"/>
          <w:b/>
          <w:bCs/>
          <w:color w:val="auto"/>
          <w:sz w:val="22"/>
          <w:szCs w:val="22"/>
          <w:highlight w:val="none"/>
        </w:rPr>
        <w:t>。</w:t>
      </w:r>
    </w:p>
    <w:p w14:paraId="0F1C0CB0">
      <w:pPr>
        <w:snapToGrid w:val="0"/>
        <w:spacing w:line="460" w:lineRule="exact"/>
        <w:rPr>
          <w:rFonts w:eastAsia="新宋体"/>
          <w:b/>
          <w:bCs/>
          <w:color w:val="auto"/>
          <w:sz w:val="22"/>
          <w:szCs w:val="22"/>
          <w:highlight w:val="none"/>
        </w:rPr>
      </w:pPr>
      <w:r>
        <w:rPr>
          <w:rFonts w:hint="eastAsia" w:eastAsia="新宋体"/>
          <w:b/>
          <w:bCs/>
          <w:color w:val="auto"/>
          <w:sz w:val="22"/>
          <w:szCs w:val="22"/>
          <w:highlight w:val="none"/>
        </w:rPr>
        <w:t>二、</w:t>
      </w:r>
      <w:r>
        <w:rPr>
          <w:rFonts w:eastAsia="新宋体"/>
          <w:b/>
          <w:bCs/>
          <w:color w:val="auto"/>
          <w:sz w:val="22"/>
          <w:szCs w:val="22"/>
          <w:highlight w:val="none"/>
        </w:rPr>
        <w:t>配送地点：</w:t>
      </w:r>
      <w:r>
        <w:rPr>
          <w:rFonts w:hint="eastAsia" w:eastAsia="新宋体"/>
          <w:b/>
          <w:bCs/>
          <w:color w:val="auto"/>
          <w:sz w:val="22"/>
          <w:szCs w:val="22"/>
          <w:highlight w:val="none"/>
        </w:rPr>
        <w:t>甲方指定的地点</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9"/>
        <w:gridCol w:w="5815"/>
      </w:tblGrid>
      <w:tr w14:paraId="2D3E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58F71CBA">
            <w:pPr>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2950" w:type="pct"/>
            <w:vAlign w:val="center"/>
          </w:tcPr>
          <w:p w14:paraId="4A7BBA6B">
            <w:pPr>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r>
      <w:tr w14:paraId="4F39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38A114CC">
            <w:pPr>
              <w:jc w:val="center"/>
              <w:rPr>
                <w:rFonts w:ascii="宋体" w:hAnsi="宋体" w:cs="宋体"/>
                <w:color w:val="auto"/>
                <w:sz w:val="22"/>
                <w:szCs w:val="22"/>
                <w:highlight w:val="none"/>
              </w:rPr>
            </w:pPr>
            <w:r>
              <w:rPr>
                <w:rFonts w:hint="eastAsia" w:ascii="宋体" w:hAnsi="宋体" w:cs="宋体"/>
                <w:color w:val="auto"/>
                <w:sz w:val="22"/>
                <w:szCs w:val="22"/>
                <w:highlight w:val="none"/>
              </w:rPr>
              <w:t>苍南县消防救援大队</w:t>
            </w:r>
          </w:p>
        </w:tc>
        <w:tc>
          <w:tcPr>
            <w:tcW w:w="2950" w:type="pct"/>
            <w:vAlign w:val="center"/>
          </w:tcPr>
          <w:p w14:paraId="45BDD574">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浙江省温州市苍南县灵溪镇百丈村1号</w:t>
            </w:r>
          </w:p>
        </w:tc>
      </w:tr>
      <w:tr w14:paraId="19B7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4E753657">
            <w:pPr>
              <w:jc w:val="center"/>
              <w:rPr>
                <w:rFonts w:ascii="宋体" w:hAnsi="宋体" w:cs="宋体"/>
                <w:color w:val="auto"/>
                <w:sz w:val="22"/>
                <w:szCs w:val="22"/>
                <w:highlight w:val="none"/>
              </w:rPr>
            </w:pPr>
            <w:r>
              <w:rPr>
                <w:rFonts w:hint="eastAsia" w:ascii="宋体" w:hAnsi="宋体" w:cs="宋体"/>
                <w:color w:val="auto"/>
                <w:sz w:val="22"/>
                <w:szCs w:val="22"/>
                <w:highlight w:val="none"/>
              </w:rPr>
              <w:t>苍南县消防救援大队钱库消防救援站</w:t>
            </w:r>
          </w:p>
        </w:tc>
        <w:tc>
          <w:tcPr>
            <w:tcW w:w="2950" w:type="pct"/>
            <w:vAlign w:val="center"/>
          </w:tcPr>
          <w:p w14:paraId="521765D1">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浙江省温州市苍南县钱库镇龙金大道东浃头牌坊对面（钱库消防救援站）</w:t>
            </w:r>
          </w:p>
        </w:tc>
      </w:tr>
      <w:tr w14:paraId="3C99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40573C03">
            <w:pPr>
              <w:jc w:val="center"/>
              <w:rPr>
                <w:rFonts w:ascii="宋体" w:hAnsi="宋体" w:cs="宋体"/>
                <w:color w:val="auto"/>
                <w:sz w:val="22"/>
                <w:szCs w:val="22"/>
                <w:highlight w:val="none"/>
              </w:rPr>
            </w:pPr>
            <w:r>
              <w:rPr>
                <w:rFonts w:hint="eastAsia" w:ascii="宋体" w:hAnsi="宋体" w:cs="宋体"/>
                <w:color w:val="auto"/>
                <w:sz w:val="22"/>
                <w:szCs w:val="22"/>
                <w:highlight w:val="none"/>
              </w:rPr>
              <w:t>龙港新城消防救援站</w:t>
            </w:r>
          </w:p>
        </w:tc>
        <w:tc>
          <w:tcPr>
            <w:tcW w:w="2950" w:type="pct"/>
            <w:vAlign w:val="center"/>
          </w:tcPr>
          <w:p w14:paraId="200B605E">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浙江省温州市龙港市科技路1362-1420号</w:t>
            </w:r>
          </w:p>
        </w:tc>
      </w:tr>
      <w:tr w14:paraId="07AA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41D1E70D">
            <w:pPr>
              <w:jc w:val="center"/>
              <w:rPr>
                <w:rFonts w:ascii="宋体" w:hAnsi="宋体" w:cs="宋体"/>
                <w:color w:val="auto"/>
                <w:sz w:val="22"/>
                <w:szCs w:val="22"/>
                <w:highlight w:val="none"/>
              </w:rPr>
            </w:pPr>
            <w:r>
              <w:rPr>
                <w:rFonts w:hint="eastAsia" w:ascii="宋体" w:hAnsi="宋体" w:cs="宋体"/>
                <w:color w:val="auto"/>
                <w:sz w:val="22"/>
                <w:szCs w:val="22"/>
                <w:highlight w:val="none"/>
              </w:rPr>
              <w:t>龙港市消防救援大队</w:t>
            </w:r>
          </w:p>
        </w:tc>
        <w:tc>
          <w:tcPr>
            <w:tcW w:w="2950" w:type="pct"/>
            <w:vAlign w:val="center"/>
          </w:tcPr>
          <w:p w14:paraId="5C2F43FF">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w:t>
            </w:r>
            <w:r>
              <w:rPr>
                <w:rFonts w:hint="eastAsia" w:ascii="宋体" w:hAnsi="宋体" w:cs="宋体"/>
                <w:color w:val="auto"/>
                <w:sz w:val="22"/>
                <w:szCs w:val="22"/>
                <w:highlight w:val="none"/>
                <w:shd w:val="clear" w:color="auto" w:fill="FFFFFF"/>
              </w:rPr>
              <w:t>龙港市通港路1000号</w:t>
            </w:r>
          </w:p>
        </w:tc>
      </w:tr>
    </w:tbl>
    <w:p w14:paraId="1BCA6FDC">
      <w:pPr>
        <w:snapToGrid w:val="0"/>
        <w:spacing w:line="460" w:lineRule="exact"/>
        <w:rPr>
          <w:rFonts w:eastAsia="新宋体"/>
          <w:b/>
          <w:bCs/>
          <w:color w:val="auto"/>
          <w:sz w:val="22"/>
          <w:szCs w:val="22"/>
          <w:highlight w:val="none"/>
        </w:rPr>
      </w:pPr>
      <w:r>
        <w:rPr>
          <w:rFonts w:hint="eastAsia" w:eastAsia="新宋体"/>
          <w:b/>
          <w:bCs/>
          <w:color w:val="auto"/>
          <w:sz w:val="22"/>
          <w:szCs w:val="22"/>
          <w:highlight w:val="none"/>
        </w:rPr>
        <w:t>三</w:t>
      </w:r>
      <w:r>
        <w:rPr>
          <w:rFonts w:eastAsia="新宋体"/>
          <w:b/>
          <w:bCs/>
          <w:color w:val="auto"/>
          <w:sz w:val="22"/>
          <w:szCs w:val="22"/>
          <w:highlight w:val="none"/>
        </w:rPr>
        <w:t>、价款及结算方式</w:t>
      </w:r>
    </w:p>
    <w:p w14:paraId="24A2E3D2">
      <w:pPr>
        <w:snapToGrid w:val="0"/>
        <w:spacing w:line="460" w:lineRule="exact"/>
        <w:ind w:firstLine="440" w:firstLineChars="200"/>
        <w:rPr>
          <w:rFonts w:eastAsia="新宋体"/>
          <w:color w:val="auto"/>
          <w:sz w:val="22"/>
          <w:szCs w:val="22"/>
          <w:highlight w:val="none"/>
        </w:rPr>
      </w:pPr>
      <w:r>
        <w:rPr>
          <w:rFonts w:hint="eastAsia" w:eastAsia="新宋体"/>
          <w:color w:val="auto"/>
          <w:sz w:val="22"/>
          <w:szCs w:val="22"/>
          <w:highlight w:val="none"/>
        </w:rPr>
        <w:t>1.中标</w:t>
      </w:r>
      <w:r>
        <w:rPr>
          <w:rFonts w:eastAsia="新宋体"/>
          <w:color w:val="auto"/>
          <w:sz w:val="22"/>
          <w:szCs w:val="22"/>
          <w:highlight w:val="none"/>
        </w:rPr>
        <w:t>折扣</w:t>
      </w:r>
      <w:r>
        <w:rPr>
          <w:rFonts w:hint="eastAsia" w:eastAsia="新宋体"/>
          <w:color w:val="auto"/>
          <w:sz w:val="22"/>
          <w:szCs w:val="22"/>
          <w:highlight w:val="none"/>
        </w:rPr>
        <w:t>：</w:t>
      </w:r>
    </w:p>
    <w:p w14:paraId="1E5C424A">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2.结算方式</w:t>
      </w:r>
      <w:r>
        <w:rPr>
          <w:rFonts w:hint="eastAsia" w:eastAsia="新宋体"/>
          <w:color w:val="auto"/>
          <w:sz w:val="22"/>
          <w:szCs w:val="22"/>
          <w:highlight w:val="none"/>
        </w:rPr>
        <w:t>：</w:t>
      </w:r>
    </w:p>
    <w:p w14:paraId="54A143EF">
      <w:pPr>
        <w:adjustRightInd w:val="0"/>
        <w:snapToGrid w:val="0"/>
        <w:spacing w:line="460" w:lineRule="exact"/>
        <w:ind w:firstLine="442" w:firstLineChars="200"/>
        <w:rPr>
          <w:rFonts w:eastAsia="新宋体"/>
          <w:bCs/>
          <w:color w:val="auto"/>
          <w:sz w:val="22"/>
          <w:szCs w:val="22"/>
          <w:highlight w:val="none"/>
          <w:u w:val="single"/>
        </w:rPr>
      </w:pPr>
      <w:r>
        <w:rPr>
          <w:rFonts w:eastAsia="新宋体"/>
          <w:b/>
          <w:color w:val="auto"/>
          <w:sz w:val="22"/>
          <w:szCs w:val="22"/>
          <w:highlight w:val="none"/>
          <w:u w:val="single"/>
        </w:rPr>
        <w:t>乙方根据温州市发展和改革委员会官方网站（http://wzfgw.wenzhou.gov.cn/col/col1216782/index.html）最近之日公布的</w:t>
      </w:r>
      <w:r>
        <w:rPr>
          <w:rFonts w:eastAsia="新宋体"/>
          <w:bCs/>
          <w:color w:val="auto"/>
          <w:sz w:val="22"/>
          <w:szCs w:val="22"/>
          <w:highlight w:val="none"/>
          <w:u w:val="single"/>
        </w:rPr>
        <w:t>温</w:t>
      </w:r>
      <w:r>
        <w:rPr>
          <w:rFonts w:eastAsia="新宋体"/>
          <w:b/>
          <w:color w:val="auto"/>
          <w:sz w:val="22"/>
          <w:szCs w:val="22"/>
          <w:highlight w:val="none"/>
          <w:u w:val="single"/>
        </w:rPr>
        <w:t>州市区农贸市场价格监测表中</w:t>
      </w:r>
      <w:r>
        <w:rPr>
          <w:rFonts w:hint="eastAsia" w:eastAsia="新宋体"/>
          <w:b/>
          <w:color w:val="auto"/>
          <w:sz w:val="22"/>
          <w:szCs w:val="22"/>
          <w:highlight w:val="none"/>
          <w:u w:val="single"/>
        </w:rPr>
        <w:t>新田园农贸市场的产品价格</w:t>
      </w:r>
      <w:r>
        <w:rPr>
          <w:rFonts w:hint="eastAsia" w:eastAsia="新宋体"/>
          <w:b/>
          <w:color w:val="auto"/>
          <w:sz w:val="22"/>
          <w:szCs w:val="22"/>
          <w:highlight w:val="none"/>
          <w:u w:val="single"/>
          <w:lang w:val="en-US" w:eastAsia="zh-CN"/>
        </w:rPr>
        <w:t>作为</w:t>
      </w:r>
      <w:r>
        <w:rPr>
          <w:rFonts w:hint="eastAsia" w:eastAsia="新宋体"/>
          <w:b/>
          <w:color w:val="auto"/>
          <w:sz w:val="22"/>
          <w:szCs w:val="22"/>
          <w:highlight w:val="none"/>
          <w:u w:val="single"/>
        </w:rPr>
        <w:t>所需产品参考价格</w:t>
      </w:r>
      <w:r>
        <w:rPr>
          <w:rFonts w:eastAsia="新宋体"/>
          <w:b/>
          <w:color w:val="auto"/>
          <w:sz w:val="22"/>
          <w:szCs w:val="22"/>
          <w:highlight w:val="none"/>
          <w:u w:val="single"/>
        </w:rPr>
        <w:t>，温州市发展和改革委员会官方网站上未列明的货品，甲方</w:t>
      </w:r>
      <w:r>
        <w:rPr>
          <w:rFonts w:hint="eastAsia" w:eastAsia="新宋体"/>
          <w:b/>
          <w:color w:val="auto"/>
          <w:sz w:val="22"/>
          <w:szCs w:val="22"/>
          <w:highlight w:val="none"/>
          <w:u w:val="single"/>
        </w:rPr>
        <w:t>有权选苍龙区域较近农贸市场进行市场询价的市场价作为产品参考价格</w:t>
      </w:r>
      <w:r>
        <w:rPr>
          <w:rFonts w:eastAsia="新宋体"/>
          <w:b/>
          <w:color w:val="auto"/>
          <w:sz w:val="22"/>
          <w:szCs w:val="22"/>
          <w:highlight w:val="none"/>
          <w:u w:val="single"/>
        </w:rPr>
        <w:t>；</w:t>
      </w:r>
      <w:r>
        <w:rPr>
          <w:rFonts w:eastAsia="新宋体"/>
          <w:bCs/>
          <w:color w:val="auto"/>
          <w:sz w:val="22"/>
          <w:szCs w:val="22"/>
          <w:highlight w:val="none"/>
          <w:u w:val="single"/>
        </w:rPr>
        <w:t>如农贸市场未提供的则由供应商报价与</w:t>
      </w:r>
      <w:r>
        <w:rPr>
          <w:rFonts w:hint="eastAsia" w:eastAsia="新宋体"/>
          <w:bCs/>
          <w:color w:val="auto"/>
          <w:sz w:val="22"/>
          <w:szCs w:val="22"/>
          <w:highlight w:val="none"/>
          <w:u w:val="single"/>
        </w:rPr>
        <w:t>采购方</w:t>
      </w:r>
      <w:r>
        <w:rPr>
          <w:rFonts w:eastAsia="新宋体"/>
          <w:bCs/>
          <w:color w:val="auto"/>
          <w:sz w:val="22"/>
          <w:szCs w:val="22"/>
          <w:highlight w:val="none"/>
          <w:u w:val="single"/>
        </w:rPr>
        <w:t>相互协商定出零售基准价，基准价不得高于当地当时的市场价。</w:t>
      </w:r>
      <w:r>
        <w:rPr>
          <w:rFonts w:hint="eastAsia" w:eastAsia="新宋体"/>
          <w:bCs/>
          <w:color w:val="auto"/>
          <w:sz w:val="22"/>
          <w:szCs w:val="22"/>
          <w:highlight w:val="none"/>
          <w:u w:val="single"/>
        </w:rPr>
        <w:t>乙方半个月</w:t>
      </w:r>
      <w:r>
        <w:rPr>
          <w:rFonts w:eastAsia="新宋体"/>
          <w:bCs/>
          <w:color w:val="auto"/>
          <w:sz w:val="22"/>
          <w:szCs w:val="22"/>
          <w:highlight w:val="none"/>
          <w:u w:val="single"/>
        </w:rPr>
        <w:t>核价根据折扣率报价，并提供带有拍摄时间的照片，以利于</w:t>
      </w:r>
      <w:r>
        <w:rPr>
          <w:rFonts w:hint="eastAsia" w:eastAsia="新宋体"/>
          <w:bCs/>
          <w:color w:val="auto"/>
          <w:sz w:val="22"/>
          <w:szCs w:val="22"/>
          <w:highlight w:val="none"/>
          <w:u w:val="single"/>
        </w:rPr>
        <w:t>甲方</w:t>
      </w:r>
      <w:r>
        <w:rPr>
          <w:rFonts w:eastAsia="新宋体"/>
          <w:bCs/>
          <w:color w:val="auto"/>
          <w:sz w:val="22"/>
          <w:szCs w:val="22"/>
          <w:highlight w:val="none"/>
          <w:u w:val="single"/>
        </w:rPr>
        <w:t>确认核价；禁止配送无市场实际零售商品或专供产品。</w:t>
      </w:r>
    </w:p>
    <w:p w14:paraId="245C10A4">
      <w:pPr>
        <w:adjustRightInd w:val="0"/>
        <w:snapToGrid w:val="0"/>
        <w:spacing w:line="460" w:lineRule="exact"/>
        <w:ind w:firstLine="442" w:firstLineChars="200"/>
        <w:rPr>
          <w:rFonts w:eastAsia="新宋体"/>
          <w:b/>
          <w:color w:val="auto"/>
          <w:sz w:val="22"/>
          <w:szCs w:val="22"/>
          <w:highlight w:val="none"/>
          <w:u w:val="single"/>
        </w:rPr>
      </w:pPr>
      <w:r>
        <w:rPr>
          <w:rFonts w:eastAsia="新宋体"/>
          <w:b/>
          <w:color w:val="auto"/>
          <w:sz w:val="22"/>
          <w:szCs w:val="22"/>
          <w:highlight w:val="none"/>
          <w:u w:val="single"/>
        </w:rPr>
        <w:t>乙方所报折扣将作为下一周期供货商所供货品最高限价协商重要依据。甲方成立采价组，</w:t>
      </w:r>
      <w:r>
        <w:rPr>
          <w:rFonts w:hint="eastAsia" w:eastAsia="新宋体"/>
          <w:b/>
          <w:color w:val="auto"/>
          <w:sz w:val="22"/>
          <w:highlight w:val="none"/>
          <w:u w:val="single"/>
        </w:rPr>
        <w:t>每半个月</w:t>
      </w:r>
      <w:r>
        <w:rPr>
          <w:rFonts w:eastAsia="新宋体"/>
          <w:b/>
          <w:color w:val="auto"/>
          <w:sz w:val="22"/>
          <w:szCs w:val="22"/>
          <w:highlight w:val="none"/>
          <w:u w:val="single"/>
        </w:rPr>
        <w:t>对食堂食品原料的价格进行采集，参考相关部门发布的市场信息，与乙方及时对接，原则上</w:t>
      </w:r>
      <w:r>
        <w:rPr>
          <w:rFonts w:hint="eastAsia" w:eastAsia="新宋体"/>
          <w:b/>
          <w:color w:val="auto"/>
          <w:sz w:val="22"/>
          <w:szCs w:val="22"/>
          <w:highlight w:val="none"/>
          <w:u w:val="single"/>
        </w:rPr>
        <w:t>每半个月</w:t>
      </w:r>
      <w:r>
        <w:rPr>
          <w:rFonts w:eastAsia="新宋体"/>
          <w:b/>
          <w:color w:val="auto"/>
          <w:sz w:val="22"/>
          <w:szCs w:val="22"/>
          <w:highlight w:val="none"/>
          <w:u w:val="single"/>
        </w:rPr>
        <w:t>确定一次。</w:t>
      </w:r>
    </w:p>
    <w:p w14:paraId="7478392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1）结算周期为每</w:t>
      </w:r>
      <w:r>
        <w:rPr>
          <w:rFonts w:hint="eastAsia" w:eastAsia="新宋体"/>
          <w:bCs/>
          <w:color w:val="auto"/>
          <w:sz w:val="22"/>
          <w:szCs w:val="22"/>
          <w:highlight w:val="none"/>
        </w:rPr>
        <w:t>个月</w:t>
      </w:r>
      <w:r>
        <w:rPr>
          <w:rFonts w:eastAsia="新宋体"/>
          <w:bCs/>
          <w:color w:val="auto"/>
          <w:sz w:val="22"/>
          <w:szCs w:val="22"/>
          <w:highlight w:val="none"/>
        </w:rPr>
        <w:t>结算一次。送货清单每天按时开具，与原材同步送达。</w:t>
      </w:r>
      <w:r>
        <w:rPr>
          <w:rFonts w:eastAsia="新宋体"/>
          <w:color w:val="auto"/>
          <w:sz w:val="22"/>
          <w:szCs w:val="22"/>
          <w:highlight w:val="none"/>
        </w:rPr>
        <w:t>增值税发票每</w:t>
      </w:r>
      <w:r>
        <w:rPr>
          <w:rFonts w:hint="eastAsia" w:eastAsia="新宋体"/>
          <w:bCs/>
          <w:color w:val="auto"/>
          <w:sz w:val="22"/>
          <w:szCs w:val="22"/>
          <w:highlight w:val="none"/>
        </w:rPr>
        <w:t>个月</w:t>
      </w:r>
      <w:r>
        <w:rPr>
          <w:rFonts w:eastAsia="新宋体"/>
          <w:color w:val="auto"/>
          <w:sz w:val="22"/>
          <w:szCs w:val="22"/>
          <w:highlight w:val="none"/>
        </w:rPr>
        <w:t>按时开具。</w:t>
      </w:r>
    </w:p>
    <w:p w14:paraId="27BB529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2）送货清单中，某宗产品当期结算价=该宗产品实际供货数量*当期该宗产品市场单价*中标折扣。</w:t>
      </w:r>
    </w:p>
    <w:p w14:paraId="3E27674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3）周期完成后，</w:t>
      </w:r>
      <w:r>
        <w:rPr>
          <w:rFonts w:hint="eastAsia" w:eastAsia="新宋体"/>
          <w:bCs/>
          <w:color w:val="auto"/>
          <w:kern w:val="0"/>
          <w:sz w:val="22"/>
          <w:szCs w:val="22"/>
          <w:highlight w:val="none"/>
          <w:lang w:val="zh-CN"/>
        </w:rPr>
        <w:t>结合违约责任及</w:t>
      </w:r>
      <w:r>
        <w:rPr>
          <w:rFonts w:hint="eastAsia" w:eastAsia="新宋体"/>
          <w:bCs/>
          <w:color w:val="auto"/>
          <w:kern w:val="0"/>
          <w:sz w:val="22"/>
          <w:szCs w:val="22"/>
          <w:highlight w:val="none"/>
        </w:rPr>
        <w:t>半</w:t>
      </w:r>
      <w:r>
        <w:rPr>
          <w:rFonts w:hint="eastAsia" w:eastAsia="新宋体"/>
          <w:bCs/>
          <w:color w:val="auto"/>
          <w:kern w:val="0"/>
          <w:sz w:val="22"/>
          <w:szCs w:val="22"/>
          <w:highlight w:val="none"/>
          <w:lang w:val="zh-CN"/>
        </w:rPr>
        <w:t>月度考核扣罚等情况，</w:t>
      </w:r>
      <w:r>
        <w:rPr>
          <w:rFonts w:eastAsia="新宋体"/>
          <w:bCs/>
          <w:color w:val="auto"/>
          <w:sz w:val="22"/>
          <w:szCs w:val="22"/>
          <w:highlight w:val="none"/>
        </w:rPr>
        <w:t>供货方及时向</w:t>
      </w:r>
      <w:r>
        <w:rPr>
          <w:rFonts w:hint="eastAsia" w:eastAsia="新宋体"/>
          <w:bCs/>
          <w:color w:val="auto"/>
          <w:sz w:val="22"/>
          <w:szCs w:val="22"/>
          <w:highlight w:val="none"/>
        </w:rPr>
        <w:t>采购方</w:t>
      </w:r>
      <w:r>
        <w:rPr>
          <w:rFonts w:eastAsia="新宋体"/>
          <w:bCs/>
          <w:color w:val="auto"/>
          <w:sz w:val="22"/>
          <w:szCs w:val="22"/>
          <w:highlight w:val="none"/>
        </w:rPr>
        <w:t>提交应支付金额为当期所有产品结算价总和的增值税发票，</w:t>
      </w:r>
      <w:r>
        <w:rPr>
          <w:rFonts w:hint="eastAsia" w:eastAsia="新宋体"/>
          <w:bCs/>
          <w:color w:val="auto"/>
          <w:sz w:val="22"/>
          <w:szCs w:val="22"/>
          <w:highlight w:val="none"/>
        </w:rPr>
        <w:t>采购方</w:t>
      </w:r>
      <w:r>
        <w:rPr>
          <w:rFonts w:eastAsia="新宋体"/>
          <w:bCs/>
          <w:color w:val="auto"/>
          <w:sz w:val="22"/>
          <w:szCs w:val="22"/>
          <w:highlight w:val="none"/>
        </w:rPr>
        <w:t>收到发票后</w:t>
      </w:r>
      <w:r>
        <w:rPr>
          <w:rFonts w:hint="eastAsia" w:eastAsia="新宋体"/>
          <w:bCs/>
          <w:color w:val="auto"/>
          <w:sz w:val="22"/>
          <w:szCs w:val="22"/>
          <w:highlight w:val="none"/>
        </w:rPr>
        <w:t>7个工作日内</w:t>
      </w:r>
      <w:r>
        <w:rPr>
          <w:rFonts w:eastAsia="新宋体"/>
          <w:bCs/>
          <w:color w:val="auto"/>
          <w:sz w:val="22"/>
          <w:szCs w:val="22"/>
          <w:highlight w:val="none"/>
        </w:rPr>
        <w:t>向供货方支付货款</w:t>
      </w:r>
      <w:r>
        <w:rPr>
          <w:rFonts w:eastAsia="新宋体"/>
          <w:bCs/>
          <w:color w:val="auto"/>
          <w:kern w:val="0"/>
          <w:sz w:val="22"/>
          <w:szCs w:val="22"/>
          <w:highlight w:val="none"/>
          <w:lang w:val="zh-CN"/>
        </w:rPr>
        <w:t>，</w:t>
      </w:r>
      <w:r>
        <w:rPr>
          <w:rFonts w:eastAsia="新宋体"/>
          <w:bCs/>
          <w:color w:val="auto"/>
          <w:kern w:val="0"/>
          <w:sz w:val="22"/>
          <w:szCs w:val="22"/>
          <w:highlight w:val="none"/>
        </w:rPr>
        <w:t>若遇特殊情况可与乙方协商适当延期付款</w:t>
      </w:r>
      <w:r>
        <w:rPr>
          <w:rFonts w:eastAsia="新宋体"/>
          <w:bCs/>
          <w:color w:val="auto"/>
          <w:kern w:val="0"/>
          <w:sz w:val="22"/>
          <w:szCs w:val="22"/>
          <w:highlight w:val="none"/>
          <w:lang w:val="zh-CN"/>
        </w:rPr>
        <w:t>。</w:t>
      </w:r>
    </w:p>
    <w:p w14:paraId="1B7AD75F">
      <w:pPr>
        <w:snapToGrid w:val="0"/>
        <w:spacing w:line="460" w:lineRule="exact"/>
        <w:rPr>
          <w:rFonts w:eastAsia="新宋体"/>
          <w:b/>
          <w:bCs/>
          <w:color w:val="auto"/>
          <w:sz w:val="22"/>
          <w:szCs w:val="22"/>
          <w:highlight w:val="none"/>
        </w:rPr>
      </w:pPr>
      <w:r>
        <w:rPr>
          <w:rFonts w:hint="eastAsia" w:eastAsia="新宋体"/>
          <w:b/>
          <w:bCs/>
          <w:color w:val="auto"/>
          <w:sz w:val="22"/>
          <w:szCs w:val="22"/>
          <w:highlight w:val="none"/>
        </w:rPr>
        <w:t>四</w:t>
      </w:r>
      <w:r>
        <w:rPr>
          <w:rFonts w:eastAsia="新宋体"/>
          <w:b/>
          <w:bCs/>
          <w:color w:val="auto"/>
          <w:sz w:val="22"/>
          <w:szCs w:val="22"/>
          <w:highlight w:val="none"/>
        </w:rPr>
        <w:t>、技术资料</w:t>
      </w:r>
    </w:p>
    <w:p w14:paraId="46B980F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1.供货方应按</w:t>
      </w:r>
      <w:r>
        <w:rPr>
          <w:rFonts w:hint="eastAsia" w:eastAsia="新宋体"/>
          <w:bCs/>
          <w:color w:val="auto"/>
          <w:sz w:val="22"/>
          <w:szCs w:val="22"/>
          <w:highlight w:val="none"/>
        </w:rPr>
        <w:t>采购文件</w:t>
      </w:r>
      <w:r>
        <w:rPr>
          <w:rFonts w:eastAsia="新宋体"/>
          <w:bCs/>
          <w:color w:val="auto"/>
          <w:sz w:val="22"/>
          <w:szCs w:val="22"/>
          <w:highlight w:val="none"/>
        </w:rPr>
        <w:t>规定的时间向</w:t>
      </w:r>
      <w:r>
        <w:rPr>
          <w:rFonts w:hint="eastAsia" w:eastAsia="新宋体"/>
          <w:bCs/>
          <w:color w:val="auto"/>
          <w:sz w:val="22"/>
          <w:szCs w:val="22"/>
          <w:highlight w:val="none"/>
        </w:rPr>
        <w:t>采购方</w:t>
      </w:r>
      <w:r>
        <w:rPr>
          <w:rFonts w:eastAsia="新宋体"/>
          <w:bCs/>
          <w:color w:val="auto"/>
          <w:sz w:val="22"/>
          <w:szCs w:val="22"/>
          <w:highlight w:val="none"/>
        </w:rPr>
        <w:t>提供食品配送的实施方案。包括承诺、项目实施方案、项目管理制度等。</w:t>
      </w:r>
    </w:p>
    <w:p w14:paraId="11D2F94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 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73132FEF">
      <w:pPr>
        <w:snapToGrid w:val="0"/>
        <w:spacing w:line="460" w:lineRule="exact"/>
        <w:rPr>
          <w:rFonts w:eastAsia="新宋体"/>
          <w:b/>
          <w:bCs/>
          <w:color w:val="auto"/>
          <w:sz w:val="22"/>
          <w:szCs w:val="22"/>
          <w:highlight w:val="none"/>
        </w:rPr>
      </w:pPr>
      <w:r>
        <w:rPr>
          <w:rFonts w:hint="eastAsia" w:eastAsia="新宋体"/>
          <w:b/>
          <w:bCs/>
          <w:color w:val="auto"/>
          <w:sz w:val="22"/>
          <w:szCs w:val="22"/>
          <w:highlight w:val="none"/>
        </w:rPr>
        <w:t>五</w:t>
      </w:r>
      <w:r>
        <w:rPr>
          <w:rFonts w:eastAsia="新宋体"/>
          <w:b/>
          <w:bCs/>
          <w:color w:val="auto"/>
          <w:sz w:val="22"/>
          <w:szCs w:val="22"/>
          <w:highlight w:val="none"/>
        </w:rPr>
        <w:t>、转包或分包</w:t>
      </w:r>
    </w:p>
    <w:p w14:paraId="29D2B137">
      <w:pPr>
        <w:snapToGrid w:val="0"/>
        <w:spacing w:line="460" w:lineRule="exact"/>
        <w:rPr>
          <w:rFonts w:eastAsia="新宋体"/>
          <w:bCs/>
          <w:color w:val="auto"/>
          <w:sz w:val="22"/>
          <w:szCs w:val="22"/>
          <w:highlight w:val="none"/>
        </w:rPr>
      </w:pPr>
      <w:r>
        <w:rPr>
          <w:rFonts w:eastAsia="新宋体"/>
          <w:bCs/>
          <w:color w:val="auto"/>
          <w:sz w:val="22"/>
          <w:szCs w:val="22"/>
          <w:highlight w:val="none"/>
        </w:rPr>
        <w:t xml:space="preserve">    本合同范围的经营权，应由供货方直接经营，不得转让他人，否则，采购方有权解除合同，没收履约保证金并追究供货方的违约责任。</w:t>
      </w:r>
    </w:p>
    <w:p w14:paraId="5750FE21">
      <w:pPr>
        <w:snapToGrid w:val="0"/>
        <w:spacing w:line="460" w:lineRule="exact"/>
        <w:rPr>
          <w:rFonts w:eastAsia="新宋体"/>
          <w:color w:val="auto"/>
          <w:sz w:val="22"/>
          <w:szCs w:val="22"/>
          <w:highlight w:val="none"/>
        </w:rPr>
      </w:pPr>
      <w:r>
        <w:rPr>
          <w:rFonts w:hint="eastAsia" w:eastAsia="新宋体"/>
          <w:b/>
          <w:bCs/>
          <w:color w:val="auto"/>
          <w:sz w:val="22"/>
          <w:szCs w:val="22"/>
          <w:highlight w:val="none"/>
        </w:rPr>
        <w:t>六</w:t>
      </w:r>
      <w:r>
        <w:rPr>
          <w:rFonts w:eastAsia="新宋体"/>
          <w:b/>
          <w:bCs/>
          <w:color w:val="auto"/>
          <w:sz w:val="22"/>
          <w:szCs w:val="22"/>
          <w:highlight w:val="none"/>
        </w:rPr>
        <w:t>、履约保证保金</w:t>
      </w:r>
    </w:p>
    <w:p w14:paraId="729FF493">
      <w:pPr>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1.签订合同后15日内供货方要向采购方提交履约保证金</w:t>
      </w:r>
      <w:r>
        <w:rPr>
          <w:rFonts w:eastAsia="新宋体"/>
          <w:color w:val="auto"/>
          <w:spacing w:val="6"/>
          <w:sz w:val="22"/>
          <w:szCs w:val="22"/>
          <w:highlight w:val="none"/>
        </w:rPr>
        <w:t>：</w:t>
      </w:r>
      <w:r>
        <w:rPr>
          <w:rFonts w:hint="eastAsia" w:eastAsia="新宋体"/>
          <w:color w:val="auto"/>
          <w:spacing w:val="6"/>
          <w:sz w:val="22"/>
          <w:szCs w:val="22"/>
          <w:highlight w:val="none"/>
          <w:u w:val="single"/>
          <w:lang w:val="en-US" w:eastAsia="zh-CN"/>
        </w:rPr>
        <w:t>人民币</w:t>
      </w:r>
      <w:r>
        <w:rPr>
          <w:rFonts w:hint="eastAsia" w:eastAsia="新宋体"/>
          <w:color w:val="auto"/>
          <w:spacing w:val="6"/>
          <w:sz w:val="22"/>
          <w:szCs w:val="22"/>
          <w:highlight w:val="none"/>
          <w:u w:val="single"/>
        </w:rPr>
        <w:t>贰</w:t>
      </w:r>
      <w:r>
        <w:rPr>
          <w:rFonts w:eastAsia="新宋体"/>
          <w:color w:val="auto"/>
          <w:spacing w:val="6"/>
          <w:sz w:val="22"/>
          <w:szCs w:val="22"/>
          <w:highlight w:val="none"/>
          <w:u w:val="single"/>
        </w:rPr>
        <w:t>万元</w:t>
      </w:r>
      <w:r>
        <w:rPr>
          <w:rFonts w:hint="eastAsia" w:eastAsia="新宋体"/>
          <w:color w:val="auto"/>
          <w:spacing w:val="6"/>
          <w:sz w:val="22"/>
          <w:szCs w:val="22"/>
          <w:highlight w:val="none"/>
          <w:u w:val="single"/>
          <w:lang w:eastAsia="zh-CN"/>
        </w:rPr>
        <w:t>（</w:t>
      </w:r>
      <w:r>
        <w:rPr>
          <w:rFonts w:hint="eastAsia" w:eastAsia="新宋体"/>
          <w:color w:val="auto"/>
          <w:spacing w:val="6"/>
          <w:sz w:val="22"/>
          <w:szCs w:val="22"/>
          <w:highlight w:val="none"/>
          <w:u w:val="single"/>
          <w:lang w:val="en-US" w:eastAsia="zh-CN"/>
        </w:rPr>
        <w:t>¥20000.00</w:t>
      </w:r>
      <w:r>
        <w:rPr>
          <w:rFonts w:hint="eastAsia" w:eastAsia="新宋体"/>
          <w:color w:val="auto"/>
          <w:spacing w:val="6"/>
          <w:sz w:val="22"/>
          <w:szCs w:val="22"/>
          <w:highlight w:val="none"/>
          <w:u w:val="single"/>
          <w:lang w:eastAsia="zh-CN"/>
        </w:rPr>
        <w:t>）</w:t>
      </w:r>
      <w:r>
        <w:rPr>
          <w:rFonts w:hint="eastAsia" w:eastAsia="新宋体"/>
          <w:color w:val="auto"/>
          <w:spacing w:val="6"/>
          <w:sz w:val="22"/>
          <w:szCs w:val="22"/>
          <w:highlight w:val="none"/>
          <w:u w:val="single"/>
        </w:rPr>
        <w:t>（因本合同分别与苍南县消防救援大队和龙港市消防救援大队签订，履约保证金各壹万</w:t>
      </w:r>
      <w:r>
        <w:rPr>
          <w:rFonts w:hint="eastAsia" w:eastAsia="新宋体"/>
          <w:color w:val="auto"/>
          <w:spacing w:val="6"/>
          <w:sz w:val="22"/>
          <w:szCs w:val="22"/>
          <w:highlight w:val="none"/>
          <w:u w:val="single"/>
          <w:lang w:val="en-US" w:eastAsia="zh-CN"/>
        </w:rPr>
        <w:t>元整（¥10000.00）</w:t>
      </w:r>
      <w:r>
        <w:rPr>
          <w:rFonts w:hint="eastAsia" w:eastAsia="新宋体"/>
          <w:color w:val="auto"/>
          <w:spacing w:val="6"/>
          <w:sz w:val="22"/>
          <w:szCs w:val="22"/>
          <w:highlight w:val="none"/>
          <w:u w:val="single"/>
        </w:rPr>
        <w:t>）</w:t>
      </w:r>
      <w:r>
        <w:rPr>
          <w:rFonts w:eastAsia="新宋体"/>
          <w:color w:val="auto"/>
          <w:spacing w:val="6"/>
          <w:sz w:val="22"/>
          <w:szCs w:val="22"/>
          <w:highlight w:val="none"/>
        </w:rPr>
        <w:t>；</w:t>
      </w:r>
      <w:r>
        <w:rPr>
          <w:rFonts w:eastAsia="新宋体"/>
          <w:color w:val="auto"/>
          <w:sz w:val="22"/>
          <w:szCs w:val="22"/>
          <w:highlight w:val="none"/>
        </w:rPr>
        <w:t xml:space="preserve">履约担保的形式：银行转帐或者银行保函等非现金模式。  </w:t>
      </w:r>
    </w:p>
    <w:p w14:paraId="3E6DF8ED">
      <w:pPr>
        <w:widowControl/>
        <w:tabs>
          <w:tab w:val="left" w:pos="540"/>
        </w:tabs>
        <w:snapToGrid w:val="0"/>
        <w:spacing w:line="460" w:lineRule="exact"/>
        <w:ind w:firstLine="440" w:firstLineChars="200"/>
        <w:rPr>
          <w:rFonts w:eastAsia="新宋体"/>
          <w:color w:val="auto"/>
          <w:sz w:val="22"/>
          <w:szCs w:val="22"/>
          <w:highlight w:val="none"/>
        </w:rPr>
      </w:pPr>
      <w:r>
        <w:rPr>
          <w:rFonts w:eastAsia="新宋体"/>
          <w:color w:val="auto"/>
          <w:sz w:val="22"/>
          <w:szCs w:val="22"/>
          <w:highlight w:val="none"/>
        </w:rPr>
        <w:t>2.履约保证金合同期满后30天内无息退还。</w:t>
      </w:r>
    </w:p>
    <w:p w14:paraId="17DFDB55">
      <w:pPr>
        <w:widowControl/>
        <w:tabs>
          <w:tab w:val="left" w:pos="540"/>
        </w:tabs>
        <w:snapToGrid w:val="0"/>
        <w:spacing w:line="460" w:lineRule="exact"/>
        <w:ind w:firstLine="440" w:firstLineChars="200"/>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3.如合同续签，则上一年度履约保证金自动转为续签年度合同履约保证金。</w:t>
      </w:r>
    </w:p>
    <w:p w14:paraId="56069230">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lang w:val="en-US" w:eastAsia="zh-CN"/>
        </w:rPr>
        <w:t>4.</w:t>
      </w:r>
      <w:r>
        <w:rPr>
          <w:rFonts w:eastAsia="新宋体"/>
          <w:bCs/>
          <w:color w:val="auto"/>
          <w:sz w:val="22"/>
          <w:szCs w:val="22"/>
          <w:highlight w:val="none"/>
        </w:rPr>
        <w:t>供货方不按采购文件和合同要求履行的，将没收履约保证金。</w:t>
      </w:r>
    </w:p>
    <w:p w14:paraId="04100242">
      <w:pPr>
        <w:snapToGrid w:val="0"/>
        <w:spacing w:line="460" w:lineRule="exact"/>
        <w:rPr>
          <w:rFonts w:eastAsia="新宋体"/>
          <w:b/>
          <w:bCs/>
          <w:color w:val="auto"/>
          <w:sz w:val="22"/>
          <w:szCs w:val="22"/>
          <w:highlight w:val="none"/>
        </w:rPr>
      </w:pPr>
      <w:r>
        <w:rPr>
          <w:rFonts w:hint="eastAsia" w:eastAsia="新宋体"/>
          <w:b/>
          <w:bCs/>
          <w:color w:val="auto"/>
          <w:sz w:val="22"/>
          <w:szCs w:val="22"/>
          <w:highlight w:val="none"/>
        </w:rPr>
        <w:t>七</w:t>
      </w:r>
      <w:r>
        <w:rPr>
          <w:rFonts w:eastAsia="新宋体"/>
          <w:b/>
          <w:bCs/>
          <w:color w:val="auto"/>
          <w:sz w:val="22"/>
          <w:szCs w:val="22"/>
          <w:highlight w:val="none"/>
        </w:rPr>
        <w:t>、税费</w:t>
      </w:r>
    </w:p>
    <w:p w14:paraId="143ABED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本合同执行中相关的一切税费均由供货方负担。</w:t>
      </w:r>
    </w:p>
    <w:p w14:paraId="3FA74A6C">
      <w:pPr>
        <w:snapToGrid w:val="0"/>
        <w:spacing w:line="460" w:lineRule="exact"/>
        <w:rPr>
          <w:rFonts w:eastAsia="新宋体"/>
          <w:b/>
          <w:bCs/>
          <w:color w:val="auto"/>
          <w:sz w:val="22"/>
          <w:szCs w:val="22"/>
          <w:highlight w:val="none"/>
        </w:rPr>
      </w:pPr>
      <w:r>
        <w:rPr>
          <w:rFonts w:hint="eastAsia" w:eastAsia="新宋体"/>
          <w:b/>
          <w:bCs/>
          <w:color w:val="auto"/>
          <w:sz w:val="22"/>
          <w:szCs w:val="22"/>
          <w:highlight w:val="none"/>
        </w:rPr>
        <w:t>八</w:t>
      </w:r>
      <w:r>
        <w:rPr>
          <w:rFonts w:eastAsia="新宋体"/>
          <w:b/>
          <w:bCs/>
          <w:color w:val="auto"/>
          <w:sz w:val="22"/>
          <w:szCs w:val="22"/>
          <w:highlight w:val="none"/>
        </w:rPr>
        <w:t>、质量保证及经营服务</w:t>
      </w:r>
    </w:p>
    <w:p w14:paraId="37EFC91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1.乙方保证本合同中所供应的商品符合国家技术规格和质量标准的合格商品，且符合采购文件规定的验收标准。</w:t>
      </w:r>
    </w:p>
    <w:p w14:paraId="1CDC223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2.如乙方所供商品与合同不符或在连续两个供货周期内所供货物未能通过采购方的验收（抽查或委托第三方检验），采购方有权终止合同并没收履约保证金，由此产生的一切责任和后果由乙方承担。</w:t>
      </w:r>
    </w:p>
    <w:p w14:paraId="7480A805">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 乙方必须保证合同履行过程中所提供的产品符合国家相关卫生质量标准，保证食材的新鲜、卫生。如因食材所致的相关卫生事件，一切后果由乙方承担。</w:t>
      </w:r>
    </w:p>
    <w:p w14:paraId="3C50257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w:t>
      </w:r>
      <w:r>
        <w:rPr>
          <w:rFonts w:hint="eastAsia" w:eastAsia="新宋体"/>
          <w:bCs/>
          <w:color w:val="auto"/>
          <w:sz w:val="22"/>
          <w:szCs w:val="22"/>
          <w:highlight w:val="none"/>
          <w:lang w:val="en-US" w:eastAsia="zh-CN"/>
        </w:rPr>
        <w:t xml:space="preserve"> </w:t>
      </w:r>
      <w:r>
        <w:rPr>
          <w:rFonts w:eastAsia="新宋体"/>
          <w:bCs/>
          <w:color w:val="auto"/>
          <w:sz w:val="22"/>
          <w:szCs w:val="22"/>
          <w:highlight w:val="none"/>
        </w:rPr>
        <w:t>每日乙方送货人员必须要和采购方当面交接清楚并双方签字确认，采购方及时做好管理登记。</w:t>
      </w:r>
    </w:p>
    <w:p w14:paraId="7F6D22F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5.乙方</w:t>
      </w:r>
      <w:r>
        <w:rPr>
          <w:rFonts w:hint="eastAsia" w:eastAsia="新宋体"/>
          <w:bCs/>
          <w:color w:val="auto"/>
          <w:sz w:val="22"/>
          <w:szCs w:val="22"/>
          <w:highlight w:val="none"/>
        </w:rPr>
        <w:t>不得随意变更食品名称，与</w:t>
      </w:r>
      <w:r>
        <w:rPr>
          <w:rFonts w:eastAsia="新宋体"/>
          <w:b/>
          <w:color w:val="auto"/>
          <w:sz w:val="22"/>
          <w:szCs w:val="22"/>
          <w:highlight w:val="none"/>
          <w:u w:val="single"/>
        </w:rPr>
        <w:t>温州市发展和改革委员会官方网站</w:t>
      </w:r>
      <w:r>
        <w:rPr>
          <w:rFonts w:hint="eastAsia" w:eastAsia="新宋体"/>
          <w:b/>
          <w:color w:val="auto"/>
          <w:sz w:val="22"/>
          <w:szCs w:val="22"/>
          <w:highlight w:val="none"/>
          <w:u w:val="single"/>
        </w:rPr>
        <w:t>所公布的名称保持一致，如无品名，可书面说明并经甲方同意，一经发现恶意变更品名且未经同意的，致使无法准确及时结算的，</w:t>
      </w:r>
      <w:r>
        <w:rPr>
          <w:rFonts w:hint="eastAsia" w:eastAsia="新宋体"/>
          <w:bCs/>
          <w:color w:val="auto"/>
          <w:sz w:val="22"/>
          <w:szCs w:val="22"/>
          <w:highlight w:val="none"/>
        </w:rPr>
        <w:t>按</w:t>
      </w:r>
      <w:r>
        <w:rPr>
          <w:rFonts w:eastAsia="新宋体"/>
          <w:bCs/>
          <w:color w:val="auto"/>
          <w:sz w:val="22"/>
          <w:szCs w:val="22"/>
          <w:highlight w:val="none"/>
        </w:rPr>
        <w:t>扣除相应考评分</w:t>
      </w:r>
      <w:r>
        <w:rPr>
          <w:rFonts w:hint="eastAsia" w:eastAsia="新宋体"/>
          <w:bCs/>
          <w:color w:val="auto"/>
          <w:sz w:val="22"/>
          <w:szCs w:val="22"/>
          <w:highlight w:val="none"/>
        </w:rPr>
        <w:t>处理</w:t>
      </w:r>
      <w:r>
        <w:rPr>
          <w:rFonts w:eastAsia="新宋体"/>
          <w:bCs/>
          <w:color w:val="auto"/>
          <w:sz w:val="22"/>
          <w:szCs w:val="22"/>
          <w:highlight w:val="none"/>
        </w:rPr>
        <w:t>。</w:t>
      </w:r>
    </w:p>
    <w:p w14:paraId="121EDE0F">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6.</w:t>
      </w:r>
      <w:r>
        <w:rPr>
          <w:rFonts w:eastAsia="新宋体"/>
          <w:bCs/>
          <w:color w:val="auto"/>
          <w:sz w:val="22"/>
          <w:szCs w:val="22"/>
          <w:highlight w:val="none"/>
        </w:rPr>
        <w:t>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5DEEA067">
      <w:pPr>
        <w:snapToGrid w:val="0"/>
        <w:spacing w:line="460" w:lineRule="exact"/>
        <w:ind w:firstLine="440" w:firstLineChars="200"/>
        <w:rPr>
          <w:rFonts w:hint="default" w:eastAsia="新宋体"/>
          <w:bCs/>
          <w:color w:val="auto"/>
          <w:sz w:val="22"/>
          <w:szCs w:val="22"/>
          <w:highlight w:val="none"/>
          <w:lang w:val="en-US" w:eastAsia="zh-CN"/>
        </w:rPr>
      </w:pPr>
      <w:r>
        <w:rPr>
          <w:rFonts w:hint="eastAsia" w:eastAsia="新宋体"/>
          <w:bCs/>
          <w:color w:val="auto"/>
          <w:sz w:val="22"/>
          <w:szCs w:val="22"/>
          <w:highlight w:val="none"/>
        </w:rPr>
        <w:t>7.</w:t>
      </w:r>
      <w:r>
        <w:rPr>
          <w:rFonts w:eastAsia="新宋体"/>
          <w:bCs/>
          <w:color w:val="auto"/>
          <w:sz w:val="22"/>
          <w:szCs w:val="22"/>
          <w:highlight w:val="none"/>
        </w:rPr>
        <w:t>乙方所供产品不得有腐败变质、油脂酸败、霉变、生虫、污秽不洁、混有异物或者其他感官性状异常，对人体健康有害物质。如甲方在验收时发现霉变等以上情况时，当日乙方所供产品中发现1件以上则扣除当日该类产品费用</w:t>
      </w:r>
      <w:r>
        <w:rPr>
          <w:rFonts w:hint="eastAsia" w:eastAsia="新宋体"/>
          <w:bCs/>
          <w:color w:val="auto"/>
          <w:sz w:val="22"/>
          <w:szCs w:val="22"/>
          <w:highlight w:val="none"/>
          <w:lang w:val="en-US" w:eastAsia="zh-CN"/>
        </w:rPr>
        <w:t>。如造成人员误食，乙方须全部承担由此给甲方人员身体造成伤害的医疗赔偿责任，情节严重将追究乙方相关法律责任。</w:t>
      </w:r>
    </w:p>
    <w:p w14:paraId="17707270">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8</w:t>
      </w:r>
      <w:r>
        <w:rPr>
          <w:rFonts w:eastAsia="新宋体"/>
          <w:bCs/>
          <w:color w:val="auto"/>
          <w:sz w:val="22"/>
          <w:szCs w:val="22"/>
          <w:highlight w:val="none"/>
        </w:rPr>
        <w:t>乙方所供产品不得含有致病性寄生虫、微生物或者微生物含量超过国家限定标准。</w:t>
      </w:r>
    </w:p>
    <w:p w14:paraId="742BAB3C">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9</w:t>
      </w:r>
      <w:r>
        <w:rPr>
          <w:rFonts w:eastAsia="新宋体"/>
          <w:bCs/>
          <w:color w:val="auto"/>
          <w:sz w:val="22"/>
          <w:szCs w:val="22"/>
          <w:highlight w:val="none"/>
        </w:rPr>
        <w:t>.乙方所供产品中应没有掺假、掺杂、伪造、影响营养、卫生。</w:t>
      </w:r>
    </w:p>
    <w:p w14:paraId="1E2A05A0">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10</w:t>
      </w:r>
      <w:r>
        <w:rPr>
          <w:rFonts w:eastAsia="新宋体"/>
          <w:bCs/>
          <w:color w:val="auto"/>
          <w:sz w:val="22"/>
          <w:szCs w:val="22"/>
          <w:highlight w:val="none"/>
        </w:rPr>
        <w:t>.乙方所供产品包装以原出厂标准为准。</w:t>
      </w:r>
    </w:p>
    <w:p w14:paraId="6311185A">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1</w:t>
      </w:r>
      <w:r>
        <w:rPr>
          <w:rFonts w:eastAsia="新宋体"/>
          <w:bCs/>
          <w:color w:val="auto"/>
          <w:sz w:val="22"/>
          <w:szCs w:val="22"/>
          <w:highlight w:val="none"/>
        </w:rPr>
        <w:t>.乙方所供产品包装原则上采用</w:t>
      </w:r>
      <w:r>
        <w:rPr>
          <w:rFonts w:hint="eastAsia" w:eastAsia="新宋体"/>
          <w:bCs/>
          <w:color w:val="auto"/>
          <w:sz w:val="22"/>
          <w:szCs w:val="22"/>
          <w:highlight w:val="none"/>
          <w:lang w:val="en-US" w:eastAsia="zh-CN"/>
        </w:rPr>
        <w:t>适用食材</w:t>
      </w:r>
      <w:r>
        <w:rPr>
          <w:rFonts w:eastAsia="新宋体"/>
          <w:bCs/>
          <w:color w:val="auto"/>
          <w:sz w:val="22"/>
          <w:szCs w:val="22"/>
          <w:highlight w:val="none"/>
        </w:rPr>
        <w:t>包装，如果根据货物性质、天气情况以及装运要求需要采用特殊包装的，乙方应采用特殊包装、包装成本由乙方承担。</w:t>
      </w:r>
    </w:p>
    <w:p w14:paraId="326D152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2</w:t>
      </w:r>
      <w:r>
        <w:rPr>
          <w:rFonts w:eastAsia="新宋体"/>
          <w:bCs/>
          <w:color w:val="auto"/>
          <w:sz w:val="22"/>
          <w:szCs w:val="22"/>
          <w:highlight w:val="none"/>
        </w:rPr>
        <w:t>.因包装不当导致的货物缺失、破损由乙方承担责任。</w:t>
      </w:r>
    </w:p>
    <w:p w14:paraId="4F49397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3</w:t>
      </w:r>
      <w:r>
        <w:rPr>
          <w:rFonts w:eastAsia="新宋体"/>
          <w:bCs/>
          <w:color w:val="auto"/>
          <w:sz w:val="22"/>
          <w:szCs w:val="22"/>
          <w:highlight w:val="none"/>
        </w:rPr>
        <w:t>.</w:t>
      </w:r>
      <w:r>
        <w:rPr>
          <w:rFonts w:hint="eastAsia" w:eastAsia="新宋体"/>
          <w:bCs/>
          <w:color w:val="auto"/>
          <w:sz w:val="22"/>
          <w:szCs w:val="22"/>
          <w:highlight w:val="none"/>
        </w:rPr>
        <w:t>乙方所供产品必须与甲方</w:t>
      </w:r>
      <w:r>
        <w:rPr>
          <w:rFonts w:eastAsia="新宋体"/>
          <w:bCs/>
          <w:color w:val="auto"/>
          <w:sz w:val="22"/>
          <w:szCs w:val="22"/>
          <w:highlight w:val="none"/>
        </w:rPr>
        <w:t>每日制定进货计划</w:t>
      </w:r>
      <w:r>
        <w:rPr>
          <w:rFonts w:hint="eastAsia" w:eastAsia="新宋体"/>
          <w:bCs/>
          <w:color w:val="auto"/>
          <w:sz w:val="22"/>
          <w:szCs w:val="22"/>
          <w:highlight w:val="none"/>
        </w:rPr>
        <w:t>一致，如有</w:t>
      </w:r>
      <w:r>
        <w:rPr>
          <w:rFonts w:eastAsia="新宋体"/>
          <w:bCs/>
          <w:color w:val="auto"/>
          <w:sz w:val="22"/>
          <w:szCs w:val="22"/>
          <w:highlight w:val="none"/>
          <w:lang w:val="zh-CN"/>
        </w:rPr>
        <w:t>缺斤少两</w:t>
      </w:r>
      <w:r>
        <w:rPr>
          <w:rFonts w:hint="eastAsia" w:eastAsia="新宋体"/>
          <w:bCs/>
          <w:color w:val="auto"/>
          <w:sz w:val="22"/>
          <w:szCs w:val="22"/>
          <w:highlight w:val="none"/>
        </w:rPr>
        <w:t>应</w:t>
      </w:r>
      <w:r>
        <w:rPr>
          <w:rFonts w:eastAsia="新宋体"/>
          <w:bCs/>
          <w:color w:val="auto"/>
          <w:sz w:val="22"/>
          <w:szCs w:val="22"/>
          <w:highlight w:val="none"/>
        </w:rPr>
        <w:t>立即补货，</w:t>
      </w:r>
      <w:r>
        <w:rPr>
          <w:rFonts w:hint="eastAsia" w:eastAsia="新宋体"/>
          <w:bCs/>
          <w:color w:val="auto"/>
          <w:sz w:val="22"/>
          <w:szCs w:val="22"/>
          <w:highlight w:val="none"/>
        </w:rPr>
        <w:t>造成甲方因乙方供货不足而影响餐食，</w:t>
      </w:r>
      <w:r>
        <w:rPr>
          <w:rFonts w:eastAsia="新宋体"/>
          <w:bCs/>
          <w:color w:val="auto"/>
          <w:sz w:val="22"/>
          <w:szCs w:val="22"/>
          <w:highlight w:val="none"/>
        </w:rPr>
        <w:t>由乙方承担责任。</w:t>
      </w:r>
    </w:p>
    <w:p w14:paraId="451CAB7C">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14.</w:t>
      </w:r>
      <w:r>
        <w:rPr>
          <w:rFonts w:eastAsia="新宋体"/>
          <w:bCs/>
          <w:color w:val="auto"/>
          <w:sz w:val="22"/>
          <w:szCs w:val="22"/>
          <w:highlight w:val="none"/>
        </w:rPr>
        <w:t>乙方每周定期在伙食配送群里公布产品价格信息表，采购方如有指定的产品但未在产品价格信息表内的，需及时添加并更新产品价格信息表。</w:t>
      </w:r>
    </w:p>
    <w:p w14:paraId="30A4492B">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5</w:t>
      </w:r>
      <w:r>
        <w:rPr>
          <w:rFonts w:eastAsia="新宋体"/>
          <w:bCs/>
          <w:color w:val="auto"/>
          <w:sz w:val="22"/>
          <w:szCs w:val="22"/>
          <w:highlight w:val="none"/>
        </w:rPr>
        <w:t>.乙方无特殊情况下须在规定时间送达，如遇特殊情况必须履行告知义务。</w:t>
      </w:r>
    </w:p>
    <w:p w14:paraId="3D16CC5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6</w:t>
      </w:r>
      <w:r>
        <w:rPr>
          <w:rFonts w:eastAsia="新宋体"/>
          <w:bCs/>
          <w:color w:val="auto"/>
          <w:sz w:val="22"/>
          <w:szCs w:val="22"/>
          <w:highlight w:val="none"/>
        </w:rPr>
        <w:t>.</w:t>
      </w:r>
      <w:r>
        <w:rPr>
          <w:rFonts w:hint="eastAsia" w:eastAsia="新宋体"/>
          <w:color w:val="auto"/>
          <w:kern w:val="0"/>
          <w:sz w:val="22"/>
          <w:szCs w:val="22"/>
          <w:highlight w:val="none"/>
        </w:rPr>
        <w:t>当天采购的配送产品</w:t>
      </w:r>
      <w:r>
        <w:rPr>
          <w:rFonts w:eastAsia="新宋体"/>
          <w:color w:val="auto"/>
          <w:kern w:val="0"/>
          <w:sz w:val="22"/>
          <w:szCs w:val="22"/>
          <w:highlight w:val="none"/>
        </w:rPr>
        <w:t>分类</w:t>
      </w:r>
      <w:r>
        <w:rPr>
          <w:rFonts w:hint="eastAsia" w:eastAsia="新宋体"/>
          <w:color w:val="auto"/>
          <w:kern w:val="0"/>
          <w:sz w:val="22"/>
          <w:szCs w:val="22"/>
          <w:highlight w:val="none"/>
        </w:rPr>
        <w:t>存储、运送，</w:t>
      </w:r>
      <w:r>
        <w:rPr>
          <w:rFonts w:eastAsia="新宋体"/>
          <w:color w:val="auto"/>
          <w:kern w:val="0"/>
          <w:sz w:val="22"/>
          <w:szCs w:val="22"/>
          <w:highlight w:val="none"/>
        </w:rPr>
        <w:t>海鲜</w:t>
      </w:r>
      <w:r>
        <w:rPr>
          <w:rFonts w:hint="eastAsia" w:eastAsia="新宋体"/>
          <w:color w:val="auto"/>
          <w:kern w:val="0"/>
          <w:sz w:val="22"/>
          <w:szCs w:val="22"/>
          <w:highlight w:val="none"/>
        </w:rPr>
        <w:t>水产品须存</w:t>
      </w:r>
      <w:r>
        <w:rPr>
          <w:rFonts w:eastAsia="新宋体"/>
          <w:color w:val="auto"/>
          <w:kern w:val="0"/>
          <w:sz w:val="22"/>
          <w:szCs w:val="22"/>
          <w:highlight w:val="none"/>
        </w:rPr>
        <w:t>放在泡沫箱里面</w:t>
      </w:r>
      <w:r>
        <w:rPr>
          <w:rFonts w:hint="eastAsia" w:eastAsia="新宋体"/>
          <w:color w:val="auto"/>
          <w:kern w:val="0"/>
          <w:sz w:val="22"/>
          <w:szCs w:val="22"/>
          <w:highlight w:val="none"/>
        </w:rPr>
        <w:t>，并配置</w:t>
      </w:r>
      <w:r>
        <w:rPr>
          <w:rFonts w:eastAsia="新宋体"/>
          <w:color w:val="auto"/>
          <w:kern w:val="0"/>
          <w:sz w:val="22"/>
          <w:szCs w:val="22"/>
          <w:highlight w:val="none"/>
        </w:rPr>
        <w:t>冰块</w:t>
      </w:r>
      <w:r>
        <w:rPr>
          <w:rFonts w:hint="eastAsia" w:eastAsia="新宋体"/>
          <w:color w:val="auto"/>
          <w:kern w:val="0"/>
          <w:sz w:val="22"/>
          <w:szCs w:val="22"/>
          <w:highlight w:val="none"/>
        </w:rPr>
        <w:t>保鲜。</w:t>
      </w:r>
      <w:r>
        <w:rPr>
          <w:rFonts w:eastAsia="新宋体"/>
          <w:bCs/>
          <w:color w:val="auto"/>
          <w:sz w:val="22"/>
          <w:szCs w:val="22"/>
          <w:highlight w:val="none"/>
        </w:rPr>
        <w:t>配送时做好生熟食分类，不得混装一个盒子一起配送。</w:t>
      </w:r>
    </w:p>
    <w:p w14:paraId="4E98B55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7</w:t>
      </w:r>
      <w:r>
        <w:rPr>
          <w:rFonts w:eastAsia="新宋体"/>
          <w:bCs/>
          <w:color w:val="auto"/>
          <w:sz w:val="22"/>
          <w:szCs w:val="22"/>
          <w:highlight w:val="none"/>
        </w:rPr>
        <w:t>.乙方应保障服务质量，端正服务态度，当发现问题时，应本着发现问题解决问题的服务态度，及时提出补救措施，不得推诿扯皮推卸责任。</w:t>
      </w:r>
    </w:p>
    <w:p w14:paraId="281F5CB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w:t>
      </w:r>
      <w:r>
        <w:rPr>
          <w:rFonts w:hint="eastAsia" w:eastAsia="新宋体"/>
          <w:bCs/>
          <w:color w:val="auto"/>
          <w:sz w:val="22"/>
          <w:szCs w:val="22"/>
          <w:highlight w:val="none"/>
        </w:rPr>
        <w:t>8.</w:t>
      </w:r>
      <w:r>
        <w:rPr>
          <w:rFonts w:eastAsia="新宋体"/>
          <w:bCs/>
          <w:color w:val="auto"/>
          <w:sz w:val="22"/>
          <w:szCs w:val="22"/>
          <w:highlight w:val="none"/>
        </w:rPr>
        <w:t>乙方出现以上情况的，在协商处理以上问题的基础上，还将按照《食材供应商评价表》条款或近似条款，扣除相应考评分。</w:t>
      </w:r>
    </w:p>
    <w:p w14:paraId="7E8DE372">
      <w:pPr>
        <w:snapToGrid w:val="0"/>
        <w:spacing w:line="460" w:lineRule="exact"/>
        <w:rPr>
          <w:rFonts w:eastAsia="新宋体"/>
          <w:b/>
          <w:color w:val="auto"/>
          <w:sz w:val="22"/>
          <w:szCs w:val="22"/>
          <w:highlight w:val="none"/>
        </w:rPr>
      </w:pPr>
      <w:r>
        <w:rPr>
          <w:rFonts w:hint="eastAsia" w:eastAsia="新宋体"/>
          <w:b/>
          <w:color w:val="auto"/>
          <w:sz w:val="22"/>
          <w:szCs w:val="22"/>
          <w:highlight w:val="none"/>
        </w:rPr>
        <w:t>九</w:t>
      </w:r>
      <w:r>
        <w:rPr>
          <w:rFonts w:eastAsia="新宋体"/>
          <w:b/>
          <w:color w:val="auto"/>
          <w:sz w:val="22"/>
          <w:szCs w:val="22"/>
          <w:highlight w:val="none"/>
        </w:rPr>
        <w:t>、双方的义务与权力</w:t>
      </w:r>
    </w:p>
    <w:p w14:paraId="3FC69C1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（一）甲方责任：</w:t>
      </w:r>
    </w:p>
    <w:p w14:paraId="345DC40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1.甲方每日下达采购清单，订单内容应包括产品名称、规格、计量单位、数量、交货时间和交货地点，并由指定的负责人签名后递交至乙方，乙方收到订单确认后供货。</w:t>
      </w:r>
    </w:p>
    <w:p w14:paraId="2941E43B">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2.对采购食材的质</w:t>
      </w:r>
      <w:r>
        <w:rPr>
          <w:rFonts w:hint="eastAsia" w:eastAsia="新宋体"/>
          <w:bCs/>
          <w:color w:val="auto"/>
          <w:sz w:val="22"/>
          <w:szCs w:val="22"/>
          <w:highlight w:val="none"/>
        </w:rPr>
        <w:t>量</w:t>
      </w:r>
      <w:r>
        <w:rPr>
          <w:rFonts w:eastAsia="新宋体"/>
          <w:bCs/>
          <w:color w:val="auto"/>
          <w:sz w:val="22"/>
          <w:szCs w:val="22"/>
          <w:highlight w:val="none"/>
        </w:rPr>
        <w:t>、</w:t>
      </w:r>
      <w:r>
        <w:rPr>
          <w:rFonts w:hint="eastAsia" w:eastAsia="新宋体"/>
          <w:bCs/>
          <w:color w:val="auto"/>
          <w:sz w:val="22"/>
          <w:szCs w:val="22"/>
          <w:highlight w:val="none"/>
        </w:rPr>
        <w:t>数</w:t>
      </w:r>
      <w:r>
        <w:rPr>
          <w:rFonts w:eastAsia="新宋体"/>
          <w:bCs/>
          <w:color w:val="auto"/>
          <w:sz w:val="22"/>
          <w:szCs w:val="22"/>
          <w:highlight w:val="none"/>
        </w:rPr>
        <w:t>量进行验收，若发现产品质量</w:t>
      </w:r>
      <w:r>
        <w:rPr>
          <w:rFonts w:hint="eastAsia" w:eastAsia="新宋体"/>
          <w:bCs/>
          <w:color w:val="auto"/>
          <w:sz w:val="22"/>
          <w:szCs w:val="22"/>
          <w:highlight w:val="none"/>
        </w:rPr>
        <w:t>、数量</w:t>
      </w:r>
      <w:r>
        <w:rPr>
          <w:rFonts w:eastAsia="新宋体"/>
          <w:bCs/>
          <w:color w:val="auto"/>
          <w:sz w:val="22"/>
          <w:szCs w:val="22"/>
          <w:highlight w:val="none"/>
        </w:rPr>
        <w:t>不合规定，应于收货之日起24小时内以书面或电话形式告知乙方，乙方按2小时内进行调换或退货</w:t>
      </w:r>
      <w:r>
        <w:rPr>
          <w:rFonts w:hint="eastAsia" w:eastAsia="新宋体"/>
          <w:bCs/>
          <w:color w:val="auto"/>
          <w:sz w:val="22"/>
          <w:szCs w:val="22"/>
          <w:highlight w:val="none"/>
        </w:rPr>
        <w:t>或补货</w:t>
      </w:r>
      <w:r>
        <w:rPr>
          <w:rFonts w:eastAsia="新宋体"/>
          <w:bCs/>
          <w:color w:val="auto"/>
          <w:sz w:val="22"/>
          <w:szCs w:val="22"/>
          <w:highlight w:val="none"/>
        </w:rPr>
        <w:t>，如技术资信标承诺的时间快就按技术标中的承诺执行，并做相应的处罚。</w:t>
      </w:r>
    </w:p>
    <w:p w14:paraId="667A317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w:t>
      </w:r>
      <w:r>
        <w:rPr>
          <w:rFonts w:hint="eastAsia" w:eastAsia="新宋体"/>
          <w:bCs/>
          <w:color w:val="auto"/>
          <w:sz w:val="22"/>
          <w:szCs w:val="22"/>
          <w:highlight w:val="none"/>
          <w:lang w:val="en-US" w:eastAsia="zh-CN"/>
        </w:rPr>
        <w:t>因甲方</w:t>
      </w:r>
      <w:r>
        <w:rPr>
          <w:rFonts w:eastAsia="新宋体"/>
          <w:bCs/>
          <w:color w:val="auto"/>
          <w:sz w:val="22"/>
          <w:szCs w:val="22"/>
          <w:highlight w:val="none"/>
        </w:rPr>
        <w:t>储存、保管不善等造成产品质量下降的，不得提出异议。</w:t>
      </w:r>
    </w:p>
    <w:p w14:paraId="0B8AFE7B">
      <w:pPr>
        <w:pStyle w:val="23"/>
        <w:snapToGrid w:val="0"/>
        <w:spacing w:line="460" w:lineRule="exact"/>
        <w:rPr>
          <w:rFonts w:eastAsia="新宋体"/>
          <w:bCs/>
          <w:color w:val="auto"/>
          <w:sz w:val="22"/>
          <w:szCs w:val="22"/>
          <w:highlight w:val="none"/>
        </w:rPr>
      </w:pPr>
      <w:r>
        <w:rPr>
          <w:rFonts w:eastAsia="新宋体"/>
          <w:bCs/>
          <w:color w:val="auto"/>
          <w:sz w:val="22"/>
          <w:szCs w:val="22"/>
          <w:highlight w:val="none"/>
        </w:rPr>
        <w:t xml:space="preserve">    4、乙方出现以下情形，甲方有权没收合同履约金：</w:t>
      </w:r>
    </w:p>
    <w:p w14:paraId="013FA30C">
      <w:pPr>
        <w:pStyle w:val="23"/>
        <w:snapToGrid w:val="0"/>
        <w:spacing w:line="460" w:lineRule="exact"/>
        <w:ind w:firstLine="440" w:firstLineChars="200"/>
        <w:rPr>
          <w:rFonts w:hint="eastAsia" w:eastAsia="新宋体"/>
          <w:bCs/>
          <w:color w:val="auto"/>
          <w:sz w:val="22"/>
          <w:szCs w:val="22"/>
          <w:highlight w:val="none"/>
          <w:lang w:eastAsia="zh-CN"/>
        </w:rPr>
      </w:pPr>
      <w:r>
        <w:rPr>
          <w:rFonts w:eastAsia="新宋体"/>
          <w:bCs/>
          <w:color w:val="auto"/>
          <w:sz w:val="22"/>
          <w:szCs w:val="22"/>
          <w:highlight w:val="none"/>
        </w:rPr>
        <w:t>（1）随意中断合同的履行</w:t>
      </w:r>
      <w:r>
        <w:rPr>
          <w:rFonts w:hint="eastAsia" w:eastAsia="新宋体"/>
          <w:bCs/>
          <w:color w:val="auto"/>
          <w:sz w:val="22"/>
          <w:szCs w:val="22"/>
          <w:highlight w:val="none"/>
          <w:lang w:eastAsia="zh-CN"/>
        </w:rPr>
        <w:t>；</w:t>
      </w:r>
    </w:p>
    <w:p w14:paraId="2DA9BDE4">
      <w:pPr>
        <w:pStyle w:val="23"/>
        <w:snapToGrid w:val="0"/>
        <w:spacing w:line="460" w:lineRule="exact"/>
        <w:ind w:firstLine="440" w:firstLineChars="200"/>
        <w:rPr>
          <w:rFonts w:hint="eastAsia" w:eastAsia="新宋体"/>
          <w:bCs/>
          <w:color w:val="auto"/>
          <w:sz w:val="22"/>
          <w:szCs w:val="22"/>
          <w:highlight w:val="none"/>
          <w:lang w:eastAsia="zh-CN"/>
        </w:rPr>
      </w:pPr>
      <w:r>
        <w:rPr>
          <w:rFonts w:eastAsia="新宋体"/>
          <w:bCs/>
          <w:color w:val="auto"/>
          <w:sz w:val="22"/>
          <w:szCs w:val="22"/>
          <w:highlight w:val="none"/>
        </w:rPr>
        <w:t>（2）不能及时供货（迟于甲方所定供货时间）</w:t>
      </w:r>
      <w:r>
        <w:rPr>
          <w:rFonts w:hint="eastAsia" w:eastAsia="新宋体"/>
          <w:bCs/>
          <w:color w:val="auto"/>
          <w:sz w:val="22"/>
          <w:szCs w:val="22"/>
          <w:highlight w:val="none"/>
          <w:lang w:eastAsia="zh-CN"/>
        </w:rPr>
        <w:t>；</w:t>
      </w:r>
    </w:p>
    <w:p w14:paraId="4601D1A9">
      <w:pPr>
        <w:pStyle w:val="23"/>
        <w:snapToGrid w:val="0"/>
        <w:spacing w:line="460" w:lineRule="exact"/>
        <w:ind w:firstLine="440" w:firstLineChars="200"/>
        <w:rPr>
          <w:rFonts w:hint="eastAsia" w:eastAsia="新宋体"/>
          <w:color w:val="auto"/>
          <w:sz w:val="22"/>
          <w:szCs w:val="22"/>
          <w:highlight w:val="none"/>
          <w:lang w:eastAsia="zh-CN"/>
        </w:rPr>
      </w:pPr>
      <w:r>
        <w:rPr>
          <w:rFonts w:eastAsia="新宋体"/>
          <w:bCs/>
          <w:color w:val="auto"/>
          <w:sz w:val="22"/>
          <w:szCs w:val="22"/>
          <w:highlight w:val="none"/>
        </w:rPr>
        <w:t>（3）出现“</w:t>
      </w:r>
      <w:r>
        <w:rPr>
          <w:rFonts w:hint="eastAsia" w:eastAsia="新宋体"/>
          <w:bCs/>
          <w:color w:val="auto"/>
          <w:sz w:val="22"/>
          <w:szCs w:val="22"/>
          <w:highlight w:val="none"/>
        </w:rPr>
        <w:t>十</w:t>
      </w:r>
      <w:r>
        <w:rPr>
          <w:rFonts w:eastAsia="新宋体"/>
          <w:bCs/>
          <w:color w:val="auto"/>
          <w:sz w:val="22"/>
          <w:szCs w:val="22"/>
          <w:highlight w:val="none"/>
        </w:rPr>
        <w:t>、违约责任”中没收履约保证金情形</w:t>
      </w:r>
      <w:r>
        <w:rPr>
          <w:rFonts w:hint="eastAsia" w:eastAsia="新宋体"/>
          <w:bCs/>
          <w:color w:val="auto"/>
          <w:sz w:val="22"/>
          <w:szCs w:val="22"/>
          <w:highlight w:val="none"/>
          <w:lang w:eastAsia="zh-CN"/>
        </w:rPr>
        <w:t>。</w:t>
      </w:r>
    </w:p>
    <w:p w14:paraId="0C94AA0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（二）乙方责任</w:t>
      </w:r>
    </w:p>
    <w:p w14:paraId="3A48E74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1.乙方提供的产品必须是质量监督管理部门检验并取得合格证明的产品。</w:t>
      </w:r>
    </w:p>
    <w:p w14:paraId="73BE5B7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2.乙方应保证所提供的产品是合格安全的产品，一旦发现伪劣假冒产品，以次充好产品或替代产品，乙方承担法律责任。</w:t>
      </w:r>
    </w:p>
    <w:p w14:paraId="35F2151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3.乙方提供的产品须经过食堂验收人员的感官检验、外观检验和试用检验，若产品外观、包装、形式不符合要求、感官检验不能达到食品卫生要求，</w:t>
      </w:r>
      <w:r>
        <w:rPr>
          <w:rFonts w:hint="eastAsia" w:eastAsia="新宋体"/>
          <w:bCs/>
          <w:color w:val="auto"/>
          <w:sz w:val="22"/>
          <w:szCs w:val="22"/>
          <w:highlight w:val="none"/>
          <w:lang w:val="en-US" w:eastAsia="zh-CN"/>
        </w:rPr>
        <w:t>甲方可</w:t>
      </w:r>
      <w:r>
        <w:rPr>
          <w:rFonts w:eastAsia="新宋体"/>
          <w:bCs/>
          <w:color w:val="auto"/>
          <w:sz w:val="22"/>
          <w:szCs w:val="22"/>
          <w:highlight w:val="none"/>
        </w:rPr>
        <w:t>当即拒收，</w:t>
      </w:r>
      <w:r>
        <w:rPr>
          <w:rFonts w:hint="eastAsia" w:eastAsia="新宋体"/>
          <w:bCs/>
          <w:color w:val="auto"/>
          <w:sz w:val="22"/>
          <w:szCs w:val="22"/>
          <w:highlight w:val="none"/>
          <w:lang w:val="en-US" w:eastAsia="zh-CN"/>
        </w:rPr>
        <w:t>并对乙方</w:t>
      </w:r>
      <w:r>
        <w:rPr>
          <w:rFonts w:eastAsia="新宋体"/>
          <w:bCs/>
          <w:color w:val="auto"/>
          <w:sz w:val="22"/>
          <w:szCs w:val="22"/>
          <w:highlight w:val="none"/>
        </w:rPr>
        <w:t>进行处罚或终止合同。</w:t>
      </w:r>
    </w:p>
    <w:p w14:paraId="6454BA94">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4.乙方必须按照甲方食堂管理人员通知的时间、数量、品种、品质要求及协定的价格准时送货，经验收合格后签字确认，不能以任何理由推托，一旦影响到食堂的正常运转，乙方应承担相应的经济赔偿。</w:t>
      </w:r>
    </w:p>
    <w:p w14:paraId="0F2576C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5.因产品质量问题发生的食物中毒等事故，由乙方承担经济赔偿责任以及其他法律责任。</w:t>
      </w:r>
    </w:p>
    <w:p w14:paraId="5CCB191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6.</w:t>
      </w:r>
      <w:r>
        <w:rPr>
          <w:rFonts w:hint="eastAsia" w:eastAsia="新宋体"/>
          <w:bCs/>
          <w:color w:val="auto"/>
          <w:sz w:val="22"/>
          <w:szCs w:val="22"/>
          <w:highlight w:val="none"/>
        </w:rPr>
        <w:t>.</w:t>
      </w:r>
      <w:r>
        <w:rPr>
          <w:rFonts w:eastAsia="新宋体"/>
          <w:bCs/>
          <w:color w:val="auto"/>
          <w:sz w:val="22"/>
          <w:szCs w:val="22"/>
          <w:highlight w:val="none"/>
        </w:rPr>
        <w:t>乙方应该在条件允许的情况下，出示产品检验合格证。</w:t>
      </w:r>
    </w:p>
    <w:p w14:paraId="2DC5743D">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7.</w:t>
      </w:r>
      <w:r>
        <w:rPr>
          <w:rFonts w:eastAsia="新宋体"/>
          <w:bCs/>
          <w:color w:val="auto"/>
          <w:sz w:val="22"/>
          <w:szCs w:val="22"/>
          <w:highlight w:val="none"/>
        </w:rPr>
        <w:t>.</w:t>
      </w:r>
      <w:r>
        <w:rPr>
          <w:rFonts w:hint="eastAsia" w:eastAsia="新宋体"/>
          <w:bCs/>
          <w:color w:val="auto"/>
          <w:sz w:val="22"/>
          <w:szCs w:val="22"/>
          <w:highlight w:val="none"/>
        </w:rPr>
        <w:t>乙方应</w:t>
      </w:r>
      <w:r>
        <w:rPr>
          <w:rFonts w:eastAsia="新宋体"/>
          <w:bCs/>
          <w:color w:val="auto"/>
          <w:sz w:val="22"/>
          <w:szCs w:val="22"/>
          <w:highlight w:val="none"/>
        </w:rPr>
        <w:t>每天按时开具送货清单</w:t>
      </w:r>
      <w:r>
        <w:rPr>
          <w:rFonts w:hint="eastAsia" w:eastAsia="新宋体"/>
          <w:bCs/>
          <w:color w:val="auto"/>
          <w:sz w:val="22"/>
          <w:szCs w:val="22"/>
          <w:highlight w:val="none"/>
        </w:rPr>
        <w:t>，清单上面要清晰写明重量和单价，配合甲方价格收集。并及时与甲方结算货款，以提交</w:t>
      </w:r>
      <w:r>
        <w:rPr>
          <w:rFonts w:eastAsia="新宋体"/>
          <w:bCs/>
          <w:color w:val="auto"/>
          <w:sz w:val="22"/>
          <w:szCs w:val="22"/>
          <w:highlight w:val="none"/>
        </w:rPr>
        <w:t>当期所有</w:t>
      </w:r>
      <w:r>
        <w:rPr>
          <w:rFonts w:hint="eastAsia" w:eastAsia="新宋体"/>
          <w:bCs/>
          <w:color w:val="auto"/>
          <w:sz w:val="22"/>
          <w:szCs w:val="22"/>
          <w:highlight w:val="none"/>
        </w:rPr>
        <w:t>合格准量</w:t>
      </w:r>
      <w:r>
        <w:rPr>
          <w:rFonts w:eastAsia="新宋体"/>
          <w:bCs/>
          <w:color w:val="auto"/>
          <w:sz w:val="22"/>
          <w:szCs w:val="22"/>
          <w:highlight w:val="none"/>
        </w:rPr>
        <w:t>产品结算</w:t>
      </w:r>
      <w:r>
        <w:rPr>
          <w:rFonts w:hint="eastAsia" w:eastAsia="新宋体"/>
          <w:bCs/>
          <w:color w:val="auto"/>
          <w:sz w:val="22"/>
          <w:szCs w:val="22"/>
          <w:highlight w:val="none"/>
        </w:rPr>
        <w:t>清单</w:t>
      </w:r>
      <w:r>
        <w:rPr>
          <w:rFonts w:eastAsia="新宋体"/>
          <w:bCs/>
          <w:color w:val="auto"/>
          <w:sz w:val="22"/>
          <w:szCs w:val="22"/>
          <w:highlight w:val="none"/>
        </w:rPr>
        <w:t>，</w:t>
      </w:r>
      <w:r>
        <w:rPr>
          <w:rFonts w:hint="eastAsia" w:eastAsia="新宋体"/>
          <w:bCs/>
          <w:color w:val="auto"/>
          <w:sz w:val="22"/>
          <w:szCs w:val="22"/>
          <w:highlight w:val="none"/>
        </w:rPr>
        <w:t>及</w:t>
      </w:r>
      <w:r>
        <w:rPr>
          <w:rFonts w:eastAsia="新宋体"/>
          <w:bCs/>
          <w:color w:val="auto"/>
          <w:kern w:val="0"/>
          <w:sz w:val="22"/>
          <w:szCs w:val="22"/>
          <w:highlight w:val="none"/>
          <w:lang w:val="zh-CN"/>
        </w:rPr>
        <w:t>结算金额的全额增值税发票</w:t>
      </w:r>
      <w:r>
        <w:rPr>
          <w:rFonts w:hint="eastAsia" w:eastAsia="新宋体"/>
          <w:bCs/>
          <w:color w:val="auto"/>
          <w:kern w:val="0"/>
          <w:sz w:val="22"/>
          <w:szCs w:val="22"/>
          <w:highlight w:val="none"/>
        </w:rPr>
        <w:t>为准</w:t>
      </w:r>
      <w:r>
        <w:rPr>
          <w:rFonts w:hint="eastAsia" w:eastAsia="新宋体"/>
          <w:bCs/>
          <w:color w:val="auto"/>
          <w:sz w:val="22"/>
          <w:szCs w:val="22"/>
          <w:highlight w:val="none"/>
        </w:rPr>
        <w:t>。如恶意拖延结算时间，超过七天未结算，超期时间每天将扣除当期货款1%，超过十四天未结算，超期时间每天将扣除当期货款1%，再</w:t>
      </w:r>
      <w:r>
        <w:rPr>
          <w:rFonts w:eastAsia="新宋体"/>
          <w:bCs/>
          <w:color w:val="auto"/>
          <w:sz w:val="22"/>
          <w:szCs w:val="22"/>
          <w:highlight w:val="none"/>
        </w:rPr>
        <w:t>扣除</w:t>
      </w:r>
      <w:r>
        <w:rPr>
          <w:rFonts w:hint="eastAsia" w:eastAsia="新宋体"/>
          <w:bCs/>
          <w:color w:val="auto"/>
          <w:sz w:val="22"/>
          <w:szCs w:val="22"/>
          <w:highlight w:val="none"/>
        </w:rPr>
        <w:t>当次</w:t>
      </w:r>
      <w:r>
        <w:rPr>
          <w:rFonts w:eastAsia="新宋体"/>
          <w:bCs/>
          <w:color w:val="auto"/>
          <w:sz w:val="22"/>
          <w:szCs w:val="22"/>
          <w:highlight w:val="none"/>
        </w:rPr>
        <w:t>相应考评分。</w:t>
      </w:r>
    </w:p>
    <w:p w14:paraId="2DA078D0">
      <w:pPr>
        <w:snapToGrid w:val="0"/>
        <w:spacing w:line="460" w:lineRule="exact"/>
        <w:ind w:firstLine="440" w:firstLineChars="200"/>
        <w:rPr>
          <w:rFonts w:eastAsia="新宋体"/>
          <w:bCs/>
          <w:color w:val="auto"/>
          <w:sz w:val="22"/>
          <w:szCs w:val="22"/>
          <w:highlight w:val="none"/>
        </w:rPr>
      </w:pPr>
      <w:r>
        <w:rPr>
          <w:rFonts w:hint="eastAsia" w:eastAsia="新宋体"/>
          <w:bCs/>
          <w:color w:val="auto"/>
          <w:sz w:val="22"/>
          <w:szCs w:val="22"/>
          <w:highlight w:val="none"/>
        </w:rPr>
        <w:t>8..</w:t>
      </w:r>
      <w:r>
        <w:rPr>
          <w:rFonts w:eastAsia="新宋体"/>
          <w:bCs/>
          <w:color w:val="auto"/>
          <w:sz w:val="22"/>
          <w:szCs w:val="22"/>
          <w:highlight w:val="none"/>
        </w:rPr>
        <w:t>乙方应严格遵守《食品卫生法》和《动物检疫法》等相关规定，一经发现供应商产品质量不合格，除全部退货外，将取消供货单位的供货资格，没收全部履约保证金，乙方并承担由此造成的经济责任和法律责任。</w:t>
      </w:r>
    </w:p>
    <w:p w14:paraId="317EA2B9">
      <w:pPr>
        <w:snapToGrid w:val="0"/>
        <w:spacing w:line="460" w:lineRule="exact"/>
        <w:rPr>
          <w:rFonts w:eastAsia="新宋体"/>
          <w:b/>
          <w:color w:val="auto"/>
          <w:sz w:val="22"/>
          <w:szCs w:val="22"/>
          <w:highlight w:val="none"/>
        </w:rPr>
      </w:pPr>
      <w:r>
        <w:rPr>
          <w:rFonts w:hint="eastAsia" w:eastAsia="新宋体"/>
          <w:b/>
          <w:color w:val="auto"/>
          <w:sz w:val="22"/>
          <w:szCs w:val="22"/>
          <w:highlight w:val="none"/>
        </w:rPr>
        <w:t>十</w:t>
      </w:r>
      <w:r>
        <w:rPr>
          <w:rFonts w:eastAsia="新宋体"/>
          <w:b/>
          <w:color w:val="auto"/>
          <w:sz w:val="22"/>
          <w:szCs w:val="22"/>
          <w:highlight w:val="none"/>
        </w:rPr>
        <w:t>、违约责任</w:t>
      </w:r>
    </w:p>
    <w:p w14:paraId="6193456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1.乙方未在约定时间内交付</w:t>
      </w:r>
      <w:r>
        <w:rPr>
          <w:rFonts w:hint="eastAsia" w:eastAsia="新宋体"/>
          <w:bCs/>
          <w:color w:val="auto"/>
          <w:sz w:val="22"/>
          <w:szCs w:val="22"/>
          <w:highlight w:val="none"/>
        </w:rPr>
        <w:t>足量</w:t>
      </w:r>
      <w:r>
        <w:rPr>
          <w:rFonts w:eastAsia="新宋体"/>
          <w:bCs/>
          <w:color w:val="auto"/>
          <w:sz w:val="22"/>
          <w:szCs w:val="22"/>
          <w:highlight w:val="none"/>
        </w:rPr>
        <w:t>食品的，按至少每/次500元罚款，如技术资信标承诺的金额高就按技术标中的承诺执行。若超过正常的用餐时间，导致</w:t>
      </w:r>
      <w:r>
        <w:rPr>
          <w:rFonts w:hint="eastAsia" w:eastAsia="新宋体"/>
          <w:bCs/>
          <w:color w:val="auto"/>
          <w:sz w:val="22"/>
          <w:szCs w:val="22"/>
          <w:highlight w:val="none"/>
        </w:rPr>
        <w:t>采购人</w:t>
      </w:r>
      <w:r>
        <w:rPr>
          <w:rFonts w:eastAsia="新宋体"/>
          <w:bCs/>
          <w:color w:val="auto"/>
          <w:sz w:val="22"/>
          <w:szCs w:val="22"/>
          <w:highlight w:val="none"/>
        </w:rPr>
        <w:t>无法正常用餐，则</w:t>
      </w:r>
      <w:r>
        <w:rPr>
          <w:rFonts w:hint="eastAsia" w:eastAsia="新宋体"/>
          <w:bCs/>
          <w:color w:val="auto"/>
          <w:sz w:val="22"/>
          <w:szCs w:val="22"/>
          <w:highlight w:val="none"/>
        </w:rPr>
        <w:t>甲方</w:t>
      </w:r>
      <w:r>
        <w:rPr>
          <w:rFonts w:eastAsia="新宋体"/>
          <w:bCs/>
          <w:color w:val="auto"/>
          <w:sz w:val="22"/>
          <w:szCs w:val="22"/>
          <w:highlight w:val="none"/>
        </w:rPr>
        <w:t>有权自行采购当天食品，产生的费用向中标人按实结算。</w:t>
      </w:r>
    </w:p>
    <w:p w14:paraId="1543F6D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乙方交付的食品如发现有质量问题的，按至少每/次500元罚款，如技术资信标承诺的金额高就按技术标中的承诺执行。每月发现三次以上（含三次）食品质量问题的，再扣除当月配送总额的10%，每月发现四次以上（含四次）质量不合格的，则直接取消供货单位的供货资格，没收全部履约保证金。</w:t>
      </w:r>
    </w:p>
    <w:p w14:paraId="42097B8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3.乙方交付的食品如发生食物中毒</w:t>
      </w:r>
      <w:r>
        <w:rPr>
          <w:rFonts w:hint="eastAsia" w:eastAsia="新宋体"/>
          <w:bCs/>
          <w:color w:val="auto"/>
          <w:sz w:val="22"/>
          <w:szCs w:val="22"/>
          <w:highlight w:val="none"/>
          <w:lang w:eastAsia="zh-CN"/>
        </w:rPr>
        <w:t>、</w:t>
      </w:r>
      <w:r>
        <w:rPr>
          <w:rFonts w:hint="eastAsia" w:eastAsia="新宋体"/>
          <w:bCs/>
          <w:color w:val="auto"/>
          <w:sz w:val="22"/>
          <w:szCs w:val="22"/>
          <w:highlight w:val="none"/>
          <w:lang w:val="en-US" w:eastAsia="zh-CN"/>
        </w:rPr>
        <w:t>食品污染等对人体健康有危害或可能有危害的食品安全事故</w:t>
      </w:r>
      <w:r>
        <w:rPr>
          <w:rFonts w:eastAsia="新宋体"/>
          <w:bCs/>
          <w:color w:val="auto"/>
          <w:sz w:val="22"/>
          <w:szCs w:val="22"/>
          <w:highlight w:val="none"/>
        </w:rPr>
        <w:t>，由乙方承担经济赔偿责任以及其他法律责任，并取消供货单位的供货资格，没收全部履约保证金。</w:t>
      </w:r>
    </w:p>
    <w:p w14:paraId="7D2ABC65">
      <w:pPr>
        <w:snapToGrid w:val="0"/>
        <w:spacing w:line="460" w:lineRule="exact"/>
        <w:ind w:firstLine="440" w:firstLineChars="200"/>
        <w:rPr>
          <w:rFonts w:eastAsia="新宋体"/>
          <w:b/>
          <w:color w:val="auto"/>
          <w:sz w:val="22"/>
          <w:szCs w:val="22"/>
          <w:highlight w:val="none"/>
        </w:rPr>
      </w:pPr>
      <w:r>
        <w:rPr>
          <w:rFonts w:eastAsia="新宋体"/>
          <w:bCs/>
          <w:color w:val="auto"/>
          <w:sz w:val="22"/>
          <w:szCs w:val="22"/>
          <w:highlight w:val="none"/>
        </w:rPr>
        <w:t>4.乙方随意中断合同的履行，甲方有权没收合同履约金</w:t>
      </w:r>
      <w:r>
        <w:rPr>
          <w:rFonts w:hint="eastAsia" w:eastAsia="新宋体"/>
          <w:bCs/>
          <w:color w:val="auto"/>
          <w:sz w:val="22"/>
          <w:szCs w:val="22"/>
          <w:highlight w:val="none"/>
        </w:rPr>
        <w:t>，并由乙方承担违约责任</w:t>
      </w:r>
      <w:r>
        <w:rPr>
          <w:rFonts w:eastAsia="新宋体"/>
          <w:bCs/>
          <w:color w:val="auto"/>
          <w:sz w:val="22"/>
          <w:szCs w:val="22"/>
          <w:highlight w:val="none"/>
        </w:rPr>
        <w:t>；</w:t>
      </w:r>
    </w:p>
    <w:p w14:paraId="1455C8D4">
      <w:pPr>
        <w:snapToGrid w:val="0"/>
        <w:spacing w:line="460" w:lineRule="exact"/>
        <w:ind w:firstLine="442" w:firstLineChars="200"/>
        <w:rPr>
          <w:rFonts w:eastAsia="新宋体"/>
          <w:color w:val="auto"/>
          <w:sz w:val="22"/>
          <w:szCs w:val="22"/>
          <w:highlight w:val="none"/>
        </w:rPr>
      </w:pPr>
      <w:r>
        <w:rPr>
          <w:rFonts w:eastAsia="新宋体"/>
          <w:b/>
          <w:color w:val="auto"/>
          <w:sz w:val="22"/>
          <w:szCs w:val="22"/>
          <w:highlight w:val="none"/>
        </w:rPr>
        <w:t>对供应商恶意低价中标且不履行中标价格的行为，造成损失的，</w:t>
      </w:r>
      <w:r>
        <w:rPr>
          <w:rFonts w:hint="eastAsia" w:eastAsia="新宋体"/>
          <w:b/>
          <w:color w:val="auto"/>
          <w:sz w:val="22"/>
          <w:szCs w:val="22"/>
          <w:highlight w:val="none"/>
        </w:rPr>
        <w:t>采购人</w:t>
      </w:r>
      <w:r>
        <w:rPr>
          <w:rFonts w:eastAsia="新宋体"/>
          <w:b/>
          <w:color w:val="auto"/>
          <w:sz w:val="22"/>
          <w:szCs w:val="22"/>
          <w:highlight w:val="none"/>
        </w:rPr>
        <w:t>将没收履约保证金，不足赔偿的将付诸法律，同时将上报行政主管部门，由行政主管部门予以相应处罚。如给甲方造成严重经济损失且行为特别恶劣的，甲方保留追究其刑事责任权利。</w:t>
      </w:r>
    </w:p>
    <w:p w14:paraId="73458F76">
      <w:pPr>
        <w:snapToGrid w:val="0"/>
        <w:spacing w:line="460" w:lineRule="exact"/>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一</w:t>
      </w:r>
      <w:r>
        <w:rPr>
          <w:rFonts w:eastAsia="新宋体"/>
          <w:b/>
          <w:bCs/>
          <w:color w:val="auto"/>
          <w:sz w:val="22"/>
          <w:szCs w:val="22"/>
          <w:highlight w:val="none"/>
        </w:rPr>
        <w:t>、不可抗力事件处理</w:t>
      </w:r>
    </w:p>
    <w:p w14:paraId="73D2486B">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1.如果合同各方因不可抗力而导致合同实施延误或不能履行合同义务的话，不应该承担误期赔偿或不能履行合同义务的责任。</w:t>
      </w:r>
    </w:p>
    <w:p w14:paraId="594EC3E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9DA93E9">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3.在不可抗力事件发生后，当事方应尽快以书面形式将不可抗力的情况和原因通知对方</w:t>
      </w:r>
      <w:r>
        <w:rPr>
          <w:rFonts w:hint="eastAsia" w:eastAsia="新宋体"/>
          <w:bCs/>
          <w:color w:val="auto"/>
          <w:sz w:val="22"/>
          <w:szCs w:val="22"/>
          <w:highlight w:val="none"/>
        </w:rPr>
        <w:t>（</w:t>
      </w:r>
      <w:r>
        <w:rPr>
          <w:rFonts w:eastAsia="新宋体"/>
          <w:bCs/>
          <w:color w:val="auto"/>
          <w:sz w:val="22"/>
          <w:szCs w:val="22"/>
          <w:highlight w:val="none"/>
        </w:rPr>
        <w:t>不可抗力事件发生后，应立即通知对方，并寄送有关权威机构出具的证明</w:t>
      </w:r>
      <w:r>
        <w:rPr>
          <w:rFonts w:hint="eastAsia" w:eastAsia="新宋体"/>
          <w:bCs/>
          <w:color w:val="auto"/>
          <w:sz w:val="22"/>
          <w:szCs w:val="22"/>
          <w:highlight w:val="none"/>
        </w:rPr>
        <w:t>）</w:t>
      </w:r>
      <w:r>
        <w:rPr>
          <w:rFonts w:eastAsia="新宋体"/>
          <w:bCs/>
          <w:color w:val="auto"/>
          <w:sz w:val="22"/>
          <w:szCs w:val="22"/>
          <w:highlight w:val="none"/>
        </w:rPr>
        <w:t>。合同各方应尽可能继续履行合同义务，并积极寻求采取合理的措施履行不受不可抗力影响的其他事项。合同各方应通过友好协商在合理的时间内达成进一步履行合同。</w:t>
      </w:r>
    </w:p>
    <w:p w14:paraId="42B58AFD">
      <w:pPr>
        <w:snapToGrid w:val="0"/>
        <w:spacing w:line="460" w:lineRule="exact"/>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二</w:t>
      </w:r>
      <w:r>
        <w:rPr>
          <w:rFonts w:eastAsia="新宋体"/>
          <w:b/>
          <w:bCs/>
          <w:color w:val="auto"/>
          <w:sz w:val="22"/>
          <w:szCs w:val="22"/>
          <w:highlight w:val="none"/>
        </w:rPr>
        <w:t>、仲裁</w:t>
      </w:r>
    </w:p>
    <w:p w14:paraId="4C13F47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本合同未尽事宜由双方协商解决，如协商不成，双方同意将本合同引起的争议提交温州市仲裁委员会仲裁解决，仲裁费用由败诉方承担，仲裁为终局。</w:t>
      </w:r>
    </w:p>
    <w:p w14:paraId="0C424A90">
      <w:pPr>
        <w:snapToGrid w:val="0"/>
        <w:spacing w:line="460" w:lineRule="exact"/>
        <w:rPr>
          <w:rFonts w:eastAsia="新宋体"/>
          <w:b/>
          <w:bCs/>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三</w:t>
      </w:r>
      <w:r>
        <w:rPr>
          <w:rFonts w:eastAsia="新宋体"/>
          <w:b/>
          <w:bCs/>
          <w:color w:val="auto"/>
          <w:sz w:val="22"/>
          <w:szCs w:val="22"/>
          <w:highlight w:val="none"/>
        </w:rPr>
        <w:t>、合同生效及其它</w:t>
      </w:r>
    </w:p>
    <w:p w14:paraId="3F424DC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1.合同经甲、乙双方签字并加盖单位公章后生效。</w:t>
      </w:r>
    </w:p>
    <w:p w14:paraId="27E48EBF">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2.采购文件、投标文件与本合同具有同等法律效力。</w:t>
      </w:r>
    </w:p>
    <w:p w14:paraId="7D2928D3">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3.本合同未尽事宜，遵照《</w:t>
      </w:r>
      <w:r>
        <w:rPr>
          <w:color w:val="auto"/>
          <w:highlight w:val="none"/>
        </w:rPr>
        <w:fldChar w:fldCharType="begin"/>
      </w:r>
      <w:r>
        <w:rPr>
          <w:color w:val="auto"/>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color w:val="auto"/>
          <w:highlight w:val="none"/>
        </w:rPr>
        <w:fldChar w:fldCharType="separate"/>
      </w:r>
      <w:r>
        <w:rPr>
          <w:rFonts w:eastAsia="新宋体"/>
          <w:bCs/>
          <w:color w:val="auto"/>
          <w:sz w:val="22"/>
          <w:szCs w:val="22"/>
          <w:highlight w:val="none"/>
        </w:rPr>
        <w:t>中华人民共和国民法典</w:t>
      </w:r>
      <w:r>
        <w:rPr>
          <w:rFonts w:eastAsia="新宋体"/>
          <w:bCs/>
          <w:color w:val="auto"/>
          <w:sz w:val="22"/>
          <w:szCs w:val="22"/>
          <w:highlight w:val="none"/>
        </w:rPr>
        <w:fldChar w:fldCharType="end"/>
      </w:r>
      <w:r>
        <w:rPr>
          <w:rFonts w:eastAsia="新宋体"/>
          <w:bCs/>
          <w:color w:val="auto"/>
          <w:sz w:val="22"/>
          <w:szCs w:val="22"/>
          <w:highlight w:val="none"/>
        </w:rPr>
        <w:t>》有关条文执行。</w:t>
      </w:r>
    </w:p>
    <w:p w14:paraId="43218D72">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4.本合同一式四份，具有同等法律效力，采购方执二份、供货方执二份。</w:t>
      </w:r>
    </w:p>
    <w:p w14:paraId="357CC983">
      <w:pPr>
        <w:snapToGrid w:val="0"/>
        <w:spacing w:line="460" w:lineRule="exact"/>
        <w:rPr>
          <w:rFonts w:eastAsia="新宋体"/>
          <w:color w:val="auto"/>
          <w:sz w:val="22"/>
          <w:szCs w:val="22"/>
          <w:highlight w:val="none"/>
        </w:rPr>
      </w:pPr>
      <w:r>
        <w:rPr>
          <w:rFonts w:eastAsia="新宋体"/>
          <w:b/>
          <w:bCs/>
          <w:color w:val="auto"/>
          <w:sz w:val="22"/>
          <w:szCs w:val="22"/>
          <w:highlight w:val="none"/>
        </w:rPr>
        <w:t>十</w:t>
      </w:r>
      <w:r>
        <w:rPr>
          <w:rFonts w:hint="eastAsia" w:eastAsia="新宋体"/>
          <w:b/>
          <w:bCs/>
          <w:color w:val="auto"/>
          <w:sz w:val="22"/>
          <w:szCs w:val="22"/>
          <w:highlight w:val="none"/>
        </w:rPr>
        <w:t>四</w:t>
      </w:r>
      <w:r>
        <w:rPr>
          <w:rFonts w:eastAsia="新宋体"/>
          <w:b/>
          <w:bCs/>
          <w:color w:val="auto"/>
          <w:sz w:val="22"/>
          <w:szCs w:val="22"/>
          <w:highlight w:val="none"/>
        </w:rPr>
        <w:t>、合同的组成</w:t>
      </w:r>
    </w:p>
    <w:p w14:paraId="412DF07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1.本合同的补充协议（如有）；</w:t>
      </w:r>
    </w:p>
    <w:p w14:paraId="26ABB281">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2.本合同文本及附件；</w:t>
      </w:r>
    </w:p>
    <w:p w14:paraId="67CB5706">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3.中标通知书；</w:t>
      </w:r>
    </w:p>
    <w:p w14:paraId="38A0666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4.投标文件；</w:t>
      </w:r>
    </w:p>
    <w:p w14:paraId="0B194B3C">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5.采购文件。</w:t>
      </w:r>
    </w:p>
    <w:p w14:paraId="1F1C329E">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上述文件资料内容如有不一致的，以上列排列顺序做出解释。</w:t>
      </w:r>
    </w:p>
    <w:p w14:paraId="7F49A40B">
      <w:pPr>
        <w:pStyle w:val="23"/>
        <w:rPr>
          <w:rFonts w:eastAsia="新宋体"/>
          <w:bCs/>
          <w:color w:val="auto"/>
          <w:sz w:val="22"/>
          <w:szCs w:val="22"/>
          <w:highlight w:val="none"/>
        </w:rPr>
      </w:pPr>
    </w:p>
    <w:p w14:paraId="23379F37">
      <w:pPr>
        <w:pStyle w:val="24"/>
        <w:ind w:firstLine="321"/>
        <w:rPr>
          <w:color w:val="auto"/>
          <w:highlight w:val="none"/>
        </w:rPr>
      </w:pPr>
    </w:p>
    <w:p w14:paraId="15497DED">
      <w:pPr>
        <w:pStyle w:val="24"/>
        <w:ind w:firstLine="321"/>
        <w:rPr>
          <w:color w:val="auto"/>
          <w:highlight w:val="none"/>
        </w:rPr>
      </w:pPr>
    </w:p>
    <w:p w14:paraId="2B30E8ED">
      <w:pPr>
        <w:snapToGrid w:val="0"/>
        <w:spacing w:line="460" w:lineRule="exact"/>
        <w:ind w:firstLine="440" w:firstLineChars="200"/>
        <w:rPr>
          <w:rFonts w:eastAsia="新宋体"/>
          <w:bCs/>
          <w:color w:val="auto"/>
          <w:sz w:val="22"/>
          <w:szCs w:val="22"/>
          <w:highlight w:val="none"/>
        </w:rPr>
      </w:pPr>
    </w:p>
    <w:p w14:paraId="40ACE893">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甲方：（印章）                       乙方：（印章）</w:t>
      </w:r>
    </w:p>
    <w:p w14:paraId="2D1A63B1">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授权代表:（签字）                    授权代表:（签字）</w:t>
      </w:r>
    </w:p>
    <w:p w14:paraId="76453781">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地址：                               地址：</w:t>
      </w:r>
    </w:p>
    <w:p w14:paraId="0F16F58A">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邮政编码：                           邮政编码：</w:t>
      </w:r>
    </w:p>
    <w:p w14:paraId="70CEC7DF">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电话：                               电话：</w:t>
      </w:r>
    </w:p>
    <w:p w14:paraId="7799A3AB">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传真：                               传真：</w:t>
      </w:r>
    </w:p>
    <w:p w14:paraId="7B0461B6">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开户银行：                           开户银行：</w:t>
      </w:r>
    </w:p>
    <w:p w14:paraId="3E36DFCD">
      <w:pPr>
        <w:snapToGrid w:val="0"/>
        <w:spacing w:line="460" w:lineRule="exact"/>
        <w:ind w:firstLine="1210" w:firstLineChars="550"/>
        <w:jc w:val="left"/>
        <w:rPr>
          <w:rFonts w:eastAsia="新宋体"/>
          <w:color w:val="auto"/>
          <w:sz w:val="22"/>
          <w:szCs w:val="22"/>
          <w:highlight w:val="none"/>
        </w:rPr>
      </w:pPr>
      <w:r>
        <w:rPr>
          <w:rFonts w:eastAsia="新宋体"/>
          <w:color w:val="auto"/>
          <w:sz w:val="22"/>
          <w:szCs w:val="22"/>
          <w:highlight w:val="none"/>
        </w:rPr>
        <w:t>帐号：                               帐号：</w:t>
      </w:r>
    </w:p>
    <w:p w14:paraId="2810CA39">
      <w:pPr>
        <w:pStyle w:val="23"/>
        <w:rPr>
          <w:color w:val="auto"/>
          <w:highlight w:val="none"/>
        </w:rPr>
      </w:pPr>
    </w:p>
    <w:p w14:paraId="4A15174F">
      <w:pPr>
        <w:snapToGrid w:val="0"/>
        <w:spacing w:line="460" w:lineRule="exact"/>
        <w:rPr>
          <w:rFonts w:eastAsia="新宋体"/>
          <w:color w:val="auto"/>
          <w:sz w:val="22"/>
          <w:szCs w:val="22"/>
          <w:highlight w:val="none"/>
        </w:rPr>
      </w:pPr>
      <w:r>
        <w:rPr>
          <w:rFonts w:eastAsia="新宋体"/>
          <w:b/>
          <w:bCs/>
          <w:color w:val="auto"/>
          <w:sz w:val="22"/>
          <w:szCs w:val="22"/>
          <w:highlight w:val="none"/>
          <w:u w:val="single"/>
        </w:rPr>
        <w:t>注：本合同作为示范文本，具体以中标供应商与</w:t>
      </w:r>
      <w:r>
        <w:rPr>
          <w:rFonts w:hint="eastAsia" w:eastAsia="新宋体"/>
          <w:b/>
          <w:bCs/>
          <w:color w:val="auto"/>
          <w:sz w:val="22"/>
          <w:szCs w:val="22"/>
          <w:highlight w:val="none"/>
          <w:u w:val="single"/>
        </w:rPr>
        <w:t>苍南县消防救援大队和龙港市消防救援大队</w:t>
      </w:r>
      <w:r>
        <w:rPr>
          <w:rFonts w:eastAsia="新宋体"/>
          <w:b/>
          <w:bCs/>
          <w:color w:val="auto"/>
          <w:sz w:val="22"/>
          <w:szCs w:val="22"/>
          <w:highlight w:val="none"/>
          <w:u w:val="single"/>
        </w:rPr>
        <w:t>签订正式合同为准。</w:t>
      </w:r>
    </w:p>
    <w:p w14:paraId="4FFF98F3">
      <w:pPr>
        <w:pStyle w:val="2"/>
        <w:rPr>
          <w:rFonts w:ascii="宋体" w:hAnsi="宋体" w:eastAsia="宋体" w:cs="宋体"/>
          <w:bCs w:val="0"/>
          <w:color w:val="auto"/>
          <w:sz w:val="36"/>
          <w:szCs w:val="36"/>
          <w:highlight w:val="none"/>
        </w:rPr>
      </w:pPr>
      <w:r>
        <w:rPr>
          <w:rFonts w:hint="eastAsia" w:hAnsi="宋体"/>
          <w:color w:val="auto"/>
          <w:sz w:val="22"/>
          <w:szCs w:val="22"/>
          <w:highlight w:val="none"/>
        </w:rPr>
        <w:br w:type="page"/>
      </w:r>
    </w:p>
    <w:p w14:paraId="4C705ACA">
      <w:pPr>
        <w:rPr>
          <w:color w:val="auto"/>
          <w:highlight w:val="none"/>
        </w:rPr>
      </w:pPr>
    </w:p>
    <w:p w14:paraId="381D679B">
      <w:pPr>
        <w:pStyle w:val="2"/>
        <w:rPr>
          <w:rFonts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第四部分   投标文件格式</w:t>
      </w:r>
      <w:bookmarkEnd w:id="71"/>
      <w:bookmarkEnd w:id="72"/>
      <w:bookmarkEnd w:id="73"/>
      <w:bookmarkEnd w:id="74"/>
    </w:p>
    <w:p w14:paraId="4D7B3C76">
      <w:pPr>
        <w:spacing w:beforeLines="50" w:afterLines="50"/>
        <w:rPr>
          <w:rFonts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14:paraId="0EB92AF5">
      <w:pPr>
        <w:rPr>
          <w:rFonts w:ascii="宋体" w:hAnsi="宋体" w:cs="宋体"/>
          <w:color w:val="auto"/>
          <w:highlight w:val="none"/>
        </w:rPr>
      </w:pPr>
    </w:p>
    <w:p w14:paraId="11E9C3E3">
      <w:pPr>
        <w:rPr>
          <w:rFonts w:ascii="宋体" w:hAnsi="宋体" w:cs="宋体"/>
          <w:color w:val="auto"/>
          <w:highlight w:val="none"/>
        </w:rPr>
      </w:pPr>
    </w:p>
    <w:p w14:paraId="76B70953">
      <w:pPr>
        <w:rPr>
          <w:rFonts w:ascii="宋体" w:hAnsi="宋体" w:cs="宋体"/>
          <w:color w:val="auto"/>
          <w:highlight w:val="none"/>
        </w:rPr>
      </w:pPr>
    </w:p>
    <w:p w14:paraId="396CF2BD">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14:paraId="5AB42B9C">
      <w:pPr>
        <w:rPr>
          <w:rFonts w:ascii="宋体" w:hAnsi="宋体" w:cs="宋体"/>
          <w:color w:val="auto"/>
          <w:sz w:val="28"/>
          <w:szCs w:val="28"/>
          <w:highlight w:val="none"/>
        </w:rPr>
      </w:pPr>
    </w:p>
    <w:p w14:paraId="608F919A">
      <w:pPr>
        <w:rPr>
          <w:rFonts w:ascii="宋体" w:hAnsi="宋体" w:cs="宋体"/>
          <w:color w:val="auto"/>
          <w:sz w:val="28"/>
          <w:szCs w:val="28"/>
          <w:highlight w:val="none"/>
        </w:rPr>
      </w:pPr>
    </w:p>
    <w:p w14:paraId="5CD4D935">
      <w:pPr>
        <w:pStyle w:val="24"/>
        <w:ind w:firstLine="281"/>
        <w:rPr>
          <w:rFonts w:ascii="宋体" w:hAnsi="宋体" w:cs="宋体"/>
          <w:color w:val="auto"/>
          <w:sz w:val="28"/>
          <w:szCs w:val="28"/>
          <w:highlight w:val="none"/>
        </w:rPr>
      </w:pPr>
    </w:p>
    <w:p w14:paraId="118976D6">
      <w:pPr>
        <w:pStyle w:val="24"/>
        <w:ind w:firstLine="281"/>
        <w:rPr>
          <w:rFonts w:ascii="宋体" w:hAnsi="宋体" w:cs="宋体"/>
          <w:color w:val="auto"/>
          <w:sz w:val="28"/>
          <w:szCs w:val="28"/>
          <w:highlight w:val="none"/>
        </w:rPr>
      </w:pPr>
    </w:p>
    <w:p w14:paraId="6D4955A0">
      <w:pPr>
        <w:rPr>
          <w:rFonts w:ascii="宋体" w:hAnsi="宋体" w:cs="宋体"/>
          <w:color w:val="auto"/>
          <w:sz w:val="28"/>
          <w:szCs w:val="28"/>
          <w:highlight w:val="none"/>
        </w:rPr>
      </w:pPr>
    </w:p>
    <w:p w14:paraId="261D2E69">
      <w:pPr>
        <w:rPr>
          <w:rFonts w:ascii="宋体" w:hAnsi="宋体" w:cs="宋体"/>
          <w:color w:val="auto"/>
          <w:sz w:val="28"/>
          <w:szCs w:val="28"/>
          <w:highlight w:val="none"/>
        </w:rPr>
      </w:pPr>
    </w:p>
    <w:p w14:paraId="56EA2DAC">
      <w:pPr>
        <w:jc w:val="center"/>
        <w:rPr>
          <w:rFonts w:ascii="宋体" w:hAnsi="宋体" w:cs="宋体"/>
          <w:color w:val="auto"/>
          <w:sz w:val="52"/>
          <w:szCs w:val="52"/>
          <w:highlight w:val="none"/>
        </w:rPr>
      </w:pPr>
      <w:r>
        <w:rPr>
          <w:rFonts w:hint="eastAsia" w:ascii="宋体" w:hAnsi="宋体" w:cs="宋体"/>
          <w:color w:val="auto"/>
          <w:sz w:val="52"/>
          <w:szCs w:val="52"/>
          <w:highlight w:val="none"/>
        </w:rPr>
        <w:t>资格审查资料</w:t>
      </w:r>
    </w:p>
    <w:p w14:paraId="6245EA94">
      <w:pPr>
        <w:spacing w:line="360" w:lineRule="auto"/>
        <w:rPr>
          <w:rFonts w:ascii="宋体" w:hAnsi="宋体" w:cs="宋体"/>
          <w:color w:val="auto"/>
          <w:szCs w:val="21"/>
          <w:highlight w:val="none"/>
        </w:rPr>
      </w:pPr>
    </w:p>
    <w:p w14:paraId="757D1BA8">
      <w:pPr>
        <w:spacing w:line="360" w:lineRule="auto"/>
        <w:rPr>
          <w:rFonts w:ascii="宋体" w:hAnsi="宋体" w:cs="宋体"/>
          <w:color w:val="auto"/>
          <w:szCs w:val="21"/>
          <w:highlight w:val="none"/>
        </w:rPr>
      </w:pPr>
    </w:p>
    <w:p w14:paraId="5BDEB475">
      <w:pPr>
        <w:spacing w:line="360" w:lineRule="auto"/>
        <w:rPr>
          <w:rFonts w:ascii="宋体" w:hAnsi="宋体" w:cs="宋体"/>
          <w:color w:val="auto"/>
          <w:szCs w:val="21"/>
          <w:highlight w:val="none"/>
        </w:rPr>
      </w:pPr>
    </w:p>
    <w:p w14:paraId="3E36553F">
      <w:pPr>
        <w:spacing w:line="360" w:lineRule="auto"/>
        <w:rPr>
          <w:rFonts w:ascii="宋体" w:hAnsi="宋体" w:cs="宋体"/>
          <w:color w:val="auto"/>
          <w:szCs w:val="21"/>
          <w:highlight w:val="none"/>
        </w:rPr>
      </w:pPr>
    </w:p>
    <w:p w14:paraId="4CB85662">
      <w:pPr>
        <w:spacing w:line="360" w:lineRule="auto"/>
        <w:rPr>
          <w:rFonts w:ascii="宋体" w:hAnsi="宋体" w:cs="宋体"/>
          <w:color w:val="auto"/>
          <w:szCs w:val="21"/>
          <w:highlight w:val="none"/>
        </w:rPr>
      </w:pPr>
    </w:p>
    <w:p w14:paraId="377EE26C">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7EF44FE4">
      <w:pPr>
        <w:rPr>
          <w:rFonts w:ascii="宋体" w:hAnsi="宋体" w:cs="宋体"/>
          <w:color w:val="auto"/>
          <w:sz w:val="28"/>
          <w:szCs w:val="28"/>
          <w:highlight w:val="none"/>
          <w:u w:val="single"/>
        </w:rPr>
      </w:pPr>
    </w:p>
    <w:p w14:paraId="5EE48E98">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1322C288">
      <w:pPr>
        <w:rPr>
          <w:rFonts w:ascii="宋体" w:hAnsi="宋体" w:cs="宋体"/>
          <w:color w:val="auto"/>
          <w:sz w:val="28"/>
          <w:szCs w:val="28"/>
          <w:highlight w:val="none"/>
        </w:rPr>
      </w:pPr>
    </w:p>
    <w:p w14:paraId="49C25F39">
      <w:pPr>
        <w:overflowPunct w:val="0"/>
        <w:spacing w:line="380" w:lineRule="exact"/>
        <w:ind w:firstLine="2738" w:firstLineChars="978"/>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205E831">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4BF6BB6B">
      <w:pPr>
        <w:jc w:val="center"/>
        <w:rPr>
          <w:rFonts w:ascii="宋体" w:hAnsi="宋体" w:cs="宋体"/>
          <w:b/>
          <w:bCs/>
          <w:color w:val="auto"/>
          <w:sz w:val="52"/>
          <w:szCs w:val="52"/>
          <w:highlight w:val="none"/>
        </w:rPr>
      </w:pPr>
      <w:bookmarkStart w:id="92" w:name="_Toc504034734"/>
      <w:bookmarkStart w:id="93" w:name="_Toc465107614"/>
      <w:r>
        <w:rPr>
          <w:rFonts w:hint="eastAsia" w:ascii="宋体" w:hAnsi="宋体" w:cs="宋体"/>
          <w:b/>
          <w:bCs/>
          <w:color w:val="auto"/>
          <w:sz w:val="52"/>
          <w:szCs w:val="52"/>
          <w:highlight w:val="none"/>
        </w:rPr>
        <w:t>目    录</w:t>
      </w:r>
    </w:p>
    <w:p w14:paraId="2AF942AF">
      <w:pPr>
        <w:pStyle w:val="16"/>
        <w:spacing w:line="480" w:lineRule="auto"/>
        <w:rPr>
          <w:color w:val="auto"/>
          <w:highlight w:val="none"/>
        </w:rPr>
      </w:pPr>
    </w:p>
    <w:p w14:paraId="132F9734">
      <w:pPr>
        <w:pStyle w:val="16"/>
        <w:spacing w:line="480" w:lineRule="auto"/>
        <w:rPr>
          <w:color w:val="auto"/>
          <w:highlight w:val="none"/>
        </w:rPr>
      </w:pPr>
    </w:p>
    <w:p w14:paraId="0CAF832C">
      <w:pPr>
        <w:pStyle w:val="2"/>
        <w:spacing w:line="360" w:lineRule="auto"/>
        <w:ind w:left="42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rPr>
        <w:tab/>
      </w:r>
      <w:r>
        <w:rPr>
          <w:rFonts w:hint="eastAsia" w:ascii="宋体" w:hAnsi="宋体" w:eastAsia="宋体" w:cs="宋体"/>
          <w:b w:val="0"/>
          <w:color w:val="auto"/>
          <w:sz w:val="22"/>
          <w:szCs w:val="22"/>
          <w:highlight w:val="none"/>
        </w:rPr>
        <w:t>法定代表人（单位负责人）授权书和被授权人有效身份证明。</w:t>
      </w:r>
    </w:p>
    <w:p w14:paraId="06679879">
      <w:pPr>
        <w:pStyle w:val="2"/>
        <w:spacing w:line="360" w:lineRule="auto"/>
        <w:ind w:left="42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rPr>
        <w:tab/>
      </w:r>
      <w:r>
        <w:rPr>
          <w:rFonts w:hint="eastAsia" w:ascii="宋体" w:hAnsi="宋体" w:eastAsia="宋体" w:cs="宋体"/>
          <w:b w:val="0"/>
          <w:color w:val="auto"/>
          <w:sz w:val="22"/>
          <w:szCs w:val="22"/>
          <w:highlight w:val="none"/>
        </w:rPr>
        <w:t>具备有效的食品经营许可证</w:t>
      </w:r>
    </w:p>
    <w:p w14:paraId="1CE31542">
      <w:pPr>
        <w:pStyle w:val="2"/>
        <w:spacing w:line="360" w:lineRule="auto"/>
        <w:ind w:left="42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w:t>
      </w:r>
      <w:r>
        <w:rPr>
          <w:rFonts w:hint="eastAsia" w:ascii="宋体" w:hAnsi="宋体" w:eastAsia="宋体" w:cs="宋体"/>
          <w:b w:val="0"/>
          <w:color w:val="auto"/>
          <w:sz w:val="22"/>
          <w:szCs w:val="22"/>
          <w:highlight w:val="none"/>
        </w:rPr>
        <w:tab/>
      </w:r>
      <w:r>
        <w:rPr>
          <w:rFonts w:hint="eastAsia" w:ascii="宋体" w:hAnsi="宋体" w:eastAsia="宋体" w:cs="宋体"/>
          <w:b w:val="0"/>
          <w:color w:val="auto"/>
          <w:sz w:val="22"/>
          <w:szCs w:val="22"/>
          <w:highlight w:val="none"/>
        </w:rPr>
        <w:t>营业执照(或事业法人登记证书或其它工商等登记证明材料)。</w:t>
      </w:r>
    </w:p>
    <w:p w14:paraId="445F1002">
      <w:pPr>
        <w:pStyle w:val="2"/>
        <w:spacing w:line="360" w:lineRule="auto"/>
        <w:ind w:left="42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w:t>
      </w:r>
      <w:r>
        <w:rPr>
          <w:rFonts w:hint="eastAsia" w:ascii="宋体" w:hAnsi="宋体" w:eastAsia="宋体" w:cs="宋体"/>
          <w:b w:val="0"/>
          <w:color w:val="auto"/>
          <w:sz w:val="22"/>
          <w:szCs w:val="22"/>
          <w:highlight w:val="none"/>
        </w:rPr>
        <w:tab/>
      </w:r>
      <w:r>
        <w:rPr>
          <w:rFonts w:hint="eastAsia" w:ascii="宋体" w:hAnsi="宋体" w:eastAsia="宋体" w:cs="宋体"/>
          <w:b w:val="0"/>
          <w:color w:val="auto"/>
          <w:sz w:val="22"/>
          <w:szCs w:val="22"/>
          <w:highlight w:val="none"/>
        </w:rPr>
        <w:t>中小企业声明函（或监狱企业声明函、残疾人福利性单位声明函）（采购文件第二部分相关附件）</w:t>
      </w:r>
    </w:p>
    <w:p w14:paraId="1BADD624">
      <w:pPr>
        <w:pStyle w:val="2"/>
        <w:spacing w:line="360" w:lineRule="auto"/>
        <w:ind w:left="42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   资格条件承诺函</w:t>
      </w:r>
    </w:p>
    <w:p w14:paraId="2619A669">
      <w:pPr>
        <w:pStyle w:val="2"/>
        <w:spacing w:line="360" w:lineRule="auto"/>
        <w:ind w:left="42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w:t>
      </w:r>
      <w:r>
        <w:rPr>
          <w:rFonts w:hint="eastAsia" w:ascii="宋体" w:hAnsi="宋体" w:eastAsia="宋体" w:cs="宋体"/>
          <w:b w:val="0"/>
          <w:color w:val="auto"/>
          <w:sz w:val="22"/>
          <w:szCs w:val="22"/>
          <w:highlight w:val="none"/>
        </w:rPr>
        <w:tab/>
      </w:r>
      <w:r>
        <w:rPr>
          <w:rFonts w:hint="eastAsia" w:ascii="宋体" w:hAnsi="宋体" w:eastAsia="宋体" w:cs="宋体"/>
          <w:b w:val="0"/>
          <w:color w:val="auto"/>
          <w:sz w:val="22"/>
          <w:szCs w:val="22"/>
          <w:highlight w:val="none"/>
        </w:rPr>
        <w:t>申请材料真实性声明</w:t>
      </w:r>
    </w:p>
    <w:p w14:paraId="2D6C936B">
      <w:pPr>
        <w:pStyle w:val="2"/>
        <w:spacing w:line="360" w:lineRule="auto"/>
        <w:ind w:left="420"/>
        <w:jc w:val="left"/>
        <w:rPr>
          <w:rFonts w:ascii="宋体" w:hAnsi="宋体" w:eastAsia="宋体" w:cs="宋体"/>
          <w:b w:val="0"/>
          <w:color w:val="auto"/>
          <w:sz w:val="22"/>
          <w:szCs w:val="22"/>
          <w:highlight w:val="none"/>
        </w:rPr>
      </w:pPr>
    </w:p>
    <w:p w14:paraId="61D0E528">
      <w:pPr>
        <w:pStyle w:val="2"/>
        <w:spacing w:line="360" w:lineRule="auto"/>
        <w:ind w:left="420"/>
        <w:jc w:val="left"/>
        <w:rPr>
          <w:rFonts w:ascii="宋体" w:hAnsi="宋体" w:eastAsia="宋体" w:cs="宋体"/>
          <w:b w:val="0"/>
          <w:color w:val="auto"/>
          <w:sz w:val="22"/>
          <w:szCs w:val="22"/>
          <w:highlight w:val="none"/>
        </w:rPr>
      </w:pPr>
    </w:p>
    <w:p w14:paraId="2991A923">
      <w:pPr>
        <w:pStyle w:val="2"/>
        <w:spacing w:line="360" w:lineRule="auto"/>
        <w:ind w:left="420"/>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5FBD5EE1">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14:paraId="6E9F8C11">
      <w:pPr>
        <w:spacing w:line="420" w:lineRule="exact"/>
        <w:rPr>
          <w:rFonts w:ascii="宋体" w:hAnsi="宋体" w:cs="宋体"/>
          <w:b/>
          <w:color w:val="auto"/>
          <w:sz w:val="22"/>
          <w:szCs w:val="22"/>
          <w:highlight w:val="none"/>
        </w:rPr>
      </w:pPr>
    </w:p>
    <w:p w14:paraId="4ACA5221">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苍南县消防救援大队:</w:t>
      </w:r>
    </w:p>
    <w:p w14:paraId="607DC367">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D35FA04">
      <w:pPr>
        <w:spacing w:line="460" w:lineRule="exact"/>
        <w:rPr>
          <w:rFonts w:ascii="宋体" w:hAnsi="宋体" w:cs="宋体"/>
          <w:color w:val="auto"/>
          <w:sz w:val="22"/>
          <w:szCs w:val="22"/>
          <w:highlight w:val="none"/>
          <w:u w:val="single"/>
        </w:rPr>
      </w:pPr>
    </w:p>
    <w:p w14:paraId="7D60CCD0">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（全权代表姓名）为全权代表，参加贵方组织的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14:paraId="77F95F26">
      <w:pPr>
        <w:spacing w:line="460" w:lineRule="exact"/>
        <w:ind w:firstLine="2955"/>
        <w:rPr>
          <w:rFonts w:ascii="宋体" w:hAnsi="宋体" w:cs="宋体"/>
          <w:color w:val="auto"/>
          <w:sz w:val="22"/>
          <w:szCs w:val="22"/>
          <w:highlight w:val="none"/>
        </w:rPr>
      </w:pPr>
    </w:p>
    <w:p w14:paraId="6100F9A7">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31A0A0C">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0F1B8115">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07AEDA89">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E70CEAB">
      <w:pPr>
        <w:spacing w:line="460" w:lineRule="exact"/>
        <w:rPr>
          <w:rFonts w:ascii="宋体" w:hAnsi="宋体" w:cs="宋体"/>
          <w:color w:val="auto"/>
          <w:sz w:val="22"/>
          <w:szCs w:val="22"/>
          <w:highlight w:val="none"/>
        </w:rPr>
      </w:pPr>
    </w:p>
    <w:p w14:paraId="7099F05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25778AC8">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68AFF8FF">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27A1080D">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详细通讯地址：</w:t>
      </w:r>
    </w:p>
    <w:p w14:paraId="20DE557E">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电话：</w:t>
      </w:r>
    </w:p>
    <w:p w14:paraId="248FC694">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传真：</w:t>
      </w:r>
    </w:p>
    <w:p w14:paraId="33221259">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E5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4D97E787">
            <w:pPr>
              <w:spacing w:line="3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投标人代表身份证扫描件</w:t>
            </w:r>
          </w:p>
          <w:p w14:paraId="47639373">
            <w:pPr>
              <w:spacing w:line="380" w:lineRule="exact"/>
              <w:jc w:val="center"/>
              <w:rPr>
                <w:rFonts w:ascii="宋体" w:hAnsi="宋体" w:cs="宋体"/>
                <w:b/>
                <w:bCs/>
                <w:color w:val="auto"/>
                <w:sz w:val="28"/>
                <w:highlight w:val="none"/>
              </w:rPr>
            </w:pPr>
          </w:p>
        </w:tc>
      </w:tr>
    </w:tbl>
    <w:p w14:paraId="3DBD0F6F">
      <w:pPr>
        <w:pStyle w:val="2"/>
        <w:rPr>
          <w:rFonts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94" w:name="_Toc23773"/>
      <w:r>
        <w:rPr>
          <w:rFonts w:hint="eastAsia" w:ascii="新宋体" w:hAnsi="新宋体" w:eastAsia="新宋体" w:cs="新宋体"/>
          <w:color w:val="auto"/>
          <w:kern w:val="0"/>
          <w:sz w:val="28"/>
          <w:szCs w:val="28"/>
          <w:highlight w:val="none"/>
        </w:rPr>
        <w:t>资格条件承诺函</w:t>
      </w:r>
      <w:bookmarkEnd w:id="94"/>
    </w:p>
    <w:p w14:paraId="74FADA19">
      <w:pPr>
        <w:spacing w:line="440" w:lineRule="exact"/>
        <w:ind w:right="-153" w:rightChars="-73"/>
        <w:rPr>
          <w:rFonts w:ascii="宋体" w:hAnsi="宋体" w:cs="宋体"/>
          <w:color w:val="auto"/>
          <w:sz w:val="22"/>
          <w:szCs w:val="22"/>
          <w:highlight w:val="none"/>
        </w:rPr>
      </w:pPr>
    </w:p>
    <w:p w14:paraId="236CA543">
      <w:pPr>
        <w:spacing w:line="420" w:lineRule="exact"/>
        <w:rPr>
          <w:rFonts w:ascii="宋体" w:hAnsi="宋体"/>
          <w:color w:val="auto"/>
          <w:sz w:val="22"/>
          <w:szCs w:val="22"/>
          <w:highlight w:val="none"/>
        </w:rPr>
      </w:pPr>
      <w:r>
        <w:rPr>
          <w:rFonts w:hint="eastAsia" w:ascii="宋体" w:hAnsi="宋体"/>
          <w:color w:val="auto"/>
          <w:sz w:val="22"/>
          <w:szCs w:val="22"/>
          <w:highlight w:val="none"/>
        </w:rPr>
        <w:t>苍南县消防救援大队：</w:t>
      </w:r>
    </w:p>
    <w:p w14:paraId="70EEB994">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257D1175">
      <w:pPr>
        <w:shd w:val="clear" w:color="auto" w:fill="FFFFFF"/>
        <w:snapToGrid w:val="0"/>
        <w:spacing w:line="440" w:lineRule="exact"/>
        <w:rPr>
          <w:rFonts w:ascii="宋体" w:hAnsi="宋体" w:cs="宋体"/>
          <w:color w:val="auto"/>
          <w:sz w:val="22"/>
          <w:szCs w:val="22"/>
          <w:highlight w:val="none"/>
        </w:rPr>
      </w:pPr>
    </w:p>
    <w:p w14:paraId="5E56DBDC">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（采购项目名称、编号）项目投标，现郑重承诺：</w:t>
      </w:r>
    </w:p>
    <w:p w14:paraId="71EC13C9">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61904764">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2A56275C">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1E6DDD2F">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1FF52AE0">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1E079EE0">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20EF532">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宋体" w:hAnsi="宋体" w:cs="宋体"/>
          <w:color w:val="auto"/>
          <w:kern w:val="0"/>
          <w:sz w:val="22"/>
          <w:szCs w:val="22"/>
          <w:highlight w:val="none"/>
        </w:rPr>
        <w:t>www.creditchina.gov.cn）、</w:t>
      </w:r>
      <w:r>
        <w:rPr>
          <w:rStyle w:val="70"/>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9109453">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14:paraId="370C572F">
      <w:pPr>
        <w:widowControl/>
        <w:snapToGrid w:val="0"/>
        <w:spacing w:line="440" w:lineRule="exact"/>
        <w:ind w:firstLine="440" w:firstLineChars="200"/>
        <w:jc w:val="left"/>
        <w:rPr>
          <w:rFonts w:ascii="宋体" w:hAnsi="宋体" w:cs="宋体"/>
          <w:color w:val="auto"/>
          <w:kern w:val="0"/>
          <w:sz w:val="22"/>
          <w:szCs w:val="22"/>
          <w:highlight w:val="none"/>
        </w:rPr>
      </w:pPr>
    </w:p>
    <w:p w14:paraId="0C2E3DFF">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222F7508">
      <w:pPr>
        <w:pStyle w:val="31"/>
        <w:spacing w:line="600" w:lineRule="exact"/>
        <w:ind w:firstLine="4840" w:firstLineChars="2200"/>
        <w:rPr>
          <w:rFonts w:hAnsi="宋体" w:cs="宋体"/>
          <w:color w:val="auto"/>
          <w:sz w:val="22"/>
          <w:szCs w:val="22"/>
          <w:highlight w:val="none"/>
        </w:rPr>
      </w:pPr>
    </w:p>
    <w:p w14:paraId="406234FA">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1C71EB5">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14:paraId="459617E2">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0B4C3929">
      <w:pPr>
        <w:spacing w:line="380" w:lineRule="exact"/>
        <w:ind w:left="-358" w:leftChars="-171" w:hanging="1"/>
        <w:jc w:val="center"/>
        <w:rPr>
          <w:rFonts w:ascii="宋体" w:hAnsi="宋体" w:cs="宋体"/>
          <w:bCs/>
          <w:color w:val="auto"/>
          <w:sz w:val="22"/>
          <w:szCs w:val="22"/>
          <w:highlight w:val="none"/>
        </w:rPr>
      </w:pPr>
    </w:p>
    <w:p w14:paraId="64995245">
      <w:pPr>
        <w:spacing w:line="380" w:lineRule="exact"/>
        <w:ind w:left="-359" w:leftChars="-171"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5AB5732A">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32F98CF4">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14BC5ADF">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苍南县消防救援大队：</w:t>
      </w:r>
    </w:p>
    <w:p w14:paraId="0A0CEB59">
      <w:pPr>
        <w:spacing w:line="46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14DC1EB1">
      <w:pPr>
        <w:widowControl/>
        <w:adjustRightInd w:val="0"/>
        <w:snapToGrid w:val="0"/>
        <w:spacing w:line="360" w:lineRule="auto"/>
        <w:jc w:val="left"/>
        <w:rPr>
          <w:rFonts w:ascii="新宋体" w:hAnsi="新宋体" w:eastAsia="新宋体" w:cs="新宋体"/>
          <w:color w:val="auto"/>
          <w:kern w:val="0"/>
          <w:sz w:val="22"/>
          <w:szCs w:val="22"/>
          <w:highlight w:val="none"/>
        </w:rPr>
      </w:pPr>
    </w:p>
    <w:p w14:paraId="5C3B0524">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（采购项目名称、编号）招投标活动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3CBFB784">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14:paraId="2405008D">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267F7C27">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338A5C06">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14:paraId="253A6974">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71309867">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485D74A0">
      <w:pPr>
        <w:spacing w:line="360" w:lineRule="auto"/>
        <w:rPr>
          <w:rFonts w:ascii="宋体" w:hAnsi="宋体" w:cs="宋体"/>
          <w:color w:val="auto"/>
          <w:sz w:val="22"/>
          <w:highlight w:val="none"/>
        </w:rPr>
      </w:pPr>
    </w:p>
    <w:p w14:paraId="712CED97">
      <w:pPr>
        <w:spacing w:line="360" w:lineRule="auto"/>
        <w:rPr>
          <w:rFonts w:ascii="宋体" w:hAnsi="宋体" w:cs="宋体"/>
          <w:color w:val="auto"/>
          <w:sz w:val="22"/>
          <w:highlight w:val="none"/>
        </w:rPr>
      </w:pPr>
    </w:p>
    <w:p w14:paraId="2EEE0660">
      <w:pPr>
        <w:spacing w:line="380" w:lineRule="exact"/>
        <w:ind w:left="-359" w:leftChars="-171"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▲不提交本声明书按无效标处理。</w:t>
      </w:r>
    </w:p>
    <w:p w14:paraId="15DCB310">
      <w:pPr>
        <w:spacing w:line="440" w:lineRule="exact"/>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p>
    <w:p w14:paraId="4DC12E2B">
      <w:pPr>
        <w:pStyle w:val="24"/>
        <w:ind w:firstLine="221"/>
        <w:rPr>
          <w:rFonts w:ascii="宋体" w:hAnsi="宋体"/>
          <w:color w:val="auto"/>
          <w:sz w:val="22"/>
          <w:szCs w:val="22"/>
          <w:highlight w:val="none"/>
          <w:u w:val="single"/>
        </w:rPr>
      </w:pPr>
    </w:p>
    <w:p w14:paraId="0A7CE033">
      <w:pPr>
        <w:pStyle w:val="24"/>
        <w:ind w:firstLine="321"/>
        <w:rPr>
          <w:rFonts w:ascii="宋体" w:hAnsi="宋体" w:cs="宋体"/>
          <w:color w:val="auto"/>
          <w:highlight w:val="none"/>
        </w:rPr>
      </w:pPr>
    </w:p>
    <w:p w14:paraId="4C3B651B">
      <w:pPr>
        <w:pStyle w:val="2"/>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14:paraId="505078F4">
      <w:pPr>
        <w:spacing w:beforeLines="50" w:afterLines="50"/>
        <w:rPr>
          <w:rFonts w:ascii="宋体" w:hAnsi="宋体" w:cs="宋体"/>
          <w:color w:val="auto"/>
          <w:sz w:val="22"/>
          <w:szCs w:val="22"/>
          <w:highlight w:val="none"/>
        </w:rPr>
      </w:pPr>
      <w:r>
        <w:rPr>
          <w:rFonts w:hint="eastAsia" w:ascii="宋体" w:hAnsi="宋体" w:cs="宋体"/>
          <w:color w:val="auto"/>
          <w:sz w:val="22"/>
          <w:szCs w:val="22"/>
          <w:highlight w:val="none"/>
        </w:rPr>
        <w:t>（商务技术文件封面，供参考）</w:t>
      </w:r>
      <w:bookmarkEnd w:id="92"/>
      <w:bookmarkEnd w:id="93"/>
    </w:p>
    <w:p w14:paraId="6991123A">
      <w:pPr>
        <w:rPr>
          <w:rFonts w:ascii="宋体" w:hAnsi="宋体" w:cs="宋体"/>
          <w:color w:val="auto"/>
          <w:highlight w:val="none"/>
        </w:rPr>
      </w:pPr>
    </w:p>
    <w:p w14:paraId="45FE691F">
      <w:pPr>
        <w:rPr>
          <w:rFonts w:ascii="宋体" w:hAnsi="宋体" w:cs="宋体"/>
          <w:color w:val="auto"/>
          <w:highlight w:val="none"/>
        </w:rPr>
      </w:pPr>
    </w:p>
    <w:p w14:paraId="764BF803">
      <w:pPr>
        <w:rPr>
          <w:rFonts w:ascii="宋体" w:hAnsi="宋体" w:cs="宋体"/>
          <w:color w:val="auto"/>
          <w:highlight w:val="none"/>
        </w:rPr>
      </w:pPr>
    </w:p>
    <w:p w14:paraId="353718D8">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14:paraId="1D064E1D">
      <w:pPr>
        <w:rPr>
          <w:rFonts w:ascii="宋体" w:hAnsi="宋体" w:cs="宋体"/>
          <w:color w:val="auto"/>
          <w:sz w:val="28"/>
          <w:szCs w:val="28"/>
          <w:highlight w:val="none"/>
        </w:rPr>
      </w:pPr>
    </w:p>
    <w:p w14:paraId="4C54BA9F">
      <w:pPr>
        <w:rPr>
          <w:rFonts w:ascii="宋体" w:hAnsi="宋体" w:cs="宋体"/>
          <w:color w:val="auto"/>
          <w:sz w:val="28"/>
          <w:szCs w:val="28"/>
          <w:highlight w:val="none"/>
        </w:rPr>
      </w:pPr>
    </w:p>
    <w:p w14:paraId="4F29B064">
      <w:pPr>
        <w:pStyle w:val="24"/>
        <w:ind w:firstLine="281"/>
        <w:rPr>
          <w:rFonts w:ascii="宋体" w:hAnsi="宋体" w:cs="宋体"/>
          <w:color w:val="auto"/>
          <w:sz w:val="28"/>
          <w:szCs w:val="28"/>
          <w:highlight w:val="none"/>
        </w:rPr>
      </w:pPr>
    </w:p>
    <w:p w14:paraId="515B42C5">
      <w:pPr>
        <w:pStyle w:val="24"/>
        <w:ind w:firstLine="281"/>
        <w:rPr>
          <w:rFonts w:ascii="宋体" w:hAnsi="宋体" w:cs="宋体"/>
          <w:color w:val="auto"/>
          <w:sz w:val="28"/>
          <w:szCs w:val="28"/>
          <w:highlight w:val="none"/>
        </w:rPr>
      </w:pPr>
    </w:p>
    <w:p w14:paraId="22548D31">
      <w:pPr>
        <w:rPr>
          <w:rFonts w:ascii="宋体" w:hAnsi="宋体" w:cs="宋体"/>
          <w:color w:val="auto"/>
          <w:sz w:val="28"/>
          <w:szCs w:val="28"/>
          <w:highlight w:val="none"/>
        </w:rPr>
      </w:pPr>
    </w:p>
    <w:p w14:paraId="1ED396BC">
      <w:pPr>
        <w:rPr>
          <w:rFonts w:ascii="宋体" w:hAnsi="宋体" w:cs="宋体"/>
          <w:color w:val="auto"/>
          <w:sz w:val="28"/>
          <w:szCs w:val="28"/>
          <w:highlight w:val="none"/>
        </w:rPr>
      </w:pPr>
    </w:p>
    <w:p w14:paraId="2AFE5092">
      <w:pPr>
        <w:jc w:val="center"/>
        <w:rPr>
          <w:rFonts w:ascii="宋体" w:hAnsi="宋体" w:cs="宋体"/>
          <w:color w:val="auto"/>
          <w:sz w:val="52"/>
          <w:szCs w:val="52"/>
          <w:highlight w:val="none"/>
        </w:rPr>
      </w:pPr>
      <w:r>
        <w:rPr>
          <w:rFonts w:hint="eastAsia" w:ascii="宋体" w:hAnsi="宋体" w:cs="宋体"/>
          <w:color w:val="auto"/>
          <w:sz w:val="52"/>
          <w:szCs w:val="52"/>
          <w:highlight w:val="none"/>
        </w:rPr>
        <w:t>商 务 技 术 文 件</w:t>
      </w:r>
    </w:p>
    <w:p w14:paraId="53E11DDE">
      <w:pPr>
        <w:spacing w:line="360" w:lineRule="auto"/>
        <w:rPr>
          <w:rFonts w:ascii="宋体" w:hAnsi="宋体" w:cs="宋体"/>
          <w:color w:val="auto"/>
          <w:szCs w:val="21"/>
          <w:highlight w:val="none"/>
        </w:rPr>
      </w:pPr>
    </w:p>
    <w:p w14:paraId="0BA2CDD2">
      <w:pPr>
        <w:spacing w:line="360" w:lineRule="auto"/>
        <w:rPr>
          <w:rFonts w:ascii="宋体" w:hAnsi="宋体" w:cs="宋体"/>
          <w:color w:val="auto"/>
          <w:szCs w:val="21"/>
          <w:highlight w:val="none"/>
        </w:rPr>
      </w:pPr>
    </w:p>
    <w:p w14:paraId="3DDE936E">
      <w:pPr>
        <w:spacing w:line="360" w:lineRule="auto"/>
        <w:rPr>
          <w:rFonts w:ascii="宋体" w:hAnsi="宋体" w:cs="宋体"/>
          <w:color w:val="auto"/>
          <w:szCs w:val="21"/>
          <w:highlight w:val="none"/>
        </w:rPr>
      </w:pPr>
    </w:p>
    <w:p w14:paraId="7EC572BD">
      <w:pPr>
        <w:spacing w:line="360" w:lineRule="auto"/>
        <w:rPr>
          <w:rFonts w:ascii="宋体" w:hAnsi="宋体" w:cs="宋体"/>
          <w:color w:val="auto"/>
          <w:szCs w:val="21"/>
          <w:highlight w:val="none"/>
        </w:rPr>
      </w:pPr>
    </w:p>
    <w:p w14:paraId="06D26298">
      <w:pPr>
        <w:pStyle w:val="24"/>
        <w:ind w:firstLine="321"/>
        <w:rPr>
          <w:rFonts w:ascii="宋体" w:hAnsi="宋体" w:cs="宋体"/>
          <w:color w:val="auto"/>
          <w:highlight w:val="none"/>
        </w:rPr>
      </w:pPr>
    </w:p>
    <w:p w14:paraId="1CA0E470">
      <w:pPr>
        <w:spacing w:line="360" w:lineRule="auto"/>
        <w:rPr>
          <w:rFonts w:ascii="宋体" w:hAnsi="宋体" w:cs="宋体"/>
          <w:color w:val="auto"/>
          <w:szCs w:val="21"/>
          <w:highlight w:val="none"/>
        </w:rPr>
      </w:pPr>
    </w:p>
    <w:p w14:paraId="401520EE">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F5C0B32">
      <w:pPr>
        <w:rPr>
          <w:rFonts w:ascii="宋体" w:hAnsi="宋体" w:cs="宋体"/>
          <w:color w:val="auto"/>
          <w:sz w:val="28"/>
          <w:szCs w:val="28"/>
          <w:highlight w:val="none"/>
          <w:u w:val="single"/>
        </w:rPr>
      </w:pPr>
    </w:p>
    <w:p w14:paraId="7F582969">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0068DC9B">
      <w:pPr>
        <w:rPr>
          <w:rFonts w:ascii="宋体" w:hAnsi="宋体" w:cs="宋体"/>
          <w:color w:val="auto"/>
          <w:sz w:val="28"/>
          <w:szCs w:val="28"/>
          <w:highlight w:val="none"/>
        </w:rPr>
      </w:pPr>
    </w:p>
    <w:p w14:paraId="3B702733">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1316897">
      <w:pPr>
        <w:pStyle w:val="24"/>
        <w:ind w:firstLine="0" w:firstLineChars="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目录</w:t>
      </w:r>
    </w:p>
    <w:p w14:paraId="00FB1AD3">
      <w:pPr>
        <w:pStyle w:val="24"/>
        <w:ind w:firstLine="0" w:firstLineChars="0"/>
        <w:jc w:val="center"/>
        <w:rPr>
          <w:rFonts w:ascii="宋体" w:hAnsi="宋体" w:cs="宋体"/>
          <w:color w:val="auto"/>
          <w:sz w:val="22"/>
          <w:szCs w:val="22"/>
          <w:highlight w:val="none"/>
        </w:rPr>
      </w:pP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1DA6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14:paraId="51FA9E81">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14:paraId="6552EC65">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1B5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EA90FC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109" w:type="dxa"/>
            <w:vAlign w:val="center"/>
          </w:tcPr>
          <w:p w14:paraId="0C30B07E">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1506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BF112C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vAlign w:val="center"/>
          </w:tcPr>
          <w:p w14:paraId="7C72B905">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技术条款偏离表、商务条款偏离表</w:t>
            </w:r>
          </w:p>
        </w:tc>
      </w:tr>
      <w:tr w14:paraId="5676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2129DD4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vAlign w:val="center"/>
          </w:tcPr>
          <w:p w14:paraId="6C2D5E32">
            <w:pPr>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资信证明文件（以评分表为依据，本项为量化评分内容，非强制性要求）</w:t>
            </w:r>
          </w:p>
        </w:tc>
      </w:tr>
      <w:tr w14:paraId="4B17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2F0117D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vAlign w:val="center"/>
          </w:tcPr>
          <w:p w14:paraId="25F2A88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供应商场地情况</w:t>
            </w:r>
          </w:p>
        </w:tc>
      </w:tr>
      <w:tr w14:paraId="0F95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76F3DFA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vAlign w:val="center"/>
          </w:tcPr>
          <w:p w14:paraId="41C6429A">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供应商体系认证</w:t>
            </w:r>
          </w:p>
        </w:tc>
      </w:tr>
      <w:tr w14:paraId="07F5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3318536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9109" w:type="dxa"/>
            <w:vAlign w:val="center"/>
          </w:tcPr>
          <w:p w14:paraId="00B6F988">
            <w:pPr>
              <w:rPr>
                <w:rFonts w:ascii="新宋体" w:hAnsi="新宋体" w:eastAsia="新宋体" w:cs="新宋体"/>
                <w:color w:val="auto"/>
                <w:sz w:val="22"/>
                <w:szCs w:val="22"/>
                <w:highlight w:val="none"/>
              </w:rPr>
            </w:pPr>
            <w:r>
              <w:rPr>
                <w:rFonts w:hint="eastAsia" w:ascii="新宋体" w:hAnsi="新宋体" w:eastAsia="新宋体" w:cs="宋体"/>
                <w:color w:val="auto"/>
                <w:kern w:val="0"/>
                <w:sz w:val="22"/>
                <w:szCs w:val="22"/>
                <w:highlight w:val="none"/>
              </w:rPr>
              <w:t>同类项目业绩</w:t>
            </w:r>
          </w:p>
        </w:tc>
      </w:tr>
      <w:tr w14:paraId="04A0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449380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9109" w:type="dxa"/>
            <w:vAlign w:val="center"/>
          </w:tcPr>
          <w:p w14:paraId="4CF7D406">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供货服务方案及保障措施</w:t>
            </w:r>
          </w:p>
        </w:tc>
      </w:tr>
      <w:tr w14:paraId="4562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3C98771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9109" w:type="dxa"/>
            <w:vAlign w:val="center"/>
          </w:tcPr>
          <w:p w14:paraId="4DC7EE9E">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食品安全责任保险</w:t>
            </w:r>
          </w:p>
        </w:tc>
      </w:tr>
      <w:tr w14:paraId="1003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409A719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9109" w:type="dxa"/>
            <w:vAlign w:val="center"/>
          </w:tcPr>
          <w:p w14:paraId="587B339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配送能力</w:t>
            </w:r>
          </w:p>
        </w:tc>
      </w:tr>
      <w:tr w14:paraId="5EB7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19793DE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109" w:type="dxa"/>
            <w:vAlign w:val="center"/>
          </w:tcPr>
          <w:p w14:paraId="02D96D0D">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食品检测设备</w:t>
            </w:r>
          </w:p>
        </w:tc>
      </w:tr>
      <w:tr w14:paraId="2DB5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CC6234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9109" w:type="dxa"/>
            <w:vAlign w:val="center"/>
          </w:tcPr>
          <w:p w14:paraId="6A3CE8B2">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项目组成员</w:t>
            </w:r>
          </w:p>
        </w:tc>
      </w:tr>
      <w:tr w14:paraId="29E7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439634C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9109" w:type="dxa"/>
            <w:vAlign w:val="center"/>
          </w:tcPr>
          <w:p w14:paraId="3A4E7FEC">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管理制度</w:t>
            </w:r>
          </w:p>
        </w:tc>
      </w:tr>
      <w:tr w14:paraId="764B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5805E15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9109" w:type="dxa"/>
            <w:vAlign w:val="center"/>
          </w:tcPr>
          <w:p w14:paraId="07972D6F">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突发事件应急预案</w:t>
            </w:r>
          </w:p>
        </w:tc>
      </w:tr>
      <w:tr w14:paraId="52B3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14:paraId="66DD79C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9109" w:type="dxa"/>
            <w:vAlign w:val="center"/>
          </w:tcPr>
          <w:p w14:paraId="02C0A120">
            <w:pPr>
              <w:rPr>
                <w:rFonts w:ascii="新宋体" w:hAnsi="新宋体" w:eastAsia="新宋体" w:cs="宋体"/>
                <w:color w:val="auto"/>
                <w:kern w:val="0"/>
                <w:sz w:val="22"/>
                <w:szCs w:val="22"/>
                <w:highlight w:val="none"/>
              </w:rPr>
            </w:pPr>
            <w:r>
              <w:rPr>
                <w:rFonts w:hint="eastAsia" w:ascii="宋体" w:hAnsi="宋体"/>
                <w:color w:val="auto"/>
                <w:sz w:val="22"/>
                <w:szCs w:val="22"/>
                <w:highlight w:val="none"/>
              </w:rPr>
              <w:t>投标人参照本项目技术资信评分细则认为需要提交的其他资信技术证明文件</w:t>
            </w:r>
          </w:p>
        </w:tc>
      </w:tr>
    </w:tbl>
    <w:p w14:paraId="58EFF4B6">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14:paraId="2B38E25C">
      <w:pPr>
        <w:spacing w:line="460" w:lineRule="exact"/>
        <w:ind w:left="22" w:hanging="22" w:hangingChars="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19E5E2A6">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苍南县消防救援大队：</w:t>
      </w:r>
    </w:p>
    <w:p w14:paraId="270A3B5B">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2B17281">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00B2D7E3">
      <w:pPr>
        <w:autoSpaceDE w:val="0"/>
        <w:autoSpaceDN w:val="0"/>
        <w:adjustRightInd w:val="0"/>
        <w:spacing w:line="420" w:lineRule="atLeast"/>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14:paraId="193D4179">
      <w:pPr>
        <w:numPr>
          <w:ilvl w:val="0"/>
          <w:numId w:val="23"/>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按“投标人须知”要求编制的投标文件资格审查资料 ；</w:t>
      </w:r>
    </w:p>
    <w:p w14:paraId="1C8D0541">
      <w:pPr>
        <w:numPr>
          <w:ilvl w:val="0"/>
          <w:numId w:val="23"/>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按“投标人须知”要求编制的投标文件商务商务技术文件 ；</w:t>
      </w:r>
    </w:p>
    <w:p w14:paraId="4B60C68C">
      <w:pPr>
        <w:numPr>
          <w:ilvl w:val="0"/>
          <w:numId w:val="23"/>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按“投标人须知”要求编制的投标文件投标报价标 。</w:t>
      </w:r>
    </w:p>
    <w:p w14:paraId="2C6BE607">
      <w:pPr>
        <w:autoSpaceDE w:val="0"/>
        <w:autoSpaceDN w:val="0"/>
        <w:adjustRightInd w:val="0"/>
        <w:spacing w:line="420" w:lineRule="atLeast"/>
        <w:ind w:firstLine="4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w:t>
      </w:r>
      <w:r>
        <w:rPr>
          <w:rFonts w:hint="eastAsia" w:ascii="宋体" w:hAnsi="宋体" w:cs="宋体"/>
          <w:color w:val="auto"/>
          <w:kern w:val="0"/>
          <w:sz w:val="22"/>
          <w:szCs w:val="22"/>
          <w:highlight w:val="none"/>
        </w:rPr>
        <w:t>已</w:t>
      </w:r>
      <w:r>
        <w:rPr>
          <w:rFonts w:hint="eastAsia" w:ascii="宋体" w:hAnsi="宋体" w:cs="宋体"/>
          <w:color w:val="auto"/>
          <w:kern w:val="0"/>
          <w:sz w:val="22"/>
          <w:szCs w:val="22"/>
          <w:highlight w:val="none"/>
          <w:lang w:val="zh-CN"/>
        </w:rPr>
        <w:t>完全明白采购文件的所有条款要求，并重申以下几点：</w:t>
      </w:r>
    </w:p>
    <w:p w14:paraId="58376495">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6D7610DC">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14:paraId="65622803">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14:paraId="6B26571E">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14:paraId="56273B51">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14:paraId="7955AE64">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14:paraId="77CC7069">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在参加本项目前三年内（被通报或者处罚的违法行为有：</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）或（没有因违法经营受到刑事处罚或者责令停产停业、吊销许可证或者执照、较大数额罚款等行政处罚或处罚）或（在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至</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期间禁止参加政府采购活动但是期限届满，须附相关证明文件）</w:t>
      </w:r>
    </w:p>
    <w:p w14:paraId="78A2902E">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highlight w:val="none"/>
        </w:rPr>
        <w:t>www.ccgp.gov.cn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)列入政府采购严重违法失信行为记录名单。）或（被“信用中国”或“中国政府采购网”列入……名单。）</w:t>
      </w:r>
    </w:p>
    <w:p w14:paraId="7295DC63">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单位、法定代表人（单位负责人）、本项目被授权人及本项目负责人在参加本项目前三年内（以法院判决书生效日期为准）均无行贿犯罪记录。</w:t>
      </w:r>
    </w:p>
    <w:p w14:paraId="6DAB4A9E">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如有列情形之一的，我方愿意被取消中标资格（如中标），同时继续承担其他一切法律后果，并不再寻求任何旨在减轻或免除法律责任的解释：</w:t>
      </w:r>
    </w:p>
    <w:p w14:paraId="2FE7D405">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49BB532E">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67D8FC18">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14:paraId="58C7AD24">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14:paraId="1CBA0D19">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1E01F1DA">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7C5A0EF2">
      <w:pPr>
        <w:numPr>
          <w:ilvl w:val="0"/>
          <w:numId w:val="24"/>
        </w:numPr>
        <w:spacing w:line="420" w:lineRule="exact"/>
        <w:rPr>
          <w:rFonts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14:paraId="5A4C0CA0">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1D5DCD1F">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422C083A">
      <w:pPr>
        <w:spacing w:line="42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7D861A97">
      <w:pPr>
        <w:spacing w:line="42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6A55E5AB">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14:paraId="7D272A64">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14:paraId="1713D49D">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14:paraId="343A012C">
      <w:pPr>
        <w:spacing w:line="460" w:lineRule="exact"/>
        <w:ind w:firstLine="462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7B502624">
      <w:pPr>
        <w:spacing w:line="460" w:lineRule="exact"/>
        <w:ind w:firstLine="4620"/>
        <w:rPr>
          <w:rFonts w:ascii="宋体" w:hAnsi="宋体" w:cs="宋体"/>
          <w:color w:val="auto"/>
          <w:sz w:val="22"/>
          <w:szCs w:val="22"/>
          <w:highlight w:val="none"/>
          <w:u w:val="single"/>
        </w:rPr>
      </w:pPr>
    </w:p>
    <w:p w14:paraId="572C7D59">
      <w:pPr>
        <w:spacing w:line="460" w:lineRule="exact"/>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▲不提供投标函的投标文件将被视为未实质性响应采购文件。</w:t>
      </w:r>
    </w:p>
    <w:p w14:paraId="1E84AF8F">
      <w:pPr>
        <w:spacing w:line="460" w:lineRule="exact"/>
        <w:ind w:firstLine="435"/>
        <w:rPr>
          <w:rFonts w:ascii="宋体" w:hAnsi="宋体" w:cs="宋体"/>
          <w:b/>
          <w:color w:val="auto"/>
          <w:sz w:val="22"/>
          <w:szCs w:val="22"/>
          <w:highlight w:val="none"/>
          <w:u w:val="single"/>
        </w:rPr>
      </w:pPr>
    </w:p>
    <w:p w14:paraId="62712310">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14:paraId="07078B9A">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14:paraId="272C401C">
      <w:pPr>
        <w:ind w:firstLine="435"/>
        <w:jc w:val="center"/>
        <w:rPr>
          <w:rFonts w:ascii="宋体" w:hAnsi="宋体" w:cs="宋体"/>
          <w:b/>
          <w:color w:val="auto"/>
          <w:sz w:val="44"/>
          <w:highlight w:val="none"/>
        </w:rPr>
      </w:pPr>
    </w:p>
    <w:p w14:paraId="136E3503">
      <w:pPr>
        <w:overflowPunct w:val="0"/>
        <w:spacing w:line="380" w:lineRule="exact"/>
        <w:rPr>
          <w:rFonts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14:paraId="589204BD">
      <w:pPr>
        <w:ind w:firstLine="361" w:firstLineChars="150"/>
        <w:rPr>
          <w:rFonts w:ascii="宋体" w:hAnsi="宋体" w:cs="宋体"/>
          <w:b/>
          <w:color w:val="auto"/>
          <w:sz w:val="24"/>
          <w:highlight w:val="none"/>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52BB09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0C3E7387">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14:paraId="63DB185B">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14:paraId="65F60AC8">
            <w:pPr>
              <w:jc w:val="center"/>
              <w:rPr>
                <w:rFonts w:ascii="宋体" w:hAnsi="宋体" w:cs="宋体"/>
                <w:color w:val="auto"/>
                <w:sz w:val="22"/>
                <w:szCs w:val="22"/>
                <w:highlight w:val="none"/>
              </w:rPr>
            </w:pPr>
            <w:r>
              <w:rPr>
                <w:rFonts w:hint="eastAsia" w:ascii="宋体" w:hAnsi="宋体" w:cs="宋体"/>
                <w:color w:val="auto"/>
                <w:sz w:val="22"/>
                <w:szCs w:val="22"/>
                <w:highlight w:val="none"/>
              </w:rPr>
              <w:t>投标人技术响应</w:t>
            </w:r>
          </w:p>
        </w:tc>
        <w:tc>
          <w:tcPr>
            <w:tcW w:w="2115" w:type="dxa"/>
            <w:vAlign w:val="center"/>
          </w:tcPr>
          <w:p w14:paraId="12EFD8B4">
            <w:pPr>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14:paraId="139EDF09">
            <w:pPr>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14:paraId="2F680D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397D50AE">
            <w:pPr>
              <w:jc w:val="center"/>
              <w:rPr>
                <w:rFonts w:ascii="宋体" w:hAnsi="宋体" w:cs="宋体"/>
                <w:color w:val="auto"/>
                <w:sz w:val="22"/>
                <w:szCs w:val="22"/>
                <w:highlight w:val="none"/>
              </w:rPr>
            </w:pPr>
          </w:p>
        </w:tc>
        <w:tc>
          <w:tcPr>
            <w:tcW w:w="2538" w:type="dxa"/>
            <w:vAlign w:val="center"/>
          </w:tcPr>
          <w:p w14:paraId="0601487B">
            <w:pPr>
              <w:jc w:val="center"/>
              <w:rPr>
                <w:rFonts w:ascii="宋体" w:hAnsi="宋体" w:cs="宋体"/>
                <w:color w:val="auto"/>
                <w:sz w:val="22"/>
                <w:szCs w:val="22"/>
                <w:highlight w:val="none"/>
              </w:rPr>
            </w:pPr>
          </w:p>
        </w:tc>
        <w:tc>
          <w:tcPr>
            <w:tcW w:w="2326" w:type="dxa"/>
            <w:vAlign w:val="center"/>
          </w:tcPr>
          <w:p w14:paraId="58FFD6F7">
            <w:pPr>
              <w:jc w:val="center"/>
              <w:rPr>
                <w:rFonts w:ascii="宋体" w:hAnsi="宋体" w:cs="宋体"/>
                <w:color w:val="auto"/>
                <w:sz w:val="22"/>
                <w:szCs w:val="22"/>
                <w:highlight w:val="none"/>
              </w:rPr>
            </w:pPr>
          </w:p>
        </w:tc>
        <w:tc>
          <w:tcPr>
            <w:tcW w:w="2115" w:type="dxa"/>
            <w:vAlign w:val="center"/>
          </w:tcPr>
          <w:p w14:paraId="6A910E86">
            <w:pPr>
              <w:jc w:val="center"/>
              <w:rPr>
                <w:rFonts w:ascii="宋体" w:hAnsi="宋体" w:cs="宋体"/>
                <w:color w:val="auto"/>
                <w:sz w:val="22"/>
                <w:szCs w:val="22"/>
                <w:highlight w:val="none"/>
              </w:rPr>
            </w:pPr>
          </w:p>
        </w:tc>
        <w:tc>
          <w:tcPr>
            <w:tcW w:w="1902" w:type="dxa"/>
            <w:vAlign w:val="center"/>
          </w:tcPr>
          <w:p w14:paraId="7322CB4D">
            <w:pPr>
              <w:jc w:val="center"/>
              <w:rPr>
                <w:rFonts w:ascii="宋体" w:hAnsi="宋体" w:cs="宋体"/>
                <w:color w:val="auto"/>
                <w:sz w:val="22"/>
                <w:szCs w:val="22"/>
                <w:highlight w:val="none"/>
              </w:rPr>
            </w:pPr>
          </w:p>
        </w:tc>
      </w:tr>
      <w:tr w14:paraId="3C7EFF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DBF0CFD">
            <w:pPr>
              <w:jc w:val="center"/>
              <w:rPr>
                <w:rFonts w:ascii="宋体" w:hAnsi="宋体" w:cs="宋体"/>
                <w:color w:val="auto"/>
                <w:sz w:val="22"/>
                <w:szCs w:val="22"/>
                <w:highlight w:val="none"/>
              </w:rPr>
            </w:pPr>
          </w:p>
        </w:tc>
        <w:tc>
          <w:tcPr>
            <w:tcW w:w="2538" w:type="dxa"/>
            <w:vAlign w:val="center"/>
          </w:tcPr>
          <w:p w14:paraId="4B01218E">
            <w:pPr>
              <w:jc w:val="center"/>
              <w:rPr>
                <w:rFonts w:ascii="宋体" w:hAnsi="宋体" w:cs="宋体"/>
                <w:color w:val="auto"/>
                <w:sz w:val="22"/>
                <w:szCs w:val="22"/>
                <w:highlight w:val="none"/>
              </w:rPr>
            </w:pPr>
          </w:p>
        </w:tc>
        <w:tc>
          <w:tcPr>
            <w:tcW w:w="2326" w:type="dxa"/>
            <w:vAlign w:val="center"/>
          </w:tcPr>
          <w:p w14:paraId="79E90844">
            <w:pPr>
              <w:jc w:val="center"/>
              <w:rPr>
                <w:rFonts w:ascii="宋体" w:hAnsi="宋体" w:cs="宋体"/>
                <w:color w:val="auto"/>
                <w:sz w:val="22"/>
                <w:szCs w:val="22"/>
                <w:highlight w:val="none"/>
              </w:rPr>
            </w:pPr>
          </w:p>
        </w:tc>
        <w:tc>
          <w:tcPr>
            <w:tcW w:w="2115" w:type="dxa"/>
            <w:vAlign w:val="center"/>
          </w:tcPr>
          <w:p w14:paraId="0281DA56">
            <w:pPr>
              <w:jc w:val="center"/>
              <w:rPr>
                <w:rFonts w:ascii="宋体" w:hAnsi="宋体" w:cs="宋体"/>
                <w:color w:val="auto"/>
                <w:sz w:val="22"/>
                <w:szCs w:val="22"/>
                <w:highlight w:val="none"/>
              </w:rPr>
            </w:pPr>
          </w:p>
        </w:tc>
        <w:tc>
          <w:tcPr>
            <w:tcW w:w="1902" w:type="dxa"/>
            <w:vAlign w:val="center"/>
          </w:tcPr>
          <w:p w14:paraId="29F8ED63">
            <w:pPr>
              <w:jc w:val="center"/>
              <w:rPr>
                <w:rFonts w:ascii="宋体" w:hAnsi="宋体" w:cs="宋体"/>
                <w:color w:val="auto"/>
                <w:sz w:val="22"/>
                <w:szCs w:val="22"/>
                <w:highlight w:val="none"/>
              </w:rPr>
            </w:pPr>
          </w:p>
        </w:tc>
      </w:tr>
      <w:tr w14:paraId="5171C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D1E102F">
            <w:pPr>
              <w:jc w:val="center"/>
              <w:rPr>
                <w:rFonts w:ascii="宋体" w:hAnsi="宋体" w:cs="宋体"/>
                <w:color w:val="auto"/>
                <w:sz w:val="22"/>
                <w:szCs w:val="22"/>
                <w:highlight w:val="none"/>
              </w:rPr>
            </w:pPr>
          </w:p>
        </w:tc>
        <w:tc>
          <w:tcPr>
            <w:tcW w:w="2538" w:type="dxa"/>
            <w:vAlign w:val="center"/>
          </w:tcPr>
          <w:p w14:paraId="554F341E">
            <w:pPr>
              <w:jc w:val="center"/>
              <w:rPr>
                <w:rFonts w:ascii="宋体" w:hAnsi="宋体" w:cs="宋体"/>
                <w:color w:val="auto"/>
                <w:sz w:val="22"/>
                <w:szCs w:val="22"/>
                <w:highlight w:val="none"/>
              </w:rPr>
            </w:pPr>
          </w:p>
        </w:tc>
        <w:tc>
          <w:tcPr>
            <w:tcW w:w="2326" w:type="dxa"/>
            <w:vAlign w:val="center"/>
          </w:tcPr>
          <w:p w14:paraId="0B8C7DD6">
            <w:pPr>
              <w:jc w:val="center"/>
              <w:rPr>
                <w:rFonts w:ascii="宋体" w:hAnsi="宋体" w:cs="宋体"/>
                <w:color w:val="auto"/>
                <w:sz w:val="22"/>
                <w:szCs w:val="22"/>
                <w:highlight w:val="none"/>
              </w:rPr>
            </w:pPr>
          </w:p>
        </w:tc>
        <w:tc>
          <w:tcPr>
            <w:tcW w:w="2115" w:type="dxa"/>
            <w:vAlign w:val="center"/>
          </w:tcPr>
          <w:p w14:paraId="5C6FD242">
            <w:pPr>
              <w:jc w:val="center"/>
              <w:rPr>
                <w:rFonts w:ascii="宋体" w:hAnsi="宋体" w:cs="宋体"/>
                <w:color w:val="auto"/>
                <w:sz w:val="22"/>
                <w:szCs w:val="22"/>
                <w:highlight w:val="none"/>
              </w:rPr>
            </w:pPr>
          </w:p>
        </w:tc>
        <w:tc>
          <w:tcPr>
            <w:tcW w:w="1902" w:type="dxa"/>
            <w:vAlign w:val="center"/>
          </w:tcPr>
          <w:p w14:paraId="3F1E6978">
            <w:pPr>
              <w:jc w:val="center"/>
              <w:rPr>
                <w:rFonts w:ascii="宋体" w:hAnsi="宋体" w:cs="宋体"/>
                <w:color w:val="auto"/>
                <w:sz w:val="22"/>
                <w:szCs w:val="22"/>
                <w:highlight w:val="none"/>
              </w:rPr>
            </w:pPr>
          </w:p>
        </w:tc>
      </w:tr>
      <w:tr w14:paraId="431796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DE6973B">
            <w:pPr>
              <w:jc w:val="center"/>
              <w:rPr>
                <w:rFonts w:ascii="宋体" w:hAnsi="宋体" w:cs="宋体"/>
                <w:color w:val="auto"/>
                <w:sz w:val="22"/>
                <w:szCs w:val="22"/>
                <w:highlight w:val="none"/>
              </w:rPr>
            </w:pPr>
          </w:p>
        </w:tc>
        <w:tc>
          <w:tcPr>
            <w:tcW w:w="2538" w:type="dxa"/>
            <w:vAlign w:val="center"/>
          </w:tcPr>
          <w:p w14:paraId="2AEB1C7F">
            <w:pPr>
              <w:jc w:val="center"/>
              <w:rPr>
                <w:rFonts w:ascii="宋体" w:hAnsi="宋体" w:cs="宋体"/>
                <w:color w:val="auto"/>
                <w:sz w:val="22"/>
                <w:szCs w:val="22"/>
                <w:highlight w:val="none"/>
              </w:rPr>
            </w:pPr>
          </w:p>
        </w:tc>
        <w:tc>
          <w:tcPr>
            <w:tcW w:w="2326" w:type="dxa"/>
            <w:vAlign w:val="center"/>
          </w:tcPr>
          <w:p w14:paraId="4917EE8B">
            <w:pPr>
              <w:jc w:val="center"/>
              <w:rPr>
                <w:rFonts w:ascii="宋体" w:hAnsi="宋体" w:cs="宋体"/>
                <w:color w:val="auto"/>
                <w:sz w:val="22"/>
                <w:szCs w:val="22"/>
                <w:highlight w:val="none"/>
              </w:rPr>
            </w:pPr>
          </w:p>
        </w:tc>
        <w:tc>
          <w:tcPr>
            <w:tcW w:w="2115" w:type="dxa"/>
            <w:vAlign w:val="center"/>
          </w:tcPr>
          <w:p w14:paraId="1EA04C1B">
            <w:pPr>
              <w:jc w:val="center"/>
              <w:rPr>
                <w:rFonts w:ascii="宋体" w:hAnsi="宋体" w:cs="宋体"/>
                <w:color w:val="auto"/>
                <w:sz w:val="22"/>
                <w:szCs w:val="22"/>
                <w:highlight w:val="none"/>
              </w:rPr>
            </w:pPr>
          </w:p>
        </w:tc>
        <w:tc>
          <w:tcPr>
            <w:tcW w:w="1902" w:type="dxa"/>
            <w:vAlign w:val="center"/>
          </w:tcPr>
          <w:p w14:paraId="31BD5616">
            <w:pPr>
              <w:jc w:val="center"/>
              <w:rPr>
                <w:rFonts w:ascii="宋体" w:hAnsi="宋体" w:cs="宋体"/>
                <w:color w:val="auto"/>
                <w:sz w:val="22"/>
                <w:szCs w:val="22"/>
                <w:highlight w:val="none"/>
              </w:rPr>
            </w:pPr>
          </w:p>
        </w:tc>
      </w:tr>
      <w:tr w14:paraId="25296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7D6C3B4">
            <w:pPr>
              <w:jc w:val="center"/>
              <w:rPr>
                <w:rFonts w:ascii="宋体" w:hAnsi="宋体" w:cs="宋体"/>
                <w:color w:val="auto"/>
                <w:sz w:val="22"/>
                <w:szCs w:val="22"/>
                <w:highlight w:val="none"/>
              </w:rPr>
            </w:pPr>
          </w:p>
        </w:tc>
        <w:tc>
          <w:tcPr>
            <w:tcW w:w="2538" w:type="dxa"/>
            <w:vAlign w:val="center"/>
          </w:tcPr>
          <w:p w14:paraId="64501F43">
            <w:pPr>
              <w:jc w:val="center"/>
              <w:rPr>
                <w:rFonts w:ascii="宋体" w:hAnsi="宋体" w:cs="宋体"/>
                <w:color w:val="auto"/>
                <w:sz w:val="22"/>
                <w:szCs w:val="22"/>
                <w:highlight w:val="none"/>
              </w:rPr>
            </w:pPr>
          </w:p>
        </w:tc>
        <w:tc>
          <w:tcPr>
            <w:tcW w:w="2326" w:type="dxa"/>
            <w:vAlign w:val="center"/>
          </w:tcPr>
          <w:p w14:paraId="1CE59924">
            <w:pPr>
              <w:jc w:val="center"/>
              <w:rPr>
                <w:rFonts w:ascii="宋体" w:hAnsi="宋体" w:cs="宋体"/>
                <w:color w:val="auto"/>
                <w:sz w:val="22"/>
                <w:szCs w:val="22"/>
                <w:highlight w:val="none"/>
              </w:rPr>
            </w:pPr>
          </w:p>
        </w:tc>
        <w:tc>
          <w:tcPr>
            <w:tcW w:w="2115" w:type="dxa"/>
            <w:vAlign w:val="center"/>
          </w:tcPr>
          <w:p w14:paraId="49C69E12">
            <w:pPr>
              <w:jc w:val="center"/>
              <w:rPr>
                <w:rFonts w:ascii="宋体" w:hAnsi="宋体" w:cs="宋体"/>
                <w:color w:val="auto"/>
                <w:sz w:val="22"/>
                <w:szCs w:val="22"/>
                <w:highlight w:val="none"/>
              </w:rPr>
            </w:pPr>
          </w:p>
        </w:tc>
        <w:tc>
          <w:tcPr>
            <w:tcW w:w="1902" w:type="dxa"/>
            <w:vAlign w:val="center"/>
          </w:tcPr>
          <w:p w14:paraId="02E660DC">
            <w:pPr>
              <w:jc w:val="center"/>
              <w:rPr>
                <w:rFonts w:ascii="宋体" w:hAnsi="宋体" w:cs="宋体"/>
                <w:color w:val="auto"/>
                <w:sz w:val="22"/>
                <w:szCs w:val="22"/>
                <w:highlight w:val="none"/>
              </w:rPr>
            </w:pPr>
          </w:p>
        </w:tc>
      </w:tr>
    </w:tbl>
    <w:p w14:paraId="09697F65">
      <w:pPr>
        <w:spacing w:line="500" w:lineRule="exact"/>
        <w:rPr>
          <w:rFonts w:ascii="宋体" w:hAnsi="宋体" w:cs="宋体"/>
          <w:color w:val="auto"/>
          <w:sz w:val="24"/>
          <w:highlight w:val="none"/>
        </w:rPr>
      </w:pPr>
      <w:r>
        <w:rPr>
          <w:rFonts w:hint="eastAsia" w:ascii="宋体" w:hAnsi="宋体" w:cs="宋体"/>
          <w:color w:val="auto"/>
          <w:sz w:val="24"/>
          <w:highlight w:val="none"/>
        </w:rPr>
        <w:t>说明：</w:t>
      </w:r>
    </w:p>
    <w:p w14:paraId="48FBDD47">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24FCF959">
      <w:pPr>
        <w:spacing w:line="400" w:lineRule="exact"/>
        <w:rPr>
          <w:rFonts w:ascii="宋体" w:hAnsi="宋体" w:cs="宋体"/>
          <w:color w:val="auto"/>
          <w:sz w:val="22"/>
          <w:szCs w:val="22"/>
          <w:highlight w:val="none"/>
        </w:rPr>
      </w:pPr>
    </w:p>
    <w:p w14:paraId="3337DB1A">
      <w:pPr>
        <w:spacing w:line="400" w:lineRule="exact"/>
        <w:rPr>
          <w:rFonts w:ascii="宋体" w:hAnsi="宋体" w:cs="宋体"/>
          <w:color w:val="auto"/>
          <w:sz w:val="22"/>
          <w:szCs w:val="22"/>
          <w:highlight w:val="none"/>
        </w:rPr>
      </w:pPr>
    </w:p>
    <w:p w14:paraId="4216C6D6">
      <w:pPr>
        <w:spacing w:line="400" w:lineRule="exact"/>
        <w:rPr>
          <w:rFonts w:ascii="宋体" w:hAnsi="宋体" w:cs="宋体"/>
          <w:color w:val="auto"/>
          <w:sz w:val="22"/>
          <w:szCs w:val="22"/>
          <w:highlight w:val="none"/>
        </w:rPr>
      </w:pPr>
    </w:p>
    <w:p w14:paraId="76A0F7C3">
      <w:pPr>
        <w:spacing w:line="400" w:lineRule="exact"/>
        <w:rPr>
          <w:rFonts w:ascii="宋体" w:hAnsi="宋体" w:cs="宋体"/>
          <w:color w:val="auto"/>
          <w:sz w:val="22"/>
          <w:szCs w:val="22"/>
          <w:highlight w:val="none"/>
        </w:rPr>
      </w:pPr>
    </w:p>
    <w:p w14:paraId="526743FD">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14:paraId="03E3CAD5">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14:paraId="007DC978">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14:paraId="3268AB90">
      <w:pPr>
        <w:spacing w:line="400" w:lineRule="exact"/>
        <w:rPr>
          <w:rFonts w:ascii="宋体" w:hAnsi="宋体" w:cs="宋体"/>
          <w:color w:val="auto"/>
          <w:sz w:val="22"/>
          <w:szCs w:val="22"/>
          <w:highlight w:val="none"/>
        </w:rPr>
      </w:pPr>
    </w:p>
    <w:p w14:paraId="735828BA">
      <w:pPr>
        <w:spacing w:line="500" w:lineRule="exact"/>
        <w:jc w:val="center"/>
        <w:rPr>
          <w:rFonts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14:paraId="1906391E">
      <w:pPr>
        <w:ind w:firstLine="435"/>
        <w:jc w:val="center"/>
        <w:rPr>
          <w:rFonts w:ascii="宋体" w:hAnsi="宋体" w:cs="宋体"/>
          <w:b/>
          <w:color w:val="auto"/>
          <w:sz w:val="44"/>
          <w:highlight w:val="none"/>
        </w:rPr>
      </w:pPr>
    </w:p>
    <w:p w14:paraId="73E9B672">
      <w:pPr>
        <w:overflowPunct w:val="0"/>
        <w:spacing w:line="380" w:lineRule="exact"/>
        <w:rPr>
          <w:rFonts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14:paraId="0C716F8B">
      <w:pPr>
        <w:ind w:firstLine="221" w:firstLineChars="100"/>
        <w:rPr>
          <w:rFonts w:ascii="宋体" w:hAnsi="宋体" w:cs="宋体"/>
          <w:b/>
          <w:color w:val="auto"/>
          <w:sz w:val="22"/>
          <w:szCs w:val="22"/>
          <w:highlight w:val="none"/>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6634B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1040" w:hRule="atLeast"/>
          <w:jc w:val="center"/>
        </w:trPr>
        <w:tc>
          <w:tcPr>
            <w:tcW w:w="921" w:type="dxa"/>
            <w:vAlign w:val="center"/>
          </w:tcPr>
          <w:p w14:paraId="65DEFB7D">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14:paraId="66C5B719">
            <w:pPr>
              <w:jc w:val="center"/>
              <w:rPr>
                <w:rFonts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14:paraId="435BAFED">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14:paraId="7EED13F9">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投标文件商务条款</w:t>
            </w:r>
          </w:p>
        </w:tc>
        <w:tc>
          <w:tcPr>
            <w:tcW w:w="1200" w:type="dxa"/>
            <w:vAlign w:val="center"/>
          </w:tcPr>
          <w:p w14:paraId="65520651">
            <w:pPr>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14:paraId="328BB724">
            <w:pPr>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14:paraId="4C7389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8BB7DDF">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14:paraId="7FDD216D">
            <w:pPr>
              <w:jc w:val="center"/>
              <w:rPr>
                <w:rFonts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vAlign w:val="center"/>
          </w:tcPr>
          <w:p w14:paraId="748C9ECB">
            <w:pPr>
              <w:jc w:val="center"/>
              <w:rPr>
                <w:rFonts w:ascii="宋体" w:hAnsi="宋体" w:cs="宋体"/>
                <w:color w:val="auto"/>
                <w:sz w:val="22"/>
                <w:szCs w:val="22"/>
                <w:highlight w:val="none"/>
              </w:rPr>
            </w:pPr>
          </w:p>
        </w:tc>
        <w:tc>
          <w:tcPr>
            <w:tcW w:w="2402" w:type="dxa"/>
            <w:vAlign w:val="center"/>
          </w:tcPr>
          <w:p w14:paraId="577B826F">
            <w:pPr>
              <w:jc w:val="center"/>
              <w:rPr>
                <w:rFonts w:ascii="宋体" w:hAnsi="宋体" w:cs="宋体"/>
                <w:color w:val="auto"/>
                <w:sz w:val="22"/>
                <w:szCs w:val="22"/>
                <w:highlight w:val="none"/>
              </w:rPr>
            </w:pPr>
          </w:p>
        </w:tc>
        <w:tc>
          <w:tcPr>
            <w:tcW w:w="1200" w:type="dxa"/>
            <w:vAlign w:val="center"/>
          </w:tcPr>
          <w:p w14:paraId="36EC3C43">
            <w:pPr>
              <w:jc w:val="center"/>
              <w:rPr>
                <w:rFonts w:ascii="宋体" w:hAnsi="宋体" w:cs="宋体"/>
                <w:color w:val="auto"/>
                <w:sz w:val="22"/>
                <w:szCs w:val="22"/>
                <w:highlight w:val="none"/>
              </w:rPr>
            </w:pPr>
          </w:p>
        </w:tc>
        <w:tc>
          <w:tcPr>
            <w:tcW w:w="1588" w:type="dxa"/>
            <w:vAlign w:val="center"/>
          </w:tcPr>
          <w:p w14:paraId="0C73143C">
            <w:pPr>
              <w:jc w:val="center"/>
              <w:rPr>
                <w:rFonts w:ascii="宋体" w:hAnsi="宋体" w:cs="宋体"/>
                <w:color w:val="auto"/>
                <w:sz w:val="22"/>
                <w:szCs w:val="22"/>
                <w:highlight w:val="none"/>
              </w:rPr>
            </w:pPr>
          </w:p>
        </w:tc>
      </w:tr>
      <w:tr w14:paraId="2FF622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71DA018">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14:paraId="2A563746">
            <w:pPr>
              <w:jc w:val="center"/>
              <w:rPr>
                <w:rFonts w:ascii="宋体" w:hAnsi="宋体" w:cs="宋体"/>
                <w:color w:val="auto"/>
                <w:sz w:val="22"/>
                <w:szCs w:val="22"/>
                <w:highlight w:val="none"/>
              </w:rPr>
            </w:pPr>
            <w:r>
              <w:rPr>
                <w:rFonts w:hint="eastAsia" w:ascii="宋体" w:hAnsi="宋体" w:cs="宋体"/>
                <w:color w:val="auto"/>
                <w:sz w:val="22"/>
                <w:szCs w:val="22"/>
                <w:highlight w:val="none"/>
              </w:rPr>
              <w:t>服务时间</w:t>
            </w:r>
          </w:p>
        </w:tc>
        <w:tc>
          <w:tcPr>
            <w:tcW w:w="2184" w:type="dxa"/>
            <w:vAlign w:val="center"/>
          </w:tcPr>
          <w:p w14:paraId="5D4EC299">
            <w:pPr>
              <w:jc w:val="center"/>
              <w:rPr>
                <w:rFonts w:ascii="宋体" w:hAnsi="宋体" w:cs="宋体"/>
                <w:color w:val="auto"/>
                <w:sz w:val="22"/>
                <w:szCs w:val="22"/>
                <w:highlight w:val="none"/>
              </w:rPr>
            </w:pPr>
          </w:p>
        </w:tc>
        <w:tc>
          <w:tcPr>
            <w:tcW w:w="2402" w:type="dxa"/>
            <w:vAlign w:val="center"/>
          </w:tcPr>
          <w:p w14:paraId="66844088">
            <w:pPr>
              <w:jc w:val="center"/>
              <w:rPr>
                <w:rFonts w:ascii="宋体" w:hAnsi="宋体" w:cs="宋体"/>
                <w:color w:val="auto"/>
                <w:sz w:val="22"/>
                <w:szCs w:val="22"/>
                <w:highlight w:val="none"/>
              </w:rPr>
            </w:pPr>
          </w:p>
        </w:tc>
        <w:tc>
          <w:tcPr>
            <w:tcW w:w="1200" w:type="dxa"/>
            <w:vAlign w:val="center"/>
          </w:tcPr>
          <w:p w14:paraId="0D79FD08">
            <w:pPr>
              <w:jc w:val="center"/>
              <w:rPr>
                <w:rFonts w:ascii="宋体" w:hAnsi="宋体" w:cs="宋体"/>
                <w:color w:val="auto"/>
                <w:sz w:val="22"/>
                <w:szCs w:val="22"/>
                <w:highlight w:val="none"/>
              </w:rPr>
            </w:pPr>
          </w:p>
        </w:tc>
        <w:tc>
          <w:tcPr>
            <w:tcW w:w="1588" w:type="dxa"/>
            <w:vAlign w:val="center"/>
          </w:tcPr>
          <w:p w14:paraId="7F370D89">
            <w:pPr>
              <w:jc w:val="center"/>
              <w:rPr>
                <w:rFonts w:ascii="宋体" w:hAnsi="宋体" w:cs="宋体"/>
                <w:color w:val="auto"/>
                <w:sz w:val="22"/>
                <w:szCs w:val="22"/>
                <w:highlight w:val="none"/>
              </w:rPr>
            </w:pPr>
          </w:p>
        </w:tc>
      </w:tr>
      <w:tr w14:paraId="31D86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CBE66DB">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14:paraId="4E9C1C24">
            <w:pPr>
              <w:jc w:val="center"/>
              <w:rPr>
                <w:rFonts w:ascii="宋体" w:hAnsi="宋体" w:cs="宋体"/>
                <w:color w:val="auto"/>
                <w:sz w:val="22"/>
                <w:szCs w:val="22"/>
                <w:highlight w:val="none"/>
              </w:rPr>
            </w:pPr>
          </w:p>
        </w:tc>
        <w:tc>
          <w:tcPr>
            <w:tcW w:w="2184" w:type="dxa"/>
            <w:vAlign w:val="center"/>
          </w:tcPr>
          <w:p w14:paraId="46ABA7B1">
            <w:pPr>
              <w:jc w:val="center"/>
              <w:rPr>
                <w:rFonts w:ascii="宋体" w:hAnsi="宋体" w:cs="宋体"/>
                <w:color w:val="auto"/>
                <w:sz w:val="22"/>
                <w:szCs w:val="22"/>
                <w:highlight w:val="none"/>
              </w:rPr>
            </w:pPr>
          </w:p>
        </w:tc>
        <w:tc>
          <w:tcPr>
            <w:tcW w:w="2402" w:type="dxa"/>
            <w:vAlign w:val="center"/>
          </w:tcPr>
          <w:p w14:paraId="312BE5C2">
            <w:pPr>
              <w:jc w:val="center"/>
              <w:rPr>
                <w:rFonts w:ascii="宋体" w:hAnsi="宋体" w:cs="宋体"/>
                <w:color w:val="auto"/>
                <w:sz w:val="22"/>
                <w:szCs w:val="22"/>
                <w:highlight w:val="none"/>
              </w:rPr>
            </w:pPr>
          </w:p>
        </w:tc>
        <w:tc>
          <w:tcPr>
            <w:tcW w:w="1200" w:type="dxa"/>
            <w:vAlign w:val="center"/>
          </w:tcPr>
          <w:p w14:paraId="02DCD72D">
            <w:pPr>
              <w:jc w:val="center"/>
              <w:rPr>
                <w:rFonts w:ascii="宋体" w:hAnsi="宋体" w:cs="宋体"/>
                <w:color w:val="auto"/>
                <w:sz w:val="22"/>
                <w:szCs w:val="22"/>
                <w:highlight w:val="none"/>
              </w:rPr>
            </w:pPr>
          </w:p>
        </w:tc>
        <w:tc>
          <w:tcPr>
            <w:tcW w:w="1588" w:type="dxa"/>
            <w:vAlign w:val="center"/>
          </w:tcPr>
          <w:p w14:paraId="66275A5D">
            <w:pPr>
              <w:jc w:val="center"/>
              <w:rPr>
                <w:rFonts w:ascii="宋体" w:hAnsi="宋体" w:cs="宋体"/>
                <w:color w:val="auto"/>
                <w:sz w:val="22"/>
                <w:szCs w:val="22"/>
                <w:highlight w:val="none"/>
              </w:rPr>
            </w:pPr>
          </w:p>
        </w:tc>
      </w:tr>
      <w:tr w14:paraId="24638F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3D6333E">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14:paraId="5F21C063">
            <w:pPr>
              <w:jc w:val="center"/>
              <w:rPr>
                <w:rFonts w:ascii="宋体" w:hAnsi="宋体" w:cs="宋体"/>
                <w:color w:val="auto"/>
                <w:sz w:val="22"/>
                <w:szCs w:val="22"/>
                <w:highlight w:val="none"/>
              </w:rPr>
            </w:pPr>
          </w:p>
        </w:tc>
        <w:tc>
          <w:tcPr>
            <w:tcW w:w="2184" w:type="dxa"/>
            <w:vAlign w:val="center"/>
          </w:tcPr>
          <w:p w14:paraId="5F7C2EF2">
            <w:pPr>
              <w:jc w:val="center"/>
              <w:rPr>
                <w:rFonts w:ascii="宋体" w:hAnsi="宋体" w:cs="宋体"/>
                <w:color w:val="auto"/>
                <w:sz w:val="22"/>
                <w:szCs w:val="22"/>
                <w:highlight w:val="none"/>
              </w:rPr>
            </w:pPr>
          </w:p>
        </w:tc>
        <w:tc>
          <w:tcPr>
            <w:tcW w:w="2402" w:type="dxa"/>
            <w:vAlign w:val="center"/>
          </w:tcPr>
          <w:p w14:paraId="2900AD71">
            <w:pPr>
              <w:jc w:val="center"/>
              <w:rPr>
                <w:rFonts w:ascii="宋体" w:hAnsi="宋体" w:cs="宋体"/>
                <w:color w:val="auto"/>
                <w:sz w:val="22"/>
                <w:szCs w:val="22"/>
                <w:highlight w:val="none"/>
              </w:rPr>
            </w:pPr>
          </w:p>
        </w:tc>
        <w:tc>
          <w:tcPr>
            <w:tcW w:w="1200" w:type="dxa"/>
            <w:vAlign w:val="center"/>
          </w:tcPr>
          <w:p w14:paraId="548E5A8E">
            <w:pPr>
              <w:jc w:val="center"/>
              <w:rPr>
                <w:rFonts w:ascii="宋体" w:hAnsi="宋体" w:cs="宋体"/>
                <w:color w:val="auto"/>
                <w:sz w:val="22"/>
                <w:szCs w:val="22"/>
                <w:highlight w:val="none"/>
              </w:rPr>
            </w:pPr>
          </w:p>
        </w:tc>
        <w:tc>
          <w:tcPr>
            <w:tcW w:w="1588" w:type="dxa"/>
            <w:vAlign w:val="center"/>
          </w:tcPr>
          <w:p w14:paraId="545442BE">
            <w:pPr>
              <w:jc w:val="center"/>
              <w:rPr>
                <w:rFonts w:ascii="宋体" w:hAnsi="宋体" w:cs="宋体"/>
                <w:color w:val="auto"/>
                <w:sz w:val="22"/>
                <w:szCs w:val="22"/>
                <w:highlight w:val="none"/>
              </w:rPr>
            </w:pPr>
          </w:p>
        </w:tc>
      </w:tr>
      <w:tr w14:paraId="72DC9D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111E4B3">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14:paraId="30A157A9">
            <w:pPr>
              <w:jc w:val="center"/>
              <w:rPr>
                <w:rFonts w:ascii="宋体" w:hAnsi="宋体" w:cs="宋体"/>
                <w:color w:val="auto"/>
                <w:sz w:val="22"/>
                <w:szCs w:val="22"/>
                <w:highlight w:val="none"/>
              </w:rPr>
            </w:pPr>
          </w:p>
        </w:tc>
        <w:tc>
          <w:tcPr>
            <w:tcW w:w="2184" w:type="dxa"/>
            <w:vAlign w:val="center"/>
          </w:tcPr>
          <w:p w14:paraId="42E1B490">
            <w:pPr>
              <w:jc w:val="center"/>
              <w:rPr>
                <w:rFonts w:ascii="宋体" w:hAnsi="宋体" w:cs="宋体"/>
                <w:color w:val="auto"/>
                <w:sz w:val="22"/>
                <w:szCs w:val="22"/>
                <w:highlight w:val="none"/>
              </w:rPr>
            </w:pPr>
          </w:p>
        </w:tc>
        <w:tc>
          <w:tcPr>
            <w:tcW w:w="2402" w:type="dxa"/>
            <w:vAlign w:val="center"/>
          </w:tcPr>
          <w:p w14:paraId="62782F16">
            <w:pPr>
              <w:jc w:val="center"/>
              <w:rPr>
                <w:rFonts w:ascii="宋体" w:hAnsi="宋体" w:cs="宋体"/>
                <w:color w:val="auto"/>
                <w:sz w:val="22"/>
                <w:szCs w:val="22"/>
                <w:highlight w:val="none"/>
              </w:rPr>
            </w:pPr>
          </w:p>
        </w:tc>
        <w:tc>
          <w:tcPr>
            <w:tcW w:w="1200" w:type="dxa"/>
            <w:vAlign w:val="center"/>
          </w:tcPr>
          <w:p w14:paraId="32CD0F04">
            <w:pPr>
              <w:jc w:val="center"/>
              <w:rPr>
                <w:rFonts w:ascii="宋体" w:hAnsi="宋体" w:cs="宋体"/>
                <w:color w:val="auto"/>
                <w:sz w:val="22"/>
                <w:szCs w:val="22"/>
                <w:highlight w:val="none"/>
              </w:rPr>
            </w:pPr>
          </w:p>
        </w:tc>
        <w:tc>
          <w:tcPr>
            <w:tcW w:w="1588" w:type="dxa"/>
            <w:vAlign w:val="center"/>
          </w:tcPr>
          <w:p w14:paraId="25B13865">
            <w:pPr>
              <w:jc w:val="center"/>
              <w:rPr>
                <w:rFonts w:ascii="宋体" w:hAnsi="宋体" w:cs="宋体"/>
                <w:color w:val="auto"/>
                <w:sz w:val="22"/>
                <w:szCs w:val="22"/>
                <w:highlight w:val="none"/>
              </w:rPr>
            </w:pPr>
          </w:p>
        </w:tc>
      </w:tr>
      <w:tr w14:paraId="27AC3D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F86C56D">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14:paraId="5EE41C47">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14:paraId="309C4A7D">
            <w:pPr>
              <w:jc w:val="center"/>
              <w:rPr>
                <w:rFonts w:ascii="宋体" w:hAnsi="宋体" w:cs="宋体"/>
                <w:color w:val="auto"/>
                <w:sz w:val="22"/>
                <w:szCs w:val="22"/>
                <w:highlight w:val="none"/>
              </w:rPr>
            </w:pPr>
          </w:p>
        </w:tc>
        <w:tc>
          <w:tcPr>
            <w:tcW w:w="2402" w:type="dxa"/>
            <w:vAlign w:val="center"/>
          </w:tcPr>
          <w:p w14:paraId="19F22B8A">
            <w:pPr>
              <w:jc w:val="center"/>
              <w:rPr>
                <w:rFonts w:ascii="宋体" w:hAnsi="宋体" w:cs="宋体"/>
                <w:color w:val="auto"/>
                <w:sz w:val="22"/>
                <w:szCs w:val="22"/>
                <w:highlight w:val="none"/>
              </w:rPr>
            </w:pPr>
          </w:p>
        </w:tc>
        <w:tc>
          <w:tcPr>
            <w:tcW w:w="1200" w:type="dxa"/>
            <w:vAlign w:val="center"/>
          </w:tcPr>
          <w:p w14:paraId="37C59059">
            <w:pPr>
              <w:jc w:val="center"/>
              <w:rPr>
                <w:rFonts w:ascii="宋体" w:hAnsi="宋体" w:cs="宋体"/>
                <w:color w:val="auto"/>
                <w:sz w:val="22"/>
                <w:szCs w:val="22"/>
                <w:highlight w:val="none"/>
              </w:rPr>
            </w:pPr>
          </w:p>
        </w:tc>
        <w:tc>
          <w:tcPr>
            <w:tcW w:w="1588" w:type="dxa"/>
            <w:vAlign w:val="center"/>
          </w:tcPr>
          <w:p w14:paraId="158B357F">
            <w:pPr>
              <w:jc w:val="center"/>
              <w:rPr>
                <w:rFonts w:ascii="宋体" w:hAnsi="宋体" w:cs="宋体"/>
                <w:color w:val="auto"/>
                <w:sz w:val="22"/>
                <w:szCs w:val="22"/>
                <w:highlight w:val="none"/>
              </w:rPr>
            </w:pPr>
          </w:p>
        </w:tc>
      </w:tr>
    </w:tbl>
    <w:p w14:paraId="418FC066">
      <w:pPr>
        <w:spacing w:line="500" w:lineRule="exact"/>
        <w:rPr>
          <w:rFonts w:ascii="宋体" w:hAnsi="宋体" w:cs="宋体"/>
          <w:color w:val="auto"/>
          <w:sz w:val="24"/>
          <w:highlight w:val="none"/>
        </w:rPr>
      </w:pPr>
      <w:r>
        <w:rPr>
          <w:rFonts w:hint="eastAsia" w:ascii="宋体" w:hAnsi="宋体" w:cs="宋体"/>
          <w:color w:val="auto"/>
          <w:sz w:val="24"/>
          <w:highlight w:val="none"/>
        </w:rPr>
        <w:t>说明：</w:t>
      </w:r>
    </w:p>
    <w:p w14:paraId="344FD90B">
      <w:pPr>
        <w:spacing w:line="5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5969D62D">
      <w:pPr>
        <w:spacing w:line="500" w:lineRule="exact"/>
        <w:ind w:firstLine="4400" w:firstLineChars="2000"/>
        <w:rPr>
          <w:rFonts w:ascii="宋体" w:hAnsi="宋体" w:cs="宋体"/>
          <w:color w:val="auto"/>
          <w:sz w:val="22"/>
          <w:szCs w:val="22"/>
          <w:highlight w:val="none"/>
        </w:rPr>
      </w:pPr>
    </w:p>
    <w:p w14:paraId="4B6F6BFD">
      <w:pPr>
        <w:spacing w:line="500" w:lineRule="exact"/>
        <w:ind w:firstLine="4400" w:firstLineChars="2000"/>
        <w:rPr>
          <w:rFonts w:ascii="宋体" w:hAnsi="宋体" w:cs="宋体"/>
          <w:color w:val="auto"/>
          <w:sz w:val="22"/>
          <w:szCs w:val="22"/>
          <w:highlight w:val="none"/>
        </w:rPr>
      </w:pPr>
    </w:p>
    <w:p w14:paraId="3DFBCDE5">
      <w:pPr>
        <w:spacing w:line="500" w:lineRule="exact"/>
        <w:ind w:firstLine="4400" w:firstLineChars="2000"/>
        <w:rPr>
          <w:rFonts w:ascii="宋体" w:hAnsi="宋体" w:cs="宋体"/>
          <w:color w:val="auto"/>
          <w:sz w:val="22"/>
          <w:szCs w:val="22"/>
          <w:highlight w:val="none"/>
        </w:rPr>
      </w:pPr>
    </w:p>
    <w:p w14:paraId="48821091">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14:paraId="3110AD01">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14:paraId="6183661C">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14:paraId="6D72E5F5">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p>
    <w:p w14:paraId="7330EBA0">
      <w:pPr>
        <w:tabs>
          <w:tab w:val="left" w:pos="840"/>
        </w:tabs>
        <w:adjustRightInd w:val="0"/>
        <w:snapToGrid w:val="0"/>
        <w:spacing w:line="360" w:lineRule="auto"/>
        <w:ind w:left="18" w:hanging="17" w:hangingChars="8"/>
        <w:jc w:val="left"/>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附件三</w:t>
      </w:r>
    </w:p>
    <w:p w14:paraId="36E4DB13">
      <w:pPr>
        <w:tabs>
          <w:tab w:val="left" w:pos="840"/>
        </w:tabs>
        <w:adjustRightInd w:val="0"/>
        <w:snapToGrid w:val="0"/>
        <w:spacing w:line="360" w:lineRule="auto"/>
        <w:ind w:left="22" w:hanging="22" w:hangingChars="8"/>
        <w:jc w:val="center"/>
        <w:rPr>
          <w:rFonts w:eastAsia="新宋体"/>
          <w:b/>
          <w:bCs/>
          <w:color w:val="auto"/>
          <w:sz w:val="28"/>
          <w:szCs w:val="28"/>
          <w:highlight w:val="none"/>
        </w:rPr>
      </w:pPr>
      <w:r>
        <w:rPr>
          <w:rFonts w:hint="eastAsia" w:eastAsia="新宋体"/>
          <w:b/>
          <w:bCs/>
          <w:color w:val="auto"/>
          <w:sz w:val="28"/>
          <w:szCs w:val="28"/>
          <w:highlight w:val="none"/>
        </w:rPr>
        <w:t>供应商为完成本项目组建的工作小组名单</w:t>
      </w:r>
    </w:p>
    <w:p w14:paraId="124D463A">
      <w:pPr>
        <w:pStyle w:val="31"/>
        <w:spacing w:line="400" w:lineRule="atLeast"/>
        <w:ind w:left="17" w:hanging="17" w:hangingChars="6"/>
        <w:jc w:val="center"/>
        <w:rPr>
          <w:rFonts w:ascii="新宋体" w:hAnsi="新宋体" w:eastAsia="新宋体"/>
          <w:b/>
          <w:color w:val="auto"/>
          <w:sz w:val="28"/>
          <w:highlight w:val="none"/>
        </w:rPr>
      </w:pPr>
      <w:r>
        <w:rPr>
          <w:rFonts w:hint="eastAsia" w:ascii="新宋体" w:hAnsi="新宋体" w:eastAsia="新宋体"/>
          <w:b/>
          <w:color w:val="auto"/>
          <w:sz w:val="28"/>
          <w:highlight w:val="none"/>
        </w:rPr>
        <w:t>（1）项目负责人简历表</w:t>
      </w:r>
    </w:p>
    <w:p w14:paraId="57C95271">
      <w:pPr>
        <w:pStyle w:val="31"/>
        <w:spacing w:line="400" w:lineRule="atLeast"/>
        <w:ind w:left="663" w:hanging="663" w:hangingChars="300"/>
        <w:rPr>
          <w:rFonts w:ascii="新宋体" w:hAnsi="新宋体" w:eastAsia="新宋体"/>
          <w:b/>
          <w:color w:val="auto"/>
          <w:sz w:val="22"/>
          <w:highlight w:val="none"/>
        </w:rPr>
      </w:pPr>
      <w:r>
        <w:rPr>
          <w:rFonts w:hint="eastAsia" w:ascii="新宋体" w:hAnsi="新宋体" w:eastAsia="新宋体"/>
          <w:b/>
          <w:color w:val="auto"/>
          <w:sz w:val="22"/>
          <w:highlight w:val="none"/>
        </w:rPr>
        <w:t>项目名称：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20133E5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11994D18">
            <w:pPr>
              <w:spacing w:line="360" w:lineRule="exact"/>
              <w:jc w:val="center"/>
              <w:rPr>
                <w:rFonts w:eastAsia="新宋体"/>
                <w:color w:val="auto"/>
                <w:sz w:val="22"/>
                <w:szCs w:val="22"/>
                <w:highlight w:val="none"/>
              </w:rPr>
            </w:pPr>
            <w:r>
              <w:rPr>
                <w:rFonts w:hint="eastAsia" w:eastAsia="新宋体"/>
                <w:color w:val="auto"/>
                <w:sz w:val="22"/>
                <w:szCs w:val="22"/>
                <w:highlight w:val="none"/>
              </w:rPr>
              <w:t>1、一般情况</w:t>
            </w:r>
          </w:p>
        </w:tc>
      </w:tr>
      <w:tr w14:paraId="40715CE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6C932D7">
            <w:pPr>
              <w:spacing w:line="360" w:lineRule="exact"/>
              <w:jc w:val="center"/>
              <w:rPr>
                <w:rFonts w:eastAsia="新宋体"/>
                <w:color w:val="auto"/>
                <w:sz w:val="22"/>
                <w:szCs w:val="22"/>
                <w:highlight w:val="none"/>
              </w:rPr>
            </w:pPr>
            <w:r>
              <w:rPr>
                <w:rFonts w:hint="eastAsia" w:eastAsia="新宋体"/>
                <w:color w:val="auto"/>
                <w:sz w:val="22"/>
                <w:szCs w:val="22"/>
                <w:highlight w:val="none"/>
              </w:rPr>
              <w:t>姓   名</w:t>
            </w:r>
          </w:p>
        </w:tc>
        <w:tc>
          <w:tcPr>
            <w:tcW w:w="1799" w:type="dxa"/>
            <w:tcBorders>
              <w:top w:val="single" w:color="auto" w:sz="4" w:space="0"/>
              <w:bottom w:val="single" w:color="auto" w:sz="4" w:space="0"/>
            </w:tcBorders>
            <w:vAlign w:val="center"/>
          </w:tcPr>
          <w:p w14:paraId="3E247296">
            <w:pPr>
              <w:spacing w:line="360" w:lineRule="exact"/>
              <w:jc w:val="center"/>
              <w:rPr>
                <w:rFonts w:eastAsia="新宋体"/>
                <w:color w:val="auto"/>
                <w:sz w:val="22"/>
                <w:szCs w:val="22"/>
                <w:highlight w:val="none"/>
              </w:rPr>
            </w:pPr>
          </w:p>
        </w:tc>
        <w:tc>
          <w:tcPr>
            <w:tcW w:w="1567" w:type="dxa"/>
            <w:gridSpan w:val="2"/>
            <w:tcBorders>
              <w:top w:val="single" w:color="auto" w:sz="4" w:space="0"/>
              <w:bottom w:val="single" w:color="auto" w:sz="4" w:space="0"/>
            </w:tcBorders>
            <w:vAlign w:val="center"/>
          </w:tcPr>
          <w:p w14:paraId="23C1AAE8">
            <w:pPr>
              <w:spacing w:line="360" w:lineRule="exact"/>
              <w:jc w:val="center"/>
              <w:rPr>
                <w:rFonts w:eastAsia="新宋体"/>
                <w:color w:val="auto"/>
                <w:sz w:val="22"/>
                <w:szCs w:val="22"/>
                <w:highlight w:val="none"/>
              </w:rPr>
            </w:pPr>
            <w:r>
              <w:rPr>
                <w:rFonts w:hint="eastAsia" w:eastAsia="新宋体"/>
                <w:color w:val="auto"/>
                <w:sz w:val="22"/>
                <w:szCs w:val="22"/>
                <w:highlight w:val="none"/>
              </w:rPr>
              <w:t>年  龄</w:t>
            </w:r>
          </w:p>
        </w:tc>
        <w:tc>
          <w:tcPr>
            <w:tcW w:w="1062" w:type="dxa"/>
            <w:tcBorders>
              <w:top w:val="single" w:color="auto" w:sz="4" w:space="0"/>
              <w:bottom w:val="single" w:color="auto" w:sz="4" w:space="0"/>
            </w:tcBorders>
            <w:vAlign w:val="center"/>
          </w:tcPr>
          <w:p w14:paraId="78ED8E4B">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vAlign w:val="center"/>
          </w:tcPr>
          <w:p w14:paraId="2185D97D">
            <w:pPr>
              <w:spacing w:line="360" w:lineRule="exact"/>
              <w:jc w:val="center"/>
              <w:rPr>
                <w:rFonts w:eastAsia="新宋体"/>
                <w:color w:val="auto"/>
                <w:sz w:val="22"/>
                <w:szCs w:val="22"/>
                <w:highlight w:val="none"/>
              </w:rPr>
            </w:pPr>
            <w:r>
              <w:rPr>
                <w:rFonts w:hint="eastAsia" w:eastAsia="新宋体"/>
                <w:color w:val="auto"/>
                <w:sz w:val="22"/>
                <w:szCs w:val="22"/>
                <w:highlight w:val="none"/>
              </w:rPr>
              <w:t>学  历</w:t>
            </w:r>
          </w:p>
        </w:tc>
        <w:tc>
          <w:tcPr>
            <w:tcW w:w="1568" w:type="dxa"/>
            <w:tcBorders>
              <w:top w:val="single" w:color="auto" w:sz="4" w:space="0"/>
              <w:bottom w:val="single" w:color="auto" w:sz="4" w:space="0"/>
            </w:tcBorders>
            <w:vAlign w:val="center"/>
          </w:tcPr>
          <w:p w14:paraId="66808206">
            <w:pPr>
              <w:spacing w:line="360" w:lineRule="exact"/>
              <w:jc w:val="center"/>
              <w:rPr>
                <w:rFonts w:eastAsia="新宋体"/>
                <w:color w:val="auto"/>
                <w:sz w:val="22"/>
                <w:szCs w:val="22"/>
                <w:highlight w:val="none"/>
              </w:rPr>
            </w:pPr>
          </w:p>
        </w:tc>
      </w:tr>
      <w:tr w14:paraId="5F50147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1F4DD88">
            <w:pPr>
              <w:spacing w:line="360" w:lineRule="exact"/>
              <w:jc w:val="center"/>
              <w:rPr>
                <w:rFonts w:eastAsia="新宋体"/>
                <w:color w:val="auto"/>
                <w:sz w:val="22"/>
                <w:szCs w:val="22"/>
                <w:highlight w:val="none"/>
              </w:rPr>
            </w:pPr>
            <w:r>
              <w:rPr>
                <w:rFonts w:hint="eastAsia" w:eastAsia="新宋体"/>
                <w:color w:val="auto"/>
                <w:sz w:val="22"/>
                <w:szCs w:val="22"/>
                <w:highlight w:val="none"/>
              </w:rPr>
              <w:t>毕业学校</w:t>
            </w:r>
          </w:p>
        </w:tc>
        <w:tc>
          <w:tcPr>
            <w:tcW w:w="1799" w:type="dxa"/>
            <w:tcBorders>
              <w:top w:val="single" w:color="auto" w:sz="4" w:space="0"/>
              <w:bottom w:val="single" w:color="auto" w:sz="4" w:space="0"/>
            </w:tcBorders>
            <w:vAlign w:val="center"/>
          </w:tcPr>
          <w:p w14:paraId="1094D3E9">
            <w:pPr>
              <w:spacing w:line="360" w:lineRule="exact"/>
              <w:rPr>
                <w:rFonts w:eastAsia="新宋体"/>
                <w:color w:val="auto"/>
                <w:sz w:val="22"/>
                <w:szCs w:val="22"/>
                <w:highlight w:val="none"/>
              </w:rPr>
            </w:pPr>
          </w:p>
        </w:tc>
        <w:tc>
          <w:tcPr>
            <w:tcW w:w="1567" w:type="dxa"/>
            <w:gridSpan w:val="2"/>
            <w:tcBorders>
              <w:top w:val="single" w:color="auto" w:sz="4" w:space="0"/>
              <w:bottom w:val="single" w:color="auto" w:sz="4" w:space="0"/>
            </w:tcBorders>
            <w:vAlign w:val="center"/>
          </w:tcPr>
          <w:p w14:paraId="40981406">
            <w:pPr>
              <w:spacing w:line="360" w:lineRule="exact"/>
              <w:jc w:val="center"/>
              <w:rPr>
                <w:rFonts w:eastAsia="新宋体"/>
                <w:color w:val="auto"/>
                <w:sz w:val="22"/>
                <w:szCs w:val="22"/>
                <w:highlight w:val="none"/>
              </w:rPr>
            </w:pPr>
            <w:r>
              <w:rPr>
                <w:rFonts w:hint="eastAsia" w:eastAsia="新宋体"/>
                <w:color w:val="auto"/>
                <w:sz w:val="22"/>
                <w:szCs w:val="22"/>
                <w:highlight w:val="none"/>
              </w:rPr>
              <w:t>专  业</w:t>
            </w:r>
          </w:p>
        </w:tc>
        <w:tc>
          <w:tcPr>
            <w:tcW w:w="1062" w:type="dxa"/>
            <w:tcBorders>
              <w:top w:val="single" w:color="auto" w:sz="4" w:space="0"/>
              <w:bottom w:val="single" w:color="auto" w:sz="4" w:space="0"/>
            </w:tcBorders>
            <w:vAlign w:val="center"/>
          </w:tcPr>
          <w:p w14:paraId="2E81DE1F">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vAlign w:val="center"/>
          </w:tcPr>
          <w:p w14:paraId="2714EB64">
            <w:pPr>
              <w:spacing w:line="360" w:lineRule="exact"/>
              <w:jc w:val="center"/>
              <w:rPr>
                <w:rFonts w:eastAsia="新宋体"/>
                <w:color w:val="auto"/>
                <w:sz w:val="22"/>
                <w:szCs w:val="22"/>
                <w:highlight w:val="none"/>
              </w:rPr>
            </w:pPr>
            <w:r>
              <w:rPr>
                <w:rFonts w:hint="eastAsia" w:eastAsia="新宋体"/>
                <w:color w:val="auto"/>
                <w:sz w:val="22"/>
                <w:szCs w:val="22"/>
                <w:highlight w:val="none"/>
              </w:rPr>
              <w:t>职  务</w:t>
            </w:r>
          </w:p>
        </w:tc>
        <w:tc>
          <w:tcPr>
            <w:tcW w:w="1568" w:type="dxa"/>
            <w:tcBorders>
              <w:top w:val="single" w:color="auto" w:sz="4" w:space="0"/>
              <w:bottom w:val="single" w:color="auto" w:sz="4" w:space="0"/>
            </w:tcBorders>
            <w:vAlign w:val="center"/>
          </w:tcPr>
          <w:p w14:paraId="70B3B023">
            <w:pPr>
              <w:spacing w:line="360" w:lineRule="exact"/>
              <w:jc w:val="center"/>
              <w:rPr>
                <w:rFonts w:eastAsia="新宋体"/>
                <w:color w:val="auto"/>
                <w:sz w:val="22"/>
                <w:szCs w:val="22"/>
                <w:highlight w:val="none"/>
              </w:rPr>
            </w:pPr>
          </w:p>
        </w:tc>
      </w:tr>
      <w:tr w14:paraId="03A0F54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5D59F5FC">
            <w:pPr>
              <w:spacing w:line="360" w:lineRule="exact"/>
              <w:jc w:val="center"/>
              <w:rPr>
                <w:rFonts w:eastAsia="新宋体"/>
                <w:color w:val="auto"/>
                <w:sz w:val="22"/>
                <w:szCs w:val="22"/>
                <w:highlight w:val="none"/>
              </w:rPr>
            </w:pPr>
            <w:r>
              <w:rPr>
                <w:rFonts w:hint="eastAsia" w:eastAsia="新宋体"/>
                <w:color w:val="auto"/>
                <w:sz w:val="22"/>
                <w:szCs w:val="22"/>
                <w:highlight w:val="none"/>
              </w:rPr>
              <w:t>职  称</w:t>
            </w:r>
          </w:p>
        </w:tc>
        <w:tc>
          <w:tcPr>
            <w:tcW w:w="1799" w:type="dxa"/>
            <w:tcBorders>
              <w:top w:val="single" w:color="auto" w:sz="4" w:space="0"/>
              <w:bottom w:val="single" w:color="auto" w:sz="4" w:space="0"/>
            </w:tcBorders>
            <w:vAlign w:val="center"/>
          </w:tcPr>
          <w:p w14:paraId="09A56ED6">
            <w:pPr>
              <w:spacing w:line="360" w:lineRule="exact"/>
              <w:rPr>
                <w:rFonts w:eastAsia="新宋体"/>
                <w:color w:val="auto"/>
                <w:sz w:val="22"/>
                <w:szCs w:val="22"/>
                <w:highlight w:val="none"/>
              </w:rPr>
            </w:pPr>
          </w:p>
        </w:tc>
        <w:tc>
          <w:tcPr>
            <w:tcW w:w="1567" w:type="dxa"/>
            <w:gridSpan w:val="2"/>
            <w:tcBorders>
              <w:top w:val="single" w:color="auto" w:sz="4" w:space="0"/>
              <w:bottom w:val="single" w:color="auto" w:sz="4" w:space="0"/>
            </w:tcBorders>
            <w:vAlign w:val="center"/>
          </w:tcPr>
          <w:p w14:paraId="46DCAC4C">
            <w:pPr>
              <w:spacing w:line="360" w:lineRule="exact"/>
              <w:jc w:val="center"/>
              <w:rPr>
                <w:rFonts w:eastAsia="新宋体"/>
                <w:color w:val="auto"/>
                <w:sz w:val="22"/>
                <w:szCs w:val="22"/>
                <w:highlight w:val="none"/>
              </w:rPr>
            </w:pPr>
            <w:r>
              <w:rPr>
                <w:rFonts w:hint="eastAsia" w:eastAsia="新宋体"/>
                <w:color w:val="auto"/>
                <w:sz w:val="22"/>
                <w:szCs w:val="22"/>
                <w:highlight w:val="none"/>
              </w:rPr>
              <w:t>拟任何职</w:t>
            </w:r>
          </w:p>
        </w:tc>
        <w:tc>
          <w:tcPr>
            <w:tcW w:w="1062" w:type="dxa"/>
            <w:tcBorders>
              <w:top w:val="single" w:color="auto" w:sz="4" w:space="0"/>
              <w:bottom w:val="single" w:color="auto" w:sz="4" w:space="0"/>
            </w:tcBorders>
            <w:vAlign w:val="center"/>
          </w:tcPr>
          <w:p w14:paraId="0C17A6A1">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vAlign w:val="center"/>
          </w:tcPr>
          <w:p w14:paraId="78F0E266">
            <w:pPr>
              <w:spacing w:line="360" w:lineRule="exact"/>
              <w:jc w:val="center"/>
              <w:rPr>
                <w:rFonts w:eastAsia="新宋体"/>
                <w:color w:val="auto"/>
                <w:sz w:val="22"/>
                <w:szCs w:val="22"/>
                <w:highlight w:val="none"/>
              </w:rPr>
            </w:pPr>
            <w:r>
              <w:rPr>
                <w:rFonts w:hint="eastAsia" w:eastAsia="新宋体"/>
                <w:color w:val="auto"/>
                <w:sz w:val="22"/>
                <w:szCs w:val="22"/>
                <w:highlight w:val="none"/>
              </w:rPr>
              <w:t>参加工作</w:t>
            </w:r>
          </w:p>
          <w:p w14:paraId="306D2ECA">
            <w:pPr>
              <w:spacing w:line="360" w:lineRule="exact"/>
              <w:jc w:val="center"/>
              <w:rPr>
                <w:rFonts w:eastAsia="新宋体"/>
                <w:color w:val="auto"/>
                <w:sz w:val="22"/>
                <w:szCs w:val="22"/>
                <w:highlight w:val="none"/>
              </w:rPr>
            </w:pPr>
            <w:r>
              <w:rPr>
                <w:rFonts w:hint="eastAsia" w:eastAsia="新宋体"/>
                <w:color w:val="auto"/>
                <w:sz w:val="22"/>
                <w:szCs w:val="22"/>
                <w:highlight w:val="none"/>
              </w:rPr>
              <w:t>时间</w:t>
            </w:r>
          </w:p>
        </w:tc>
        <w:tc>
          <w:tcPr>
            <w:tcW w:w="1568" w:type="dxa"/>
            <w:tcBorders>
              <w:top w:val="single" w:color="auto" w:sz="4" w:space="0"/>
              <w:bottom w:val="single" w:color="auto" w:sz="4" w:space="0"/>
            </w:tcBorders>
            <w:vAlign w:val="center"/>
          </w:tcPr>
          <w:p w14:paraId="698B3A6E">
            <w:pPr>
              <w:spacing w:line="360" w:lineRule="exact"/>
              <w:jc w:val="center"/>
              <w:rPr>
                <w:rFonts w:eastAsia="新宋体"/>
                <w:color w:val="auto"/>
                <w:sz w:val="22"/>
                <w:szCs w:val="22"/>
                <w:highlight w:val="none"/>
              </w:rPr>
            </w:pPr>
          </w:p>
        </w:tc>
      </w:tr>
      <w:tr w14:paraId="07E7B3B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1FCDB3C">
            <w:pPr>
              <w:spacing w:line="360" w:lineRule="exact"/>
              <w:jc w:val="center"/>
              <w:rPr>
                <w:rFonts w:eastAsia="新宋体"/>
                <w:color w:val="auto"/>
                <w:sz w:val="22"/>
                <w:szCs w:val="22"/>
                <w:highlight w:val="none"/>
              </w:rPr>
            </w:pPr>
            <w:r>
              <w:rPr>
                <w:rFonts w:hint="eastAsia" w:eastAsia="新宋体"/>
                <w:color w:val="auto"/>
                <w:sz w:val="22"/>
                <w:szCs w:val="22"/>
                <w:highlight w:val="none"/>
              </w:rPr>
              <w:t>2、个人简历</w:t>
            </w:r>
          </w:p>
        </w:tc>
      </w:tr>
      <w:tr w14:paraId="7EFE56D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565869E">
            <w:pPr>
              <w:spacing w:line="360" w:lineRule="exact"/>
              <w:jc w:val="center"/>
              <w:rPr>
                <w:rFonts w:eastAsia="新宋体"/>
                <w:color w:val="auto"/>
                <w:sz w:val="22"/>
                <w:szCs w:val="22"/>
                <w:highlight w:val="none"/>
              </w:rPr>
            </w:pPr>
            <w:r>
              <w:rPr>
                <w:rFonts w:hint="eastAsia" w:eastAsia="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4AD0167F">
            <w:pPr>
              <w:spacing w:line="360" w:lineRule="exact"/>
              <w:jc w:val="center"/>
              <w:rPr>
                <w:rFonts w:eastAsia="新宋体"/>
                <w:color w:val="auto"/>
                <w:sz w:val="22"/>
                <w:szCs w:val="22"/>
                <w:highlight w:val="none"/>
              </w:rPr>
            </w:pPr>
            <w:r>
              <w:rPr>
                <w:rFonts w:hint="eastAsia" w:eastAsia="新宋体"/>
                <w:color w:val="auto"/>
                <w:sz w:val="22"/>
                <w:szCs w:val="22"/>
                <w:highlight w:val="none"/>
              </w:rPr>
              <w:t>专业工作经历</w:t>
            </w:r>
          </w:p>
        </w:tc>
      </w:tr>
      <w:tr w14:paraId="0F4632C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21DCCF78">
            <w:pPr>
              <w:spacing w:line="360" w:lineRule="exact"/>
              <w:rPr>
                <w:rFonts w:eastAsia="新宋体"/>
                <w:color w:val="auto"/>
                <w:sz w:val="22"/>
                <w:szCs w:val="22"/>
                <w:highlight w:val="none"/>
              </w:rPr>
            </w:pPr>
          </w:p>
        </w:tc>
        <w:tc>
          <w:tcPr>
            <w:tcW w:w="8070" w:type="dxa"/>
            <w:gridSpan w:val="6"/>
            <w:tcBorders>
              <w:top w:val="single" w:color="auto" w:sz="4" w:space="0"/>
              <w:bottom w:val="single" w:color="auto" w:sz="4" w:space="0"/>
            </w:tcBorders>
            <w:vAlign w:val="center"/>
          </w:tcPr>
          <w:p w14:paraId="6D149D4A">
            <w:pPr>
              <w:spacing w:line="360" w:lineRule="exact"/>
              <w:rPr>
                <w:rFonts w:eastAsia="新宋体"/>
                <w:color w:val="auto"/>
                <w:sz w:val="22"/>
                <w:szCs w:val="22"/>
                <w:highlight w:val="none"/>
              </w:rPr>
            </w:pPr>
          </w:p>
        </w:tc>
      </w:tr>
      <w:tr w14:paraId="6ADC178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50B1451">
            <w:pPr>
              <w:spacing w:line="360" w:lineRule="exact"/>
              <w:rPr>
                <w:rFonts w:eastAsia="新宋体"/>
                <w:color w:val="auto"/>
                <w:sz w:val="22"/>
                <w:szCs w:val="22"/>
                <w:highlight w:val="none"/>
              </w:rPr>
            </w:pPr>
          </w:p>
        </w:tc>
        <w:tc>
          <w:tcPr>
            <w:tcW w:w="8070" w:type="dxa"/>
            <w:gridSpan w:val="6"/>
            <w:tcBorders>
              <w:top w:val="single" w:color="auto" w:sz="4" w:space="0"/>
              <w:bottom w:val="single" w:color="auto" w:sz="4" w:space="0"/>
            </w:tcBorders>
            <w:vAlign w:val="center"/>
          </w:tcPr>
          <w:p w14:paraId="4A07D2FD">
            <w:pPr>
              <w:spacing w:line="360" w:lineRule="exact"/>
              <w:rPr>
                <w:rFonts w:eastAsia="新宋体"/>
                <w:color w:val="auto"/>
                <w:sz w:val="22"/>
                <w:szCs w:val="22"/>
                <w:highlight w:val="none"/>
              </w:rPr>
            </w:pPr>
          </w:p>
        </w:tc>
      </w:tr>
      <w:tr w14:paraId="14C7BB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3E284086">
            <w:pPr>
              <w:spacing w:line="360" w:lineRule="exact"/>
              <w:jc w:val="center"/>
              <w:rPr>
                <w:rFonts w:eastAsia="新宋体"/>
                <w:color w:val="auto"/>
                <w:sz w:val="22"/>
                <w:szCs w:val="22"/>
                <w:highlight w:val="none"/>
              </w:rPr>
            </w:pPr>
            <w:r>
              <w:rPr>
                <w:rFonts w:hint="eastAsia" w:eastAsia="新宋体"/>
                <w:color w:val="auto"/>
                <w:sz w:val="22"/>
                <w:szCs w:val="22"/>
                <w:highlight w:val="none"/>
              </w:rPr>
              <w:t>3、项目负责人业绩</w:t>
            </w:r>
          </w:p>
        </w:tc>
      </w:tr>
      <w:tr w14:paraId="23F6E0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426AE95D">
            <w:pPr>
              <w:spacing w:line="360" w:lineRule="exact"/>
              <w:jc w:val="center"/>
              <w:rPr>
                <w:rFonts w:eastAsia="新宋体"/>
                <w:color w:val="auto"/>
                <w:sz w:val="22"/>
                <w:szCs w:val="22"/>
                <w:highlight w:val="none"/>
              </w:rPr>
            </w:pPr>
            <w:r>
              <w:rPr>
                <w:rFonts w:hint="eastAsia" w:eastAsia="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7A83B5FA">
            <w:pPr>
              <w:spacing w:line="360" w:lineRule="exact"/>
              <w:jc w:val="center"/>
              <w:rPr>
                <w:rFonts w:eastAsia="新宋体"/>
                <w:color w:val="auto"/>
                <w:sz w:val="22"/>
                <w:szCs w:val="22"/>
                <w:highlight w:val="none"/>
              </w:rPr>
            </w:pPr>
            <w:r>
              <w:rPr>
                <w:rFonts w:hint="eastAsia" w:eastAsia="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171586CE">
            <w:pPr>
              <w:spacing w:line="360" w:lineRule="exact"/>
              <w:jc w:val="center"/>
              <w:rPr>
                <w:rFonts w:eastAsia="新宋体"/>
                <w:color w:val="auto"/>
                <w:sz w:val="22"/>
                <w:szCs w:val="22"/>
                <w:highlight w:val="none"/>
              </w:rPr>
            </w:pPr>
            <w:r>
              <w:rPr>
                <w:rFonts w:hint="eastAsia" w:eastAsia="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2F0917CE">
            <w:pPr>
              <w:spacing w:line="360" w:lineRule="exact"/>
              <w:jc w:val="center"/>
              <w:rPr>
                <w:rFonts w:eastAsia="新宋体"/>
                <w:color w:val="auto"/>
                <w:sz w:val="22"/>
                <w:szCs w:val="22"/>
                <w:highlight w:val="none"/>
              </w:rPr>
            </w:pPr>
            <w:r>
              <w:rPr>
                <w:rFonts w:hint="eastAsia" w:eastAsia="新宋体"/>
                <w:color w:val="auto"/>
                <w:sz w:val="22"/>
                <w:szCs w:val="22"/>
                <w:highlight w:val="none"/>
              </w:rPr>
              <w:t>获奖情况</w:t>
            </w:r>
          </w:p>
        </w:tc>
      </w:tr>
      <w:tr w14:paraId="522C71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1346EC5C">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vAlign w:val="center"/>
          </w:tcPr>
          <w:p w14:paraId="7386900B">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vAlign w:val="center"/>
          </w:tcPr>
          <w:p w14:paraId="61D263A0">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vAlign w:val="center"/>
          </w:tcPr>
          <w:p w14:paraId="702F3AEA">
            <w:pPr>
              <w:spacing w:line="360" w:lineRule="exact"/>
              <w:rPr>
                <w:rFonts w:eastAsia="新宋体"/>
                <w:color w:val="auto"/>
                <w:sz w:val="22"/>
                <w:szCs w:val="22"/>
                <w:highlight w:val="none"/>
              </w:rPr>
            </w:pPr>
          </w:p>
        </w:tc>
      </w:tr>
      <w:tr w14:paraId="4D74EE9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C234E4D">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vAlign w:val="center"/>
          </w:tcPr>
          <w:p w14:paraId="19484EE9">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vAlign w:val="center"/>
          </w:tcPr>
          <w:p w14:paraId="37CB2DE9">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vAlign w:val="center"/>
          </w:tcPr>
          <w:p w14:paraId="683A88AE">
            <w:pPr>
              <w:spacing w:line="360" w:lineRule="exact"/>
              <w:rPr>
                <w:rFonts w:eastAsia="新宋体"/>
                <w:color w:val="auto"/>
                <w:sz w:val="22"/>
                <w:szCs w:val="22"/>
                <w:highlight w:val="none"/>
              </w:rPr>
            </w:pPr>
          </w:p>
        </w:tc>
      </w:tr>
      <w:tr w14:paraId="118E9F4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5AC702C">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vAlign w:val="center"/>
          </w:tcPr>
          <w:p w14:paraId="7D1AA20A">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vAlign w:val="center"/>
          </w:tcPr>
          <w:p w14:paraId="5AAF090C">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vAlign w:val="center"/>
          </w:tcPr>
          <w:p w14:paraId="1E25E0E1">
            <w:pPr>
              <w:spacing w:line="360" w:lineRule="exact"/>
              <w:rPr>
                <w:rFonts w:eastAsia="新宋体"/>
                <w:color w:val="auto"/>
                <w:sz w:val="22"/>
                <w:szCs w:val="22"/>
                <w:highlight w:val="none"/>
              </w:rPr>
            </w:pPr>
          </w:p>
        </w:tc>
      </w:tr>
      <w:tr w14:paraId="071F5AF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D712696">
            <w:pPr>
              <w:spacing w:line="360" w:lineRule="exact"/>
              <w:rPr>
                <w:rFonts w:eastAsia="新宋体"/>
                <w:color w:val="auto"/>
                <w:sz w:val="22"/>
                <w:szCs w:val="22"/>
                <w:highlight w:val="none"/>
              </w:rPr>
            </w:pPr>
          </w:p>
        </w:tc>
        <w:tc>
          <w:tcPr>
            <w:tcW w:w="3427" w:type="dxa"/>
            <w:gridSpan w:val="3"/>
            <w:tcBorders>
              <w:top w:val="single" w:color="auto" w:sz="4" w:space="0"/>
              <w:bottom w:val="single" w:color="auto" w:sz="12" w:space="0"/>
            </w:tcBorders>
            <w:vAlign w:val="center"/>
          </w:tcPr>
          <w:p w14:paraId="66F50765">
            <w:pPr>
              <w:spacing w:line="360" w:lineRule="exact"/>
              <w:rPr>
                <w:rFonts w:eastAsia="新宋体"/>
                <w:color w:val="auto"/>
                <w:sz w:val="22"/>
                <w:szCs w:val="22"/>
                <w:highlight w:val="none"/>
              </w:rPr>
            </w:pPr>
          </w:p>
        </w:tc>
        <w:tc>
          <w:tcPr>
            <w:tcW w:w="1440" w:type="dxa"/>
            <w:gridSpan w:val="2"/>
            <w:tcBorders>
              <w:top w:val="single" w:color="auto" w:sz="4" w:space="0"/>
              <w:bottom w:val="single" w:color="auto" w:sz="12" w:space="0"/>
            </w:tcBorders>
            <w:vAlign w:val="center"/>
          </w:tcPr>
          <w:p w14:paraId="42322EC2">
            <w:pPr>
              <w:spacing w:line="360" w:lineRule="exact"/>
              <w:rPr>
                <w:rFonts w:eastAsia="新宋体"/>
                <w:color w:val="auto"/>
                <w:sz w:val="22"/>
                <w:szCs w:val="22"/>
                <w:highlight w:val="none"/>
              </w:rPr>
            </w:pPr>
          </w:p>
        </w:tc>
        <w:tc>
          <w:tcPr>
            <w:tcW w:w="3642" w:type="dxa"/>
            <w:gridSpan w:val="2"/>
            <w:tcBorders>
              <w:top w:val="single" w:color="auto" w:sz="4" w:space="0"/>
              <w:bottom w:val="single" w:color="auto" w:sz="12" w:space="0"/>
            </w:tcBorders>
            <w:vAlign w:val="center"/>
          </w:tcPr>
          <w:p w14:paraId="320D894E">
            <w:pPr>
              <w:spacing w:line="360" w:lineRule="exact"/>
              <w:rPr>
                <w:rFonts w:eastAsia="新宋体"/>
                <w:color w:val="auto"/>
                <w:sz w:val="22"/>
                <w:szCs w:val="22"/>
                <w:highlight w:val="none"/>
              </w:rPr>
            </w:pPr>
          </w:p>
        </w:tc>
      </w:tr>
    </w:tbl>
    <w:p w14:paraId="1900471A">
      <w:pPr>
        <w:pStyle w:val="31"/>
        <w:spacing w:line="340" w:lineRule="exac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 xml:space="preserve">                                          </w:t>
      </w:r>
    </w:p>
    <w:p w14:paraId="40D8B8FB">
      <w:pPr>
        <w:spacing w:line="380" w:lineRule="exact"/>
        <w:ind w:left="4420" w:leftChars="2000" w:hanging="220" w:hangingChars="100"/>
        <w:rPr>
          <w:rFonts w:eastAsia="新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eastAsia="新宋体"/>
          <w:color w:val="auto"/>
          <w:sz w:val="22"/>
          <w:szCs w:val="22"/>
          <w:highlight w:val="none"/>
        </w:rPr>
        <w:t>投标人全称（盖章）：</w:t>
      </w:r>
    </w:p>
    <w:p w14:paraId="790C70B8">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14:paraId="75B8D0BE">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r>
        <w:rPr>
          <w:rFonts w:hint="eastAsia" w:ascii="宋体" w:hAnsi="宋体" w:cs="宋体"/>
          <w:color w:val="auto"/>
          <w:sz w:val="22"/>
          <w:szCs w:val="22"/>
          <w:highlight w:val="none"/>
          <w:u w:val="single"/>
        </w:rPr>
        <w:t xml:space="preserve">                       </w:t>
      </w:r>
    </w:p>
    <w:p w14:paraId="25326E72">
      <w:pPr>
        <w:jc w:val="center"/>
        <w:rPr>
          <w:rFonts w:ascii="宋体" w:hAnsi="宋体"/>
          <w:b/>
          <w:color w:val="auto"/>
          <w:sz w:val="22"/>
          <w:szCs w:val="22"/>
          <w:highlight w:val="none"/>
        </w:rPr>
      </w:pPr>
      <w:r>
        <w:rPr>
          <w:rFonts w:hint="eastAsia" w:eastAsia="新宋体"/>
          <w:b/>
          <w:color w:val="auto"/>
          <w:sz w:val="28"/>
          <w:highlight w:val="none"/>
        </w:rPr>
        <w:br w:type="page"/>
      </w:r>
      <w:r>
        <w:rPr>
          <w:rFonts w:hint="eastAsia" w:ascii="宋体" w:hAnsi="宋体"/>
          <w:b/>
          <w:color w:val="auto"/>
          <w:sz w:val="22"/>
          <w:szCs w:val="22"/>
          <w:highlight w:val="none"/>
        </w:rPr>
        <w:t>（2）拟投入的项目实施人员名单</w:t>
      </w:r>
    </w:p>
    <w:p w14:paraId="1EB68384">
      <w:pPr>
        <w:rPr>
          <w:rFonts w:ascii="宋体" w:hAnsi="宋体"/>
          <w:color w:val="auto"/>
          <w:sz w:val="22"/>
          <w:szCs w:val="22"/>
          <w:highlight w:val="none"/>
        </w:rPr>
      </w:pPr>
      <w:r>
        <w:rPr>
          <w:rFonts w:hint="eastAsia" w:ascii="宋体" w:hAnsi="宋体"/>
          <w:b/>
          <w:color w:val="auto"/>
          <w:sz w:val="22"/>
          <w:szCs w:val="22"/>
          <w:highlight w:val="none"/>
        </w:rPr>
        <w:t>项目名称：                                         项目编号：</w:t>
      </w:r>
      <w:r>
        <w:rPr>
          <w:rFonts w:hint="eastAsia" w:ascii="宋体" w:hAnsi="宋体"/>
          <w:color w:val="auto"/>
          <w:sz w:val="22"/>
          <w:szCs w:val="22"/>
          <w:highlight w:val="none"/>
        </w:rPr>
        <w:t xml:space="preserve"> </w:t>
      </w: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43923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6B89EF4A">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958" w:type="dxa"/>
            <w:vAlign w:val="center"/>
          </w:tcPr>
          <w:p w14:paraId="0A55CD4F">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姓名</w:t>
            </w:r>
          </w:p>
        </w:tc>
        <w:tc>
          <w:tcPr>
            <w:tcW w:w="958" w:type="dxa"/>
            <w:vAlign w:val="center"/>
          </w:tcPr>
          <w:p w14:paraId="61561AAE">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性别</w:t>
            </w:r>
          </w:p>
        </w:tc>
        <w:tc>
          <w:tcPr>
            <w:tcW w:w="767" w:type="dxa"/>
            <w:vAlign w:val="center"/>
          </w:tcPr>
          <w:p w14:paraId="0EB4C4F2">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年龄</w:t>
            </w:r>
          </w:p>
        </w:tc>
        <w:tc>
          <w:tcPr>
            <w:tcW w:w="767" w:type="dxa"/>
            <w:vAlign w:val="center"/>
          </w:tcPr>
          <w:p w14:paraId="7B262E23">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学历</w:t>
            </w:r>
          </w:p>
        </w:tc>
        <w:tc>
          <w:tcPr>
            <w:tcW w:w="1340" w:type="dxa"/>
            <w:vAlign w:val="center"/>
          </w:tcPr>
          <w:p w14:paraId="620DE266">
            <w:pPr>
              <w:spacing w:line="280" w:lineRule="exact"/>
              <w:jc w:val="center"/>
              <w:rPr>
                <w:rFonts w:ascii="宋体" w:hAnsi="宋体"/>
                <w:color w:val="auto"/>
                <w:sz w:val="22"/>
                <w:szCs w:val="22"/>
                <w:highlight w:val="none"/>
              </w:rPr>
            </w:pPr>
            <w:r>
              <w:rPr>
                <w:rFonts w:hint="eastAsia" w:ascii="宋体" w:hAnsi="宋体"/>
                <w:color w:val="auto"/>
                <w:sz w:val="22"/>
                <w:szCs w:val="22"/>
                <w:highlight w:val="none"/>
              </w:rPr>
              <w:t>职称/职务</w:t>
            </w:r>
          </w:p>
        </w:tc>
        <w:tc>
          <w:tcPr>
            <w:tcW w:w="1326" w:type="dxa"/>
            <w:vAlign w:val="center"/>
          </w:tcPr>
          <w:p w14:paraId="2A9978A6">
            <w:pPr>
              <w:spacing w:line="280" w:lineRule="exact"/>
              <w:jc w:val="center"/>
              <w:rPr>
                <w:rFonts w:ascii="宋体" w:hAnsi="宋体"/>
                <w:color w:val="auto"/>
                <w:sz w:val="22"/>
                <w:szCs w:val="22"/>
                <w:highlight w:val="none"/>
              </w:rPr>
            </w:pPr>
            <w:r>
              <w:rPr>
                <w:rFonts w:hint="eastAsia" w:ascii="宋体" w:hAnsi="宋体"/>
                <w:color w:val="auto"/>
                <w:sz w:val="22"/>
                <w:szCs w:val="22"/>
                <w:highlight w:val="none"/>
              </w:rPr>
              <w:t>本项目中的岗位</w:t>
            </w:r>
          </w:p>
        </w:tc>
        <w:tc>
          <w:tcPr>
            <w:tcW w:w="1825" w:type="dxa"/>
            <w:vAlign w:val="center"/>
          </w:tcPr>
          <w:p w14:paraId="150F4CB9">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从事专业年限</w:t>
            </w:r>
          </w:p>
        </w:tc>
        <w:tc>
          <w:tcPr>
            <w:tcW w:w="1147" w:type="dxa"/>
            <w:vAlign w:val="center"/>
          </w:tcPr>
          <w:p w14:paraId="0D3CA2F2">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14:paraId="1C6BA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60B9A92">
            <w:pPr>
              <w:spacing w:line="360" w:lineRule="auto"/>
              <w:jc w:val="center"/>
              <w:rPr>
                <w:rFonts w:ascii="宋体" w:hAnsi="宋体"/>
                <w:color w:val="auto"/>
                <w:sz w:val="22"/>
                <w:szCs w:val="22"/>
                <w:highlight w:val="none"/>
              </w:rPr>
            </w:pPr>
          </w:p>
        </w:tc>
        <w:tc>
          <w:tcPr>
            <w:tcW w:w="958" w:type="dxa"/>
            <w:vAlign w:val="center"/>
          </w:tcPr>
          <w:p w14:paraId="179B6195">
            <w:pPr>
              <w:spacing w:line="360" w:lineRule="auto"/>
              <w:jc w:val="center"/>
              <w:rPr>
                <w:rFonts w:ascii="宋体" w:hAnsi="宋体"/>
                <w:color w:val="auto"/>
                <w:sz w:val="22"/>
                <w:szCs w:val="22"/>
                <w:highlight w:val="none"/>
              </w:rPr>
            </w:pPr>
          </w:p>
        </w:tc>
        <w:tc>
          <w:tcPr>
            <w:tcW w:w="958" w:type="dxa"/>
            <w:vAlign w:val="center"/>
          </w:tcPr>
          <w:p w14:paraId="6E7F99CC">
            <w:pPr>
              <w:spacing w:line="360" w:lineRule="auto"/>
              <w:jc w:val="center"/>
              <w:rPr>
                <w:rFonts w:ascii="宋体" w:hAnsi="宋体"/>
                <w:color w:val="auto"/>
                <w:sz w:val="22"/>
                <w:szCs w:val="22"/>
                <w:highlight w:val="none"/>
              </w:rPr>
            </w:pPr>
          </w:p>
        </w:tc>
        <w:tc>
          <w:tcPr>
            <w:tcW w:w="767" w:type="dxa"/>
            <w:vAlign w:val="center"/>
          </w:tcPr>
          <w:p w14:paraId="61148E14">
            <w:pPr>
              <w:spacing w:line="360" w:lineRule="auto"/>
              <w:jc w:val="center"/>
              <w:rPr>
                <w:rFonts w:ascii="宋体" w:hAnsi="宋体"/>
                <w:color w:val="auto"/>
                <w:sz w:val="22"/>
                <w:szCs w:val="22"/>
                <w:highlight w:val="none"/>
              </w:rPr>
            </w:pPr>
          </w:p>
        </w:tc>
        <w:tc>
          <w:tcPr>
            <w:tcW w:w="767" w:type="dxa"/>
            <w:vAlign w:val="center"/>
          </w:tcPr>
          <w:p w14:paraId="10B9C7D4">
            <w:pPr>
              <w:spacing w:line="360" w:lineRule="auto"/>
              <w:jc w:val="center"/>
              <w:rPr>
                <w:rFonts w:ascii="宋体" w:hAnsi="宋体"/>
                <w:color w:val="auto"/>
                <w:sz w:val="22"/>
                <w:szCs w:val="22"/>
                <w:highlight w:val="none"/>
              </w:rPr>
            </w:pPr>
          </w:p>
        </w:tc>
        <w:tc>
          <w:tcPr>
            <w:tcW w:w="1340" w:type="dxa"/>
            <w:vAlign w:val="center"/>
          </w:tcPr>
          <w:p w14:paraId="06790B5A">
            <w:pPr>
              <w:spacing w:line="360" w:lineRule="auto"/>
              <w:jc w:val="center"/>
              <w:rPr>
                <w:rFonts w:ascii="宋体" w:hAnsi="宋体"/>
                <w:color w:val="auto"/>
                <w:sz w:val="22"/>
                <w:szCs w:val="22"/>
                <w:highlight w:val="none"/>
              </w:rPr>
            </w:pPr>
          </w:p>
        </w:tc>
        <w:tc>
          <w:tcPr>
            <w:tcW w:w="1326" w:type="dxa"/>
            <w:vAlign w:val="center"/>
          </w:tcPr>
          <w:p w14:paraId="3C2551F3">
            <w:pPr>
              <w:spacing w:line="360" w:lineRule="auto"/>
              <w:jc w:val="center"/>
              <w:rPr>
                <w:rFonts w:ascii="宋体" w:hAnsi="宋体"/>
                <w:color w:val="auto"/>
                <w:sz w:val="22"/>
                <w:szCs w:val="22"/>
                <w:highlight w:val="none"/>
              </w:rPr>
            </w:pPr>
          </w:p>
        </w:tc>
        <w:tc>
          <w:tcPr>
            <w:tcW w:w="1825" w:type="dxa"/>
          </w:tcPr>
          <w:p w14:paraId="14368150">
            <w:pPr>
              <w:spacing w:line="360" w:lineRule="auto"/>
              <w:jc w:val="center"/>
              <w:rPr>
                <w:rFonts w:ascii="宋体" w:hAnsi="宋体"/>
                <w:color w:val="auto"/>
                <w:sz w:val="22"/>
                <w:szCs w:val="22"/>
                <w:highlight w:val="none"/>
              </w:rPr>
            </w:pPr>
          </w:p>
        </w:tc>
        <w:tc>
          <w:tcPr>
            <w:tcW w:w="1147" w:type="dxa"/>
            <w:vAlign w:val="center"/>
          </w:tcPr>
          <w:p w14:paraId="63AEC9C8">
            <w:pPr>
              <w:spacing w:line="360" w:lineRule="auto"/>
              <w:jc w:val="center"/>
              <w:rPr>
                <w:rFonts w:ascii="宋体" w:hAnsi="宋体"/>
                <w:color w:val="auto"/>
                <w:sz w:val="22"/>
                <w:szCs w:val="22"/>
                <w:highlight w:val="none"/>
              </w:rPr>
            </w:pPr>
          </w:p>
        </w:tc>
      </w:tr>
      <w:tr w14:paraId="7174A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E08E9B9">
            <w:pPr>
              <w:spacing w:line="360" w:lineRule="auto"/>
              <w:jc w:val="center"/>
              <w:rPr>
                <w:rFonts w:ascii="宋体" w:hAnsi="宋体"/>
                <w:color w:val="auto"/>
                <w:sz w:val="22"/>
                <w:szCs w:val="22"/>
                <w:highlight w:val="none"/>
              </w:rPr>
            </w:pPr>
          </w:p>
        </w:tc>
        <w:tc>
          <w:tcPr>
            <w:tcW w:w="958" w:type="dxa"/>
            <w:vAlign w:val="center"/>
          </w:tcPr>
          <w:p w14:paraId="1ADB853C">
            <w:pPr>
              <w:spacing w:line="360" w:lineRule="auto"/>
              <w:jc w:val="center"/>
              <w:rPr>
                <w:rFonts w:ascii="宋体" w:hAnsi="宋体"/>
                <w:color w:val="auto"/>
                <w:sz w:val="22"/>
                <w:szCs w:val="22"/>
                <w:highlight w:val="none"/>
              </w:rPr>
            </w:pPr>
          </w:p>
        </w:tc>
        <w:tc>
          <w:tcPr>
            <w:tcW w:w="958" w:type="dxa"/>
            <w:vAlign w:val="center"/>
          </w:tcPr>
          <w:p w14:paraId="57AA0372">
            <w:pPr>
              <w:spacing w:line="360" w:lineRule="auto"/>
              <w:jc w:val="center"/>
              <w:rPr>
                <w:rFonts w:ascii="宋体" w:hAnsi="宋体"/>
                <w:color w:val="auto"/>
                <w:sz w:val="22"/>
                <w:szCs w:val="22"/>
                <w:highlight w:val="none"/>
              </w:rPr>
            </w:pPr>
          </w:p>
        </w:tc>
        <w:tc>
          <w:tcPr>
            <w:tcW w:w="767" w:type="dxa"/>
            <w:vAlign w:val="center"/>
          </w:tcPr>
          <w:p w14:paraId="11F28F3E">
            <w:pPr>
              <w:spacing w:line="360" w:lineRule="auto"/>
              <w:jc w:val="center"/>
              <w:rPr>
                <w:rFonts w:ascii="宋体" w:hAnsi="宋体"/>
                <w:color w:val="auto"/>
                <w:sz w:val="22"/>
                <w:szCs w:val="22"/>
                <w:highlight w:val="none"/>
              </w:rPr>
            </w:pPr>
          </w:p>
        </w:tc>
        <w:tc>
          <w:tcPr>
            <w:tcW w:w="767" w:type="dxa"/>
            <w:vAlign w:val="center"/>
          </w:tcPr>
          <w:p w14:paraId="56831EEA">
            <w:pPr>
              <w:spacing w:line="360" w:lineRule="auto"/>
              <w:jc w:val="center"/>
              <w:rPr>
                <w:rFonts w:ascii="宋体" w:hAnsi="宋体"/>
                <w:color w:val="auto"/>
                <w:sz w:val="22"/>
                <w:szCs w:val="22"/>
                <w:highlight w:val="none"/>
              </w:rPr>
            </w:pPr>
          </w:p>
        </w:tc>
        <w:tc>
          <w:tcPr>
            <w:tcW w:w="1340" w:type="dxa"/>
            <w:vAlign w:val="center"/>
          </w:tcPr>
          <w:p w14:paraId="57D0E493">
            <w:pPr>
              <w:spacing w:line="360" w:lineRule="auto"/>
              <w:jc w:val="center"/>
              <w:rPr>
                <w:rFonts w:ascii="宋体" w:hAnsi="宋体"/>
                <w:color w:val="auto"/>
                <w:sz w:val="22"/>
                <w:szCs w:val="22"/>
                <w:highlight w:val="none"/>
              </w:rPr>
            </w:pPr>
          </w:p>
        </w:tc>
        <w:tc>
          <w:tcPr>
            <w:tcW w:w="1326" w:type="dxa"/>
            <w:vAlign w:val="center"/>
          </w:tcPr>
          <w:p w14:paraId="4BC6E46B">
            <w:pPr>
              <w:spacing w:line="360" w:lineRule="auto"/>
              <w:jc w:val="center"/>
              <w:rPr>
                <w:rFonts w:ascii="宋体" w:hAnsi="宋体"/>
                <w:color w:val="auto"/>
                <w:sz w:val="22"/>
                <w:szCs w:val="22"/>
                <w:highlight w:val="none"/>
              </w:rPr>
            </w:pPr>
          </w:p>
        </w:tc>
        <w:tc>
          <w:tcPr>
            <w:tcW w:w="1825" w:type="dxa"/>
          </w:tcPr>
          <w:p w14:paraId="01B4AD05">
            <w:pPr>
              <w:spacing w:line="360" w:lineRule="auto"/>
              <w:jc w:val="center"/>
              <w:rPr>
                <w:rFonts w:ascii="宋体" w:hAnsi="宋体"/>
                <w:color w:val="auto"/>
                <w:sz w:val="22"/>
                <w:szCs w:val="22"/>
                <w:highlight w:val="none"/>
              </w:rPr>
            </w:pPr>
          </w:p>
        </w:tc>
        <w:tc>
          <w:tcPr>
            <w:tcW w:w="1147" w:type="dxa"/>
            <w:vAlign w:val="center"/>
          </w:tcPr>
          <w:p w14:paraId="35362982">
            <w:pPr>
              <w:spacing w:line="360" w:lineRule="auto"/>
              <w:jc w:val="center"/>
              <w:rPr>
                <w:rFonts w:ascii="宋体" w:hAnsi="宋体"/>
                <w:color w:val="auto"/>
                <w:sz w:val="22"/>
                <w:szCs w:val="22"/>
                <w:highlight w:val="none"/>
              </w:rPr>
            </w:pPr>
          </w:p>
        </w:tc>
      </w:tr>
      <w:tr w14:paraId="69142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FDA2B5F">
            <w:pPr>
              <w:spacing w:line="360" w:lineRule="auto"/>
              <w:jc w:val="center"/>
              <w:rPr>
                <w:rFonts w:ascii="宋体" w:hAnsi="宋体"/>
                <w:color w:val="auto"/>
                <w:sz w:val="22"/>
                <w:szCs w:val="22"/>
                <w:highlight w:val="none"/>
              </w:rPr>
            </w:pPr>
          </w:p>
        </w:tc>
        <w:tc>
          <w:tcPr>
            <w:tcW w:w="958" w:type="dxa"/>
            <w:vAlign w:val="center"/>
          </w:tcPr>
          <w:p w14:paraId="60FCCF99">
            <w:pPr>
              <w:spacing w:line="360" w:lineRule="auto"/>
              <w:jc w:val="center"/>
              <w:rPr>
                <w:rFonts w:ascii="宋体" w:hAnsi="宋体"/>
                <w:color w:val="auto"/>
                <w:sz w:val="22"/>
                <w:szCs w:val="22"/>
                <w:highlight w:val="none"/>
              </w:rPr>
            </w:pPr>
          </w:p>
        </w:tc>
        <w:tc>
          <w:tcPr>
            <w:tcW w:w="958" w:type="dxa"/>
            <w:vAlign w:val="center"/>
          </w:tcPr>
          <w:p w14:paraId="22216DFA">
            <w:pPr>
              <w:spacing w:line="360" w:lineRule="auto"/>
              <w:jc w:val="center"/>
              <w:rPr>
                <w:rFonts w:ascii="宋体" w:hAnsi="宋体"/>
                <w:color w:val="auto"/>
                <w:sz w:val="22"/>
                <w:szCs w:val="22"/>
                <w:highlight w:val="none"/>
              </w:rPr>
            </w:pPr>
          </w:p>
        </w:tc>
        <w:tc>
          <w:tcPr>
            <w:tcW w:w="767" w:type="dxa"/>
            <w:vAlign w:val="center"/>
          </w:tcPr>
          <w:p w14:paraId="7C8F8C71">
            <w:pPr>
              <w:spacing w:line="360" w:lineRule="auto"/>
              <w:jc w:val="center"/>
              <w:rPr>
                <w:rFonts w:ascii="宋体" w:hAnsi="宋体"/>
                <w:color w:val="auto"/>
                <w:sz w:val="22"/>
                <w:szCs w:val="22"/>
                <w:highlight w:val="none"/>
              </w:rPr>
            </w:pPr>
          </w:p>
        </w:tc>
        <w:tc>
          <w:tcPr>
            <w:tcW w:w="767" w:type="dxa"/>
            <w:vAlign w:val="center"/>
          </w:tcPr>
          <w:p w14:paraId="3DFE74FD">
            <w:pPr>
              <w:spacing w:line="360" w:lineRule="auto"/>
              <w:jc w:val="center"/>
              <w:rPr>
                <w:rFonts w:ascii="宋体" w:hAnsi="宋体"/>
                <w:color w:val="auto"/>
                <w:sz w:val="22"/>
                <w:szCs w:val="22"/>
                <w:highlight w:val="none"/>
              </w:rPr>
            </w:pPr>
          </w:p>
        </w:tc>
        <w:tc>
          <w:tcPr>
            <w:tcW w:w="1340" w:type="dxa"/>
            <w:vAlign w:val="center"/>
          </w:tcPr>
          <w:p w14:paraId="378AB329">
            <w:pPr>
              <w:spacing w:line="360" w:lineRule="auto"/>
              <w:jc w:val="center"/>
              <w:rPr>
                <w:rFonts w:ascii="宋体" w:hAnsi="宋体"/>
                <w:color w:val="auto"/>
                <w:sz w:val="22"/>
                <w:szCs w:val="22"/>
                <w:highlight w:val="none"/>
              </w:rPr>
            </w:pPr>
          </w:p>
        </w:tc>
        <w:tc>
          <w:tcPr>
            <w:tcW w:w="1326" w:type="dxa"/>
            <w:vAlign w:val="center"/>
          </w:tcPr>
          <w:p w14:paraId="58E2E2AE">
            <w:pPr>
              <w:spacing w:line="360" w:lineRule="auto"/>
              <w:jc w:val="center"/>
              <w:rPr>
                <w:rFonts w:ascii="宋体" w:hAnsi="宋体"/>
                <w:color w:val="auto"/>
                <w:sz w:val="22"/>
                <w:szCs w:val="22"/>
                <w:highlight w:val="none"/>
              </w:rPr>
            </w:pPr>
          </w:p>
        </w:tc>
        <w:tc>
          <w:tcPr>
            <w:tcW w:w="1825" w:type="dxa"/>
          </w:tcPr>
          <w:p w14:paraId="0E9CE88F">
            <w:pPr>
              <w:spacing w:line="360" w:lineRule="auto"/>
              <w:jc w:val="center"/>
              <w:rPr>
                <w:rFonts w:ascii="宋体" w:hAnsi="宋体"/>
                <w:color w:val="auto"/>
                <w:sz w:val="22"/>
                <w:szCs w:val="22"/>
                <w:highlight w:val="none"/>
              </w:rPr>
            </w:pPr>
          </w:p>
        </w:tc>
        <w:tc>
          <w:tcPr>
            <w:tcW w:w="1147" w:type="dxa"/>
            <w:vAlign w:val="center"/>
          </w:tcPr>
          <w:p w14:paraId="5CEE761A">
            <w:pPr>
              <w:spacing w:line="360" w:lineRule="auto"/>
              <w:jc w:val="center"/>
              <w:rPr>
                <w:rFonts w:ascii="宋体" w:hAnsi="宋体"/>
                <w:color w:val="auto"/>
                <w:sz w:val="22"/>
                <w:szCs w:val="22"/>
                <w:highlight w:val="none"/>
              </w:rPr>
            </w:pPr>
          </w:p>
        </w:tc>
      </w:tr>
      <w:tr w14:paraId="1B1F6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C9C14FD">
            <w:pPr>
              <w:spacing w:line="360" w:lineRule="auto"/>
              <w:jc w:val="center"/>
              <w:rPr>
                <w:rFonts w:ascii="宋体" w:hAnsi="宋体"/>
                <w:color w:val="auto"/>
                <w:sz w:val="22"/>
                <w:szCs w:val="22"/>
                <w:highlight w:val="none"/>
              </w:rPr>
            </w:pPr>
          </w:p>
        </w:tc>
        <w:tc>
          <w:tcPr>
            <w:tcW w:w="958" w:type="dxa"/>
            <w:vAlign w:val="center"/>
          </w:tcPr>
          <w:p w14:paraId="54473D3A">
            <w:pPr>
              <w:spacing w:line="360" w:lineRule="auto"/>
              <w:jc w:val="center"/>
              <w:rPr>
                <w:rFonts w:ascii="宋体" w:hAnsi="宋体"/>
                <w:color w:val="auto"/>
                <w:sz w:val="22"/>
                <w:szCs w:val="22"/>
                <w:highlight w:val="none"/>
              </w:rPr>
            </w:pPr>
          </w:p>
        </w:tc>
        <w:tc>
          <w:tcPr>
            <w:tcW w:w="958" w:type="dxa"/>
            <w:vAlign w:val="center"/>
          </w:tcPr>
          <w:p w14:paraId="63AE0BE6">
            <w:pPr>
              <w:spacing w:line="360" w:lineRule="auto"/>
              <w:jc w:val="center"/>
              <w:rPr>
                <w:rFonts w:ascii="宋体" w:hAnsi="宋体"/>
                <w:color w:val="auto"/>
                <w:sz w:val="22"/>
                <w:szCs w:val="22"/>
                <w:highlight w:val="none"/>
              </w:rPr>
            </w:pPr>
          </w:p>
        </w:tc>
        <w:tc>
          <w:tcPr>
            <w:tcW w:w="767" w:type="dxa"/>
            <w:vAlign w:val="center"/>
          </w:tcPr>
          <w:p w14:paraId="1752AFEE">
            <w:pPr>
              <w:spacing w:line="360" w:lineRule="auto"/>
              <w:jc w:val="center"/>
              <w:rPr>
                <w:rFonts w:ascii="宋体" w:hAnsi="宋体"/>
                <w:color w:val="auto"/>
                <w:sz w:val="22"/>
                <w:szCs w:val="22"/>
                <w:highlight w:val="none"/>
              </w:rPr>
            </w:pPr>
          </w:p>
        </w:tc>
        <w:tc>
          <w:tcPr>
            <w:tcW w:w="767" w:type="dxa"/>
            <w:vAlign w:val="center"/>
          </w:tcPr>
          <w:p w14:paraId="3E8B58C1">
            <w:pPr>
              <w:spacing w:line="360" w:lineRule="auto"/>
              <w:jc w:val="center"/>
              <w:rPr>
                <w:rFonts w:ascii="宋体" w:hAnsi="宋体"/>
                <w:color w:val="auto"/>
                <w:sz w:val="22"/>
                <w:szCs w:val="22"/>
                <w:highlight w:val="none"/>
              </w:rPr>
            </w:pPr>
          </w:p>
        </w:tc>
        <w:tc>
          <w:tcPr>
            <w:tcW w:w="1340" w:type="dxa"/>
            <w:vAlign w:val="center"/>
          </w:tcPr>
          <w:p w14:paraId="704EF72A">
            <w:pPr>
              <w:spacing w:line="360" w:lineRule="auto"/>
              <w:jc w:val="center"/>
              <w:rPr>
                <w:rFonts w:ascii="宋体" w:hAnsi="宋体"/>
                <w:color w:val="auto"/>
                <w:sz w:val="22"/>
                <w:szCs w:val="22"/>
                <w:highlight w:val="none"/>
              </w:rPr>
            </w:pPr>
          </w:p>
        </w:tc>
        <w:tc>
          <w:tcPr>
            <w:tcW w:w="1326" w:type="dxa"/>
            <w:vAlign w:val="center"/>
          </w:tcPr>
          <w:p w14:paraId="43ED86D7">
            <w:pPr>
              <w:spacing w:line="360" w:lineRule="auto"/>
              <w:jc w:val="center"/>
              <w:rPr>
                <w:rFonts w:ascii="宋体" w:hAnsi="宋体"/>
                <w:color w:val="auto"/>
                <w:sz w:val="22"/>
                <w:szCs w:val="22"/>
                <w:highlight w:val="none"/>
              </w:rPr>
            </w:pPr>
          </w:p>
        </w:tc>
        <w:tc>
          <w:tcPr>
            <w:tcW w:w="1825" w:type="dxa"/>
          </w:tcPr>
          <w:p w14:paraId="3CE51676">
            <w:pPr>
              <w:spacing w:line="360" w:lineRule="auto"/>
              <w:jc w:val="center"/>
              <w:rPr>
                <w:rFonts w:ascii="宋体" w:hAnsi="宋体"/>
                <w:color w:val="auto"/>
                <w:sz w:val="22"/>
                <w:szCs w:val="22"/>
                <w:highlight w:val="none"/>
              </w:rPr>
            </w:pPr>
          </w:p>
        </w:tc>
        <w:tc>
          <w:tcPr>
            <w:tcW w:w="1147" w:type="dxa"/>
            <w:vAlign w:val="center"/>
          </w:tcPr>
          <w:p w14:paraId="0F67A6EA">
            <w:pPr>
              <w:spacing w:line="360" w:lineRule="auto"/>
              <w:jc w:val="center"/>
              <w:rPr>
                <w:rFonts w:ascii="宋体" w:hAnsi="宋体"/>
                <w:color w:val="auto"/>
                <w:sz w:val="22"/>
                <w:szCs w:val="22"/>
                <w:highlight w:val="none"/>
              </w:rPr>
            </w:pPr>
          </w:p>
        </w:tc>
      </w:tr>
      <w:tr w14:paraId="0826E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B4CD3FC">
            <w:pPr>
              <w:spacing w:line="360" w:lineRule="auto"/>
              <w:jc w:val="center"/>
              <w:rPr>
                <w:rFonts w:ascii="宋体" w:hAnsi="宋体"/>
                <w:color w:val="auto"/>
                <w:sz w:val="22"/>
                <w:szCs w:val="22"/>
                <w:highlight w:val="none"/>
              </w:rPr>
            </w:pPr>
          </w:p>
        </w:tc>
        <w:tc>
          <w:tcPr>
            <w:tcW w:w="958" w:type="dxa"/>
            <w:vAlign w:val="center"/>
          </w:tcPr>
          <w:p w14:paraId="724B32D5">
            <w:pPr>
              <w:spacing w:line="360" w:lineRule="auto"/>
              <w:jc w:val="center"/>
              <w:rPr>
                <w:rFonts w:ascii="宋体" w:hAnsi="宋体"/>
                <w:color w:val="auto"/>
                <w:sz w:val="22"/>
                <w:szCs w:val="22"/>
                <w:highlight w:val="none"/>
              </w:rPr>
            </w:pPr>
          </w:p>
        </w:tc>
        <w:tc>
          <w:tcPr>
            <w:tcW w:w="958" w:type="dxa"/>
            <w:vAlign w:val="center"/>
          </w:tcPr>
          <w:p w14:paraId="7240D1B8">
            <w:pPr>
              <w:spacing w:line="360" w:lineRule="auto"/>
              <w:jc w:val="center"/>
              <w:rPr>
                <w:rFonts w:ascii="宋体" w:hAnsi="宋体"/>
                <w:color w:val="auto"/>
                <w:sz w:val="22"/>
                <w:szCs w:val="22"/>
                <w:highlight w:val="none"/>
              </w:rPr>
            </w:pPr>
          </w:p>
        </w:tc>
        <w:tc>
          <w:tcPr>
            <w:tcW w:w="767" w:type="dxa"/>
            <w:vAlign w:val="center"/>
          </w:tcPr>
          <w:p w14:paraId="5840F61F">
            <w:pPr>
              <w:spacing w:line="360" w:lineRule="auto"/>
              <w:jc w:val="center"/>
              <w:rPr>
                <w:rFonts w:ascii="宋体" w:hAnsi="宋体"/>
                <w:color w:val="auto"/>
                <w:sz w:val="22"/>
                <w:szCs w:val="22"/>
                <w:highlight w:val="none"/>
              </w:rPr>
            </w:pPr>
          </w:p>
        </w:tc>
        <w:tc>
          <w:tcPr>
            <w:tcW w:w="767" w:type="dxa"/>
            <w:vAlign w:val="center"/>
          </w:tcPr>
          <w:p w14:paraId="245EF8E4">
            <w:pPr>
              <w:spacing w:line="360" w:lineRule="auto"/>
              <w:jc w:val="center"/>
              <w:rPr>
                <w:rFonts w:ascii="宋体" w:hAnsi="宋体"/>
                <w:color w:val="auto"/>
                <w:sz w:val="22"/>
                <w:szCs w:val="22"/>
                <w:highlight w:val="none"/>
              </w:rPr>
            </w:pPr>
          </w:p>
        </w:tc>
        <w:tc>
          <w:tcPr>
            <w:tcW w:w="1340" w:type="dxa"/>
            <w:vAlign w:val="center"/>
          </w:tcPr>
          <w:p w14:paraId="11ADCA75">
            <w:pPr>
              <w:spacing w:line="360" w:lineRule="auto"/>
              <w:jc w:val="center"/>
              <w:rPr>
                <w:rFonts w:ascii="宋体" w:hAnsi="宋体"/>
                <w:color w:val="auto"/>
                <w:sz w:val="22"/>
                <w:szCs w:val="22"/>
                <w:highlight w:val="none"/>
              </w:rPr>
            </w:pPr>
          </w:p>
        </w:tc>
        <w:tc>
          <w:tcPr>
            <w:tcW w:w="1326" w:type="dxa"/>
            <w:vAlign w:val="center"/>
          </w:tcPr>
          <w:p w14:paraId="12326208">
            <w:pPr>
              <w:spacing w:line="360" w:lineRule="auto"/>
              <w:jc w:val="center"/>
              <w:rPr>
                <w:rFonts w:ascii="宋体" w:hAnsi="宋体"/>
                <w:color w:val="auto"/>
                <w:sz w:val="22"/>
                <w:szCs w:val="22"/>
                <w:highlight w:val="none"/>
              </w:rPr>
            </w:pPr>
          </w:p>
        </w:tc>
        <w:tc>
          <w:tcPr>
            <w:tcW w:w="1825" w:type="dxa"/>
          </w:tcPr>
          <w:p w14:paraId="0B2B2543">
            <w:pPr>
              <w:spacing w:line="360" w:lineRule="auto"/>
              <w:jc w:val="center"/>
              <w:rPr>
                <w:rFonts w:ascii="宋体" w:hAnsi="宋体"/>
                <w:color w:val="auto"/>
                <w:sz w:val="22"/>
                <w:szCs w:val="22"/>
                <w:highlight w:val="none"/>
              </w:rPr>
            </w:pPr>
          </w:p>
        </w:tc>
        <w:tc>
          <w:tcPr>
            <w:tcW w:w="1147" w:type="dxa"/>
            <w:vAlign w:val="center"/>
          </w:tcPr>
          <w:p w14:paraId="4373BB0E">
            <w:pPr>
              <w:spacing w:line="360" w:lineRule="auto"/>
              <w:jc w:val="center"/>
              <w:rPr>
                <w:rFonts w:ascii="宋体" w:hAnsi="宋体"/>
                <w:color w:val="auto"/>
                <w:sz w:val="22"/>
                <w:szCs w:val="22"/>
                <w:highlight w:val="none"/>
              </w:rPr>
            </w:pPr>
          </w:p>
        </w:tc>
      </w:tr>
      <w:tr w14:paraId="7F725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3B40191">
            <w:pPr>
              <w:spacing w:line="360" w:lineRule="auto"/>
              <w:jc w:val="center"/>
              <w:rPr>
                <w:rFonts w:ascii="宋体" w:hAnsi="宋体"/>
                <w:color w:val="auto"/>
                <w:sz w:val="22"/>
                <w:szCs w:val="22"/>
                <w:highlight w:val="none"/>
              </w:rPr>
            </w:pPr>
          </w:p>
        </w:tc>
        <w:tc>
          <w:tcPr>
            <w:tcW w:w="958" w:type="dxa"/>
            <w:vAlign w:val="center"/>
          </w:tcPr>
          <w:p w14:paraId="02875F29">
            <w:pPr>
              <w:spacing w:line="360" w:lineRule="auto"/>
              <w:jc w:val="center"/>
              <w:rPr>
                <w:rFonts w:ascii="宋体" w:hAnsi="宋体"/>
                <w:color w:val="auto"/>
                <w:sz w:val="22"/>
                <w:szCs w:val="22"/>
                <w:highlight w:val="none"/>
              </w:rPr>
            </w:pPr>
          </w:p>
        </w:tc>
        <w:tc>
          <w:tcPr>
            <w:tcW w:w="958" w:type="dxa"/>
            <w:vAlign w:val="center"/>
          </w:tcPr>
          <w:p w14:paraId="6428190D">
            <w:pPr>
              <w:spacing w:line="360" w:lineRule="auto"/>
              <w:jc w:val="center"/>
              <w:rPr>
                <w:rFonts w:ascii="宋体" w:hAnsi="宋体"/>
                <w:color w:val="auto"/>
                <w:sz w:val="22"/>
                <w:szCs w:val="22"/>
                <w:highlight w:val="none"/>
              </w:rPr>
            </w:pPr>
          </w:p>
        </w:tc>
        <w:tc>
          <w:tcPr>
            <w:tcW w:w="767" w:type="dxa"/>
            <w:vAlign w:val="center"/>
          </w:tcPr>
          <w:p w14:paraId="56794F74">
            <w:pPr>
              <w:spacing w:line="360" w:lineRule="auto"/>
              <w:jc w:val="center"/>
              <w:rPr>
                <w:rFonts w:ascii="宋体" w:hAnsi="宋体"/>
                <w:color w:val="auto"/>
                <w:sz w:val="22"/>
                <w:szCs w:val="22"/>
                <w:highlight w:val="none"/>
              </w:rPr>
            </w:pPr>
          </w:p>
        </w:tc>
        <w:tc>
          <w:tcPr>
            <w:tcW w:w="767" w:type="dxa"/>
            <w:vAlign w:val="center"/>
          </w:tcPr>
          <w:p w14:paraId="55CB265A">
            <w:pPr>
              <w:spacing w:line="360" w:lineRule="auto"/>
              <w:jc w:val="center"/>
              <w:rPr>
                <w:rFonts w:ascii="宋体" w:hAnsi="宋体"/>
                <w:color w:val="auto"/>
                <w:sz w:val="22"/>
                <w:szCs w:val="22"/>
                <w:highlight w:val="none"/>
              </w:rPr>
            </w:pPr>
          </w:p>
        </w:tc>
        <w:tc>
          <w:tcPr>
            <w:tcW w:w="1340" w:type="dxa"/>
            <w:vAlign w:val="center"/>
          </w:tcPr>
          <w:p w14:paraId="0C095156">
            <w:pPr>
              <w:spacing w:line="360" w:lineRule="auto"/>
              <w:jc w:val="center"/>
              <w:rPr>
                <w:rFonts w:ascii="宋体" w:hAnsi="宋体"/>
                <w:color w:val="auto"/>
                <w:sz w:val="22"/>
                <w:szCs w:val="22"/>
                <w:highlight w:val="none"/>
              </w:rPr>
            </w:pPr>
          </w:p>
        </w:tc>
        <w:tc>
          <w:tcPr>
            <w:tcW w:w="1326" w:type="dxa"/>
            <w:vAlign w:val="center"/>
          </w:tcPr>
          <w:p w14:paraId="29D99395">
            <w:pPr>
              <w:spacing w:line="360" w:lineRule="auto"/>
              <w:jc w:val="center"/>
              <w:rPr>
                <w:rFonts w:ascii="宋体" w:hAnsi="宋体"/>
                <w:color w:val="auto"/>
                <w:sz w:val="22"/>
                <w:szCs w:val="22"/>
                <w:highlight w:val="none"/>
              </w:rPr>
            </w:pPr>
          </w:p>
        </w:tc>
        <w:tc>
          <w:tcPr>
            <w:tcW w:w="1825" w:type="dxa"/>
          </w:tcPr>
          <w:p w14:paraId="101A11B7">
            <w:pPr>
              <w:spacing w:line="360" w:lineRule="auto"/>
              <w:jc w:val="center"/>
              <w:rPr>
                <w:rFonts w:ascii="宋体" w:hAnsi="宋体"/>
                <w:color w:val="auto"/>
                <w:sz w:val="22"/>
                <w:szCs w:val="22"/>
                <w:highlight w:val="none"/>
              </w:rPr>
            </w:pPr>
          </w:p>
        </w:tc>
        <w:tc>
          <w:tcPr>
            <w:tcW w:w="1147" w:type="dxa"/>
            <w:vAlign w:val="center"/>
          </w:tcPr>
          <w:p w14:paraId="39AF54FE">
            <w:pPr>
              <w:spacing w:line="360" w:lineRule="auto"/>
              <w:jc w:val="center"/>
              <w:rPr>
                <w:rFonts w:ascii="宋体" w:hAnsi="宋体"/>
                <w:color w:val="auto"/>
                <w:sz w:val="22"/>
                <w:szCs w:val="22"/>
                <w:highlight w:val="none"/>
              </w:rPr>
            </w:pPr>
          </w:p>
        </w:tc>
      </w:tr>
      <w:tr w14:paraId="0B603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A4F080B">
            <w:pPr>
              <w:spacing w:line="360" w:lineRule="auto"/>
              <w:jc w:val="center"/>
              <w:rPr>
                <w:rFonts w:ascii="宋体" w:hAnsi="宋体"/>
                <w:color w:val="auto"/>
                <w:sz w:val="22"/>
                <w:szCs w:val="22"/>
                <w:highlight w:val="none"/>
              </w:rPr>
            </w:pPr>
          </w:p>
        </w:tc>
        <w:tc>
          <w:tcPr>
            <w:tcW w:w="958" w:type="dxa"/>
            <w:vAlign w:val="center"/>
          </w:tcPr>
          <w:p w14:paraId="4C1636D1">
            <w:pPr>
              <w:spacing w:line="360" w:lineRule="auto"/>
              <w:jc w:val="center"/>
              <w:rPr>
                <w:rFonts w:ascii="宋体" w:hAnsi="宋体"/>
                <w:color w:val="auto"/>
                <w:sz w:val="22"/>
                <w:szCs w:val="22"/>
                <w:highlight w:val="none"/>
              </w:rPr>
            </w:pPr>
          </w:p>
        </w:tc>
        <w:tc>
          <w:tcPr>
            <w:tcW w:w="958" w:type="dxa"/>
            <w:vAlign w:val="center"/>
          </w:tcPr>
          <w:p w14:paraId="15F1700D">
            <w:pPr>
              <w:spacing w:line="360" w:lineRule="auto"/>
              <w:jc w:val="center"/>
              <w:rPr>
                <w:rFonts w:ascii="宋体" w:hAnsi="宋体"/>
                <w:color w:val="auto"/>
                <w:sz w:val="22"/>
                <w:szCs w:val="22"/>
                <w:highlight w:val="none"/>
              </w:rPr>
            </w:pPr>
          </w:p>
        </w:tc>
        <w:tc>
          <w:tcPr>
            <w:tcW w:w="767" w:type="dxa"/>
            <w:vAlign w:val="center"/>
          </w:tcPr>
          <w:p w14:paraId="3CF8EFAF">
            <w:pPr>
              <w:spacing w:line="360" w:lineRule="auto"/>
              <w:jc w:val="center"/>
              <w:rPr>
                <w:rFonts w:ascii="宋体" w:hAnsi="宋体"/>
                <w:color w:val="auto"/>
                <w:sz w:val="22"/>
                <w:szCs w:val="22"/>
                <w:highlight w:val="none"/>
              </w:rPr>
            </w:pPr>
          </w:p>
        </w:tc>
        <w:tc>
          <w:tcPr>
            <w:tcW w:w="767" w:type="dxa"/>
            <w:vAlign w:val="center"/>
          </w:tcPr>
          <w:p w14:paraId="2FC9D99F">
            <w:pPr>
              <w:spacing w:line="360" w:lineRule="auto"/>
              <w:jc w:val="center"/>
              <w:rPr>
                <w:rFonts w:ascii="宋体" w:hAnsi="宋体"/>
                <w:color w:val="auto"/>
                <w:sz w:val="22"/>
                <w:szCs w:val="22"/>
                <w:highlight w:val="none"/>
              </w:rPr>
            </w:pPr>
          </w:p>
        </w:tc>
        <w:tc>
          <w:tcPr>
            <w:tcW w:w="1340" w:type="dxa"/>
            <w:vAlign w:val="center"/>
          </w:tcPr>
          <w:p w14:paraId="1C506678">
            <w:pPr>
              <w:spacing w:line="360" w:lineRule="auto"/>
              <w:jc w:val="center"/>
              <w:rPr>
                <w:rFonts w:ascii="宋体" w:hAnsi="宋体"/>
                <w:color w:val="auto"/>
                <w:sz w:val="22"/>
                <w:szCs w:val="22"/>
                <w:highlight w:val="none"/>
              </w:rPr>
            </w:pPr>
          </w:p>
        </w:tc>
        <w:tc>
          <w:tcPr>
            <w:tcW w:w="1326" w:type="dxa"/>
            <w:vAlign w:val="center"/>
          </w:tcPr>
          <w:p w14:paraId="3DB58AD1">
            <w:pPr>
              <w:spacing w:line="360" w:lineRule="auto"/>
              <w:jc w:val="center"/>
              <w:rPr>
                <w:rFonts w:ascii="宋体" w:hAnsi="宋体"/>
                <w:color w:val="auto"/>
                <w:sz w:val="22"/>
                <w:szCs w:val="22"/>
                <w:highlight w:val="none"/>
              </w:rPr>
            </w:pPr>
          </w:p>
        </w:tc>
        <w:tc>
          <w:tcPr>
            <w:tcW w:w="1825" w:type="dxa"/>
          </w:tcPr>
          <w:p w14:paraId="7F91C092">
            <w:pPr>
              <w:spacing w:line="360" w:lineRule="auto"/>
              <w:jc w:val="center"/>
              <w:rPr>
                <w:rFonts w:ascii="宋体" w:hAnsi="宋体"/>
                <w:color w:val="auto"/>
                <w:sz w:val="22"/>
                <w:szCs w:val="22"/>
                <w:highlight w:val="none"/>
              </w:rPr>
            </w:pPr>
          </w:p>
        </w:tc>
        <w:tc>
          <w:tcPr>
            <w:tcW w:w="1147" w:type="dxa"/>
            <w:vAlign w:val="center"/>
          </w:tcPr>
          <w:p w14:paraId="350005F2">
            <w:pPr>
              <w:spacing w:line="360" w:lineRule="auto"/>
              <w:jc w:val="center"/>
              <w:rPr>
                <w:rFonts w:ascii="宋体" w:hAnsi="宋体"/>
                <w:color w:val="auto"/>
                <w:sz w:val="22"/>
                <w:szCs w:val="22"/>
                <w:highlight w:val="none"/>
              </w:rPr>
            </w:pPr>
          </w:p>
        </w:tc>
      </w:tr>
      <w:tr w14:paraId="4F6D7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9DD0A41">
            <w:pPr>
              <w:spacing w:line="360" w:lineRule="auto"/>
              <w:jc w:val="center"/>
              <w:rPr>
                <w:rFonts w:ascii="宋体" w:hAnsi="宋体"/>
                <w:color w:val="auto"/>
                <w:sz w:val="22"/>
                <w:szCs w:val="22"/>
                <w:highlight w:val="none"/>
              </w:rPr>
            </w:pPr>
          </w:p>
        </w:tc>
        <w:tc>
          <w:tcPr>
            <w:tcW w:w="958" w:type="dxa"/>
            <w:vAlign w:val="center"/>
          </w:tcPr>
          <w:p w14:paraId="1AB03DEB">
            <w:pPr>
              <w:spacing w:line="360" w:lineRule="auto"/>
              <w:jc w:val="center"/>
              <w:rPr>
                <w:rFonts w:ascii="宋体" w:hAnsi="宋体"/>
                <w:color w:val="auto"/>
                <w:sz w:val="22"/>
                <w:szCs w:val="22"/>
                <w:highlight w:val="none"/>
              </w:rPr>
            </w:pPr>
          </w:p>
        </w:tc>
        <w:tc>
          <w:tcPr>
            <w:tcW w:w="958" w:type="dxa"/>
            <w:vAlign w:val="center"/>
          </w:tcPr>
          <w:p w14:paraId="44C25F11">
            <w:pPr>
              <w:spacing w:line="360" w:lineRule="auto"/>
              <w:jc w:val="center"/>
              <w:rPr>
                <w:rFonts w:ascii="宋体" w:hAnsi="宋体"/>
                <w:color w:val="auto"/>
                <w:sz w:val="22"/>
                <w:szCs w:val="22"/>
                <w:highlight w:val="none"/>
              </w:rPr>
            </w:pPr>
          </w:p>
        </w:tc>
        <w:tc>
          <w:tcPr>
            <w:tcW w:w="767" w:type="dxa"/>
            <w:vAlign w:val="center"/>
          </w:tcPr>
          <w:p w14:paraId="71A52299">
            <w:pPr>
              <w:spacing w:line="360" w:lineRule="auto"/>
              <w:jc w:val="center"/>
              <w:rPr>
                <w:rFonts w:ascii="宋体" w:hAnsi="宋体"/>
                <w:color w:val="auto"/>
                <w:sz w:val="22"/>
                <w:szCs w:val="22"/>
                <w:highlight w:val="none"/>
              </w:rPr>
            </w:pPr>
          </w:p>
        </w:tc>
        <w:tc>
          <w:tcPr>
            <w:tcW w:w="767" w:type="dxa"/>
            <w:vAlign w:val="center"/>
          </w:tcPr>
          <w:p w14:paraId="6D6751E7">
            <w:pPr>
              <w:spacing w:line="360" w:lineRule="auto"/>
              <w:jc w:val="center"/>
              <w:rPr>
                <w:rFonts w:ascii="宋体" w:hAnsi="宋体"/>
                <w:color w:val="auto"/>
                <w:sz w:val="22"/>
                <w:szCs w:val="22"/>
                <w:highlight w:val="none"/>
              </w:rPr>
            </w:pPr>
          </w:p>
        </w:tc>
        <w:tc>
          <w:tcPr>
            <w:tcW w:w="1340" w:type="dxa"/>
            <w:vAlign w:val="center"/>
          </w:tcPr>
          <w:p w14:paraId="04FFA9DE">
            <w:pPr>
              <w:spacing w:line="360" w:lineRule="auto"/>
              <w:jc w:val="center"/>
              <w:rPr>
                <w:rFonts w:ascii="宋体" w:hAnsi="宋体"/>
                <w:color w:val="auto"/>
                <w:sz w:val="22"/>
                <w:szCs w:val="22"/>
                <w:highlight w:val="none"/>
              </w:rPr>
            </w:pPr>
          </w:p>
        </w:tc>
        <w:tc>
          <w:tcPr>
            <w:tcW w:w="1326" w:type="dxa"/>
            <w:vAlign w:val="center"/>
          </w:tcPr>
          <w:p w14:paraId="0C202ED8">
            <w:pPr>
              <w:spacing w:line="360" w:lineRule="auto"/>
              <w:jc w:val="center"/>
              <w:rPr>
                <w:rFonts w:ascii="宋体" w:hAnsi="宋体"/>
                <w:color w:val="auto"/>
                <w:sz w:val="22"/>
                <w:szCs w:val="22"/>
                <w:highlight w:val="none"/>
              </w:rPr>
            </w:pPr>
          </w:p>
        </w:tc>
        <w:tc>
          <w:tcPr>
            <w:tcW w:w="1825" w:type="dxa"/>
          </w:tcPr>
          <w:p w14:paraId="22378A65">
            <w:pPr>
              <w:spacing w:line="360" w:lineRule="auto"/>
              <w:jc w:val="center"/>
              <w:rPr>
                <w:rFonts w:ascii="宋体" w:hAnsi="宋体"/>
                <w:color w:val="auto"/>
                <w:sz w:val="22"/>
                <w:szCs w:val="22"/>
                <w:highlight w:val="none"/>
              </w:rPr>
            </w:pPr>
          </w:p>
        </w:tc>
        <w:tc>
          <w:tcPr>
            <w:tcW w:w="1147" w:type="dxa"/>
            <w:vAlign w:val="center"/>
          </w:tcPr>
          <w:p w14:paraId="3136E2DE">
            <w:pPr>
              <w:spacing w:line="360" w:lineRule="auto"/>
              <w:jc w:val="center"/>
              <w:rPr>
                <w:rFonts w:ascii="宋体" w:hAnsi="宋体"/>
                <w:color w:val="auto"/>
                <w:sz w:val="22"/>
                <w:szCs w:val="22"/>
                <w:highlight w:val="none"/>
              </w:rPr>
            </w:pPr>
          </w:p>
        </w:tc>
      </w:tr>
      <w:tr w14:paraId="748AC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8ED9ACE">
            <w:pPr>
              <w:spacing w:line="360" w:lineRule="auto"/>
              <w:jc w:val="center"/>
              <w:rPr>
                <w:rFonts w:ascii="宋体" w:hAnsi="宋体"/>
                <w:color w:val="auto"/>
                <w:sz w:val="22"/>
                <w:szCs w:val="22"/>
                <w:highlight w:val="none"/>
              </w:rPr>
            </w:pPr>
          </w:p>
        </w:tc>
        <w:tc>
          <w:tcPr>
            <w:tcW w:w="958" w:type="dxa"/>
            <w:vAlign w:val="center"/>
          </w:tcPr>
          <w:p w14:paraId="13348134">
            <w:pPr>
              <w:spacing w:line="360" w:lineRule="auto"/>
              <w:jc w:val="center"/>
              <w:rPr>
                <w:rFonts w:ascii="宋体" w:hAnsi="宋体"/>
                <w:color w:val="auto"/>
                <w:sz w:val="22"/>
                <w:szCs w:val="22"/>
                <w:highlight w:val="none"/>
              </w:rPr>
            </w:pPr>
          </w:p>
        </w:tc>
        <w:tc>
          <w:tcPr>
            <w:tcW w:w="958" w:type="dxa"/>
            <w:vAlign w:val="center"/>
          </w:tcPr>
          <w:p w14:paraId="36DA1EF0">
            <w:pPr>
              <w:spacing w:line="360" w:lineRule="auto"/>
              <w:jc w:val="center"/>
              <w:rPr>
                <w:rFonts w:ascii="宋体" w:hAnsi="宋体"/>
                <w:color w:val="auto"/>
                <w:sz w:val="22"/>
                <w:szCs w:val="22"/>
                <w:highlight w:val="none"/>
              </w:rPr>
            </w:pPr>
          </w:p>
        </w:tc>
        <w:tc>
          <w:tcPr>
            <w:tcW w:w="767" w:type="dxa"/>
            <w:vAlign w:val="center"/>
          </w:tcPr>
          <w:p w14:paraId="52F1CC70">
            <w:pPr>
              <w:spacing w:line="360" w:lineRule="auto"/>
              <w:jc w:val="center"/>
              <w:rPr>
                <w:rFonts w:ascii="宋体" w:hAnsi="宋体"/>
                <w:color w:val="auto"/>
                <w:sz w:val="22"/>
                <w:szCs w:val="22"/>
                <w:highlight w:val="none"/>
              </w:rPr>
            </w:pPr>
          </w:p>
        </w:tc>
        <w:tc>
          <w:tcPr>
            <w:tcW w:w="767" w:type="dxa"/>
            <w:vAlign w:val="center"/>
          </w:tcPr>
          <w:p w14:paraId="452C96DE">
            <w:pPr>
              <w:spacing w:line="360" w:lineRule="auto"/>
              <w:jc w:val="center"/>
              <w:rPr>
                <w:rFonts w:ascii="宋体" w:hAnsi="宋体"/>
                <w:color w:val="auto"/>
                <w:sz w:val="22"/>
                <w:szCs w:val="22"/>
                <w:highlight w:val="none"/>
              </w:rPr>
            </w:pPr>
          </w:p>
        </w:tc>
        <w:tc>
          <w:tcPr>
            <w:tcW w:w="1340" w:type="dxa"/>
            <w:vAlign w:val="center"/>
          </w:tcPr>
          <w:p w14:paraId="3344038A">
            <w:pPr>
              <w:spacing w:line="360" w:lineRule="auto"/>
              <w:jc w:val="center"/>
              <w:rPr>
                <w:rFonts w:ascii="宋体" w:hAnsi="宋体"/>
                <w:color w:val="auto"/>
                <w:sz w:val="22"/>
                <w:szCs w:val="22"/>
                <w:highlight w:val="none"/>
              </w:rPr>
            </w:pPr>
          </w:p>
        </w:tc>
        <w:tc>
          <w:tcPr>
            <w:tcW w:w="1326" w:type="dxa"/>
            <w:vAlign w:val="center"/>
          </w:tcPr>
          <w:p w14:paraId="43A1EF6D">
            <w:pPr>
              <w:spacing w:line="360" w:lineRule="auto"/>
              <w:jc w:val="center"/>
              <w:rPr>
                <w:rFonts w:ascii="宋体" w:hAnsi="宋体"/>
                <w:color w:val="auto"/>
                <w:sz w:val="22"/>
                <w:szCs w:val="22"/>
                <w:highlight w:val="none"/>
              </w:rPr>
            </w:pPr>
          </w:p>
        </w:tc>
        <w:tc>
          <w:tcPr>
            <w:tcW w:w="1825" w:type="dxa"/>
          </w:tcPr>
          <w:p w14:paraId="54C81E14">
            <w:pPr>
              <w:spacing w:line="360" w:lineRule="auto"/>
              <w:jc w:val="center"/>
              <w:rPr>
                <w:rFonts w:ascii="宋体" w:hAnsi="宋体"/>
                <w:color w:val="auto"/>
                <w:sz w:val="22"/>
                <w:szCs w:val="22"/>
                <w:highlight w:val="none"/>
              </w:rPr>
            </w:pPr>
          </w:p>
        </w:tc>
        <w:tc>
          <w:tcPr>
            <w:tcW w:w="1147" w:type="dxa"/>
            <w:vAlign w:val="center"/>
          </w:tcPr>
          <w:p w14:paraId="74427DD0">
            <w:pPr>
              <w:spacing w:line="360" w:lineRule="auto"/>
              <w:jc w:val="center"/>
              <w:rPr>
                <w:rFonts w:ascii="宋体" w:hAnsi="宋体"/>
                <w:color w:val="auto"/>
                <w:sz w:val="22"/>
                <w:szCs w:val="22"/>
                <w:highlight w:val="none"/>
              </w:rPr>
            </w:pPr>
          </w:p>
        </w:tc>
      </w:tr>
      <w:tr w14:paraId="6BFF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7126F62">
            <w:pPr>
              <w:spacing w:line="360" w:lineRule="auto"/>
              <w:jc w:val="center"/>
              <w:rPr>
                <w:rFonts w:ascii="宋体" w:hAnsi="宋体"/>
                <w:color w:val="auto"/>
                <w:sz w:val="22"/>
                <w:szCs w:val="22"/>
                <w:highlight w:val="none"/>
              </w:rPr>
            </w:pPr>
          </w:p>
        </w:tc>
        <w:tc>
          <w:tcPr>
            <w:tcW w:w="958" w:type="dxa"/>
            <w:vAlign w:val="center"/>
          </w:tcPr>
          <w:p w14:paraId="34C6C4FC">
            <w:pPr>
              <w:spacing w:line="360" w:lineRule="auto"/>
              <w:jc w:val="center"/>
              <w:rPr>
                <w:rFonts w:ascii="宋体" w:hAnsi="宋体"/>
                <w:color w:val="auto"/>
                <w:sz w:val="22"/>
                <w:szCs w:val="22"/>
                <w:highlight w:val="none"/>
              </w:rPr>
            </w:pPr>
          </w:p>
        </w:tc>
        <w:tc>
          <w:tcPr>
            <w:tcW w:w="958" w:type="dxa"/>
            <w:vAlign w:val="center"/>
          </w:tcPr>
          <w:p w14:paraId="1B347C7E">
            <w:pPr>
              <w:spacing w:line="360" w:lineRule="auto"/>
              <w:jc w:val="center"/>
              <w:rPr>
                <w:rFonts w:ascii="宋体" w:hAnsi="宋体"/>
                <w:color w:val="auto"/>
                <w:sz w:val="22"/>
                <w:szCs w:val="22"/>
                <w:highlight w:val="none"/>
              </w:rPr>
            </w:pPr>
          </w:p>
        </w:tc>
        <w:tc>
          <w:tcPr>
            <w:tcW w:w="767" w:type="dxa"/>
            <w:vAlign w:val="center"/>
          </w:tcPr>
          <w:p w14:paraId="75E5F35A">
            <w:pPr>
              <w:spacing w:line="360" w:lineRule="auto"/>
              <w:jc w:val="center"/>
              <w:rPr>
                <w:rFonts w:ascii="宋体" w:hAnsi="宋体"/>
                <w:color w:val="auto"/>
                <w:sz w:val="22"/>
                <w:szCs w:val="22"/>
                <w:highlight w:val="none"/>
              </w:rPr>
            </w:pPr>
          </w:p>
        </w:tc>
        <w:tc>
          <w:tcPr>
            <w:tcW w:w="767" w:type="dxa"/>
            <w:vAlign w:val="center"/>
          </w:tcPr>
          <w:p w14:paraId="42DC85DC">
            <w:pPr>
              <w:spacing w:line="360" w:lineRule="auto"/>
              <w:jc w:val="center"/>
              <w:rPr>
                <w:rFonts w:ascii="宋体" w:hAnsi="宋体"/>
                <w:color w:val="auto"/>
                <w:sz w:val="22"/>
                <w:szCs w:val="22"/>
                <w:highlight w:val="none"/>
              </w:rPr>
            </w:pPr>
          </w:p>
        </w:tc>
        <w:tc>
          <w:tcPr>
            <w:tcW w:w="1340" w:type="dxa"/>
            <w:vAlign w:val="center"/>
          </w:tcPr>
          <w:p w14:paraId="17AEB394">
            <w:pPr>
              <w:spacing w:line="360" w:lineRule="auto"/>
              <w:jc w:val="center"/>
              <w:rPr>
                <w:rFonts w:ascii="宋体" w:hAnsi="宋体"/>
                <w:color w:val="auto"/>
                <w:sz w:val="22"/>
                <w:szCs w:val="22"/>
                <w:highlight w:val="none"/>
              </w:rPr>
            </w:pPr>
          </w:p>
        </w:tc>
        <w:tc>
          <w:tcPr>
            <w:tcW w:w="1326" w:type="dxa"/>
            <w:vAlign w:val="center"/>
          </w:tcPr>
          <w:p w14:paraId="437217D0">
            <w:pPr>
              <w:spacing w:line="360" w:lineRule="auto"/>
              <w:jc w:val="center"/>
              <w:rPr>
                <w:rFonts w:ascii="宋体" w:hAnsi="宋体"/>
                <w:color w:val="auto"/>
                <w:sz w:val="22"/>
                <w:szCs w:val="22"/>
                <w:highlight w:val="none"/>
              </w:rPr>
            </w:pPr>
          </w:p>
        </w:tc>
        <w:tc>
          <w:tcPr>
            <w:tcW w:w="1825" w:type="dxa"/>
          </w:tcPr>
          <w:p w14:paraId="259DA30B">
            <w:pPr>
              <w:spacing w:line="360" w:lineRule="auto"/>
              <w:jc w:val="center"/>
              <w:rPr>
                <w:rFonts w:ascii="宋体" w:hAnsi="宋体"/>
                <w:color w:val="auto"/>
                <w:sz w:val="22"/>
                <w:szCs w:val="22"/>
                <w:highlight w:val="none"/>
              </w:rPr>
            </w:pPr>
          </w:p>
        </w:tc>
        <w:tc>
          <w:tcPr>
            <w:tcW w:w="1147" w:type="dxa"/>
            <w:vAlign w:val="center"/>
          </w:tcPr>
          <w:p w14:paraId="70DADA40">
            <w:pPr>
              <w:spacing w:line="360" w:lineRule="auto"/>
              <w:jc w:val="center"/>
              <w:rPr>
                <w:rFonts w:ascii="宋体" w:hAnsi="宋体"/>
                <w:color w:val="auto"/>
                <w:sz w:val="22"/>
                <w:szCs w:val="22"/>
                <w:highlight w:val="none"/>
              </w:rPr>
            </w:pPr>
          </w:p>
        </w:tc>
      </w:tr>
      <w:tr w14:paraId="6C66B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0B09EBD">
            <w:pPr>
              <w:spacing w:line="360" w:lineRule="auto"/>
              <w:jc w:val="center"/>
              <w:rPr>
                <w:rFonts w:ascii="宋体" w:hAnsi="宋体"/>
                <w:color w:val="auto"/>
                <w:sz w:val="22"/>
                <w:szCs w:val="22"/>
                <w:highlight w:val="none"/>
              </w:rPr>
            </w:pPr>
          </w:p>
        </w:tc>
        <w:tc>
          <w:tcPr>
            <w:tcW w:w="958" w:type="dxa"/>
            <w:vAlign w:val="center"/>
          </w:tcPr>
          <w:p w14:paraId="7AB4C941">
            <w:pPr>
              <w:spacing w:line="360" w:lineRule="auto"/>
              <w:jc w:val="center"/>
              <w:rPr>
                <w:rFonts w:ascii="宋体" w:hAnsi="宋体"/>
                <w:color w:val="auto"/>
                <w:sz w:val="22"/>
                <w:szCs w:val="22"/>
                <w:highlight w:val="none"/>
              </w:rPr>
            </w:pPr>
          </w:p>
        </w:tc>
        <w:tc>
          <w:tcPr>
            <w:tcW w:w="958" w:type="dxa"/>
            <w:vAlign w:val="center"/>
          </w:tcPr>
          <w:p w14:paraId="02125DB8">
            <w:pPr>
              <w:spacing w:line="360" w:lineRule="auto"/>
              <w:jc w:val="center"/>
              <w:rPr>
                <w:rFonts w:ascii="宋体" w:hAnsi="宋体"/>
                <w:color w:val="auto"/>
                <w:sz w:val="22"/>
                <w:szCs w:val="22"/>
                <w:highlight w:val="none"/>
              </w:rPr>
            </w:pPr>
          </w:p>
        </w:tc>
        <w:tc>
          <w:tcPr>
            <w:tcW w:w="767" w:type="dxa"/>
            <w:vAlign w:val="center"/>
          </w:tcPr>
          <w:p w14:paraId="76C792E8">
            <w:pPr>
              <w:spacing w:line="360" w:lineRule="auto"/>
              <w:jc w:val="center"/>
              <w:rPr>
                <w:rFonts w:ascii="宋体" w:hAnsi="宋体"/>
                <w:color w:val="auto"/>
                <w:sz w:val="22"/>
                <w:szCs w:val="22"/>
                <w:highlight w:val="none"/>
              </w:rPr>
            </w:pPr>
          </w:p>
        </w:tc>
        <w:tc>
          <w:tcPr>
            <w:tcW w:w="767" w:type="dxa"/>
            <w:vAlign w:val="center"/>
          </w:tcPr>
          <w:p w14:paraId="645F2251">
            <w:pPr>
              <w:spacing w:line="360" w:lineRule="auto"/>
              <w:jc w:val="center"/>
              <w:rPr>
                <w:rFonts w:ascii="宋体" w:hAnsi="宋体"/>
                <w:color w:val="auto"/>
                <w:sz w:val="22"/>
                <w:szCs w:val="22"/>
                <w:highlight w:val="none"/>
              </w:rPr>
            </w:pPr>
          </w:p>
        </w:tc>
        <w:tc>
          <w:tcPr>
            <w:tcW w:w="1340" w:type="dxa"/>
            <w:vAlign w:val="center"/>
          </w:tcPr>
          <w:p w14:paraId="3CF63B05">
            <w:pPr>
              <w:spacing w:line="360" w:lineRule="auto"/>
              <w:jc w:val="center"/>
              <w:rPr>
                <w:rFonts w:ascii="宋体" w:hAnsi="宋体"/>
                <w:color w:val="auto"/>
                <w:sz w:val="22"/>
                <w:szCs w:val="22"/>
                <w:highlight w:val="none"/>
              </w:rPr>
            </w:pPr>
          </w:p>
        </w:tc>
        <w:tc>
          <w:tcPr>
            <w:tcW w:w="1326" w:type="dxa"/>
            <w:vAlign w:val="center"/>
          </w:tcPr>
          <w:p w14:paraId="4F507636">
            <w:pPr>
              <w:spacing w:line="360" w:lineRule="auto"/>
              <w:jc w:val="center"/>
              <w:rPr>
                <w:rFonts w:ascii="宋体" w:hAnsi="宋体"/>
                <w:color w:val="auto"/>
                <w:sz w:val="22"/>
                <w:szCs w:val="22"/>
                <w:highlight w:val="none"/>
              </w:rPr>
            </w:pPr>
          </w:p>
        </w:tc>
        <w:tc>
          <w:tcPr>
            <w:tcW w:w="1825" w:type="dxa"/>
          </w:tcPr>
          <w:p w14:paraId="19979480">
            <w:pPr>
              <w:spacing w:line="360" w:lineRule="auto"/>
              <w:jc w:val="center"/>
              <w:rPr>
                <w:rFonts w:ascii="宋体" w:hAnsi="宋体"/>
                <w:color w:val="auto"/>
                <w:sz w:val="22"/>
                <w:szCs w:val="22"/>
                <w:highlight w:val="none"/>
              </w:rPr>
            </w:pPr>
          </w:p>
        </w:tc>
        <w:tc>
          <w:tcPr>
            <w:tcW w:w="1147" w:type="dxa"/>
            <w:vAlign w:val="center"/>
          </w:tcPr>
          <w:p w14:paraId="4508E445">
            <w:pPr>
              <w:spacing w:line="360" w:lineRule="auto"/>
              <w:jc w:val="center"/>
              <w:rPr>
                <w:rFonts w:ascii="宋体" w:hAnsi="宋体"/>
                <w:color w:val="auto"/>
                <w:sz w:val="22"/>
                <w:szCs w:val="22"/>
                <w:highlight w:val="none"/>
              </w:rPr>
            </w:pPr>
          </w:p>
        </w:tc>
      </w:tr>
      <w:tr w14:paraId="01042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E512DE">
            <w:pPr>
              <w:spacing w:line="360" w:lineRule="auto"/>
              <w:jc w:val="center"/>
              <w:rPr>
                <w:rFonts w:ascii="宋体" w:hAnsi="宋体"/>
                <w:color w:val="auto"/>
                <w:sz w:val="22"/>
                <w:szCs w:val="22"/>
                <w:highlight w:val="none"/>
              </w:rPr>
            </w:pPr>
          </w:p>
        </w:tc>
        <w:tc>
          <w:tcPr>
            <w:tcW w:w="958" w:type="dxa"/>
            <w:vAlign w:val="center"/>
          </w:tcPr>
          <w:p w14:paraId="0DB00679">
            <w:pPr>
              <w:spacing w:line="360" w:lineRule="auto"/>
              <w:jc w:val="center"/>
              <w:rPr>
                <w:rFonts w:ascii="宋体" w:hAnsi="宋体"/>
                <w:color w:val="auto"/>
                <w:sz w:val="22"/>
                <w:szCs w:val="22"/>
                <w:highlight w:val="none"/>
              </w:rPr>
            </w:pPr>
          </w:p>
        </w:tc>
        <w:tc>
          <w:tcPr>
            <w:tcW w:w="958" w:type="dxa"/>
            <w:vAlign w:val="center"/>
          </w:tcPr>
          <w:p w14:paraId="7481995B">
            <w:pPr>
              <w:spacing w:line="360" w:lineRule="auto"/>
              <w:jc w:val="center"/>
              <w:rPr>
                <w:rFonts w:ascii="宋体" w:hAnsi="宋体"/>
                <w:color w:val="auto"/>
                <w:sz w:val="22"/>
                <w:szCs w:val="22"/>
                <w:highlight w:val="none"/>
              </w:rPr>
            </w:pPr>
          </w:p>
        </w:tc>
        <w:tc>
          <w:tcPr>
            <w:tcW w:w="767" w:type="dxa"/>
            <w:vAlign w:val="center"/>
          </w:tcPr>
          <w:p w14:paraId="58E56D11">
            <w:pPr>
              <w:spacing w:line="360" w:lineRule="auto"/>
              <w:jc w:val="center"/>
              <w:rPr>
                <w:rFonts w:ascii="宋体" w:hAnsi="宋体"/>
                <w:color w:val="auto"/>
                <w:sz w:val="22"/>
                <w:szCs w:val="22"/>
                <w:highlight w:val="none"/>
              </w:rPr>
            </w:pPr>
          </w:p>
        </w:tc>
        <w:tc>
          <w:tcPr>
            <w:tcW w:w="767" w:type="dxa"/>
            <w:vAlign w:val="center"/>
          </w:tcPr>
          <w:p w14:paraId="2132056C">
            <w:pPr>
              <w:spacing w:line="360" w:lineRule="auto"/>
              <w:jc w:val="center"/>
              <w:rPr>
                <w:rFonts w:ascii="宋体" w:hAnsi="宋体"/>
                <w:color w:val="auto"/>
                <w:sz w:val="22"/>
                <w:szCs w:val="22"/>
                <w:highlight w:val="none"/>
              </w:rPr>
            </w:pPr>
          </w:p>
        </w:tc>
        <w:tc>
          <w:tcPr>
            <w:tcW w:w="1340" w:type="dxa"/>
            <w:vAlign w:val="center"/>
          </w:tcPr>
          <w:p w14:paraId="16C62FE6">
            <w:pPr>
              <w:spacing w:line="360" w:lineRule="auto"/>
              <w:jc w:val="center"/>
              <w:rPr>
                <w:rFonts w:ascii="宋体" w:hAnsi="宋体"/>
                <w:color w:val="auto"/>
                <w:sz w:val="22"/>
                <w:szCs w:val="22"/>
                <w:highlight w:val="none"/>
              </w:rPr>
            </w:pPr>
          </w:p>
        </w:tc>
        <w:tc>
          <w:tcPr>
            <w:tcW w:w="1326" w:type="dxa"/>
            <w:vAlign w:val="center"/>
          </w:tcPr>
          <w:p w14:paraId="318ECEFE">
            <w:pPr>
              <w:spacing w:line="360" w:lineRule="auto"/>
              <w:jc w:val="center"/>
              <w:rPr>
                <w:rFonts w:ascii="宋体" w:hAnsi="宋体"/>
                <w:color w:val="auto"/>
                <w:sz w:val="22"/>
                <w:szCs w:val="22"/>
                <w:highlight w:val="none"/>
              </w:rPr>
            </w:pPr>
          </w:p>
        </w:tc>
        <w:tc>
          <w:tcPr>
            <w:tcW w:w="1825" w:type="dxa"/>
          </w:tcPr>
          <w:p w14:paraId="4D726368">
            <w:pPr>
              <w:spacing w:line="360" w:lineRule="auto"/>
              <w:jc w:val="center"/>
              <w:rPr>
                <w:rFonts w:ascii="宋体" w:hAnsi="宋体"/>
                <w:color w:val="auto"/>
                <w:sz w:val="22"/>
                <w:szCs w:val="22"/>
                <w:highlight w:val="none"/>
              </w:rPr>
            </w:pPr>
          </w:p>
        </w:tc>
        <w:tc>
          <w:tcPr>
            <w:tcW w:w="1147" w:type="dxa"/>
            <w:vAlign w:val="center"/>
          </w:tcPr>
          <w:p w14:paraId="21463843">
            <w:pPr>
              <w:spacing w:line="360" w:lineRule="auto"/>
              <w:jc w:val="center"/>
              <w:rPr>
                <w:rFonts w:ascii="宋体" w:hAnsi="宋体"/>
                <w:color w:val="auto"/>
                <w:sz w:val="22"/>
                <w:szCs w:val="22"/>
                <w:highlight w:val="none"/>
              </w:rPr>
            </w:pPr>
          </w:p>
        </w:tc>
      </w:tr>
      <w:tr w14:paraId="105D1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25F514A">
            <w:pPr>
              <w:spacing w:line="360" w:lineRule="auto"/>
              <w:jc w:val="center"/>
              <w:rPr>
                <w:rFonts w:ascii="宋体" w:hAnsi="宋体"/>
                <w:color w:val="auto"/>
                <w:sz w:val="22"/>
                <w:szCs w:val="22"/>
                <w:highlight w:val="none"/>
              </w:rPr>
            </w:pPr>
          </w:p>
        </w:tc>
        <w:tc>
          <w:tcPr>
            <w:tcW w:w="958" w:type="dxa"/>
            <w:vAlign w:val="center"/>
          </w:tcPr>
          <w:p w14:paraId="786F4F46">
            <w:pPr>
              <w:spacing w:line="360" w:lineRule="auto"/>
              <w:jc w:val="center"/>
              <w:rPr>
                <w:rFonts w:ascii="宋体" w:hAnsi="宋体"/>
                <w:color w:val="auto"/>
                <w:sz w:val="22"/>
                <w:szCs w:val="22"/>
                <w:highlight w:val="none"/>
              </w:rPr>
            </w:pPr>
          </w:p>
        </w:tc>
        <w:tc>
          <w:tcPr>
            <w:tcW w:w="958" w:type="dxa"/>
            <w:vAlign w:val="center"/>
          </w:tcPr>
          <w:p w14:paraId="53DCF50B">
            <w:pPr>
              <w:spacing w:line="360" w:lineRule="auto"/>
              <w:jc w:val="center"/>
              <w:rPr>
                <w:rFonts w:ascii="宋体" w:hAnsi="宋体"/>
                <w:color w:val="auto"/>
                <w:sz w:val="22"/>
                <w:szCs w:val="22"/>
                <w:highlight w:val="none"/>
              </w:rPr>
            </w:pPr>
          </w:p>
        </w:tc>
        <w:tc>
          <w:tcPr>
            <w:tcW w:w="767" w:type="dxa"/>
            <w:vAlign w:val="center"/>
          </w:tcPr>
          <w:p w14:paraId="13149478">
            <w:pPr>
              <w:spacing w:line="360" w:lineRule="auto"/>
              <w:jc w:val="center"/>
              <w:rPr>
                <w:rFonts w:ascii="宋体" w:hAnsi="宋体"/>
                <w:color w:val="auto"/>
                <w:sz w:val="22"/>
                <w:szCs w:val="22"/>
                <w:highlight w:val="none"/>
              </w:rPr>
            </w:pPr>
          </w:p>
        </w:tc>
        <w:tc>
          <w:tcPr>
            <w:tcW w:w="767" w:type="dxa"/>
            <w:vAlign w:val="center"/>
          </w:tcPr>
          <w:p w14:paraId="02D45ADE">
            <w:pPr>
              <w:spacing w:line="360" w:lineRule="auto"/>
              <w:jc w:val="center"/>
              <w:rPr>
                <w:rFonts w:ascii="宋体" w:hAnsi="宋体"/>
                <w:color w:val="auto"/>
                <w:sz w:val="22"/>
                <w:szCs w:val="22"/>
                <w:highlight w:val="none"/>
              </w:rPr>
            </w:pPr>
          </w:p>
        </w:tc>
        <w:tc>
          <w:tcPr>
            <w:tcW w:w="1340" w:type="dxa"/>
            <w:vAlign w:val="center"/>
          </w:tcPr>
          <w:p w14:paraId="1D3226C5">
            <w:pPr>
              <w:spacing w:line="360" w:lineRule="auto"/>
              <w:jc w:val="center"/>
              <w:rPr>
                <w:rFonts w:ascii="宋体" w:hAnsi="宋体"/>
                <w:color w:val="auto"/>
                <w:sz w:val="22"/>
                <w:szCs w:val="22"/>
                <w:highlight w:val="none"/>
              </w:rPr>
            </w:pPr>
          </w:p>
        </w:tc>
        <w:tc>
          <w:tcPr>
            <w:tcW w:w="1326" w:type="dxa"/>
            <w:vAlign w:val="center"/>
          </w:tcPr>
          <w:p w14:paraId="475B0446">
            <w:pPr>
              <w:spacing w:line="360" w:lineRule="auto"/>
              <w:jc w:val="center"/>
              <w:rPr>
                <w:rFonts w:ascii="宋体" w:hAnsi="宋体"/>
                <w:color w:val="auto"/>
                <w:sz w:val="22"/>
                <w:szCs w:val="22"/>
                <w:highlight w:val="none"/>
              </w:rPr>
            </w:pPr>
          </w:p>
        </w:tc>
        <w:tc>
          <w:tcPr>
            <w:tcW w:w="1825" w:type="dxa"/>
          </w:tcPr>
          <w:p w14:paraId="5779912F">
            <w:pPr>
              <w:spacing w:line="360" w:lineRule="auto"/>
              <w:jc w:val="center"/>
              <w:rPr>
                <w:rFonts w:ascii="宋体" w:hAnsi="宋体"/>
                <w:color w:val="auto"/>
                <w:sz w:val="22"/>
                <w:szCs w:val="22"/>
                <w:highlight w:val="none"/>
              </w:rPr>
            </w:pPr>
          </w:p>
        </w:tc>
        <w:tc>
          <w:tcPr>
            <w:tcW w:w="1147" w:type="dxa"/>
            <w:vAlign w:val="center"/>
          </w:tcPr>
          <w:p w14:paraId="45F66506">
            <w:pPr>
              <w:spacing w:line="360" w:lineRule="auto"/>
              <w:jc w:val="center"/>
              <w:rPr>
                <w:rFonts w:ascii="宋体" w:hAnsi="宋体"/>
                <w:color w:val="auto"/>
                <w:sz w:val="22"/>
                <w:szCs w:val="22"/>
                <w:highlight w:val="none"/>
              </w:rPr>
            </w:pPr>
          </w:p>
        </w:tc>
      </w:tr>
      <w:tr w14:paraId="7CA2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3A7477">
            <w:pPr>
              <w:spacing w:line="360" w:lineRule="auto"/>
              <w:jc w:val="center"/>
              <w:rPr>
                <w:rFonts w:ascii="宋体" w:hAnsi="宋体"/>
                <w:color w:val="auto"/>
                <w:sz w:val="22"/>
                <w:szCs w:val="22"/>
                <w:highlight w:val="none"/>
              </w:rPr>
            </w:pPr>
          </w:p>
        </w:tc>
        <w:tc>
          <w:tcPr>
            <w:tcW w:w="958" w:type="dxa"/>
            <w:vAlign w:val="center"/>
          </w:tcPr>
          <w:p w14:paraId="4B56B146">
            <w:pPr>
              <w:spacing w:line="360" w:lineRule="auto"/>
              <w:jc w:val="center"/>
              <w:rPr>
                <w:rFonts w:ascii="宋体" w:hAnsi="宋体"/>
                <w:color w:val="auto"/>
                <w:sz w:val="22"/>
                <w:szCs w:val="22"/>
                <w:highlight w:val="none"/>
              </w:rPr>
            </w:pPr>
          </w:p>
        </w:tc>
        <w:tc>
          <w:tcPr>
            <w:tcW w:w="958" w:type="dxa"/>
            <w:vAlign w:val="center"/>
          </w:tcPr>
          <w:p w14:paraId="672309D7">
            <w:pPr>
              <w:spacing w:line="360" w:lineRule="auto"/>
              <w:jc w:val="center"/>
              <w:rPr>
                <w:rFonts w:ascii="宋体" w:hAnsi="宋体"/>
                <w:color w:val="auto"/>
                <w:sz w:val="22"/>
                <w:szCs w:val="22"/>
                <w:highlight w:val="none"/>
              </w:rPr>
            </w:pPr>
          </w:p>
        </w:tc>
        <w:tc>
          <w:tcPr>
            <w:tcW w:w="767" w:type="dxa"/>
            <w:vAlign w:val="center"/>
          </w:tcPr>
          <w:p w14:paraId="2E42F1BA">
            <w:pPr>
              <w:spacing w:line="360" w:lineRule="auto"/>
              <w:jc w:val="center"/>
              <w:rPr>
                <w:rFonts w:ascii="宋体" w:hAnsi="宋体"/>
                <w:color w:val="auto"/>
                <w:sz w:val="22"/>
                <w:szCs w:val="22"/>
                <w:highlight w:val="none"/>
              </w:rPr>
            </w:pPr>
          </w:p>
        </w:tc>
        <w:tc>
          <w:tcPr>
            <w:tcW w:w="767" w:type="dxa"/>
            <w:vAlign w:val="center"/>
          </w:tcPr>
          <w:p w14:paraId="4CA67454">
            <w:pPr>
              <w:spacing w:line="360" w:lineRule="auto"/>
              <w:jc w:val="center"/>
              <w:rPr>
                <w:rFonts w:ascii="宋体" w:hAnsi="宋体"/>
                <w:color w:val="auto"/>
                <w:sz w:val="22"/>
                <w:szCs w:val="22"/>
                <w:highlight w:val="none"/>
              </w:rPr>
            </w:pPr>
          </w:p>
        </w:tc>
        <w:tc>
          <w:tcPr>
            <w:tcW w:w="1340" w:type="dxa"/>
            <w:vAlign w:val="center"/>
          </w:tcPr>
          <w:p w14:paraId="205B3C17">
            <w:pPr>
              <w:spacing w:line="360" w:lineRule="auto"/>
              <w:jc w:val="center"/>
              <w:rPr>
                <w:rFonts w:ascii="宋体" w:hAnsi="宋体"/>
                <w:color w:val="auto"/>
                <w:sz w:val="22"/>
                <w:szCs w:val="22"/>
                <w:highlight w:val="none"/>
              </w:rPr>
            </w:pPr>
          </w:p>
        </w:tc>
        <w:tc>
          <w:tcPr>
            <w:tcW w:w="1326" w:type="dxa"/>
            <w:vAlign w:val="center"/>
          </w:tcPr>
          <w:p w14:paraId="71A34FA8">
            <w:pPr>
              <w:spacing w:line="360" w:lineRule="auto"/>
              <w:jc w:val="center"/>
              <w:rPr>
                <w:rFonts w:ascii="宋体" w:hAnsi="宋体"/>
                <w:color w:val="auto"/>
                <w:sz w:val="22"/>
                <w:szCs w:val="22"/>
                <w:highlight w:val="none"/>
              </w:rPr>
            </w:pPr>
          </w:p>
        </w:tc>
        <w:tc>
          <w:tcPr>
            <w:tcW w:w="1825" w:type="dxa"/>
          </w:tcPr>
          <w:p w14:paraId="1D56E179">
            <w:pPr>
              <w:spacing w:line="360" w:lineRule="auto"/>
              <w:jc w:val="center"/>
              <w:rPr>
                <w:rFonts w:ascii="宋体" w:hAnsi="宋体"/>
                <w:color w:val="auto"/>
                <w:sz w:val="22"/>
                <w:szCs w:val="22"/>
                <w:highlight w:val="none"/>
              </w:rPr>
            </w:pPr>
          </w:p>
        </w:tc>
        <w:tc>
          <w:tcPr>
            <w:tcW w:w="1147" w:type="dxa"/>
            <w:vAlign w:val="center"/>
          </w:tcPr>
          <w:p w14:paraId="09EBD8CD">
            <w:pPr>
              <w:spacing w:line="360" w:lineRule="auto"/>
              <w:jc w:val="center"/>
              <w:rPr>
                <w:rFonts w:ascii="宋体" w:hAnsi="宋体"/>
                <w:color w:val="auto"/>
                <w:sz w:val="22"/>
                <w:szCs w:val="22"/>
                <w:highlight w:val="none"/>
              </w:rPr>
            </w:pPr>
          </w:p>
        </w:tc>
      </w:tr>
      <w:tr w14:paraId="55022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E4D9251">
            <w:pPr>
              <w:spacing w:line="360" w:lineRule="auto"/>
              <w:jc w:val="center"/>
              <w:rPr>
                <w:rFonts w:ascii="宋体" w:hAnsi="宋体"/>
                <w:color w:val="auto"/>
                <w:sz w:val="22"/>
                <w:szCs w:val="22"/>
                <w:highlight w:val="none"/>
              </w:rPr>
            </w:pPr>
          </w:p>
        </w:tc>
        <w:tc>
          <w:tcPr>
            <w:tcW w:w="958" w:type="dxa"/>
            <w:vAlign w:val="center"/>
          </w:tcPr>
          <w:p w14:paraId="7B25F8BE">
            <w:pPr>
              <w:spacing w:line="360" w:lineRule="auto"/>
              <w:jc w:val="center"/>
              <w:rPr>
                <w:rFonts w:ascii="宋体" w:hAnsi="宋体"/>
                <w:color w:val="auto"/>
                <w:sz w:val="22"/>
                <w:szCs w:val="22"/>
                <w:highlight w:val="none"/>
              </w:rPr>
            </w:pPr>
          </w:p>
        </w:tc>
        <w:tc>
          <w:tcPr>
            <w:tcW w:w="958" w:type="dxa"/>
            <w:vAlign w:val="center"/>
          </w:tcPr>
          <w:p w14:paraId="47CE3BC7">
            <w:pPr>
              <w:spacing w:line="360" w:lineRule="auto"/>
              <w:jc w:val="center"/>
              <w:rPr>
                <w:rFonts w:ascii="宋体" w:hAnsi="宋体"/>
                <w:color w:val="auto"/>
                <w:sz w:val="22"/>
                <w:szCs w:val="22"/>
                <w:highlight w:val="none"/>
              </w:rPr>
            </w:pPr>
          </w:p>
        </w:tc>
        <w:tc>
          <w:tcPr>
            <w:tcW w:w="767" w:type="dxa"/>
            <w:vAlign w:val="center"/>
          </w:tcPr>
          <w:p w14:paraId="2D4AC3DD">
            <w:pPr>
              <w:spacing w:line="360" w:lineRule="auto"/>
              <w:jc w:val="center"/>
              <w:rPr>
                <w:rFonts w:ascii="宋体" w:hAnsi="宋体"/>
                <w:color w:val="auto"/>
                <w:sz w:val="22"/>
                <w:szCs w:val="22"/>
                <w:highlight w:val="none"/>
              </w:rPr>
            </w:pPr>
          </w:p>
        </w:tc>
        <w:tc>
          <w:tcPr>
            <w:tcW w:w="767" w:type="dxa"/>
            <w:vAlign w:val="center"/>
          </w:tcPr>
          <w:p w14:paraId="61C4CCC1">
            <w:pPr>
              <w:spacing w:line="360" w:lineRule="auto"/>
              <w:jc w:val="center"/>
              <w:rPr>
                <w:rFonts w:ascii="宋体" w:hAnsi="宋体"/>
                <w:color w:val="auto"/>
                <w:sz w:val="22"/>
                <w:szCs w:val="22"/>
                <w:highlight w:val="none"/>
              </w:rPr>
            </w:pPr>
          </w:p>
        </w:tc>
        <w:tc>
          <w:tcPr>
            <w:tcW w:w="1340" w:type="dxa"/>
            <w:vAlign w:val="center"/>
          </w:tcPr>
          <w:p w14:paraId="15E97CB1">
            <w:pPr>
              <w:spacing w:line="360" w:lineRule="auto"/>
              <w:jc w:val="center"/>
              <w:rPr>
                <w:rFonts w:ascii="宋体" w:hAnsi="宋体"/>
                <w:color w:val="auto"/>
                <w:sz w:val="22"/>
                <w:szCs w:val="22"/>
                <w:highlight w:val="none"/>
              </w:rPr>
            </w:pPr>
          </w:p>
        </w:tc>
        <w:tc>
          <w:tcPr>
            <w:tcW w:w="1326" w:type="dxa"/>
            <w:vAlign w:val="center"/>
          </w:tcPr>
          <w:p w14:paraId="003E9DD9">
            <w:pPr>
              <w:spacing w:line="360" w:lineRule="auto"/>
              <w:jc w:val="center"/>
              <w:rPr>
                <w:rFonts w:ascii="宋体" w:hAnsi="宋体"/>
                <w:color w:val="auto"/>
                <w:sz w:val="22"/>
                <w:szCs w:val="22"/>
                <w:highlight w:val="none"/>
              </w:rPr>
            </w:pPr>
          </w:p>
        </w:tc>
        <w:tc>
          <w:tcPr>
            <w:tcW w:w="1825" w:type="dxa"/>
          </w:tcPr>
          <w:p w14:paraId="20DE71E1">
            <w:pPr>
              <w:spacing w:line="360" w:lineRule="auto"/>
              <w:jc w:val="center"/>
              <w:rPr>
                <w:rFonts w:ascii="宋体" w:hAnsi="宋体"/>
                <w:color w:val="auto"/>
                <w:sz w:val="22"/>
                <w:szCs w:val="22"/>
                <w:highlight w:val="none"/>
              </w:rPr>
            </w:pPr>
          </w:p>
        </w:tc>
        <w:tc>
          <w:tcPr>
            <w:tcW w:w="1147" w:type="dxa"/>
            <w:vAlign w:val="center"/>
          </w:tcPr>
          <w:p w14:paraId="4CCC0434">
            <w:pPr>
              <w:spacing w:line="360" w:lineRule="auto"/>
              <w:jc w:val="center"/>
              <w:rPr>
                <w:rFonts w:ascii="宋体" w:hAnsi="宋体"/>
                <w:color w:val="auto"/>
                <w:sz w:val="22"/>
                <w:szCs w:val="22"/>
                <w:highlight w:val="none"/>
              </w:rPr>
            </w:pPr>
          </w:p>
        </w:tc>
      </w:tr>
      <w:tr w14:paraId="01025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F9513F8">
            <w:pPr>
              <w:spacing w:line="360" w:lineRule="auto"/>
              <w:jc w:val="center"/>
              <w:rPr>
                <w:rFonts w:ascii="宋体" w:hAnsi="宋体"/>
                <w:color w:val="auto"/>
                <w:sz w:val="22"/>
                <w:szCs w:val="22"/>
                <w:highlight w:val="none"/>
              </w:rPr>
            </w:pPr>
          </w:p>
        </w:tc>
        <w:tc>
          <w:tcPr>
            <w:tcW w:w="958" w:type="dxa"/>
            <w:vAlign w:val="center"/>
          </w:tcPr>
          <w:p w14:paraId="6EB753BB">
            <w:pPr>
              <w:spacing w:line="360" w:lineRule="auto"/>
              <w:jc w:val="center"/>
              <w:rPr>
                <w:rFonts w:ascii="宋体" w:hAnsi="宋体"/>
                <w:color w:val="auto"/>
                <w:sz w:val="22"/>
                <w:szCs w:val="22"/>
                <w:highlight w:val="none"/>
              </w:rPr>
            </w:pPr>
          </w:p>
        </w:tc>
        <w:tc>
          <w:tcPr>
            <w:tcW w:w="958" w:type="dxa"/>
            <w:vAlign w:val="center"/>
          </w:tcPr>
          <w:p w14:paraId="044C1B66">
            <w:pPr>
              <w:spacing w:line="360" w:lineRule="auto"/>
              <w:jc w:val="center"/>
              <w:rPr>
                <w:rFonts w:ascii="宋体" w:hAnsi="宋体"/>
                <w:color w:val="auto"/>
                <w:sz w:val="22"/>
                <w:szCs w:val="22"/>
                <w:highlight w:val="none"/>
              </w:rPr>
            </w:pPr>
          </w:p>
        </w:tc>
        <w:tc>
          <w:tcPr>
            <w:tcW w:w="767" w:type="dxa"/>
            <w:vAlign w:val="center"/>
          </w:tcPr>
          <w:p w14:paraId="10E10088">
            <w:pPr>
              <w:spacing w:line="360" w:lineRule="auto"/>
              <w:jc w:val="center"/>
              <w:rPr>
                <w:rFonts w:ascii="宋体" w:hAnsi="宋体"/>
                <w:color w:val="auto"/>
                <w:sz w:val="22"/>
                <w:szCs w:val="22"/>
                <w:highlight w:val="none"/>
              </w:rPr>
            </w:pPr>
          </w:p>
        </w:tc>
        <w:tc>
          <w:tcPr>
            <w:tcW w:w="767" w:type="dxa"/>
            <w:vAlign w:val="center"/>
          </w:tcPr>
          <w:p w14:paraId="5CAA76E2">
            <w:pPr>
              <w:spacing w:line="360" w:lineRule="auto"/>
              <w:jc w:val="center"/>
              <w:rPr>
                <w:rFonts w:ascii="宋体" w:hAnsi="宋体"/>
                <w:color w:val="auto"/>
                <w:sz w:val="22"/>
                <w:szCs w:val="22"/>
                <w:highlight w:val="none"/>
              </w:rPr>
            </w:pPr>
          </w:p>
        </w:tc>
        <w:tc>
          <w:tcPr>
            <w:tcW w:w="1340" w:type="dxa"/>
            <w:vAlign w:val="center"/>
          </w:tcPr>
          <w:p w14:paraId="298E29B8">
            <w:pPr>
              <w:spacing w:line="360" w:lineRule="auto"/>
              <w:jc w:val="center"/>
              <w:rPr>
                <w:rFonts w:ascii="宋体" w:hAnsi="宋体"/>
                <w:color w:val="auto"/>
                <w:sz w:val="22"/>
                <w:szCs w:val="22"/>
                <w:highlight w:val="none"/>
              </w:rPr>
            </w:pPr>
          </w:p>
        </w:tc>
        <w:tc>
          <w:tcPr>
            <w:tcW w:w="1326" w:type="dxa"/>
            <w:vAlign w:val="center"/>
          </w:tcPr>
          <w:p w14:paraId="3910CB78">
            <w:pPr>
              <w:spacing w:line="360" w:lineRule="auto"/>
              <w:jc w:val="center"/>
              <w:rPr>
                <w:rFonts w:ascii="宋体" w:hAnsi="宋体"/>
                <w:color w:val="auto"/>
                <w:sz w:val="22"/>
                <w:szCs w:val="22"/>
                <w:highlight w:val="none"/>
              </w:rPr>
            </w:pPr>
          </w:p>
        </w:tc>
        <w:tc>
          <w:tcPr>
            <w:tcW w:w="1825" w:type="dxa"/>
          </w:tcPr>
          <w:p w14:paraId="114E03BF">
            <w:pPr>
              <w:spacing w:line="360" w:lineRule="auto"/>
              <w:jc w:val="center"/>
              <w:rPr>
                <w:rFonts w:ascii="宋体" w:hAnsi="宋体"/>
                <w:color w:val="auto"/>
                <w:sz w:val="22"/>
                <w:szCs w:val="22"/>
                <w:highlight w:val="none"/>
              </w:rPr>
            </w:pPr>
          </w:p>
        </w:tc>
        <w:tc>
          <w:tcPr>
            <w:tcW w:w="1147" w:type="dxa"/>
            <w:vAlign w:val="center"/>
          </w:tcPr>
          <w:p w14:paraId="53084CA5">
            <w:pPr>
              <w:spacing w:line="360" w:lineRule="auto"/>
              <w:jc w:val="center"/>
              <w:rPr>
                <w:rFonts w:ascii="宋体" w:hAnsi="宋体"/>
                <w:color w:val="auto"/>
                <w:sz w:val="22"/>
                <w:szCs w:val="22"/>
                <w:highlight w:val="none"/>
              </w:rPr>
            </w:pPr>
          </w:p>
        </w:tc>
      </w:tr>
      <w:tr w14:paraId="42F59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A1FA4D0">
            <w:pPr>
              <w:spacing w:line="360" w:lineRule="auto"/>
              <w:jc w:val="center"/>
              <w:rPr>
                <w:rFonts w:ascii="宋体" w:hAnsi="宋体"/>
                <w:color w:val="auto"/>
                <w:sz w:val="22"/>
                <w:szCs w:val="22"/>
                <w:highlight w:val="none"/>
              </w:rPr>
            </w:pPr>
          </w:p>
        </w:tc>
        <w:tc>
          <w:tcPr>
            <w:tcW w:w="958" w:type="dxa"/>
            <w:vAlign w:val="center"/>
          </w:tcPr>
          <w:p w14:paraId="5BA8DC5A">
            <w:pPr>
              <w:spacing w:line="360" w:lineRule="auto"/>
              <w:jc w:val="center"/>
              <w:rPr>
                <w:rFonts w:ascii="宋体" w:hAnsi="宋体"/>
                <w:color w:val="auto"/>
                <w:sz w:val="22"/>
                <w:szCs w:val="22"/>
                <w:highlight w:val="none"/>
              </w:rPr>
            </w:pPr>
          </w:p>
        </w:tc>
        <w:tc>
          <w:tcPr>
            <w:tcW w:w="958" w:type="dxa"/>
            <w:vAlign w:val="center"/>
          </w:tcPr>
          <w:p w14:paraId="686B2505">
            <w:pPr>
              <w:spacing w:line="360" w:lineRule="auto"/>
              <w:jc w:val="center"/>
              <w:rPr>
                <w:rFonts w:ascii="宋体" w:hAnsi="宋体"/>
                <w:color w:val="auto"/>
                <w:sz w:val="22"/>
                <w:szCs w:val="22"/>
                <w:highlight w:val="none"/>
              </w:rPr>
            </w:pPr>
          </w:p>
        </w:tc>
        <w:tc>
          <w:tcPr>
            <w:tcW w:w="767" w:type="dxa"/>
            <w:vAlign w:val="center"/>
          </w:tcPr>
          <w:p w14:paraId="519C940C">
            <w:pPr>
              <w:spacing w:line="360" w:lineRule="auto"/>
              <w:jc w:val="center"/>
              <w:rPr>
                <w:rFonts w:ascii="宋体" w:hAnsi="宋体"/>
                <w:color w:val="auto"/>
                <w:sz w:val="22"/>
                <w:szCs w:val="22"/>
                <w:highlight w:val="none"/>
              </w:rPr>
            </w:pPr>
          </w:p>
        </w:tc>
        <w:tc>
          <w:tcPr>
            <w:tcW w:w="767" w:type="dxa"/>
            <w:vAlign w:val="center"/>
          </w:tcPr>
          <w:p w14:paraId="0E68C3B1">
            <w:pPr>
              <w:spacing w:line="360" w:lineRule="auto"/>
              <w:jc w:val="center"/>
              <w:rPr>
                <w:rFonts w:ascii="宋体" w:hAnsi="宋体"/>
                <w:color w:val="auto"/>
                <w:sz w:val="22"/>
                <w:szCs w:val="22"/>
                <w:highlight w:val="none"/>
              </w:rPr>
            </w:pPr>
          </w:p>
        </w:tc>
        <w:tc>
          <w:tcPr>
            <w:tcW w:w="1340" w:type="dxa"/>
            <w:vAlign w:val="center"/>
          </w:tcPr>
          <w:p w14:paraId="3C66299C">
            <w:pPr>
              <w:spacing w:line="360" w:lineRule="auto"/>
              <w:jc w:val="center"/>
              <w:rPr>
                <w:rFonts w:ascii="宋体" w:hAnsi="宋体"/>
                <w:color w:val="auto"/>
                <w:sz w:val="22"/>
                <w:szCs w:val="22"/>
                <w:highlight w:val="none"/>
              </w:rPr>
            </w:pPr>
          </w:p>
        </w:tc>
        <w:tc>
          <w:tcPr>
            <w:tcW w:w="1326" w:type="dxa"/>
            <w:vAlign w:val="center"/>
          </w:tcPr>
          <w:p w14:paraId="6557D241">
            <w:pPr>
              <w:spacing w:line="360" w:lineRule="auto"/>
              <w:jc w:val="center"/>
              <w:rPr>
                <w:rFonts w:ascii="宋体" w:hAnsi="宋体"/>
                <w:color w:val="auto"/>
                <w:sz w:val="22"/>
                <w:szCs w:val="22"/>
                <w:highlight w:val="none"/>
              </w:rPr>
            </w:pPr>
          </w:p>
        </w:tc>
        <w:tc>
          <w:tcPr>
            <w:tcW w:w="1825" w:type="dxa"/>
          </w:tcPr>
          <w:p w14:paraId="40B2EC33">
            <w:pPr>
              <w:spacing w:line="360" w:lineRule="auto"/>
              <w:jc w:val="center"/>
              <w:rPr>
                <w:rFonts w:ascii="宋体" w:hAnsi="宋体"/>
                <w:color w:val="auto"/>
                <w:sz w:val="22"/>
                <w:szCs w:val="22"/>
                <w:highlight w:val="none"/>
              </w:rPr>
            </w:pPr>
          </w:p>
        </w:tc>
        <w:tc>
          <w:tcPr>
            <w:tcW w:w="1147" w:type="dxa"/>
            <w:vAlign w:val="center"/>
          </w:tcPr>
          <w:p w14:paraId="08A6534B">
            <w:pPr>
              <w:spacing w:line="360" w:lineRule="auto"/>
              <w:jc w:val="center"/>
              <w:rPr>
                <w:rFonts w:ascii="宋体" w:hAnsi="宋体"/>
                <w:color w:val="auto"/>
                <w:sz w:val="22"/>
                <w:szCs w:val="22"/>
                <w:highlight w:val="none"/>
              </w:rPr>
            </w:pPr>
          </w:p>
        </w:tc>
      </w:tr>
    </w:tbl>
    <w:p w14:paraId="38D19D6A">
      <w:pPr>
        <w:pStyle w:val="31"/>
        <w:spacing w:line="400" w:lineRule="atLeast"/>
        <w:ind w:left="660" w:hanging="660" w:hangingChars="300"/>
        <w:rPr>
          <w:rFonts w:hAnsi="宋体"/>
          <w:color w:val="auto"/>
          <w:sz w:val="22"/>
          <w:szCs w:val="22"/>
          <w:highlight w:val="none"/>
        </w:rPr>
      </w:pPr>
      <w:r>
        <w:rPr>
          <w:rFonts w:hint="eastAsia" w:hAnsi="宋体"/>
          <w:color w:val="auto"/>
          <w:sz w:val="22"/>
          <w:szCs w:val="22"/>
          <w:highlight w:val="none"/>
        </w:rPr>
        <w:t>注：此表仅提供了表格形式，投标人可按此表格复制。</w:t>
      </w:r>
    </w:p>
    <w:p w14:paraId="25116F88">
      <w:pPr>
        <w:pStyle w:val="31"/>
        <w:spacing w:line="400" w:lineRule="atLeast"/>
        <w:ind w:left="660" w:hanging="660" w:hangingChars="300"/>
        <w:rPr>
          <w:rFonts w:hAnsi="宋体"/>
          <w:color w:val="auto"/>
          <w:sz w:val="22"/>
          <w:szCs w:val="22"/>
          <w:highlight w:val="none"/>
        </w:rPr>
      </w:pPr>
    </w:p>
    <w:p w14:paraId="49FF197E">
      <w:pPr>
        <w:pStyle w:val="31"/>
        <w:spacing w:line="400" w:lineRule="atLeast"/>
        <w:ind w:left="660" w:hanging="660" w:hangingChars="300"/>
        <w:rPr>
          <w:rFonts w:hAnsi="宋体"/>
          <w:color w:val="auto"/>
          <w:sz w:val="22"/>
          <w:szCs w:val="22"/>
          <w:highlight w:val="none"/>
        </w:rPr>
      </w:pPr>
    </w:p>
    <w:p w14:paraId="0D90EF9A">
      <w:pPr>
        <w:pStyle w:val="31"/>
        <w:spacing w:line="400" w:lineRule="atLeast"/>
        <w:ind w:left="660" w:hanging="660" w:hangingChars="300"/>
        <w:rPr>
          <w:rFonts w:hAnsi="宋体"/>
          <w:color w:val="auto"/>
          <w:sz w:val="22"/>
          <w:szCs w:val="22"/>
          <w:highlight w:val="none"/>
        </w:rPr>
      </w:pPr>
    </w:p>
    <w:p w14:paraId="4D7265E7">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43151270">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w:t>
      </w:r>
    </w:p>
    <w:p w14:paraId="4D05CA65">
      <w:pPr>
        <w:spacing w:line="380" w:lineRule="exact"/>
        <w:ind w:firstLine="4400" w:firstLineChars="2000"/>
        <w:rPr>
          <w:rFonts w:hAnsi="宋体"/>
          <w:color w:val="auto"/>
          <w:sz w:val="22"/>
          <w:szCs w:val="22"/>
          <w:highlight w:val="none"/>
        </w:rPr>
      </w:pPr>
      <w:r>
        <w:rPr>
          <w:rFonts w:hint="eastAsia" w:ascii="宋体" w:hAnsi="宋体"/>
          <w:color w:val="auto"/>
          <w:sz w:val="22"/>
          <w:szCs w:val="22"/>
          <w:highlight w:val="none"/>
        </w:rPr>
        <w:t xml:space="preserve">日期：  年   月  日 </w:t>
      </w:r>
    </w:p>
    <w:p w14:paraId="42935E50">
      <w:pPr>
        <w:pStyle w:val="31"/>
        <w:spacing w:line="400" w:lineRule="atLeast"/>
        <w:ind w:left="1"/>
        <w:jc w:val="left"/>
        <w:rPr>
          <w:rFonts w:eastAsia="新宋体"/>
          <w:color w:val="auto"/>
          <w:sz w:val="22"/>
          <w:szCs w:val="22"/>
          <w:highlight w:val="none"/>
        </w:rPr>
      </w:pPr>
    </w:p>
    <w:p w14:paraId="4027869A">
      <w:pPr>
        <w:rPr>
          <w:rFonts w:eastAsia="新宋体"/>
          <w:color w:val="auto"/>
          <w:sz w:val="22"/>
          <w:szCs w:val="22"/>
          <w:highlight w:val="none"/>
        </w:rPr>
      </w:pPr>
    </w:p>
    <w:p w14:paraId="7352EDB5">
      <w:pPr>
        <w:jc w:val="left"/>
        <w:rPr>
          <w:rFonts w:eastAsia="新宋体"/>
          <w:color w:val="auto"/>
          <w:sz w:val="22"/>
          <w:szCs w:val="22"/>
          <w:highlight w:val="none"/>
        </w:rPr>
      </w:pPr>
      <w:r>
        <w:rPr>
          <w:rFonts w:hint="eastAsia" w:eastAsia="新宋体"/>
          <w:b/>
          <w:bCs/>
          <w:color w:val="auto"/>
          <w:sz w:val="22"/>
          <w:szCs w:val="22"/>
          <w:highlight w:val="none"/>
        </w:rPr>
        <w:t>附件四</w:t>
      </w:r>
    </w:p>
    <w:p w14:paraId="23CC7E45">
      <w:pPr>
        <w:pStyle w:val="31"/>
        <w:spacing w:line="400" w:lineRule="atLeast"/>
        <w:ind w:left="1"/>
        <w:jc w:val="center"/>
        <w:rPr>
          <w:rFonts w:ascii="新宋体" w:hAnsi="新宋体" w:eastAsia="新宋体"/>
          <w:b/>
          <w:color w:val="auto"/>
          <w:sz w:val="28"/>
          <w:highlight w:val="none"/>
        </w:rPr>
      </w:pPr>
      <w:r>
        <w:rPr>
          <w:rFonts w:hint="eastAsia" w:eastAsia="新宋体"/>
          <w:color w:val="auto"/>
          <w:sz w:val="22"/>
          <w:szCs w:val="22"/>
          <w:highlight w:val="none"/>
        </w:rPr>
        <w:t xml:space="preserve"> </w:t>
      </w:r>
      <w:r>
        <w:rPr>
          <w:rFonts w:hint="eastAsia" w:ascii="新宋体" w:hAnsi="新宋体" w:eastAsia="新宋体"/>
          <w:b/>
          <w:color w:val="auto"/>
          <w:sz w:val="28"/>
          <w:highlight w:val="none"/>
        </w:rPr>
        <w:t>投标人同类业绩一览表</w:t>
      </w:r>
    </w:p>
    <w:p w14:paraId="4FAD218E">
      <w:pPr>
        <w:spacing w:line="360" w:lineRule="exact"/>
        <w:jc w:val="center"/>
        <w:rPr>
          <w:rFonts w:eastAsia="新宋体"/>
          <w:color w:val="auto"/>
          <w:sz w:val="22"/>
          <w:highlight w:val="none"/>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711D9B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14:paraId="73BAF1A3">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vAlign w:val="center"/>
          </w:tcPr>
          <w:p w14:paraId="52AD6DF9">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vAlign w:val="center"/>
          </w:tcPr>
          <w:p w14:paraId="70B8FCBF">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vAlign w:val="center"/>
          </w:tcPr>
          <w:p w14:paraId="221D4B74">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vAlign w:val="center"/>
          </w:tcPr>
          <w:p w14:paraId="40745C47">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vAlign w:val="center"/>
          </w:tcPr>
          <w:p w14:paraId="3F2AF3BD">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vAlign w:val="center"/>
          </w:tcPr>
          <w:p w14:paraId="44C46260">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14:paraId="79E6D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CC22387">
            <w:pPr>
              <w:spacing w:after="120" w:line="360" w:lineRule="atLeast"/>
              <w:jc w:val="center"/>
              <w:rPr>
                <w:rFonts w:ascii="新宋体" w:hAnsi="新宋体" w:eastAsia="新宋体"/>
                <w:color w:val="auto"/>
                <w:sz w:val="22"/>
                <w:szCs w:val="22"/>
                <w:highlight w:val="none"/>
              </w:rPr>
            </w:pPr>
          </w:p>
        </w:tc>
        <w:tc>
          <w:tcPr>
            <w:tcW w:w="1538" w:type="dxa"/>
          </w:tcPr>
          <w:p w14:paraId="26ED551C">
            <w:pPr>
              <w:spacing w:after="120" w:line="360" w:lineRule="atLeast"/>
              <w:jc w:val="center"/>
              <w:rPr>
                <w:rFonts w:ascii="新宋体" w:hAnsi="新宋体" w:eastAsia="新宋体"/>
                <w:color w:val="auto"/>
                <w:sz w:val="22"/>
                <w:szCs w:val="22"/>
                <w:highlight w:val="none"/>
              </w:rPr>
            </w:pPr>
          </w:p>
        </w:tc>
        <w:tc>
          <w:tcPr>
            <w:tcW w:w="1583" w:type="dxa"/>
          </w:tcPr>
          <w:p w14:paraId="1BFA2141">
            <w:pPr>
              <w:spacing w:after="120" w:line="360" w:lineRule="atLeast"/>
              <w:jc w:val="center"/>
              <w:rPr>
                <w:rFonts w:ascii="新宋体" w:hAnsi="新宋体" w:eastAsia="新宋体"/>
                <w:color w:val="auto"/>
                <w:sz w:val="22"/>
                <w:szCs w:val="22"/>
                <w:highlight w:val="none"/>
              </w:rPr>
            </w:pPr>
          </w:p>
        </w:tc>
        <w:tc>
          <w:tcPr>
            <w:tcW w:w="2036" w:type="dxa"/>
          </w:tcPr>
          <w:p w14:paraId="3BE9E60F">
            <w:pPr>
              <w:spacing w:after="120" w:line="360" w:lineRule="atLeast"/>
              <w:jc w:val="center"/>
              <w:rPr>
                <w:rFonts w:ascii="新宋体" w:hAnsi="新宋体" w:eastAsia="新宋体"/>
                <w:color w:val="auto"/>
                <w:sz w:val="22"/>
                <w:szCs w:val="22"/>
                <w:highlight w:val="none"/>
              </w:rPr>
            </w:pPr>
          </w:p>
        </w:tc>
        <w:tc>
          <w:tcPr>
            <w:tcW w:w="1471" w:type="dxa"/>
          </w:tcPr>
          <w:p w14:paraId="30AA7332">
            <w:pPr>
              <w:spacing w:after="120" w:line="360" w:lineRule="atLeast"/>
              <w:jc w:val="center"/>
              <w:rPr>
                <w:rFonts w:ascii="新宋体" w:hAnsi="新宋体" w:eastAsia="新宋体"/>
                <w:color w:val="auto"/>
                <w:sz w:val="22"/>
                <w:szCs w:val="22"/>
                <w:highlight w:val="none"/>
              </w:rPr>
            </w:pPr>
          </w:p>
        </w:tc>
        <w:tc>
          <w:tcPr>
            <w:tcW w:w="1007" w:type="dxa"/>
          </w:tcPr>
          <w:p w14:paraId="34FE236A">
            <w:pPr>
              <w:spacing w:after="120" w:line="360" w:lineRule="atLeast"/>
              <w:jc w:val="center"/>
              <w:rPr>
                <w:rFonts w:ascii="新宋体" w:hAnsi="新宋体" w:eastAsia="新宋体"/>
                <w:color w:val="auto"/>
                <w:sz w:val="22"/>
                <w:szCs w:val="22"/>
                <w:highlight w:val="none"/>
              </w:rPr>
            </w:pPr>
          </w:p>
        </w:tc>
        <w:tc>
          <w:tcPr>
            <w:tcW w:w="1351" w:type="dxa"/>
          </w:tcPr>
          <w:p w14:paraId="63E51D0F">
            <w:pPr>
              <w:spacing w:after="120" w:line="360" w:lineRule="atLeast"/>
              <w:jc w:val="center"/>
              <w:rPr>
                <w:rFonts w:ascii="新宋体" w:hAnsi="新宋体" w:eastAsia="新宋体"/>
                <w:color w:val="auto"/>
                <w:sz w:val="22"/>
                <w:szCs w:val="22"/>
                <w:highlight w:val="none"/>
              </w:rPr>
            </w:pPr>
          </w:p>
        </w:tc>
      </w:tr>
      <w:tr w14:paraId="43DB26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F789153">
            <w:pPr>
              <w:spacing w:after="120" w:line="360" w:lineRule="atLeast"/>
              <w:jc w:val="center"/>
              <w:rPr>
                <w:rFonts w:ascii="新宋体" w:hAnsi="新宋体" w:eastAsia="新宋体"/>
                <w:color w:val="auto"/>
                <w:sz w:val="22"/>
                <w:szCs w:val="22"/>
                <w:highlight w:val="none"/>
              </w:rPr>
            </w:pPr>
          </w:p>
        </w:tc>
        <w:tc>
          <w:tcPr>
            <w:tcW w:w="1538" w:type="dxa"/>
          </w:tcPr>
          <w:p w14:paraId="67C655BE">
            <w:pPr>
              <w:spacing w:after="120" w:line="360" w:lineRule="atLeast"/>
              <w:jc w:val="center"/>
              <w:rPr>
                <w:rFonts w:ascii="新宋体" w:hAnsi="新宋体" w:eastAsia="新宋体"/>
                <w:color w:val="auto"/>
                <w:sz w:val="22"/>
                <w:szCs w:val="22"/>
                <w:highlight w:val="none"/>
              </w:rPr>
            </w:pPr>
          </w:p>
        </w:tc>
        <w:tc>
          <w:tcPr>
            <w:tcW w:w="1583" w:type="dxa"/>
          </w:tcPr>
          <w:p w14:paraId="15FF7316">
            <w:pPr>
              <w:spacing w:after="120" w:line="360" w:lineRule="atLeast"/>
              <w:jc w:val="center"/>
              <w:rPr>
                <w:rFonts w:ascii="新宋体" w:hAnsi="新宋体" w:eastAsia="新宋体"/>
                <w:color w:val="auto"/>
                <w:sz w:val="22"/>
                <w:szCs w:val="22"/>
                <w:highlight w:val="none"/>
              </w:rPr>
            </w:pPr>
          </w:p>
        </w:tc>
        <w:tc>
          <w:tcPr>
            <w:tcW w:w="2036" w:type="dxa"/>
          </w:tcPr>
          <w:p w14:paraId="1B390F86">
            <w:pPr>
              <w:spacing w:after="120" w:line="360" w:lineRule="atLeast"/>
              <w:jc w:val="center"/>
              <w:rPr>
                <w:rFonts w:ascii="新宋体" w:hAnsi="新宋体" w:eastAsia="新宋体"/>
                <w:color w:val="auto"/>
                <w:sz w:val="22"/>
                <w:szCs w:val="22"/>
                <w:highlight w:val="none"/>
              </w:rPr>
            </w:pPr>
          </w:p>
        </w:tc>
        <w:tc>
          <w:tcPr>
            <w:tcW w:w="1471" w:type="dxa"/>
          </w:tcPr>
          <w:p w14:paraId="0B7BC4D1">
            <w:pPr>
              <w:spacing w:after="120" w:line="360" w:lineRule="atLeast"/>
              <w:jc w:val="center"/>
              <w:rPr>
                <w:rFonts w:ascii="新宋体" w:hAnsi="新宋体" w:eastAsia="新宋体"/>
                <w:color w:val="auto"/>
                <w:sz w:val="22"/>
                <w:szCs w:val="22"/>
                <w:highlight w:val="none"/>
              </w:rPr>
            </w:pPr>
          </w:p>
        </w:tc>
        <w:tc>
          <w:tcPr>
            <w:tcW w:w="1007" w:type="dxa"/>
          </w:tcPr>
          <w:p w14:paraId="11721E75">
            <w:pPr>
              <w:spacing w:after="120" w:line="360" w:lineRule="atLeast"/>
              <w:jc w:val="center"/>
              <w:rPr>
                <w:rFonts w:ascii="新宋体" w:hAnsi="新宋体" w:eastAsia="新宋体"/>
                <w:color w:val="auto"/>
                <w:sz w:val="22"/>
                <w:szCs w:val="22"/>
                <w:highlight w:val="none"/>
              </w:rPr>
            </w:pPr>
          </w:p>
        </w:tc>
        <w:tc>
          <w:tcPr>
            <w:tcW w:w="1351" w:type="dxa"/>
          </w:tcPr>
          <w:p w14:paraId="407C0583">
            <w:pPr>
              <w:spacing w:after="120" w:line="360" w:lineRule="atLeast"/>
              <w:jc w:val="center"/>
              <w:rPr>
                <w:rFonts w:ascii="新宋体" w:hAnsi="新宋体" w:eastAsia="新宋体"/>
                <w:color w:val="auto"/>
                <w:sz w:val="22"/>
                <w:szCs w:val="22"/>
                <w:highlight w:val="none"/>
              </w:rPr>
            </w:pPr>
          </w:p>
        </w:tc>
      </w:tr>
      <w:tr w14:paraId="4EAF6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3C4FA67B">
            <w:pPr>
              <w:spacing w:after="120" w:line="360" w:lineRule="atLeast"/>
              <w:jc w:val="center"/>
              <w:rPr>
                <w:rFonts w:ascii="新宋体" w:hAnsi="新宋体" w:eastAsia="新宋体"/>
                <w:color w:val="auto"/>
                <w:sz w:val="22"/>
                <w:szCs w:val="22"/>
                <w:highlight w:val="none"/>
              </w:rPr>
            </w:pPr>
          </w:p>
        </w:tc>
        <w:tc>
          <w:tcPr>
            <w:tcW w:w="1538" w:type="dxa"/>
          </w:tcPr>
          <w:p w14:paraId="2FAAC791">
            <w:pPr>
              <w:spacing w:after="120" w:line="360" w:lineRule="atLeast"/>
              <w:jc w:val="center"/>
              <w:rPr>
                <w:rFonts w:ascii="新宋体" w:hAnsi="新宋体" w:eastAsia="新宋体"/>
                <w:color w:val="auto"/>
                <w:sz w:val="22"/>
                <w:szCs w:val="22"/>
                <w:highlight w:val="none"/>
              </w:rPr>
            </w:pPr>
          </w:p>
        </w:tc>
        <w:tc>
          <w:tcPr>
            <w:tcW w:w="1583" w:type="dxa"/>
          </w:tcPr>
          <w:p w14:paraId="397F9B0F">
            <w:pPr>
              <w:spacing w:after="120" w:line="360" w:lineRule="atLeast"/>
              <w:jc w:val="center"/>
              <w:rPr>
                <w:rFonts w:ascii="新宋体" w:hAnsi="新宋体" w:eastAsia="新宋体"/>
                <w:color w:val="auto"/>
                <w:sz w:val="22"/>
                <w:szCs w:val="22"/>
                <w:highlight w:val="none"/>
              </w:rPr>
            </w:pPr>
          </w:p>
        </w:tc>
        <w:tc>
          <w:tcPr>
            <w:tcW w:w="2036" w:type="dxa"/>
          </w:tcPr>
          <w:p w14:paraId="4469AAAA">
            <w:pPr>
              <w:spacing w:after="120" w:line="360" w:lineRule="atLeast"/>
              <w:jc w:val="center"/>
              <w:rPr>
                <w:rFonts w:ascii="新宋体" w:hAnsi="新宋体" w:eastAsia="新宋体"/>
                <w:color w:val="auto"/>
                <w:sz w:val="22"/>
                <w:szCs w:val="22"/>
                <w:highlight w:val="none"/>
              </w:rPr>
            </w:pPr>
          </w:p>
        </w:tc>
        <w:tc>
          <w:tcPr>
            <w:tcW w:w="1471" w:type="dxa"/>
          </w:tcPr>
          <w:p w14:paraId="0A18C884">
            <w:pPr>
              <w:spacing w:after="120" w:line="360" w:lineRule="atLeast"/>
              <w:jc w:val="center"/>
              <w:rPr>
                <w:rFonts w:ascii="新宋体" w:hAnsi="新宋体" w:eastAsia="新宋体"/>
                <w:color w:val="auto"/>
                <w:sz w:val="22"/>
                <w:szCs w:val="22"/>
                <w:highlight w:val="none"/>
              </w:rPr>
            </w:pPr>
          </w:p>
        </w:tc>
        <w:tc>
          <w:tcPr>
            <w:tcW w:w="1007" w:type="dxa"/>
          </w:tcPr>
          <w:p w14:paraId="113101FB">
            <w:pPr>
              <w:spacing w:after="120" w:line="360" w:lineRule="atLeast"/>
              <w:jc w:val="center"/>
              <w:rPr>
                <w:rFonts w:ascii="新宋体" w:hAnsi="新宋体" w:eastAsia="新宋体"/>
                <w:color w:val="auto"/>
                <w:sz w:val="22"/>
                <w:szCs w:val="22"/>
                <w:highlight w:val="none"/>
              </w:rPr>
            </w:pPr>
          </w:p>
        </w:tc>
        <w:tc>
          <w:tcPr>
            <w:tcW w:w="1351" w:type="dxa"/>
          </w:tcPr>
          <w:p w14:paraId="1F3A680B">
            <w:pPr>
              <w:spacing w:after="120" w:line="360" w:lineRule="atLeast"/>
              <w:jc w:val="center"/>
              <w:rPr>
                <w:rFonts w:ascii="新宋体" w:hAnsi="新宋体" w:eastAsia="新宋体"/>
                <w:color w:val="auto"/>
                <w:sz w:val="22"/>
                <w:szCs w:val="22"/>
                <w:highlight w:val="none"/>
              </w:rPr>
            </w:pPr>
          </w:p>
        </w:tc>
      </w:tr>
      <w:tr w14:paraId="174BCE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41E23888">
            <w:pPr>
              <w:spacing w:after="120" w:line="360" w:lineRule="atLeast"/>
              <w:jc w:val="center"/>
              <w:rPr>
                <w:rFonts w:ascii="新宋体" w:hAnsi="新宋体" w:eastAsia="新宋体"/>
                <w:color w:val="auto"/>
                <w:sz w:val="22"/>
                <w:szCs w:val="22"/>
                <w:highlight w:val="none"/>
              </w:rPr>
            </w:pPr>
          </w:p>
        </w:tc>
        <w:tc>
          <w:tcPr>
            <w:tcW w:w="1538" w:type="dxa"/>
          </w:tcPr>
          <w:p w14:paraId="6457FA62">
            <w:pPr>
              <w:spacing w:after="120" w:line="360" w:lineRule="atLeast"/>
              <w:jc w:val="center"/>
              <w:rPr>
                <w:rFonts w:ascii="新宋体" w:hAnsi="新宋体" w:eastAsia="新宋体"/>
                <w:color w:val="auto"/>
                <w:sz w:val="22"/>
                <w:szCs w:val="22"/>
                <w:highlight w:val="none"/>
              </w:rPr>
            </w:pPr>
          </w:p>
        </w:tc>
        <w:tc>
          <w:tcPr>
            <w:tcW w:w="1583" w:type="dxa"/>
          </w:tcPr>
          <w:p w14:paraId="1DA1FFBF">
            <w:pPr>
              <w:spacing w:after="120" w:line="360" w:lineRule="atLeast"/>
              <w:jc w:val="center"/>
              <w:rPr>
                <w:rFonts w:ascii="新宋体" w:hAnsi="新宋体" w:eastAsia="新宋体"/>
                <w:color w:val="auto"/>
                <w:sz w:val="22"/>
                <w:szCs w:val="22"/>
                <w:highlight w:val="none"/>
              </w:rPr>
            </w:pPr>
          </w:p>
        </w:tc>
        <w:tc>
          <w:tcPr>
            <w:tcW w:w="2036" w:type="dxa"/>
          </w:tcPr>
          <w:p w14:paraId="56BD539C">
            <w:pPr>
              <w:spacing w:after="120" w:line="360" w:lineRule="atLeast"/>
              <w:jc w:val="center"/>
              <w:rPr>
                <w:rFonts w:ascii="新宋体" w:hAnsi="新宋体" w:eastAsia="新宋体"/>
                <w:color w:val="auto"/>
                <w:sz w:val="22"/>
                <w:szCs w:val="22"/>
                <w:highlight w:val="none"/>
              </w:rPr>
            </w:pPr>
          </w:p>
        </w:tc>
        <w:tc>
          <w:tcPr>
            <w:tcW w:w="1471" w:type="dxa"/>
          </w:tcPr>
          <w:p w14:paraId="2C7F4955">
            <w:pPr>
              <w:spacing w:after="120" w:line="360" w:lineRule="atLeast"/>
              <w:jc w:val="center"/>
              <w:rPr>
                <w:rFonts w:ascii="新宋体" w:hAnsi="新宋体" w:eastAsia="新宋体"/>
                <w:color w:val="auto"/>
                <w:sz w:val="22"/>
                <w:szCs w:val="22"/>
                <w:highlight w:val="none"/>
              </w:rPr>
            </w:pPr>
          </w:p>
        </w:tc>
        <w:tc>
          <w:tcPr>
            <w:tcW w:w="1007" w:type="dxa"/>
          </w:tcPr>
          <w:p w14:paraId="01BB0269">
            <w:pPr>
              <w:spacing w:after="120" w:line="360" w:lineRule="atLeast"/>
              <w:jc w:val="center"/>
              <w:rPr>
                <w:rFonts w:ascii="新宋体" w:hAnsi="新宋体" w:eastAsia="新宋体"/>
                <w:color w:val="auto"/>
                <w:sz w:val="22"/>
                <w:szCs w:val="22"/>
                <w:highlight w:val="none"/>
              </w:rPr>
            </w:pPr>
          </w:p>
        </w:tc>
        <w:tc>
          <w:tcPr>
            <w:tcW w:w="1351" w:type="dxa"/>
          </w:tcPr>
          <w:p w14:paraId="40DDA873">
            <w:pPr>
              <w:spacing w:after="120" w:line="360" w:lineRule="atLeast"/>
              <w:jc w:val="center"/>
              <w:rPr>
                <w:rFonts w:ascii="新宋体" w:hAnsi="新宋体" w:eastAsia="新宋体"/>
                <w:color w:val="auto"/>
                <w:sz w:val="22"/>
                <w:szCs w:val="22"/>
                <w:highlight w:val="none"/>
              </w:rPr>
            </w:pPr>
          </w:p>
        </w:tc>
      </w:tr>
      <w:tr w14:paraId="1EC865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4FF003BA">
            <w:pPr>
              <w:spacing w:after="120" w:line="360" w:lineRule="atLeast"/>
              <w:jc w:val="center"/>
              <w:rPr>
                <w:rFonts w:ascii="新宋体" w:hAnsi="新宋体" w:eastAsia="新宋体"/>
                <w:color w:val="auto"/>
                <w:sz w:val="22"/>
                <w:szCs w:val="22"/>
                <w:highlight w:val="none"/>
              </w:rPr>
            </w:pPr>
          </w:p>
        </w:tc>
        <w:tc>
          <w:tcPr>
            <w:tcW w:w="1538" w:type="dxa"/>
          </w:tcPr>
          <w:p w14:paraId="60B523CD">
            <w:pPr>
              <w:spacing w:after="120" w:line="360" w:lineRule="atLeast"/>
              <w:jc w:val="center"/>
              <w:rPr>
                <w:rFonts w:ascii="新宋体" w:hAnsi="新宋体" w:eastAsia="新宋体"/>
                <w:color w:val="auto"/>
                <w:sz w:val="22"/>
                <w:szCs w:val="22"/>
                <w:highlight w:val="none"/>
              </w:rPr>
            </w:pPr>
          </w:p>
        </w:tc>
        <w:tc>
          <w:tcPr>
            <w:tcW w:w="1583" w:type="dxa"/>
          </w:tcPr>
          <w:p w14:paraId="4AA2827B">
            <w:pPr>
              <w:spacing w:after="120" w:line="360" w:lineRule="atLeast"/>
              <w:jc w:val="center"/>
              <w:rPr>
                <w:rFonts w:ascii="新宋体" w:hAnsi="新宋体" w:eastAsia="新宋体"/>
                <w:color w:val="auto"/>
                <w:sz w:val="22"/>
                <w:szCs w:val="22"/>
                <w:highlight w:val="none"/>
              </w:rPr>
            </w:pPr>
          </w:p>
        </w:tc>
        <w:tc>
          <w:tcPr>
            <w:tcW w:w="2036" w:type="dxa"/>
          </w:tcPr>
          <w:p w14:paraId="72B80078">
            <w:pPr>
              <w:spacing w:after="120" w:line="360" w:lineRule="atLeast"/>
              <w:jc w:val="center"/>
              <w:rPr>
                <w:rFonts w:ascii="新宋体" w:hAnsi="新宋体" w:eastAsia="新宋体"/>
                <w:color w:val="auto"/>
                <w:sz w:val="22"/>
                <w:szCs w:val="22"/>
                <w:highlight w:val="none"/>
              </w:rPr>
            </w:pPr>
          </w:p>
        </w:tc>
        <w:tc>
          <w:tcPr>
            <w:tcW w:w="1471" w:type="dxa"/>
          </w:tcPr>
          <w:p w14:paraId="17906794">
            <w:pPr>
              <w:spacing w:after="120" w:line="360" w:lineRule="atLeast"/>
              <w:jc w:val="center"/>
              <w:rPr>
                <w:rFonts w:ascii="新宋体" w:hAnsi="新宋体" w:eastAsia="新宋体"/>
                <w:color w:val="auto"/>
                <w:sz w:val="22"/>
                <w:szCs w:val="22"/>
                <w:highlight w:val="none"/>
              </w:rPr>
            </w:pPr>
          </w:p>
        </w:tc>
        <w:tc>
          <w:tcPr>
            <w:tcW w:w="1007" w:type="dxa"/>
          </w:tcPr>
          <w:p w14:paraId="21CAF69F">
            <w:pPr>
              <w:spacing w:after="120" w:line="360" w:lineRule="atLeast"/>
              <w:jc w:val="center"/>
              <w:rPr>
                <w:rFonts w:ascii="新宋体" w:hAnsi="新宋体" w:eastAsia="新宋体"/>
                <w:color w:val="auto"/>
                <w:sz w:val="22"/>
                <w:szCs w:val="22"/>
                <w:highlight w:val="none"/>
              </w:rPr>
            </w:pPr>
          </w:p>
        </w:tc>
        <w:tc>
          <w:tcPr>
            <w:tcW w:w="1351" w:type="dxa"/>
          </w:tcPr>
          <w:p w14:paraId="5506FA91">
            <w:pPr>
              <w:spacing w:after="120" w:line="360" w:lineRule="atLeast"/>
              <w:jc w:val="center"/>
              <w:rPr>
                <w:rFonts w:ascii="新宋体" w:hAnsi="新宋体" w:eastAsia="新宋体"/>
                <w:color w:val="auto"/>
                <w:sz w:val="22"/>
                <w:szCs w:val="22"/>
                <w:highlight w:val="none"/>
              </w:rPr>
            </w:pPr>
          </w:p>
        </w:tc>
      </w:tr>
      <w:tr w14:paraId="0FB3E0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5E1B54FD">
            <w:pPr>
              <w:spacing w:after="120" w:line="360" w:lineRule="atLeast"/>
              <w:jc w:val="center"/>
              <w:rPr>
                <w:rFonts w:ascii="新宋体" w:hAnsi="新宋体" w:eastAsia="新宋体"/>
                <w:color w:val="auto"/>
                <w:sz w:val="22"/>
                <w:szCs w:val="22"/>
                <w:highlight w:val="none"/>
              </w:rPr>
            </w:pPr>
          </w:p>
        </w:tc>
        <w:tc>
          <w:tcPr>
            <w:tcW w:w="1538" w:type="dxa"/>
          </w:tcPr>
          <w:p w14:paraId="5C3E12AE">
            <w:pPr>
              <w:spacing w:after="120" w:line="360" w:lineRule="atLeast"/>
              <w:jc w:val="center"/>
              <w:rPr>
                <w:rFonts w:ascii="新宋体" w:hAnsi="新宋体" w:eastAsia="新宋体"/>
                <w:color w:val="auto"/>
                <w:sz w:val="22"/>
                <w:szCs w:val="22"/>
                <w:highlight w:val="none"/>
              </w:rPr>
            </w:pPr>
          </w:p>
        </w:tc>
        <w:tc>
          <w:tcPr>
            <w:tcW w:w="1583" w:type="dxa"/>
          </w:tcPr>
          <w:p w14:paraId="60233FB1">
            <w:pPr>
              <w:spacing w:after="120" w:line="360" w:lineRule="atLeast"/>
              <w:jc w:val="center"/>
              <w:rPr>
                <w:rFonts w:ascii="新宋体" w:hAnsi="新宋体" w:eastAsia="新宋体"/>
                <w:color w:val="auto"/>
                <w:sz w:val="22"/>
                <w:szCs w:val="22"/>
                <w:highlight w:val="none"/>
              </w:rPr>
            </w:pPr>
          </w:p>
        </w:tc>
        <w:tc>
          <w:tcPr>
            <w:tcW w:w="2036" w:type="dxa"/>
          </w:tcPr>
          <w:p w14:paraId="4A530A67">
            <w:pPr>
              <w:spacing w:after="120" w:line="360" w:lineRule="atLeast"/>
              <w:jc w:val="center"/>
              <w:rPr>
                <w:rFonts w:ascii="新宋体" w:hAnsi="新宋体" w:eastAsia="新宋体"/>
                <w:color w:val="auto"/>
                <w:sz w:val="22"/>
                <w:szCs w:val="22"/>
                <w:highlight w:val="none"/>
              </w:rPr>
            </w:pPr>
          </w:p>
        </w:tc>
        <w:tc>
          <w:tcPr>
            <w:tcW w:w="1471" w:type="dxa"/>
          </w:tcPr>
          <w:p w14:paraId="06618064">
            <w:pPr>
              <w:spacing w:after="120" w:line="360" w:lineRule="atLeast"/>
              <w:jc w:val="center"/>
              <w:rPr>
                <w:rFonts w:ascii="新宋体" w:hAnsi="新宋体" w:eastAsia="新宋体"/>
                <w:color w:val="auto"/>
                <w:sz w:val="22"/>
                <w:szCs w:val="22"/>
                <w:highlight w:val="none"/>
              </w:rPr>
            </w:pPr>
          </w:p>
        </w:tc>
        <w:tc>
          <w:tcPr>
            <w:tcW w:w="1007" w:type="dxa"/>
          </w:tcPr>
          <w:p w14:paraId="516BC79D">
            <w:pPr>
              <w:spacing w:after="120" w:line="360" w:lineRule="atLeast"/>
              <w:jc w:val="center"/>
              <w:rPr>
                <w:rFonts w:ascii="新宋体" w:hAnsi="新宋体" w:eastAsia="新宋体"/>
                <w:color w:val="auto"/>
                <w:sz w:val="22"/>
                <w:szCs w:val="22"/>
                <w:highlight w:val="none"/>
              </w:rPr>
            </w:pPr>
          </w:p>
        </w:tc>
        <w:tc>
          <w:tcPr>
            <w:tcW w:w="1351" w:type="dxa"/>
          </w:tcPr>
          <w:p w14:paraId="6D9CE86F">
            <w:pPr>
              <w:spacing w:after="120" w:line="360" w:lineRule="atLeast"/>
              <w:jc w:val="center"/>
              <w:rPr>
                <w:rFonts w:ascii="新宋体" w:hAnsi="新宋体" w:eastAsia="新宋体"/>
                <w:color w:val="auto"/>
                <w:sz w:val="22"/>
                <w:szCs w:val="22"/>
                <w:highlight w:val="none"/>
              </w:rPr>
            </w:pPr>
          </w:p>
        </w:tc>
      </w:tr>
      <w:tr w14:paraId="54BC11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77765B7">
            <w:pPr>
              <w:spacing w:after="120" w:line="360" w:lineRule="atLeast"/>
              <w:jc w:val="center"/>
              <w:rPr>
                <w:rFonts w:ascii="新宋体" w:hAnsi="新宋体" w:eastAsia="新宋体"/>
                <w:color w:val="auto"/>
                <w:sz w:val="22"/>
                <w:szCs w:val="22"/>
                <w:highlight w:val="none"/>
              </w:rPr>
            </w:pPr>
          </w:p>
        </w:tc>
        <w:tc>
          <w:tcPr>
            <w:tcW w:w="1538" w:type="dxa"/>
          </w:tcPr>
          <w:p w14:paraId="206E3C3A">
            <w:pPr>
              <w:spacing w:after="120" w:line="360" w:lineRule="atLeast"/>
              <w:jc w:val="center"/>
              <w:rPr>
                <w:rFonts w:ascii="新宋体" w:hAnsi="新宋体" w:eastAsia="新宋体"/>
                <w:color w:val="auto"/>
                <w:sz w:val="22"/>
                <w:szCs w:val="22"/>
                <w:highlight w:val="none"/>
              </w:rPr>
            </w:pPr>
          </w:p>
        </w:tc>
        <w:tc>
          <w:tcPr>
            <w:tcW w:w="1583" w:type="dxa"/>
          </w:tcPr>
          <w:p w14:paraId="5C6F0E2A">
            <w:pPr>
              <w:spacing w:after="120" w:line="360" w:lineRule="atLeast"/>
              <w:jc w:val="center"/>
              <w:rPr>
                <w:rFonts w:ascii="新宋体" w:hAnsi="新宋体" w:eastAsia="新宋体"/>
                <w:color w:val="auto"/>
                <w:sz w:val="22"/>
                <w:szCs w:val="22"/>
                <w:highlight w:val="none"/>
              </w:rPr>
            </w:pPr>
          </w:p>
        </w:tc>
        <w:tc>
          <w:tcPr>
            <w:tcW w:w="2036" w:type="dxa"/>
          </w:tcPr>
          <w:p w14:paraId="23277C51">
            <w:pPr>
              <w:spacing w:after="120" w:line="360" w:lineRule="atLeast"/>
              <w:jc w:val="center"/>
              <w:rPr>
                <w:rFonts w:ascii="新宋体" w:hAnsi="新宋体" w:eastAsia="新宋体"/>
                <w:color w:val="auto"/>
                <w:sz w:val="22"/>
                <w:szCs w:val="22"/>
                <w:highlight w:val="none"/>
              </w:rPr>
            </w:pPr>
          </w:p>
        </w:tc>
        <w:tc>
          <w:tcPr>
            <w:tcW w:w="1471" w:type="dxa"/>
          </w:tcPr>
          <w:p w14:paraId="53F96B32">
            <w:pPr>
              <w:spacing w:after="120" w:line="360" w:lineRule="atLeast"/>
              <w:jc w:val="center"/>
              <w:rPr>
                <w:rFonts w:ascii="新宋体" w:hAnsi="新宋体" w:eastAsia="新宋体"/>
                <w:color w:val="auto"/>
                <w:sz w:val="22"/>
                <w:szCs w:val="22"/>
                <w:highlight w:val="none"/>
              </w:rPr>
            </w:pPr>
          </w:p>
        </w:tc>
        <w:tc>
          <w:tcPr>
            <w:tcW w:w="1007" w:type="dxa"/>
          </w:tcPr>
          <w:p w14:paraId="0BA3E763">
            <w:pPr>
              <w:spacing w:after="120" w:line="360" w:lineRule="atLeast"/>
              <w:jc w:val="center"/>
              <w:rPr>
                <w:rFonts w:ascii="新宋体" w:hAnsi="新宋体" w:eastAsia="新宋体"/>
                <w:color w:val="auto"/>
                <w:sz w:val="22"/>
                <w:szCs w:val="22"/>
                <w:highlight w:val="none"/>
              </w:rPr>
            </w:pPr>
          </w:p>
        </w:tc>
        <w:tc>
          <w:tcPr>
            <w:tcW w:w="1351" w:type="dxa"/>
          </w:tcPr>
          <w:p w14:paraId="473CC644">
            <w:pPr>
              <w:spacing w:after="120" w:line="360" w:lineRule="atLeast"/>
              <w:jc w:val="center"/>
              <w:rPr>
                <w:rFonts w:ascii="新宋体" w:hAnsi="新宋体" w:eastAsia="新宋体"/>
                <w:color w:val="auto"/>
                <w:sz w:val="22"/>
                <w:szCs w:val="22"/>
                <w:highlight w:val="none"/>
              </w:rPr>
            </w:pPr>
          </w:p>
        </w:tc>
      </w:tr>
      <w:tr w14:paraId="73B480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60176EC">
            <w:pPr>
              <w:spacing w:after="120" w:line="360" w:lineRule="atLeast"/>
              <w:jc w:val="center"/>
              <w:rPr>
                <w:rFonts w:ascii="新宋体" w:hAnsi="新宋体" w:eastAsia="新宋体"/>
                <w:color w:val="auto"/>
                <w:sz w:val="22"/>
                <w:szCs w:val="22"/>
                <w:highlight w:val="none"/>
              </w:rPr>
            </w:pPr>
          </w:p>
        </w:tc>
        <w:tc>
          <w:tcPr>
            <w:tcW w:w="1538" w:type="dxa"/>
          </w:tcPr>
          <w:p w14:paraId="0E1E4288">
            <w:pPr>
              <w:spacing w:after="120" w:line="360" w:lineRule="atLeast"/>
              <w:jc w:val="center"/>
              <w:rPr>
                <w:rFonts w:ascii="新宋体" w:hAnsi="新宋体" w:eastAsia="新宋体"/>
                <w:color w:val="auto"/>
                <w:sz w:val="22"/>
                <w:szCs w:val="22"/>
                <w:highlight w:val="none"/>
              </w:rPr>
            </w:pPr>
          </w:p>
        </w:tc>
        <w:tc>
          <w:tcPr>
            <w:tcW w:w="1583" w:type="dxa"/>
          </w:tcPr>
          <w:p w14:paraId="37E690C3">
            <w:pPr>
              <w:spacing w:after="120" w:line="360" w:lineRule="atLeast"/>
              <w:jc w:val="center"/>
              <w:rPr>
                <w:rFonts w:ascii="新宋体" w:hAnsi="新宋体" w:eastAsia="新宋体"/>
                <w:color w:val="auto"/>
                <w:sz w:val="22"/>
                <w:szCs w:val="22"/>
                <w:highlight w:val="none"/>
              </w:rPr>
            </w:pPr>
          </w:p>
        </w:tc>
        <w:tc>
          <w:tcPr>
            <w:tcW w:w="2036" w:type="dxa"/>
          </w:tcPr>
          <w:p w14:paraId="2B7839A5">
            <w:pPr>
              <w:spacing w:after="120" w:line="360" w:lineRule="atLeast"/>
              <w:jc w:val="center"/>
              <w:rPr>
                <w:rFonts w:ascii="新宋体" w:hAnsi="新宋体" w:eastAsia="新宋体"/>
                <w:color w:val="auto"/>
                <w:sz w:val="22"/>
                <w:szCs w:val="22"/>
                <w:highlight w:val="none"/>
              </w:rPr>
            </w:pPr>
          </w:p>
        </w:tc>
        <w:tc>
          <w:tcPr>
            <w:tcW w:w="1471" w:type="dxa"/>
          </w:tcPr>
          <w:p w14:paraId="195367A4">
            <w:pPr>
              <w:spacing w:after="120" w:line="360" w:lineRule="atLeast"/>
              <w:jc w:val="center"/>
              <w:rPr>
                <w:rFonts w:ascii="新宋体" w:hAnsi="新宋体" w:eastAsia="新宋体"/>
                <w:color w:val="auto"/>
                <w:sz w:val="22"/>
                <w:szCs w:val="22"/>
                <w:highlight w:val="none"/>
              </w:rPr>
            </w:pPr>
          </w:p>
        </w:tc>
        <w:tc>
          <w:tcPr>
            <w:tcW w:w="1007" w:type="dxa"/>
          </w:tcPr>
          <w:p w14:paraId="0A988E92">
            <w:pPr>
              <w:spacing w:after="120" w:line="360" w:lineRule="atLeast"/>
              <w:jc w:val="center"/>
              <w:rPr>
                <w:rFonts w:ascii="新宋体" w:hAnsi="新宋体" w:eastAsia="新宋体"/>
                <w:color w:val="auto"/>
                <w:sz w:val="22"/>
                <w:szCs w:val="22"/>
                <w:highlight w:val="none"/>
              </w:rPr>
            </w:pPr>
          </w:p>
        </w:tc>
        <w:tc>
          <w:tcPr>
            <w:tcW w:w="1351" w:type="dxa"/>
          </w:tcPr>
          <w:p w14:paraId="1A905A2B">
            <w:pPr>
              <w:spacing w:after="120" w:line="360" w:lineRule="atLeast"/>
              <w:jc w:val="center"/>
              <w:rPr>
                <w:rFonts w:ascii="新宋体" w:hAnsi="新宋体" w:eastAsia="新宋体"/>
                <w:color w:val="auto"/>
                <w:sz w:val="22"/>
                <w:szCs w:val="22"/>
                <w:highlight w:val="none"/>
              </w:rPr>
            </w:pPr>
          </w:p>
        </w:tc>
      </w:tr>
      <w:tr w14:paraId="560EAE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A689F55">
            <w:pPr>
              <w:spacing w:after="120" w:line="360" w:lineRule="atLeast"/>
              <w:jc w:val="center"/>
              <w:rPr>
                <w:rFonts w:ascii="新宋体" w:hAnsi="新宋体" w:eastAsia="新宋体"/>
                <w:color w:val="auto"/>
                <w:sz w:val="22"/>
                <w:szCs w:val="22"/>
                <w:highlight w:val="none"/>
              </w:rPr>
            </w:pPr>
          </w:p>
        </w:tc>
        <w:tc>
          <w:tcPr>
            <w:tcW w:w="1538" w:type="dxa"/>
          </w:tcPr>
          <w:p w14:paraId="14035973">
            <w:pPr>
              <w:spacing w:after="120" w:line="360" w:lineRule="atLeast"/>
              <w:jc w:val="center"/>
              <w:rPr>
                <w:rFonts w:ascii="新宋体" w:hAnsi="新宋体" w:eastAsia="新宋体"/>
                <w:color w:val="auto"/>
                <w:sz w:val="22"/>
                <w:szCs w:val="22"/>
                <w:highlight w:val="none"/>
              </w:rPr>
            </w:pPr>
          </w:p>
        </w:tc>
        <w:tc>
          <w:tcPr>
            <w:tcW w:w="1583" w:type="dxa"/>
          </w:tcPr>
          <w:p w14:paraId="12E54437">
            <w:pPr>
              <w:spacing w:after="120" w:line="360" w:lineRule="atLeast"/>
              <w:jc w:val="center"/>
              <w:rPr>
                <w:rFonts w:ascii="新宋体" w:hAnsi="新宋体" w:eastAsia="新宋体"/>
                <w:color w:val="auto"/>
                <w:sz w:val="22"/>
                <w:szCs w:val="22"/>
                <w:highlight w:val="none"/>
              </w:rPr>
            </w:pPr>
          </w:p>
        </w:tc>
        <w:tc>
          <w:tcPr>
            <w:tcW w:w="2036" w:type="dxa"/>
          </w:tcPr>
          <w:p w14:paraId="7A452EA8">
            <w:pPr>
              <w:spacing w:after="120" w:line="360" w:lineRule="atLeast"/>
              <w:jc w:val="center"/>
              <w:rPr>
                <w:rFonts w:ascii="新宋体" w:hAnsi="新宋体" w:eastAsia="新宋体"/>
                <w:color w:val="auto"/>
                <w:sz w:val="22"/>
                <w:szCs w:val="22"/>
                <w:highlight w:val="none"/>
              </w:rPr>
            </w:pPr>
          </w:p>
        </w:tc>
        <w:tc>
          <w:tcPr>
            <w:tcW w:w="1471" w:type="dxa"/>
          </w:tcPr>
          <w:p w14:paraId="3E31F1F4">
            <w:pPr>
              <w:spacing w:after="120" w:line="360" w:lineRule="atLeast"/>
              <w:jc w:val="center"/>
              <w:rPr>
                <w:rFonts w:ascii="新宋体" w:hAnsi="新宋体" w:eastAsia="新宋体"/>
                <w:color w:val="auto"/>
                <w:sz w:val="22"/>
                <w:szCs w:val="22"/>
                <w:highlight w:val="none"/>
              </w:rPr>
            </w:pPr>
          </w:p>
        </w:tc>
        <w:tc>
          <w:tcPr>
            <w:tcW w:w="1007" w:type="dxa"/>
          </w:tcPr>
          <w:p w14:paraId="4BE2671D">
            <w:pPr>
              <w:spacing w:after="120" w:line="360" w:lineRule="atLeast"/>
              <w:jc w:val="center"/>
              <w:rPr>
                <w:rFonts w:ascii="新宋体" w:hAnsi="新宋体" w:eastAsia="新宋体"/>
                <w:color w:val="auto"/>
                <w:sz w:val="22"/>
                <w:szCs w:val="22"/>
                <w:highlight w:val="none"/>
              </w:rPr>
            </w:pPr>
          </w:p>
        </w:tc>
        <w:tc>
          <w:tcPr>
            <w:tcW w:w="1351" w:type="dxa"/>
          </w:tcPr>
          <w:p w14:paraId="2343BB69">
            <w:pPr>
              <w:spacing w:after="120" w:line="360" w:lineRule="atLeast"/>
              <w:jc w:val="center"/>
              <w:rPr>
                <w:rFonts w:ascii="新宋体" w:hAnsi="新宋体" w:eastAsia="新宋体"/>
                <w:color w:val="auto"/>
                <w:sz w:val="22"/>
                <w:szCs w:val="22"/>
                <w:highlight w:val="none"/>
              </w:rPr>
            </w:pPr>
          </w:p>
        </w:tc>
      </w:tr>
      <w:tr w14:paraId="082E2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174578CF">
            <w:pPr>
              <w:spacing w:after="120" w:line="360" w:lineRule="atLeast"/>
              <w:jc w:val="center"/>
              <w:rPr>
                <w:rFonts w:ascii="新宋体" w:hAnsi="新宋体" w:eastAsia="新宋体"/>
                <w:color w:val="auto"/>
                <w:sz w:val="22"/>
                <w:szCs w:val="22"/>
                <w:highlight w:val="none"/>
              </w:rPr>
            </w:pPr>
          </w:p>
        </w:tc>
        <w:tc>
          <w:tcPr>
            <w:tcW w:w="1538" w:type="dxa"/>
          </w:tcPr>
          <w:p w14:paraId="6A5541C1">
            <w:pPr>
              <w:spacing w:after="120" w:line="360" w:lineRule="atLeast"/>
              <w:jc w:val="center"/>
              <w:rPr>
                <w:rFonts w:ascii="新宋体" w:hAnsi="新宋体" w:eastAsia="新宋体"/>
                <w:color w:val="auto"/>
                <w:sz w:val="22"/>
                <w:szCs w:val="22"/>
                <w:highlight w:val="none"/>
              </w:rPr>
            </w:pPr>
          </w:p>
        </w:tc>
        <w:tc>
          <w:tcPr>
            <w:tcW w:w="1583" w:type="dxa"/>
          </w:tcPr>
          <w:p w14:paraId="783EC0E9">
            <w:pPr>
              <w:spacing w:after="120" w:line="360" w:lineRule="atLeast"/>
              <w:jc w:val="center"/>
              <w:rPr>
                <w:rFonts w:ascii="新宋体" w:hAnsi="新宋体" w:eastAsia="新宋体"/>
                <w:color w:val="auto"/>
                <w:sz w:val="22"/>
                <w:szCs w:val="22"/>
                <w:highlight w:val="none"/>
              </w:rPr>
            </w:pPr>
          </w:p>
        </w:tc>
        <w:tc>
          <w:tcPr>
            <w:tcW w:w="2036" w:type="dxa"/>
          </w:tcPr>
          <w:p w14:paraId="7A9A6C5A">
            <w:pPr>
              <w:spacing w:after="120" w:line="360" w:lineRule="atLeast"/>
              <w:jc w:val="center"/>
              <w:rPr>
                <w:rFonts w:ascii="新宋体" w:hAnsi="新宋体" w:eastAsia="新宋体"/>
                <w:color w:val="auto"/>
                <w:sz w:val="22"/>
                <w:szCs w:val="22"/>
                <w:highlight w:val="none"/>
              </w:rPr>
            </w:pPr>
          </w:p>
        </w:tc>
        <w:tc>
          <w:tcPr>
            <w:tcW w:w="1471" w:type="dxa"/>
          </w:tcPr>
          <w:p w14:paraId="388E3B55">
            <w:pPr>
              <w:spacing w:after="120" w:line="360" w:lineRule="atLeast"/>
              <w:jc w:val="center"/>
              <w:rPr>
                <w:rFonts w:ascii="新宋体" w:hAnsi="新宋体" w:eastAsia="新宋体"/>
                <w:color w:val="auto"/>
                <w:sz w:val="22"/>
                <w:szCs w:val="22"/>
                <w:highlight w:val="none"/>
              </w:rPr>
            </w:pPr>
          </w:p>
        </w:tc>
        <w:tc>
          <w:tcPr>
            <w:tcW w:w="1007" w:type="dxa"/>
          </w:tcPr>
          <w:p w14:paraId="392609F8">
            <w:pPr>
              <w:spacing w:after="120" w:line="360" w:lineRule="atLeast"/>
              <w:jc w:val="center"/>
              <w:rPr>
                <w:rFonts w:ascii="新宋体" w:hAnsi="新宋体" w:eastAsia="新宋体"/>
                <w:color w:val="auto"/>
                <w:sz w:val="22"/>
                <w:szCs w:val="22"/>
                <w:highlight w:val="none"/>
              </w:rPr>
            </w:pPr>
          </w:p>
        </w:tc>
        <w:tc>
          <w:tcPr>
            <w:tcW w:w="1351" w:type="dxa"/>
          </w:tcPr>
          <w:p w14:paraId="708125DF">
            <w:pPr>
              <w:spacing w:after="120" w:line="360" w:lineRule="atLeast"/>
              <w:jc w:val="center"/>
              <w:rPr>
                <w:rFonts w:ascii="新宋体" w:hAnsi="新宋体" w:eastAsia="新宋体"/>
                <w:color w:val="auto"/>
                <w:sz w:val="22"/>
                <w:szCs w:val="22"/>
                <w:highlight w:val="none"/>
              </w:rPr>
            </w:pPr>
          </w:p>
        </w:tc>
      </w:tr>
      <w:tr w14:paraId="09D0C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517E8E1">
            <w:pPr>
              <w:spacing w:after="120" w:line="360" w:lineRule="atLeast"/>
              <w:jc w:val="center"/>
              <w:rPr>
                <w:rFonts w:ascii="新宋体" w:hAnsi="新宋体" w:eastAsia="新宋体"/>
                <w:color w:val="auto"/>
                <w:sz w:val="22"/>
                <w:szCs w:val="22"/>
                <w:highlight w:val="none"/>
              </w:rPr>
            </w:pPr>
          </w:p>
        </w:tc>
        <w:tc>
          <w:tcPr>
            <w:tcW w:w="1538" w:type="dxa"/>
          </w:tcPr>
          <w:p w14:paraId="0C3759DD">
            <w:pPr>
              <w:spacing w:after="120" w:line="360" w:lineRule="atLeast"/>
              <w:jc w:val="center"/>
              <w:rPr>
                <w:rFonts w:ascii="新宋体" w:hAnsi="新宋体" w:eastAsia="新宋体"/>
                <w:color w:val="auto"/>
                <w:sz w:val="22"/>
                <w:szCs w:val="22"/>
                <w:highlight w:val="none"/>
              </w:rPr>
            </w:pPr>
          </w:p>
        </w:tc>
        <w:tc>
          <w:tcPr>
            <w:tcW w:w="1583" w:type="dxa"/>
          </w:tcPr>
          <w:p w14:paraId="787533BD">
            <w:pPr>
              <w:spacing w:after="120" w:line="360" w:lineRule="atLeast"/>
              <w:jc w:val="center"/>
              <w:rPr>
                <w:rFonts w:ascii="新宋体" w:hAnsi="新宋体" w:eastAsia="新宋体"/>
                <w:color w:val="auto"/>
                <w:sz w:val="22"/>
                <w:szCs w:val="22"/>
                <w:highlight w:val="none"/>
              </w:rPr>
            </w:pPr>
          </w:p>
        </w:tc>
        <w:tc>
          <w:tcPr>
            <w:tcW w:w="2036" w:type="dxa"/>
          </w:tcPr>
          <w:p w14:paraId="70282FBE">
            <w:pPr>
              <w:spacing w:after="120" w:line="360" w:lineRule="atLeast"/>
              <w:jc w:val="center"/>
              <w:rPr>
                <w:rFonts w:ascii="新宋体" w:hAnsi="新宋体" w:eastAsia="新宋体"/>
                <w:color w:val="auto"/>
                <w:sz w:val="22"/>
                <w:szCs w:val="22"/>
                <w:highlight w:val="none"/>
              </w:rPr>
            </w:pPr>
          </w:p>
        </w:tc>
        <w:tc>
          <w:tcPr>
            <w:tcW w:w="1471" w:type="dxa"/>
          </w:tcPr>
          <w:p w14:paraId="67F5249B">
            <w:pPr>
              <w:spacing w:after="120" w:line="360" w:lineRule="atLeast"/>
              <w:jc w:val="center"/>
              <w:rPr>
                <w:rFonts w:ascii="新宋体" w:hAnsi="新宋体" w:eastAsia="新宋体"/>
                <w:color w:val="auto"/>
                <w:sz w:val="22"/>
                <w:szCs w:val="22"/>
                <w:highlight w:val="none"/>
              </w:rPr>
            </w:pPr>
          </w:p>
        </w:tc>
        <w:tc>
          <w:tcPr>
            <w:tcW w:w="1007" w:type="dxa"/>
          </w:tcPr>
          <w:p w14:paraId="3E8C9F68">
            <w:pPr>
              <w:spacing w:after="120" w:line="360" w:lineRule="atLeast"/>
              <w:jc w:val="center"/>
              <w:rPr>
                <w:rFonts w:ascii="新宋体" w:hAnsi="新宋体" w:eastAsia="新宋体"/>
                <w:color w:val="auto"/>
                <w:sz w:val="22"/>
                <w:szCs w:val="22"/>
                <w:highlight w:val="none"/>
              </w:rPr>
            </w:pPr>
          </w:p>
        </w:tc>
        <w:tc>
          <w:tcPr>
            <w:tcW w:w="1351" w:type="dxa"/>
          </w:tcPr>
          <w:p w14:paraId="33961CFA">
            <w:pPr>
              <w:spacing w:after="120" w:line="360" w:lineRule="atLeast"/>
              <w:jc w:val="center"/>
              <w:rPr>
                <w:rFonts w:ascii="新宋体" w:hAnsi="新宋体" w:eastAsia="新宋体"/>
                <w:color w:val="auto"/>
                <w:sz w:val="22"/>
                <w:szCs w:val="22"/>
                <w:highlight w:val="none"/>
              </w:rPr>
            </w:pPr>
          </w:p>
        </w:tc>
      </w:tr>
      <w:tr w14:paraId="383F8C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14:paraId="7BA4553B">
            <w:pPr>
              <w:spacing w:after="120" w:line="360" w:lineRule="atLeast"/>
              <w:jc w:val="center"/>
              <w:rPr>
                <w:rFonts w:ascii="新宋体" w:hAnsi="新宋体" w:eastAsia="新宋体"/>
                <w:color w:val="auto"/>
                <w:sz w:val="22"/>
                <w:szCs w:val="22"/>
                <w:highlight w:val="none"/>
              </w:rPr>
            </w:pPr>
          </w:p>
        </w:tc>
        <w:tc>
          <w:tcPr>
            <w:tcW w:w="1538" w:type="dxa"/>
          </w:tcPr>
          <w:p w14:paraId="4411E85C">
            <w:pPr>
              <w:spacing w:after="120" w:line="360" w:lineRule="atLeast"/>
              <w:jc w:val="center"/>
              <w:rPr>
                <w:rFonts w:ascii="新宋体" w:hAnsi="新宋体" w:eastAsia="新宋体"/>
                <w:color w:val="auto"/>
                <w:sz w:val="22"/>
                <w:szCs w:val="22"/>
                <w:highlight w:val="none"/>
              </w:rPr>
            </w:pPr>
          </w:p>
        </w:tc>
        <w:tc>
          <w:tcPr>
            <w:tcW w:w="1583" w:type="dxa"/>
          </w:tcPr>
          <w:p w14:paraId="7B4A61D8">
            <w:pPr>
              <w:spacing w:after="120" w:line="360" w:lineRule="atLeast"/>
              <w:jc w:val="center"/>
              <w:rPr>
                <w:rFonts w:ascii="新宋体" w:hAnsi="新宋体" w:eastAsia="新宋体"/>
                <w:color w:val="auto"/>
                <w:sz w:val="22"/>
                <w:szCs w:val="22"/>
                <w:highlight w:val="none"/>
              </w:rPr>
            </w:pPr>
          </w:p>
        </w:tc>
        <w:tc>
          <w:tcPr>
            <w:tcW w:w="2036" w:type="dxa"/>
          </w:tcPr>
          <w:p w14:paraId="5D16679A">
            <w:pPr>
              <w:spacing w:after="120" w:line="360" w:lineRule="atLeast"/>
              <w:jc w:val="center"/>
              <w:rPr>
                <w:rFonts w:ascii="新宋体" w:hAnsi="新宋体" w:eastAsia="新宋体"/>
                <w:color w:val="auto"/>
                <w:sz w:val="22"/>
                <w:szCs w:val="22"/>
                <w:highlight w:val="none"/>
              </w:rPr>
            </w:pPr>
          </w:p>
        </w:tc>
        <w:tc>
          <w:tcPr>
            <w:tcW w:w="1471" w:type="dxa"/>
          </w:tcPr>
          <w:p w14:paraId="12862F76">
            <w:pPr>
              <w:spacing w:after="120" w:line="360" w:lineRule="atLeast"/>
              <w:jc w:val="center"/>
              <w:rPr>
                <w:rFonts w:ascii="新宋体" w:hAnsi="新宋体" w:eastAsia="新宋体"/>
                <w:color w:val="auto"/>
                <w:sz w:val="22"/>
                <w:szCs w:val="22"/>
                <w:highlight w:val="none"/>
              </w:rPr>
            </w:pPr>
          </w:p>
        </w:tc>
        <w:tc>
          <w:tcPr>
            <w:tcW w:w="1007" w:type="dxa"/>
          </w:tcPr>
          <w:p w14:paraId="3C56DCB5">
            <w:pPr>
              <w:spacing w:after="120" w:line="360" w:lineRule="atLeast"/>
              <w:jc w:val="center"/>
              <w:rPr>
                <w:rFonts w:ascii="新宋体" w:hAnsi="新宋体" w:eastAsia="新宋体"/>
                <w:color w:val="auto"/>
                <w:sz w:val="22"/>
                <w:szCs w:val="22"/>
                <w:highlight w:val="none"/>
              </w:rPr>
            </w:pPr>
          </w:p>
        </w:tc>
        <w:tc>
          <w:tcPr>
            <w:tcW w:w="1351" w:type="dxa"/>
          </w:tcPr>
          <w:p w14:paraId="455C19FA">
            <w:pPr>
              <w:spacing w:after="120" w:line="360" w:lineRule="atLeast"/>
              <w:jc w:val="center"/>
              <w:rPr>
                <w:rFonts w:ascii="新宋体" w:hAnsi="新宋体" w:eastAsia="新宋体"/>
                <w:color w:val="auto"/>
                <w:sz w:val="22"/>
                <w:szCs w:val="22"/>
                <w:highlight w:val="none"/>
              </w:rPr>
            </w:pPr>
          </w:p>
        </w:tc>
      </w:tr>
    </w:tbl>
    <w:p w14:paraId="0E122F65">
      <w:pPr>
        <w:spacing w:line="380" w:lineRule="exact"/>
        <w:rPr>
          <w:rFonts w:eastAsia="新宋体"/>
          <w:color w:val="auto"/>
          <w:sz w:val="22"/>
          <w:szCs w:val="22"/>
          <w:highlight w:val="none"/>
        </w:rPr>
      </w:pPr>
      <w:r>
        <w:rPr>
          <w:rFonts w:hint="eastAsia" w:eastAsia="新宋体"/>
          <w:color w:val="auto"/>
          <w:sz w:val="22"/>
          <w:szCs w:val="22"/>
          <w:highlight w:val="none"/>
        </w:rPr>
        <w:t>注：1、每项业绩须提供相关的证明材料，以合同文本为准（扫描件上加盖投标人有效的公章）；</w:t>
      </w:r>
    </w:p>
    <w:p w14:paraId="68C16AC1">
      <w:pPr>
        <w:spacing w:line="380" w:lineRule="exact"/>
        <w:rPr>
          <w:rFonts w:eastAsia="新宋体"/>
          <w:color w:val="auto"/>
          <w:sz w:val="22"/>
          <w:szCs w:val="22"/>
          <w:highlight w:val="none"/>
        </w:rPr>
      </w:pPr>
      <w:r>
        <w:rPr>
          <w:rFonts w:hint="eastAsia" w:eastAsia="新宋体"/>
          <w:color w:val="auto"/>
          <w:sz w:val="22"/>
          <w:szCs w:val="22"/>
          <w:highlight w:val="none"/>
        </w:rPr>
        <w:t>2、本表可在不改变格式的情况下根据具体需要自行增减。</w:t>
      </w:r>
    </w:p>
    <w:p w14:paraId="4E4AB326">
      <w:pPr>
        <w:spacing w:line="380" w:lineRule="exact"/>
        <w:rPr>
          <w:rFonts w:eastAsia="新宋体"/>
          <w:color w:val="auto"/>
          <w:sz w:val="22"/>
          <w:szCs w:val="22"/>
          <w:highlight w:val="none"/>
        </w:rPr>
      </w:pPr>
    </w:p>
    <w:p w14:paraId="47FFE23D">
      <w:pPr>
        <w:spacing w:line="380" w:lineRule="exact"/>
        <w:rPr>
          <w:rFonts w:eastAsia="新宋体"/>
          <w:b/>
          <w:bCs/>
          <w:color w:val="auto"/>
          <w:sz w:val="22"/>
          <w:szCs w:val="22"/>
          <w:highlight w:val="none"/>
        </w:rPr>
      </w:pPr>
    </w:p>
    <w:p w14:paraId="35A4B44B">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14:paraId="35AC847C">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14:paraId="7855361D">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14:paraId="621C214F">
      <w:pPr>
        <w:spacing w:line="360" w:lineRule="auto"/>
        <w:rPr>
          <w:rFonts w:eastAsia="新宋体"/>
          <w:color w:val="auto"/>
          <w:highlight w:val="none"/>
        </w:rPr>
      </w:pPr>
    </w:p>
    <w:p w14:paraId="048FECFE">
      <w:pPr>
        <w:pStyle w:val="31"/>
        <w:spacing w:line="400" w:lineRule="atLeast"/>
        <w:jc w:val="left"/>
        <w:rPr>
          <w:rFonts w:hAnsi="宋体" w:cs="宋体"/>
          <w:color w:val="auto"/>
          <w:sz w:val="22"/>
          <w:szCs w:val="22"/>
          <w:highlight w:val="none"/>
        </w:rPr>
      </w:pPr>
      <w:r>
        <w:rPr>
          <w:rFonts w:hint="eastAsia" w:ascii="新宋体" w:hAnsi="新宋体" w:eastAsia="新宋体"/>
          <w:b/>
          <w:color w:val="auto"/>
          <w:sz w:val="28"/>
          <w:highlight w:val="none"/>
        </w:rPr>
        <w:br w:type="page"/>
      </w:r>
      <w:r>
        <w:rPr>
          <w:rFonts w:hint="eastAsia" w:hAnsi="宋体" w:cs="宋体"/>
          <w:color w:val="auto"/>
          <w:sz w:val="22"/>
          <w:szCs w:val="22"/>
          <w:highlight w:val="none"/>
        </w:rPr>
        <w:t xml:space="preserve"> （报价文件封面，供参考）</w:t>
      </w:r>
    </w:p>
    <w:p w14:paraId="1460AEBE">
      <w:pPr>
        <w:rPr>
          <w:rFonts w:ascii="宋体" w:hAnsi="宋体" w:cs="宋体"/>
          <w:color w:val="auto"/>
          <w:highlight w:val="none"/>
        </w:rPr>
      </w:pPr>
    </w:p>
    <w:p w14:paraId="45FC1564">
      <w:pPr>
        <w:rPr>
          <w:rFonts w:ascii="宋体" w:hAnsi="宋体" w:cs="宋体"/>
          <w:color w:val="auto"/>
          <w:highlight w:val="none"/>
        </w:rPr>
      </w:pPr>
    </w:p>
    <w:p w14:paraId="3EDFAEBD">
      <w:pPr>
        <w:rPr>
          <w:rFonts w:ascii="宋体" w:hAnsi="宋体" w:cs="宋体"/>
          <w:color w:val="auto"/>
          <w:highlight w:val="none"/>
        </w:rPr>
      </w:pPr>
    </w:p>
    <w:p w14:paraId="5BA4DE69">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14:paraId="42E7230D">
      <w:pPr>
        <w:rPr>
          <w:rFonts w:ascii="宋体" w:hAnsi="宋体" w:cs="宋体"/>
          <w:color w:val="auto"/>
          <w:sz w:val="28"/>
          <w:szCs w:val="28"/>
          <w:highlight w:val="none"/>
        </w:rPr>
      </w:pPr>
    </w:p>
    <w:p w14:paraId="2020B50A">
      <w:pPr>
        <w:rPr>
          <w:rFonts w:ascii="宋体" w:hAnsi="宋体" w:cs="宋体"/>
          <w:color w:val="auto"/>
          <w:sz w:val="28"/>
          <w:szCs w:val="28"/>
          <w:highlight w:val="none"/>
        </w:rPr>
      </w:pPr>
    </w:p>
    <w:p w14:paraId="1159E0C2">
      <w:pPr>
        <w:pStyle w:val="24"/>
        <w:ind w:firstLine="281"/>
        <w:rPr>
          <w:rFonts w:ascii="宋体" w:hAnsi="宋体" w:cs="宋体"/>
          <w:color w:val="auto"/>
          <w:sz w:val="28"/>
          <w:szCs w:val="28"/>
          <w:highlight w:val="none"/>
        </w:rPr>
      </w:pPr>
    </w:p>
    <w:p w14:paraId="3FC81835">
      <w:pPr>
        <w:pStyle w:val="24"/>
        <w:ind w:firstLine="281"/>
        <w:rPr>
          <w:rFonts w:ascii="宋体" w:hAnsi="宋体" w:cs="宋体"/>
          <w:color w:val="auto"/>
          <w:sz w:val="28"/>
          <w:szCs w:val="28"/>
          <w:highlight w:val="none"/>
        </w:rPr>
      </w:pPr>
    </w:p>
    <w:p w14:paraId="0089D264">
      <w:pPr>
        <w:rPr>
          <w:rFonts w:ascii="宋体" w:hAnsi="宋体" w:cs="宋体"/>
          <w:color w:val="auto"/>
          <w:sz w:val="28"/>
          <w:szCs w:val="28"/>
          <w:highlight w:val="none"/>
        </w:rPr>
      </w:pPr>
    </w:p>
    <w:p w14:paraId="1A66464B">
      <w:pPr>
        <w:rPr>
          <w:rFonts w:ascii="宋体" w:hAnsi="宋体" w:cs="宋体"/>
          <w:color w:val="auto"/>
          <w:sz w:val="28"/>
          <w:szCs w:val="28"/>
          <w:highlight w:val="none"/>
        </w:rPr>
      </w:pPr>
    </w:p>
    <w:p w14:paraId="122E4DE6">
      <w:pPr>
        <w:jc w:val="center"/>
        <w:rPr>
          <w:rFonts w:ascii="宋体" w:hAnsi="宋体" w:cs="宋体"/>
          <w:color w:val="auto"/>
          <w:sz w:val="52"/>
          <w:szCs w:val="52"/>
          <w:highlight w:val="none"/>
        </w:rPr>
      </w:pPr>
      <w:r>
        <w:rPr>
          <w:rFonts w:hint="eastAsia" w:ascii="宋体" w:hAnsi="宋体" w:cs="宋体"/>
          <w:color w:val="auto"/>
          <w:sz w:val="52"/>
          <w:szCs w:val="52"/>
          <w:highlight w:val="none"/>
        </w:rPr>
        <w:t>报 价 文 件</w:t>
      </w:r>
    </w:p>
    <w:p w14:paraId="69F14FA5">
      <w:pPr>
        <w:spacing w:line="360" w:lineRule="auto"/>
        <w:rPr>
          <w:rFonts w:ascii="宋体" w:hAnsi="宋体" w:cs="宋体"/>
          <w:color w:val="auto"/>
          <w:szCs w:val="21"/>
          <w:highlight w:val="none"/>
        </w:rPr>
      </w:pPr>
    </w:p>
    <w:p w14:paraId="1495EA93">
      <w:pPr>
        <w:spacing w:line="360" w:lineRule="auto"/>
        <w:rPr>
          <w:rFonts w:ascii="宋体" w:hAnsi="宋体" w:cs="宋体"/>
          <w:color w:val="auto"/>
          <w:szCs w:val="21"/>
          <w:highlight w:val="none"/>
        </w:rPr>
      </w:pPr>
    </w:p>
    <w:p w14:paraId="31048B4D">
      <w:pPr>
        <w:spacing w:line="360" w:lineRule="auto"/>
        <w:rPr>
          <w:rFonts w:ascii="宋体" w:hAnsi="宋体" w:cs="宋体"/>
          <w:color w:val="auto"/>
          <w:szCs w:val="21"/>
          <w:highlight w:val="none"/>
        </w:rPr>
      </w:pPr>
    </w:p>
    <w:p w14:paraId="20DE11D5">
      <w:pPr>
        <w:spacing w:line="360" w:lineRule="auto"/>
        <w:rPr>
          <w:rFonts w:ascii="宋体" w:hAnsi="宋体" w:cs="宋体"/>
          <w:color w:val="auto"/>
          <w:szCs w:val="21"/>
          <w:highlight w:val="none"/>
        </w:rPr>
      </w:pPr>
    </w:p>
    <w:p w14:paraId="71D77144">
      <w:pPr>
        <w:spacing w:line="360" w:lineRule="auto"/>
        <w:rPr>
          <w:rFonts w:ascii="宋体" w:hAnsi="宋体" w:cs="宋体"/>
          <w:color w:val="auto"/>
          <w:szCs w:val="21"/>
          <w:highlight w:val="none"/>
        </w:rPr>
      </w:pPr>
    </w:p>
    <w:p w14:paraId="37DE378B">
      <w:pPr>
        <w:jc w:val="center"/>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0C93226F">
      <w:pPr>
        <w:rPr>
          <w:rFonts w:ascii="宋体" w:hAnsi="宋体" w:cs="宋体"/>
          <w:color w:val="auto"/>
          <w:sz w:val="28"/>
          <w:szCs w:val="28"/>
          <w:highlight w:val="none"/>
          <w:u w:val="single"/>
        </w:rPr>
      </w:pPr>
    </w:p>
    <w:p w14:paraId="43F74616">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法定代表人（单位负责人）或其委托代理人：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01A64D19">
      <w:pPr>
        <w:rPr>
          <w:rFonts w:ascii="宋体" w:hAnsi="宋体" w:cs="宋体"/>
          <w:color w:val="auto"/>
          <w:sz w:val="28"/>
          <w:szCs w:val="28"/>
          <w:highlight w:val="none"/>
        </w:rPr>
      </w:pPr>
    </w:p>
    <w:p w14:paraId="7331157F">
      <w:pPr>
        <w:overflowPunct w:val="0"/>
        <w:spacing w:line="380" w:lineRule="exact"/>
        <w:ind w:firstLine="2738" w:firstLineChars="978"/>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BA50B0B">
      <w:pPr>
        <w:overflowPunct w:val="0"/>
        <w:spacing w:line="38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14:paraId="31C55810">
      <w:pPr>
        <w:autoSpaceDE w:val="0"/>
        <w:autoSpaceDN w:val="0"/>
        <w:adjustRightInd w:val="0"/>
        <w:spacing w:line="460" w:lineRule="atLeast"/>
        <w:jc w:val="center"/>
        <w:rPr>
          <w:rFonts w:ascii="宋体" w:hAnsi="宋体" w:cs="宋体"/>
          <w:b/>
          <w:bCs/>
          <w:color w:val="auto"/>
          <w:kern w:val="0"/>
          <w:sz w:val="28"/>
          <w:szCs w:val="28"/>
          <w:highlight w:val="none"/>
          <w:lang w:val="zh-CN"/>
        </w:rPr>
      </w:pPr>
    </w:p>
    <w:p w14:paraId="72AE7C99">
      <w:pPr>
        <w:jc w:val="center"/>
        <w:rPr>
          <w:rFonts w:ascii="宋体" w:hAnsi="宋体" w:cs="宋体"/>
          <w:b/>
          <w:color w:val="auto"/>
          <w:sz w:val="28"/>
          <w:highlight w:val="none"/>
        </w:rPr>
      </w:pPr>
      <w:r>
        <w:rPr>
          <w:rFonts w:hint="eastAsia" w:ascii="宋体" w:hAnsi="宋体" w:cs="宋体"/>
          <w:b/>
          <w:color w:val="auto"/>
          <w:sz w:val="28"/>
          <w:highlight w:val="none"/>
        </w:rPr>
        <w:t>开标一览表</w:t>
      </w:r>
    </w:p>
    <w:p w14:paraId="7E88DB2A">
      <w:pPr>
        <w:overflowPunct w:val="0"/>
        <w:spacing w:line="380" w:lineRule="exact"/>
        <w:jc w:val="center"/>
        <w:rPr>
          <w:rFonts w:ascii="宋体" w:hAnsi="宋体" w:cs="宋体"/>
          <w:b/>
          <w:bCs/>
          <w:color w:val="auto"/>
          <w:sz w:val="28"/>
          <w:highlight w:val="none"/>
        </w:rPr>
      </w:pPr>
    </w:p>
    <w:p w14:paraId="1EE2EBF0">
      <w:pPr>
        <w:overflowPunct w:val="0"/>
        <w:spacing w:line="380" w:lineRule="exact"/>
        <w:jc w:val="center"/>
        <w:rPr>
          <w:rFonts w:ascii="宋体" w:hAnsi="宋体" w:cs="宋体"/>
          <w:b/>
          <w:bCs/>
          <w:color w:val="auto"/>
          <w:sz w:val="28"/>
          <w:highlight w:val="none"/>
        </w:rPr>
      </w:pPr>
    </w:p>
    <w:p w14:paraId="00C31656">
      <w:pPr>
        <w:overflowPunct w:val="0"/>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5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1"/>
        <w:gridCol w:w="3374"/>
        <w:gridCol w:w="2541"/>
      </w:tblGrid>
      <w:tr w14:paraId="1AC0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996" w:type="pct"/>
            <w:vAlign w:val="center"/>
          </w:tcPr>
          <w:p w14:paraId="471033FC">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13" w:type="pct"/>
            <w:vAlign w:val="center"/>
          </w:tcPr>
          <w:p w14:paraId="198C6AC1">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投标报价（折扣率）</w:t>
            </w:r>
          </w:p>
        </w:tc>
        <w:tc>
          <w:tcPr>
            <w:tcW w:w="1290" w:type="pct"/>
            <w:vAlign w:val="center"/>
          </w:tcPr>
          <w:p w14:paraId="3D90292B">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47C3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996" w:type="pct"/>
            <w:vAlign w:val="center"/>
          </w:tcPr>
          <w:p w14:paraId="07B487A8">
            <w:pPr>
              <w:spacing w:line="380" w:lineRule="exact"/>
              <w:jc w:val="center"/>
              <w:rPr>
                <w:rFonts w:ascii="宋体" w:hAnsi="宋体" w:cs="宋体"/>
                <w:color w:val="auto"/>
                <w:kern w:val="0"/>
                <w:sz w:val="22"/>
                <w:szCs w:val="22"/>
                <w:highlight w:val="none"/>
              </w:rPr>
            </w:pPr>
          </w:p>
        </w:tc>
        <w:tc>
          <w:tcPr>
            <w:tcW w:w="1713" w:type="pct"/>
            <w:vAlign w:val="center"/>
          </w:tcPr>
          <w:p w14:paraId="1A6A2C15">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1290" w:type="pct"/>
            <w:vAlign w:val="center"/>
          </w:tcPr>
          <w:p w14:paraId="46BB8454">
            <w:pPr>
              <w:spacing w:line="380" w:lineRule="exact"/>
              <w:jc w:val="center"/>
              <w:rPr>
                <w:rFonts w:ascii="宋体" w:hAnsi="宋体" w:cs="宋体"/>
                <w:bCs/>
                <w:color w:val="auto"/>
                <w:sz w:val="22"/>
                <w:szCs w:val="22"/>
                <w:highlight w:val="none"/>
              </w:rPr>
            </w:pPr>
          </w:p>
        </w:tc>
      </w:tr>
    </w:tbl>
    <w:p w14:paraId="7D43A2F4">
      <w:pPr>
        <w:spacing w:line="380" w:lineRule="exact"/>
        <w:ind w:right="349" w:rightChars="166" w:firstLine="331" w:firstLineChars="150"/>
        <w:rPr>
          <w:rFonts w:ascii="新宋体" w:hAnsi="新宋体" w:eastAsia="新宋体" w:cs="宋体"/>
          <w:b/>
          <w:color w:val="auto"/>
          <w:sz w:val="22"/>
          <w:highlight w:val="none"/>
        </w:rPr>
      </w:pPr>
    </w:p>
    <w:p w14:paraId="42DEAA3C">
      <w:pPr>
        <w:tabs>
          <w:tab w:val="left" w:pos="540"/>
        </w:tabs>
        <w:spacing w:line="460" w:lineRule="exact"/>
        <w:rPr>
          <w:rFonts w:ascii="新宋体" w:hAnsi="新宋体" w:eastAsia="新宋体" w:cs="宋体"/>
          <w:color w:val="auto"/>
          <w:sz w:val="22"/>
          <w:highlight w:val="none"/>
        </w:rPr>
      </w:pPr>
      <w:r>
        <w:rPr>
          <w:rFonts w:hint="eastAsia" w:ascii="新宋体" w:hAnsi="新宋体" w:eastAsia="新宋体" w:cs="宋体"/>
          <w:color w:val="auto"/>
          <w:sz w:val="22"/>
          <w:highlight w:val="none"/>
        </w:rPr>
        <w:t>说明：</w:t>
      </w:r>
    </w:p>
    <w:p w14:paraId="07AFE5A3">
      <w:pPr>
        <w:tabs>
          <w:tab w:val="left" w:pos="525"/>
        </w:tabs>
        <w:spacing w:line="440" w:lineRule="exact"/>
        <w:ind w:firstLine="400"/>
        <w:rPr>
          <w:rFonts w:hint="eastAsia" w:ascii="新宋体" w:hAnsi="新宋体" w:eastAsia="宋体" w:cs="新宋体"/>
          <w:color w:val="auto"/>
          <w:sz w:val="22"/>
          <w:szCs w:val="22"/>
          <w:highlight w:val="none"/>
          <w:lang w:eastAsia="zh-CN"/>
        </w:rPr>
      </w:pPr>
      <w:r>
        <w:rPr>
          <w:rFonts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以折扣率方式进行报价，</w:t>
      </w:r>
      <w:r>
        <w:rPr>
          <w:rFonts w:hint="eastAsia"/>
          <w:color w:val="auto"/>
          <w:highlight w:val="none"/>
        </w:rPr>
        <w:t>投标人应自行考虑食材的供货（包括但不限于宰杀、预处理、预加工等）、税金、包装、运输、装卸、验收及其所有税费、招标代理服务费等全部费用后计算价格折扣。</w:t>
      </w:r>
    </w:p>
    <w:p w14:paraId="58B8F165">
      <w:pPr>
        <w:tabs>
          <w:tab w:val="left" w:pos="525"/>
        </w:tabs>
        <w:spacing w:line="440" w:lineRule="exact"/>
        <w:ind w:firstLine="4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2．投标人所报的折扣在合同执行过程中作为最高限价（结算单价=当期所供产品市场价格*投标所报折扣），合同执行过程中投标人不得以任何理由要求调整投标折扣。</w:t>
      </w:r>
    </w:p>
    <w:p w14:paraId="09F503A0">
      <w:pPr>
        <w:tabs>
          <w:tab w:val="left" w:pos="525"/>
        </w:tabs>
        <w:spacing w:line="440" w:lineRule="exact"/>
        <w:ind w:firstLine="400"/>
        <w:rPr>
          <w:rFonts w:ascii="新宋体" w:hAnsi="新宋体" w:eastAsia="新宋体" w:cs="新宋体"/>
          <w:color w:val="auto"/>
          <w:sz w:val="22"/>
          <w:szCs w:val="22"/>
          <w:highlight w:val="none"/>
          <w:u w:val="single"/>
        </w:rPr>
      </w:pPr>
      <w:r>
        <w:rPr>
          <w:rFonts w:hint="eastAsia" w:ascii="宋体" w:hAnsi="宋体" w:cs="楷体"/>
          <w:color w:val="auto"/>
          <w:sz w:val="22"/>
          <w:szCs w:val="22"/>
          <w:highlight w:val="none"/>
        </w:rPr>
        <w:t>3</w:t>
      </w:r>
      <w:r>
        <w:rPr>
          <w:rFonts w:ascii="宋体" w:hAnsi="宋体" w:cs="楷体"/>
          <w:color w:val="auto"/>
          <w:sz w:val="22"/>
          <w:szCs w:val="22"/>
          <w:highlight w:val="none"/>
        </w:rPr>
        <w:t>．</w:t>
      </w:r>
      <w:r>
        <w:rPr>
          <w:rFonts w:hint="eastAsia" w:ascii="微软雅黑" w:hAnsi="微软雅黑" w:eastAsia="微软雅黑" w:cs="微软雅黑"/>
          <w:color w:val="auto"/>
          <w:kern w:val="0"/>
          <w:sz w:val="22"/>
          <w:szCs w:val="22"/>
          <w:highlight w:val="none"/>
          <w:u w:val="single"/>
        </w:rPr>
        <w:t>▲</w:t>
      </w:r>
      <w:r>
        <w:rPr>
          <w:rFonts w:hint="eastAsia" w:ascii="新宋体" w:hAnsi="新宋体" w:eastAsia="新宋体" w:cs="新宋体"/>
          <w:color w:val="auto"/>
          <w:sz w:val="22"/>
          <w:szCs w:val="22"/>
          <w:highlight w:val="none"/>
          <w:u w:val="single"/>
        </w:rPr>
        <w:t>不提供此表格将被视为没有实质性响应采购文件,其投标文件将被否决。</w:t>
      </w:r>
    </w:p>
    <w:p w14:paraId="608913E1">
      <w:pPr>
        <w:overflowPunct w:val="0"/>
        <w:spacing w:line="460" w:lineRule="exact"/>
        <w:rPr>
          <w:rFonts w:ascii="宋体" w:hAnsi="宋体" w:cs="宋体"/>
          <w:b/>
          <w:color w:val="auto"/>
          <w:sz w:val="22"/>
          <w:szCs w:val="22"/>
          <w:highlight w:val="none"/>
        </w:rPr>
      </w:pPr>
    </w:p>
    <w:p w14:paraId="7E568424">
      <w:pPr>
        <w:overflowPunct w:val="0"/>
        <w:spacing w:line="460" w:lineRule="exact"/>
        <w:rPr>
          <w:rFonts w:ascii="宋体" w:hAnsi="宋体" w:cs="宋体"/>
          <w:color w:val="auto"/>
          <w:sz w:val="22"/>
          <w:szCs w:val="22"/>
          <w:highlight w:val="none"/>
        </w:rPr>
      </w:pPr>
    </w:p>
    <w:p w14:paraId="62643766">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14:paraId="0AFCDE5B">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14:paraId="345F1174">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14:paraId="3D914F9F">
      <w:pPr>
        <w:overflowPunct w:val="0"/>
        <w:spacing w:line="460" w:lineRule="exact"/>
        <w:rPr>
          <w:rFonts w:ascii="宋体" w:hAnsi="宋体" w:cs="宋体"/>
          <w:color w:val="auto"/>
          <w:sz w:val="22"/>
          <w:szCs w:val="22"/>
          <w:highlight w:val="none"/>
        </w:rPr>
      </w:pPr>
    </w:p>
    <w:p w14:paraId="14C13CE9">
      <w:pPr>
        <w:overflowPunct w:val="0"/>
        <w:spacing w:line="380" w:lineRule="exact"/>
        <w:ind w:firstLine="9460" w:firstLineChars="4300"/>
        <w:rPr>
          <w:rFonts w:ascii="宋体" w:hAnsi="宋体" w:cs="宋体"/>
          <w:color w:val="auto"/>
          <w:sz w:val="22"/>
          <w:szCs w:val="22"/>
          <w:highlight w:val="none"/>
        </w:rPr>
      </w:pPr>
    </w:p>
    <w:p w14:paraId="562505D0">
      <w:pPr>
        <w:pStyle w:val="2"/>
        <w:rPr>
          <w:rFonts w:ascii="宋体" w:hAnsi="宋体" w:eastAsia="宋体" w:cs="宋体"/>
          <w:color w:val="auto"/>
          <w:sz w:val="36"/>
          <w:szCs w:val="36"/>
          <w:highlight w:val="none"/>
        </w:rPr>
      </w:pPr>
      <w:r>
        <w:rPr>
          <w:rFonts w:hint="eastAsia" w:ascii="宋体" w:hAnsi="宋体" w:cs="宋体"/>
          <w:color w:val="auto"/>
          <w:sz w:val="22"/>
          <w:szCs w:val="22"/>
          <w:highlight w:val="none"/>
        </w:rPr>
        <w:br w:type="page"/>
      </w:r>
      <w:bookmarkStart w:id="95" w:name="_Toc15843"/>
      <w:bookmarkStart w:id="96" w:name="_Toc58406693"/>
      <w:r>
        <w:rPr>
          <w:rFonts w:hint="eastAsia" w:ascii="宋体" w:hAnsi="宋体" w:eastAsia="宋体" w:cs="宋体"/>
          <w:color w:val="auto"/>
          <w:sz w:val="36"/>
          <w:szCs w:val="36"/>
          <w:highlight w:val="none"/>
        </w:rPr>
        <w:t>第五部分   采购内容及要求</w:t>
      </w:r>
      <w:bookmarkEnd w:id="95"/>
      <w:bookmarkEnd w:id="96"/>
    </w:p>
    <w:p w14:paraId="6C0194DD">
      <w:pPr>
        <w:overflowPunct w:val="0"/>
        <w:snapToGrid w:val="0"/>
        <w:spacing w:line="460" w:lineRule="exact"/>
        <w:rPr>
          <w:rFonts w:eastAsia="新宋体"/>
          <w:b/>
          <w:color w:val="auto"/>
          <w:sz w:val="22"/>
          <w:szCs w:val="22"/>
          <w:highlight w:val="none"/>
        </w:rPr>
      </w:pPr>
      <w:bookmarkStart w:id="97" w:name="_Toc422946256"/>
      <w:bookmarkStart w:id="98" w:name="_Toc262105510"/>
      <w:bookmarkStart w:id="99" w:name="_Toc422225262"/>
      <w:bookmarkStart w:id="100" w:name="_Toc262049425"/>
      <w:bookmarkStart w:id="101" w:name="_Toc249758871"/>
      <w:bookmarkStart w:id="102" w:name="_Toc249758721"/>
      <w:bookmarkStart w:id="103" w:name="_Toc7368"/>
      <w:r>
        <w:rPr>
          <w:rFonts w:eastAsia="新宋体"/>
          <w:b/>
          <w:bCs/>
          <w:color w:val="auto"/>
          <w:sz w:val="22"/>
          <w:szCs w:val="22"/>
          <w:highlight w:val="none"/>
        </w:rPr>
        <w:t>一、</w:t>
      </w:r>
      <w:r>
        <w:rPr>
          <w:rFonts w:eastAsia="新宋体"/>
          <w:b/>
          <w:color w:val="auto"/>
          <w:kern w:val="0"/>
          <w:sz w:val="22"/>
          <w:szCs w:val="22"/>
          <w:highlight w:val="none"/>
        </w:rPr>
        <w:t>原则及规范</w:t>
      </w:r>
    </w:p>
    <w:p w14:paraId="3F15EE68">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1、投标人所投货物必须达到</w:t>
      </w:r>
      <w:r>
        <w:rPr>
          <w:rFonts w:hint="eastAsia" w:eastAsia="新宋体"/>
          <w:bCs/>
          <w:color w:val="auto"/>
          <w:sz w:val="22"/>
          <w:szCs w:val="22"/>
          <w:highlight w:val="none"/>
        </w:rPr>
        <w:t>采购文件</w:t>
      </w:r>
      <w:r>
        <w:rPr>
          <w:rFonts w:eastAsia="新宋体"/>
          <w:bCs/>
          <w:color w:val="auto"/>
          <w:sz w:val="22"/>
          <w:szCs w:val="22"/>
          <w:highlight w:val="none"/>
        </w:rPr>
        <w:t>所规定的使用功能及要求（</w:t>
      </w:r>
      <w:r>
        <w:rPr>
          <w:rFonts w:hint="eastAsia" w:eastAsia="新宋体"/>
          <w:bCs/>
          <w:color w:val="auto"/>
          <w:sz w:val="22"/>
          <w:szCs w:val="22"/>
          <w:highlight w:val="none"/>
        </w:rPr>
        <w:t>采购文件</w:t>
      </w:r>
      <w:r>
        <w:rPr>
          <w:rFonts w:eastAsia="新宋体"/>
          <w:bCs/>
          <w:color w:val="auto"/>
          <w:sz w:val="22"/>
          <w:szCs w:val="22"/>
          <w:highlight w:val="none"/>
        </w:rPr>
        <w:t>内另有说明的除外）。</w:t>
      </w:r>
    </w:p>
    <w:p w14:paraId="5ECCA1F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2、所涉及的产品标准、规范，验收标准、规范，应符合国家有关条例及规范，如有新的标准应采纳新标准，如是国外相应标准应得到</w:t>
      </w:r>
      <w:r>
        <w:rPr>
          <w:rFonts w:hint="eastAsia" w:eastAsia="新宋体"/>
          <w:bCs/>
          <w:color w:val="auto"/>
          <w:sz w:val="22"/>
          <w:szCs w:val="22"/>
          <w:highlight w:val="none"/>
        </w:rPr>
        <w:t>采购人</w:t>
      </w:r>
      <w:r>
        <w:rPr>
          <w:rFonts w:eastAsia="新宋体"/>
          <w:bCs/>
          <w:color w:val="auto"/>
          <w:sz w:val="22"/>
          <w:szCs w:val="22"/>
          <w:highlight w:val="none"/>
        </w:rPr>
        <w:t>认可。</w:t>
      </w:r>
    </w:p>
    <w:p w14:paraId="48A4BDEB">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3、采购内容为</w:t>
      </w:r>
      <w:r>
        <w:rPr>
          <w:rFonts w:hint="eastAsia" w:eastAsia="新宋体"/>
          <w:bCs/>
          <w:color w:val="auto"/>
          <w:sz w:val="22"/>
          <w:szCs w:val="22"/>
          <w:highlight w:val="none"/>
        </w:rPr>
        <w:t>奶制品、</w:t>
      </w:r>
      <w:r>
        <w:rPr>
          <w:rFonts w:eastAsia="新宋体"/>
          <w:bCs/>
          <w:color w:val="auto"/>
          <w:sz w:val="22"/>
          <w:szCs w:val="22"/>
          <w:highlight w:val="none"/>
        </w:rPr>
        <w:t>蔬菜类、调味品、冻禽类、肉类、鱼类（水产品）、水果类等食材</w:t>
      </w:r>
      <w:r>
        <w:rPr>
          <w:rFonts w:hint="eastAsia" w:eastAsia="新宋体"/>
          <w:bCs/>
          <w:color w:val="auto"/>
          <w:sz w:val="22"/>
          <w:szCs w:val="22"/>
          <w:highlight w:val="none"/>
          <w:lang w:eastAsia="zh-CN"/>
        </w:rPr>
        <w:t>（</w:t>
      </w:r>
      <w:r>
        <w:rPr>
          <w:rFonts w:hint="eastAsia" w:eastAsia="新宋体"/>
          <w:bCs/>
          <w:color w:val="auto"/>
          <w:sz w:val="22"/>
          <w:szCs w:val="22"/>
          <w:highlight w:val="none"/>
        </w:rPr>
        <w:t>不含大米、面粉、食用油</w:t>
      </w:r>
      <w:r>
        <w:rPr>
          <w:rFonts w:hint="eastAsia" w:eastAsia="新宋体"/>
          <w:bCs/>
          <w:color w:val="auto"/>
          <w:sz w:val="22"/>
          <w:szCs w:val="22"/>
          <w:highlight w:val="none"/>
          <w:lang w:eastAsia="zh-CN"/>
        </w:rPr>
        <w:t>）</w:t>
      </w:r>
      <w:r>
        <w:rPr>
          <w:rFonts w:eastAsia="新宋体"/>
          <w:bCs/>
          <w:color w:val="auto"/>
          <w:sz w:val="22"/>
          <w:szCs w:val="22"/>
          <w:highlight w:val="none"/>
        </w:rPr>
        <w:t>。</w:t>
      </w:r>
    </w:p>
    <w:p w14:paraId="66FE074C">
      <w:pPr>
        <w:snapToGrid w:val="0"/>
        <w:spacing w:line="460" w:lineRule="exact"/>
        <w:ind w:firstLine="442" w:firstLineChars="200"/>
        <w:rPr>
          <w:rFonts w:eastAsia="新宋体"/>
          <w:bCs/>
          <w:color w:val="auto"/>
          <w:sz w:val="22"/>
          <w:szCs w:val="22"/>
          <w:highlight w:val="none"/>
        </w:rPr>
      </w:pPr>
      <w:r>
        <w:rPr>
          <w:rFonts w:eastAsia="新宋体"/>
          <w:b/>
          <w:color w:val="auto"/>
          <w:sz w:val="22"/>
          <w:szCs w:val="22"/>
          <w:highlight w:val="none"/>
        </w:rPr>
        <w:t>4、</w:t>
      </w:r>
      <w:r>
        <w:rPr>
          <w:rFonts w:eastAsia="新宋体"/>
          <w:bCs/>
          <w:color w:val="auto"/>
          <w:sz w:val="22"/>
          <w:szCs w:val="22"/>
          <w:highlight w:val="none"/>
        </w:rPr>
        <w:t>本次招标单位为</w:t>
      </w:r>
      <w:r>
        <w:rPr>
          <w:rFonts w:hint="eastAsia" w:eastAsia="新宋体"/>
          <w:bCs/>
          <w:color w:val="auto"/>
          <w:sz w:val="22"/>
          <w:szCs w:val="22"/>
          <w:highlight w:val="none"/>
        </w:rPr>
        <w:t>苍南县消防救援大队</w:t>
      </w:r>
      <w:r>
        <w:rPr>
          <w:rFonts w:eastAsia="新宋体"/>
          <w:bCs/>
          <w:color w:val="auto"/>
          <w:sz w:val="22"/>
          <w:szCs w:val="22"/>
          <w:highlight w:val="none"/>
        </w:rPr>
        <w:t>，配送地点：</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9"/>
        <w:gridCol w:w="5815"/>
      </w:tblGrid>
      <w:tr w14:paraId="2CEE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72A16F66">
            <w:pPr>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2950" w:type="pct"/>
            <w:vAlign w:val="center"/>
          </w:tcPr>
          <w:p w14:paraId="6BFD7CA3">
            <w:pPr>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r>
      <w:tr w14:paraId="30C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67A3ACA1">
            <w:pPr>
              <w:jc w:val="center"/>
              <w:rPr>
                <w:rFonts w:ascii="宋体" w:hAnsi="宋体" w:cs="宋体"/>
                <w:color w:val="auto"/>
                <w:sz w:val="22"/>
                <w:szCs w:val="22"/>
                <w:highlight w:val="none"/>
              </w:rPr>
            </w:pPr>
            <w:r>
              <w:rPr>
                <w:rFonts w:hint="eastAsia" w:ascii="宋体" w:hAnsi="宋体" w:cs="宋体"/>
                <w:color w:val="auto"/>
                <w:sz w:val="22"/>
                <w:szCs w:val="22"/>
                <w:highlight w:val="none"/>
              </w:rPr>
              <w:t>苍南县消防救援大队</w:t>
            </w:r>
          </w:p>
        </w:tc>
        <w:tc>
          <w:tcPr>
            <w:tcW w:w="2950" w:type="pct"/>
            <w:vAlign w:val="center"/>
          </w:tcPr>
          <w:p w14:paraId="270FBA9F">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浙江省温州市苍南县灵溪镇百丈村1号</w:t>
            </w:r>
          </w:p>
        </w:tc>
      </w:tr>
      <w:tr w14:paraId="0DC6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1147B370">
            <w:pPr>
              <w:jc w:val="center"/>
              <w:rPr>
                <w:rFonts w:ascii="宋体" w:hAnsi="宋体" w:cs="宋体"/>
                <w:color w:val="auto"/>
                <w:sz w:val="22"/>
                <w:szCs w:val="22"/>
                <w:highlight w:val="none"/>
              </w:rPr>
            </w:pPr>
            <w:r>
              <w:rPr>
                <w:rFonts w:hint="eastAsia" w:ascii="宋体" w:hAnsi="宋体" w:cs="宋体"/>
                <w:color w:val="auto"/>
                <w:sz w:val="22"/>
                <w:szCs w:val="22"/>
                <w:highlight w:val="none"/>
              </w:rPr>
              <w:t>苍南县消防救援大队钱库消防救援站</w:t>
            </w:r>
          </w:p>
        </w:tc>
        <w:tc>
          <w:tcPr>
            <w:tcW w:w="2950" w:type="pct"/>
            <w:vAlign w:val="center"/>
          </w:tcPr>
          <w:p w14:paraId="645C0DB4">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浙江省温州市苍南县钱库镇龙金大道东浃头牌坊对面（钱库消防救援站）</w:t>
            </w:r>
          </w:p>
        </w:tc>
      </w:tr>
      <w:tr w14:paraId="6785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17FF4070">
            <w:pPr>
              <w:jc w:val="center"/>
              <w:rPr>
                <w:rFonts w:ascii="宋体" w:hAnsi="宋体" w:cs="宋体"/>
                <w:color w:val="auto"/>
                <w:sz w:val="22"/>
                <w:szCs w:val="22"/>
                <w:highlight w:val="none"/>
              </w:rPr>
            </w:pPr>
            <w:r>
              <w:rPr>
                <w:rFonts w:hint="eastAsia" w:ascii="宋体" w:hAnsi="宋体" w:cs="宋体"/>
                <w:color w:val="auto"/>
                <w:sz w:val="22"/>
                <w:szCs w:val="22"/>
                <w:highlight w:val="none"/>
              </w:rPr>
              <w:t>龙港新城消防救援站</w:t>
            </w:r>
          </w:p>
        </w:tc>
        <w:tc>
          <w:tcPr>
            <w:tcW w:w="2950" w:type="pct"/>
            <w:vAlign w:val="center"/>
          </w:tcPr>
          <w:p w14:paraId="6DCB829B">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浙江省温州市龙港市科技路1362-1420号</w:t>
            </w:r>
          </w:p>
        </w:tc>
      </w:tr>
      <w:tr w14:paraId="1A2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9" w:type="pct"/>
            <w:vAlign w:val="center"/>
          </w:tcPr>
          <w:p w14:paraId="15874E30">
            <w:pPr>
              <w:jc w:val="center"/>
              <w:rPr>
                <w:rFonts w:ascii="宋体" w:hAnsi="宋体" w:cs="宋体"/>
                <w:color w:val="auto"/>
                <w:sz w:val="22"/>
                <w:szCs w:val="22"/>
                <w:highlight w:val="none"/>
              </w:rPr>
            </w:pPr>
            <w:r>
              <w:rPr>
                <w:rFonts w:hint="eastAsia" w:ascii="宋体" w:hAnsi="宋体" w:cs="宋体"/>
                <w:color w:val="auto"/>
                <w:sz w:val="22"/>
                <w:szCs w:val="22"/>
                <w:highlight w:val="none"/>
              </w:rPr>
              <w:t>龙港市消防救援大队</w:t>
            </w:r>
          </w:p>
        </w:tc>
        <w:tc>
          <w:tcPr>
            <w:tcW w:w="2950" w:type="pct"/>
            <w:vAlign w:val="center"/>
          </w:tcPr>
          <w:p w14:paraId="76916335">
            <w:pPr>
              <w:jc w:val="center"/>
              <w:rPr>
                <w:rFonts w:ascii="宋体" w:hAnsi="宋体" w:cs="宋体"/>
                <w:color w:val="auto"/>
                <w:sz w:val="22"/>
                <w:szCs w:val="22"/>
                <w:highlight w:val="none"/>
              </w:rPr>
            </w:pPr>
            <w:r>
              <w:rPr>
                <w:rFonts w:hint="eastAsia" w:ascii="宋体" w:hAnsi="宋体" w:cs="宋体"/>
                <w:color w:val="auto"/>
                <w:sz w:val="22"/>
                <w:szCs w:val="22"/>
                <w:highlight w:val="none"/>
              </w:rPr>
              <w:t>浙江省温州市</w:t>
            </w:r>
            <w:r>
              <w:rPr>
                <w:rFonts w:hint="eastAsia" w:ascii="宋体" w:hAnsi="宋体" w:cs="宋体"/>
                <w:color w:val="auto"/>
                <w:sz w:val="22"/>
                <w:szCs w:val="22"/>
                <w:highlight w:val="none"/>
                <w:shd w:val="clear" w:color="auto" w:fill="FFFFFF"/>
              </w:rPr>
              <w:t>龙港市通港路1000号</w:t>
            </w:r>
          </w:p>
        </w:tc>
      </w:tr>
    </w:tbl>
    <w:p w14:paraId="46927F66">
      <w:pPr>
        <w:snapToGrid w:val="0"/>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投标供应商须充分考虑自身服务网点距离、响应时间、临时突发增加菜品、紧急配送等情况，并做好相应的配送、应急等方案，为</w:t>
      </w:r>
      <w:r>
        <w:rPr>
          <w:rFonts w:hint="eastAsia" w:eastAsia="新宋体"/>
          <w:b/>
          <w:color w:val="auto"/>
          <w:sz w:val="22"/>
          <w:szCs w:val="22"/>
          <w:highlight w:val="none"/>
        </w:rPr>
        <w:t>采购人</w:t>
      </w:r>
      <w:r>
        <w:rPr>
          <w:rFonts w:eastAsia="新宋体"/>
          <w:b/>
          <w:color w:val="auto"/>
          <w:sz w:val="22"/>
          <w:szCs w:val="22"/>
          <w:highlight w:val="none"/>
        </w:rPr>
        <w:t>提供优质配送服务。</w:t>
      </w:r>
    </w:p>
    <w:p w14:paraId="1F9E2309">
      <w:pPr>
        <w:snapToGrid w:val="0"/>
        <w:spacing w:line="460" w:lineRule="exact"/>
        <w:ind w:firstLine="442" w:firstLineChars="200"/>
        <w:rPr>
          <w:rFonts w:eastAsia="新宋体"/>
          <w:color w:val="auto"/>
          <w:highlight w:val="none"/>
        </w:rPr>
      </w:pPr>
      <w:r>
        <w:rPr>
          <w:rFonts w:hint="eastAsia" w:eastAsia="新宋体"/>
          <w:b/>
          <w:color w:val="auto"/>
          <w:sz w:val="22"/>
          <w:szCs w:val="22"/>
          <w:highlight w:val="none"/>
        </w:rPr>
        <w:t>5、</w:t>
      </w:r>
      <w:r>
        <w:rPr>
          <w:rFonts w:hint="eastAsia" w:ascii="新宋体" w:hAnsi="新宋体" w:eastAsia="新宋体" w:cs="新宋体"/>
          <w:b/>
          <w:bCs/>
          <w:color w:val="auto"/>
          <w:sz w:val="22"/>
          <w:szCs w:val="22"/>
          <w:highlight w:val="none"/>
        </w:rPr>
        <w:t>▲</w:t>
      </w:r>
      <w:r>
        <w:rPr>
          <w:rFonts w:hint="eastAsia" w:eastAsia="新宋体"/>
          <w:b/>
          <w:color w:val="auto"/>
          <w:sz w:val="22"/>
          <w:szCs w:val="22"/>
          <w:highlight w:val="none"/>
          <w:u w:val="single"/>
        </w:rPr>
        <w:t>为贯彻落实《财政部办公厅关于组织地方预算单位做好2025年政府采购脱贫地方农副产品工作的通知》（财办库【2024】267号）要求，大力开展政府采购脱贫地区农副产品工作，本项目要求供应商在中标后预留2025年政府采购脱贫地区农副产品份额，份额比例不低于10%，通过“832平台”进行采购，供应商须在投标时无条件响应。</w:t>
      </w:r>
    </w:p>
    <w:p w14:paraId="6CB3EEB5">
      <w:pPr>
        <w:snapToGrid w:val="0"/>
        <w:spacing w:line="460" w:lineRule="exact"/>
        <w:rPr>
          <w:rFonts w:eastAsia="新宋体"/>
          <w:b/>
          <w:color w:val="auto"/>
          <w:sz w:val="22"/>
          <w:szCs w:val="22"/>
          <w:highlight w:val="none"/>
        </w:rPr>
      </w:pPr>
      <w:r>
        <w:rPr>
          <w:rFonts w:eastAsia="新宋体"/>
          <w:b/>
          <w:color w:val="auto"/>
          <w:sz w:val="22"/>
          <w:szCs w:val="22"/>
          <w:highlight w:val="none"/>
        </w:rPr>
        <w:t>二、配送质量要求</w:t>
      </w:r>
    </w:p>
    <w:p w14:paraId="2B95848B">
      <w:pPr>
        <w:autoSpaceDE w:val="0"/>
        <w:autoSpaceDN w:val="0"/>
        <w:adjustRightInd w:val="0"/>
        <w:snapToGrid w:val="0"/>
        <w:spacing w:line="460" w:lineRule="exact"/>
        <w:ind w:firstLine="440" w:firstLineChars="200"/>
        <w:rPr>
          <w:rFonts w:eastAsia="新宋体"/>
          <w:b/>
          <w:bCs/>
          <w:color w:val="auto"/>
          <w:kern w:val="0"/>
          <w:sz w:val="22"/>
          <w:szCs w:val="22"/>
          <w:highlight w:val="none"/>
          <w:lang w:val="zh-CN"/>
        </w:rPr>
      </w:pPr>
      <w:r>
        <w:rPr>
          <w:rFonts w:eastAsia="新宋体"/>
          <w:color w:val="auto"/>
          <w:kern w:val="0"/>
          <w:sz w:val="22"/>
          <w:szCs w:val="22"/>
          <w:highlight w:val="none"/>
          <w:lang w:val="zh-CN"/>
        </w:rPr>
        <w:t>食品原料要求新鲜、清洁卫生并符合相关规定，同时对每批次食品原料进行检测，并按国家相关规定出具产品证明合格材料。具体要求为：</w:t>
      </w:r>
    </w:p>
    <w:p w14:paraId="73310DC0">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1</w:t>
      </w:r>
      <w:r>
        <w:rPr>
          <w:rFonts w:eastAsia="新宋体"/>
          <w:b/>
          <w:bCs/>
          <w:color w:val="auto"/>
          <w:kern w:val="0"/>
          <w:sz w:val="22"/>
          <w:szCs w:val="22"/>
          <w:highlight w:val="none"/>
          <w:lang w:val="zh-CN"/>
        </w:rPr>
        <w:t>.辅料、半成品必须具有“SC”食品生产许可；</w:t>
      </w:r>
    </w:p>
    <w:p w14:paraId="4074E89C">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2</w:t>
      </w:r>
      <w:r>
        <w:rPr>
          <w:rFonts w:eastAsia="新宋体"/>
          <w:b/>
          <w:bCs/>
          <w:color w:val="auto"/>
          <w:kern w:val="0"/>
          <w:sz w:val="22"/>
          <w:szCs w:val="22"/>
          <w:highlight w:val="none"/>
        </w:rPr>
        <w:t>.</w:t>
      </w:r>
      <w:r>
        <w:rPr>
          <w:rFonts w:eastAsia="新宋体"/>
          <w:b/>
          <w:bCs/>
          <w:color w:val="auto"/>
          <w:kern w:val="0"/>
          <w:sz w:val="22"/>
          <w:szCs w:val="22"/>
          <w:highlight w:val="none"/>
          <w:lang w:val="zh-CN"/>
        </w:rPr>
        <w:t>肉、禽、蛋、水产等必须具有动物检验检疫合格证明或化验单；</w:t>
      </w:r>
    </w:p>
    <w:p w14:paraId="3B7D4B7C">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3</w:t>
      </w:r>
      <w:r>
        <w:rPr>
          <w:rFonts w:eastAsia="新宋体"/>
          <w:b/>
          <w:bCs/>
          <w:color w:val="auto"/>
          <w:kern w:val="0"/>
          <w:sz w:val="22"/>
          <w:szCs w:val="22"/>
          <w:highlight w:val="none"/>
        </w:rPr>
        <w:t>.</w:t>
      </w:r>
      <w:r>
        <w:rPr>
          <w:rFonts w:eastAsia="新宋体"/>
          <w:b/>
          <w:bCs/>
          <w:color w:val="auto"/>
          <w:kern w:val="0"/>
          <w:sz w:val="22"/>
          <w:szCs w:val="22"/>
          <w:highlight w:val="none"/>
          <w:lang w:val="zh-CN"/>
        </w:rPr>
        <w:t>蔬菜必须保证新鲜，按供货批次提供农贸市场蔬菜农药检测结果，且符合食品卫生安全法要求；</w:t>
      </w:r>
    </w:p>
    <w:p w14:paraId="1B7A627B">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4</w:t>
      </w:r>
      <w:r>
        <w:rPr>
          <w:rFonts w:eastAsia="新宋体"/>
          <w:b/>
          <w:bCs/>
          <w:color w:val="auto"/>
          <w:kern w:val="0"/>
          <w:sz w:val="22"/>
          <w:szCs w:val="22"/>
          <w:highlight w:val="none"/>
        </w:rPr>
        <w:t>.</w:t>
      </w:r>
      <w:r>
        <w:rPr>
          <w:rFonts w:eastAsia="新宋体"/>
          <w:b/>
          <w:bCs/>
          <w:color w:val="auto"/>
          <w:kern w:val="0"/>
          <w:sz w:val="22"/>
          <w:szCs w:val="22"/>
          <w:highlight w:val="none"/>
          <w:lang w:val="zh-CN"/>
        </w:rPr>
        <w:t>采购货源必须持有与销售内容相对应的有效营业执照，食品生产许可证或食品销售许可证；</w:t>
      </w:r>
    </w:p>
    <w:p w14:paraId="393DD6D2">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5</w:t>
      </w:r>
      <w:r>
        <w:rPr>
          <w:rFonts w:eastAsia="新宋体"/>
          <w:b/>
          <w:bCs/>
          <w:color w:val="auto"/>
          <w:kern w:val="0"/>
          <w:sz w:val="22"/>
          <w:szCs w:val="22"/>
          <w:highlight w:val="none"/>
        </w:rPr>
        <w:t>.</w:t>
      </w:r>
      <w:r>
        <w:rPr>
          <w:rFonts w:eastAsia="新宋体"/>
          <w:b/>
          <w:bCs/>
          <w:color w:val="auto"/>
          <w:kern w:val="0"/>
          <w:sz w:val="22"/>
          <w:szCs w:val="22"/>
          <w:highlight w:val="none"/>
          <w:lang w:val="zh-CN"/>
        </w:rPr>
        <w:t>供应商负责供货产品的食品安全，须做到来源可溯；</w:t>
      </w:r>
    </w:p>
    <w:p w14:paraId="765EE8D6">
      <w:pPr>
        <w:autoSpaceDE w:val="0"/>
        <w:autoSpaceDN w:val="0"/>
        <w:adjustRightInd w:val="0"/>
        <w:snapToGrid w:val="0"/>
        <w:spacing w:line="460" w:lineRule="exact"/>
        <w:ind w:firstLine="442" w:firstLineChars="200"/>
        <w:rPr>
          <w:rFonts w:eastAsia="新宋体"/>
          <w:b/>
          <w:bCs/>
          <w:color w:val="auto"/>
          <w:kern w:val="0"/>
          <w:sz w:val="22"/>
          <w:szCs w:val="22"/>
          <w:highlight w:val="none"/>
          <w:lang w:val="zh-CN"/>
        </w:rPr>
      </w:pPr>
      <w:r>
        <w:rPr>
          <w:rFonts w:hint="eastAsia" w:eastAsia="新宋体"/>
          <w:b/>
          <w:bCs/>
          <w:color w:val="auto"/>
          <w:kern w:val="0"/>
          <w:sz w:val="22"/>
          <w:szCs w:val="22"/>
          <w:highlight w:val="none"/>
        </w:rPr>
        <w:t>6</w:t>
      </w:r>
      <w:r>
        <w:rPr>
          <w:rFonts w:eastAsia="新宋体"/>
          <w:b/>
          <w:bCs/>
          <w:color w:val="auto"/>
          <w:kern w:val="0"/>
          <w:sz w:val="22"/>
          <w:szCs w:val="22"/>
          <w:highlight w:val="none"/>
        </w:rPr>
        <w:t>.</w:t>
      </w:r>
      <w:r>
        <w:rPr>
          <w:rFonts w:eastAsia="新宋体"/>
          <w:b/>
          <w:bCs/>
          <w:color w:val="auto"/>
          <w:kern w:val="0"/>
          <w:sz w:val="22"/>
          <w:szCs w:val="22"/>
          <w:highlight w:val="none"/>
          <w:lang w:val="zh-CN"/>
        </w:rPr>
        <w:t>具体配送产品品质要求详见“三： 对配送产品品质的基本要求”。</w:t>
      </w:r>
    </w:p>
    <w:p w14:paraId="6A2D719A">
      <w:pPr>
        <w:snapToGrid w:val="0"/>
        <w:spacing w:line="460" w:lineRule="exact"/>
        <w:rPr>
          <w:rFonts w:eastAsia="新宋体"/>
          <w:b/>
          <w:color w:val="auto"/>
          <w:sz w:val="22"/>
          <w:szCs w:val="22"/>
          <w:highlight w:val="none"/>
          <w:lang w:val="zh-CN"/>
        </w:rPr>
      </w:pPr>
      <w:r>
        <w:rPr>
          <w:rFonts w:eastAsia="新宋体"/>
          <w:b/>
          <w:color w:val="auto"/>
          <w:sz w:val="22"/>
          <w:szCs w:val="22"/>
          <w:highlight w:val="none"/>
          <w:lang w:val="zh-CN"/>
        </w:rPr>
        <w:t>三、 对配送产品品质的基本要求</w:t>
      </w:r>
    </w:p>
    <w:tbl>
      <w:tblPr>
        <w:tblStyle w:val="58"/>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4650"/>
        <w:gridCol w:w="3940"/>
      </w:tblGrid>
      <w:tr w14:paraId="49FD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gridSpan w:val="2"/>
            <w:vAlign w:val="center"/>
          </w:tcPr>
          <w:p w14:paraId="281E6753">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名称</w:t>
            </w:r>
          </w:p>
        </w:tc>
        <w:tc>
          <w:tcPr>
            <w:tcW w:w="4650" w:type="dxa"/>
            <w:vAlign w:val="center"/>
          </w:tcPr>
          <w:p w14:paraId="2DCBF8D8">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验收标准</w:t>
            </w:r>
          </w:p>
        </w:tc>
        <w:tc>
          <w:tcPr>
            <w:tcW w:w="3940" w:type="dxa"/>
            <w:vAlign w:val="center"/>
          </w:tcPr>
          <w:p w14:paraId="27EBAC98">
            <w:pPr>
              <w:snapToGrid w:val="0"/>
              <w:spacing w:before="15" w:line="460" w:lineRule="exact"/>
              <w:ind w:right="32"/>
              <w:jc w:val="center"/>
              <w:rPr>
                <w:rFonts w:eastAsia="新宋体"/>
                <w:color w:val="auto"/>
                <w:sz w:val="22"/>
                <w:szCs w:val="22"/>
                <w:highlight w:val="none"/>
              </w:rPr>
            </w:pPr>
            <w:r>
              <w:rPr>
                <w:rFonts w:eastAsia="新宋体"/>
                <w:color w:val="auto"/>
                <w:sz w:val="22"/>
                <w:szCs w:val="22"/>
                <w:highlight w:val="none"/>
              </w:rPr>
              <w:t>退货依据</w:t>
            </w:r>
          </w:p>
        </w:tc>
      </w:tr>
      <w:tr w14:paraId="7B8D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437" w:type="dxa"/>
            <w:gridSpan w:val="2"/>
            <w:vAlign w:val="center"/>
          </w:tcPr>
          <w:p w14:paraId="076E8AEE">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辅料及其他 </w:t>
            </w:r>
          </w:p>
        </w:tc>
        <w:tc>
          <w:tcPr>
            <w:tcW w:w="4650" w:type="dxa"/>
            <w:vAlign w:val="center"/>
          </w:tcPr>
          <w:p w14:paraId="0E91527A">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根据采购要求提供各类货品，保证新鲜度，注意保质期，外包装清洁卫生，完整坚固，且包装上的商品名称、厂址、规格等与内容物相符，标示清晰，批次清楚等；食用油要求非转基因食用油</w:t>
            </w:r>
          </w:p>
        </w:tc>
        <w:tc>
          <w:tcPr>
            <w:tcW w:w="3940" w:type="dxa"/>
            <w:vAlign w:val="center"/>
          </w:tcPr>
          <w:p w14:paraId="121FE94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(1)不符合验收标准的、无“SC”食品生产许可的产品。 (2)无品名、产地、厂名、生产日期、保质期及中文标识及原料说明的定型包装食品. (3)超过保质期内的三分之一期限或不符合食品标签规定的定型包装食品. (4)腐败变质,油脂酸败,霉变,生虫,污秽不洁,混有异物或者其他感官性状异常,含有毒,有害物质污染,可能对人体健康有害的食品。</w:t>
            </w:r>
          </w:p>
        </w:tc>
      </w:tr>
      <w:tr w14:paraId="3546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06325197">
            <w:pPr>
              <w:snapToGrid w:val="0"/>
              <w:spacing w:before="15" w:line="460" w:lineRule="exact"/>
              <w:ind w:right="32"/>
              <w:rPr>
                <w:rFonts w:eastAsia="新宋体"/>
                <w:color w:val="auto"/>
                <w:sz w:val="22"/>
                <w:szCs w:val="22"/>
                <w:highlight w:val="none"/>
              </w:rPr>
            </w:pPr>
            <w:r>
              <w:rPr>
                <w:rFonts w:hint="eastAsia" w:eastAsia="新宋体"/>
                <w:color w:val="auto"/>
                <w:sz w:val="22"/>
                <w:szCs w:val="22"/>
                <w:highlight w:val="none"/>
              </w:rPr>
              <w:t>奶制品</w:t>
            </w:r>
          </w:p>
        </w:tc>
        <w:tc>
          <w:tcPr>
            <w:tcW w:w="4650" w:type="dxa"/>
            <w:vAlign w:val="center"/>
          </w:tcPr>
          <w:p w14:paraId="512922D1">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5F17A8D0">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5867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vAlign w:val="center"/>
          </w:tcPr>
          <w:p w14:paraId="68301C8E">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调味品</w:t>
            </w:r>
          </w:p>
        </w:tc>
        <w:tc>
          <w:tcPr>
            <w:tcW w:w="4650" w:type="dxa"/>
            <w:vAlign w:val="center"/>
          </w:tcPr>
          <w:p w14:paraId="7E37E471">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2A132230">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22F4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7EF89B7B">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冻禽类 </w:t>
            </w:r>
          </w:p>
        </w:tc>
        <w:tc>
          <w:tcPr>
            <w:tcW w:w="4650" w:type="dxa"/>
            <w:vAlign w:val="center"/>
          </w:tcPr>
          <w:p w14:paraId="49A48F73">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根据采购要求提供各类货品，皮肤有光泽，呈淡黄、淡红、灰白色等，肌肉切面有光泽，</w:t>
            </w:r>
            <w:r>
              <w:rPr>
                <w:rFonts w:hint="eastAsia" w:eastAsia="新宋体"/>
                <w:color w:val="auto"/>
                <w:sz w:val="22"/>
                <w:szCs w:val="22"/>
                <w:highlight w:val="none"/>
              </w:rPr>
              <w:t>解冻后</w:t>
            </w:r>
            <w:r>
              <w:rPr>
                <w:rFonts w:eastAsia="新宋体"/>
                <w:color w:val="auto"/>
                <w:sz w:val="22"/>
                <w:szCs w:val="22"/>
                <w:highlight w:val="none"/>
              </w:rPr>
              <w:t>指压后凹陷恢复得快，且能完全恢复</w:t>
            </w:r>
            <w:r>
              <w:rPr>
                <w:rStyle w:val="72"/>
                <w:rFonts w:eastAsia="新宋体"/>
                <w:color w:val="auto"/>
                <w:sz w:val="22"/>
                <w:szCs w:val="22"/>
                <w:highlight w:val="none"/>
              </w:rPr>
              <w:t>。</w:t>
            </w:r>
          </w:p>
        </w:tc>
        <w:tc>
          <w:tcPr>
            <w:tcW w:w="3940" w:type="dxa"/>
            <w:vAlign w:val="center"/>
          </w:tcPr>
          <w:p w14:paraId="1F30EF5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干缩凹陷、表面干燥粘手，新切面湿润粘手，肌肉松弛，指压后凹陷不能恢复，并由明显的痕迹；有腐败味或霉味。 </w:t>
            </w:r>
          </w:p>
        </w:tc>
      </w:tr>
      <w:tr w14:paraId="121D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16640948">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肉类 </w:t>
            </w:r>
          </w:p>
        </w:tc>
        <w:tc>
          <w:tcPr>
            <w:tcW w:w="4650" w:type="dxa"/>
            <w:vAlign w:val="center"/>
          </w:tcPr>
          <w:p w14:paraId="000AD759">
            <w:pPr>
              <w:snapToGrid w:val="0"/>
              <w:spacing w:line="460" w:lineRule="exact"/>
              <w:rPr>
                <w:rFonts w:eastAsia="新宋体"/>
                <w:color w:val="auto"/>
                <w:sz w:val="22"/>
                <w:szCs w:val="22"/>
                <w:highlight w:val="none"/>
              </w:rPr>
            </w:pPr>
            <w:r>
              <w:rPr>
                <w:rFonts w:eastAsia="新宋体"/>
                <w:color w:val="auto"/>
                <w:sz w:val="22"/>
                <w:szCs w:val="22"/>
                <w:highlight w:val="none"/>
              </w:rPr>
              <w:t>1、所供货物应保持较好的外观和质量等级，严格遵守《动物检疫法》、《生猪屠宰管理条列》、《食物卫生法》等法律法规和规定《分割鲜、冻猪瘦肉》（GB9959）、《鲜（冻）畜肉卫生标准》（GB2707），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w:t>
            </w:r>
            <w:r>
              <w:rPr>
                <w:rFonts w:hint="eastAsia" w:eastAsia="新宋体"/>
                <w:color w:val="auto"/>
                <w:sz w:val="22"/>
                <w:szCs w:val="22"/>
                <w:highlight w:val="none"/>
              </w:rPr>
              <w:t>采购人</w:t>
            </w:r>
            <w:r>
              <w:rPr>
                <w:rFonts w:eastAsia="新宋体"/>
                <w:color w:val="auto"/>
                <w:sz w:val="22"/>
                <w:szCs w:val="22"/>
                <w:highlight w:val="none"/>
              </w:rPr>
              <w:t>供货时，提供的猪肉产品必须具有动物检验检疫证明。</w:t>
            </w:r>
          </w:p>
          <w:p w14:paraId="5783AE35">
            <w:pPr>
              <w:snapToGrid w:val="0"/>
              <w:spacing w:line="460" w:lineRule="exact"/>
              <w:rPr>
                <w:rFonts w:eastAsia="新宋体"/>
                <w:color w:val="auto"/>
                <w:sz w:val="22"/>
                <w:szCs w:val="22"/>
                <w:highlight w:val="none"/>
              </w:rPr>
            </w:pPr>
            <w:r>
              <w:rPr>
                <w:rFonts w:eastAsia="新宋体"/>
                <w:color w:val="auto"/>
                <w:sz w:val="22"/>
                <w:szCs w:val="22"/>
                <w:highlight w:val="none"/>
              </w:rPr>
              <w:t>2、鲜肉[边猪（白条猪）]净重35KG以上，去头、去蹄、去板油、去内脏，宰前检疫和宰后检查工作应严格按原农业部、卫生部、外贸部和商业部《肉品卫生检验试行规程》和《生猪屠宰产品品质检验规程》（GB17966）实施，检疫、检查人员必须持证上岗，屠宰检疫检验记录必须保存三年，备查。</w:t>
            </w:r>
          </w:p>
          <w:p w14:paraId="18DFE3E0">
            <w:pPr>
              <w:snapToGrid w:val="0"/>
              <w:spacing w:line="460" w:lineRule="exact"/>
              <w:rPr>
                <w:rFonts w:eastAsia="新宋体"/>
                <w:color w:val="auto"/>
                <w:sz w:val="22"/>
                <w:szCs w:val="22"/>
                <w:highlight w:val="none"/>
              </w:rPr>
            </w:pPr>
            <w:r>
              <w:rPr>
                <w:rFonts w:eastAsia="新宋体"/>
                <w:color w:val="auto"/>
                <w:sz w:val="22"/>
                <w:szCs w:val="22"/>
                <w:highlight w:val="none"/>
              </w:rPr>
              <w:t>3、鲜肉确保每日新鲜，冷冻肉要求肉体冻实而坚硬，无化冻现象，肉质紧密而有弹性，色泽均匀，不粘手，交货时干净、新鲜、无异味。</w:t>
            </w:r>
          </w:p>
          <w:p w14:paraId="1742C456">
            <w:pPr>
              <w:snapToGrid w:val="0"/>
              <w:spacing w:line="460" w:lineRule="exact"/>
              <w:rPr>
                <w:rFonts w:eastAsia="新宋体"/>
                <w:color w:val="auto"/>
                <w:sz w:val="22"/>
                <w:szCs w:val="22"/>
                <w:highlight w:val="none"/>
              </w:rPr>
            </w:pPr>
            <w:r>
              <w:rPr>
                <w:rFonts w:eastAsia="新宋体"/>
                <w:color w:val="auto"/>
                <w:sz w:val="22"/>
                <w:szCs w:val="22"/>
                <w:highlight w:val="none"/>
              </w:rPr>
              <w:t>4、所有货物规格符合</w:t>
            </w:r>
            <w:r>
              <w:rPr>
                <w:rFonts w:hint="eastAsia" w:eastAsia="新宋体"/>
                <w:color w:val="auto"/>
                <w:sz w:val="22"/>
                <w:szCs w:val="22"/>
                <w:highlight w:val="none"/>
              </w:rPr>
              <w:t>采购人</w:t>
            </w:r>
            <w:r>
              <w:rPr>
                <w:rFonts w:eastAsia="新宋体"/>
                <w:color w:val="auto"/>
                <w:sz w:val="22"/>
                <w:szCs w:val="22"/>
                <w:highlight w:val="none"/>
              </w:rPr>
              <w:t>提交的日采购计划中明确的具体需求，公路运输时应使用符合卫生要求的冷藏车或保温车，并主动接受所经公路检疫监督站的检验和对车辆进行消毒。</w:t>
            </w:r>
          </w:p>
          <w:p w14:paraId="775D2AD5">
            <w:pPr>
              <w:snapToGrid w:val="0"/>
              <w:spacing w:line="460" w:lineRule="exact"/>
              <w:rPr>
                <w:rFonts w:eastAsia="新宋体"/>
                <w:color w:val="auto"/>
                <w:sz w:val="22"/>
                <w:szCs w:val="22"/>
                <w:highlight w:val="none"/>
              </w:rPr>
            </w:pPr>
            <w:r>
              <w:rPr>
                <w:rFonts w:eastAsia="新宋体"/>
                <w:color w:val="auto"/>
                <w:sz w:val="22"/>
                <w:szCs w:val="22"/>
                <w:highlight w:val="none"/>
              </w:rPr>
              <w:t>5、牛肉：解冻后的肌肉呈均匀的红色，有光泽，脂肪呈白色或微黄色，肌肉外表微干或风干膜，或外表湿润，但都不粘手，良质冻牛肉的肌肉结构紧密，有坚实感，肌纤维韧性强。</w:t>
            </w:r>
          </w:p>
          <w:p w14:paraId="11B9F453">
            <w:pPr>
              <w:snapToGrid w:val="0"/>
              <w:spacing w:line="460" w:lineRule="exact"/>
              <w:rPr>
                <w:rFonts w:eastAsia="新宋体"/>
                <w:color w:val="auto"/>
                <w:sz w:val="22"/>
                <w:szCs w:val="22"/>
                <w:highlight w:val="none"/>
              </w:rPr>
            </w:pPr>
            <w:r>
              <w:rPr>
                <w:rFonts w:eastAsia="新宋体"/>
                <w:color w:val="auto"/>
                <w:sz w:val="22"/>
                <w:szCs w:val="22"/>
                <w:highlight w:val="none"/>
              </w:rPr>
              <w:t>6、猪肝：整体呈红褐色或棕黄色，有光泽，湿润，略有弹性，组织结实，微实，肝叶完整，无脂肪，无寄生虫、炎症水疱、薄膜、无胆汁污染，略有鱼腥味。</w:t>
            </w:r>
          </w:p>
          <w:p w14:paraId="4AF2F55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7、食品供应链要求：所有食品的来源必须清晰。</w:t>
            </w:r>
          </w:p>
        </w:tc>
        <w:tc>
          <w:tcPr>
            <w:tcW w:w="3940" w:type="dxa"/>
            <w:vAlign w:val="center"/>
          </w:tcPr>
          <w:p w14:paraId="4FF25575">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与验收标准不符，病死或者死因不明的畜禽及其制品等。</w:t>
            </w:r>
            <w:r>
              <w:rPr>
                <w:rFonts w:hint="eastAsia" w:eastAsia="新宋体"/>
                <w:color w:val="auto"/>
                <w:sz w:val="22"/>
                <w:szCs w:val="22"/>
                <w:highlight w:val="none"/>
              </w:rPr>
              <w:t>若鲜肉出现肉品颜色发白等情况，作为冷冻肉处理</w:t>
            </w:r>
            <w:r>
              <w:rPr>
                <w:rFonts w:eastAsia="新宋体"/>
                <w:color w:val="auto"/>
                <w:sz w:val="22"/>
                <w:szCs w:val="22"/>
                <w:highlight w:val="none"/>
              </w:rPr>
              <w:t>。</w:t>
            </w:r>
          </w:p>
        </w:tc>
      </w:tr>
      <w:tr w14:paraId="3FF7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415B53F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鱼类 （水产品） </w:t>
            </w:r>
          </w:p>
        </w:tc>
        <w:tc>
          <w:tcPr>
            <w:tcW w:w="4650" w:type="dxa"/>
            <w:vAlign w:val="center"/>
          </w:tcPr>
          <w:p w14:paraId="3AED7FA7">
            <w:pPr>
              <w:snapToGrid w:val="0"/>
              <w:spacing w:line="460" w:lineRule="exact"/>
              <w:ind w:right="32"/>
              <w:rPr>
                <w:rFonts w:eastAsia="新宋体"/>
                <w:color w:val="auto"/>
                <w:sz w:val="22"/>
                <w:szCs w:val="22"/>
                <w:highlight w:val="none"/>
              </w:rPr>
            </w:pPr>
            <w:r>
              <w:rPr>
                <w:rFonts w:eastAsia="新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288ABB67">
            <w:pPr>
              <w:snapToGrid w:val="0"/>
              <w:spacing w:line="460" w:lineRule="exact"/>
              <w:ind w:right="32"/>
              <w:rPr>
                <w:rFonts w:eastAsia="新宋体"/>
                <w:color w:val="auto"/>
                <w:sz w:val="22"/>
                <w:szCs w:val="22"/>
                <w:highlight w:val="none"/>
              </w:rPr>
            </w:pPr>
            <w:r>
              <w:rPr>
                <w:rFonts w:eastAsia="新宋体"/>
                <w:color w:val="auto"/>
                <w:sz w:val="22"/>
                <w:szCs w:val="22"/>
                <w:highlight w:val="none"/>
              </w:rPr>
              <w:t>虾、蟹：表面完整，清洁；肉质呈现淡青色或乳白色，无异味，组织紧密有弹性，有适当光泽。虾体基本完整，允许尾部稍有残缺，清洁无杂质。</w:t>
            </w:r>
          </w:p>
          <w:p w14:paraId="1770FE84">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贝壳：颜色淡黄，光泽新鲜，个大肥满，大小均匀，不破不碎，干度足，口味鲜，清洁干净</w:t>
            </w:r>
          </w:p>
        </w:tc>
        <w:tc>
          <w:tcPr>
            <w:tcW w:w="3940" w:type="dxa"/>
            <w:vAlign w:val="center"/>
          </w:tcPr>
          <w:p w14:paraId="33D44892">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674B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3DA5D3EF">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蔬</w:t>
            </w:r>
          </w:p>
          <w:p w14:paraId="3DA3C9C7">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菜</w:t>
            </w:r>
          </w:p>
          <w:p w14:paraId="330942C8">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类</w:t>
            </w:r>
          </w:p>
        </w:tc>
        <w:tc>
          <w:tcPr>
            <w:tcW w:w="993" w:type="dxa"/>
            <w:vAlign w:val="center"/>
          </w:tcPr>
          <w:p w14:paraId="0BA1021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叶菜</w:t>
            </w:r>
          </w:p>
        </w:tc>
        <w:tc>
          <w:tcPr>
            <w:tcW w:w="4650" w:type="dxa"/>
            <w:vAlign w:val="center"/>
          </w:tcPr>
          <w:p w14:paraId="2A291A25">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3940" w:type="dxa"/>
            <w:vAlign w:val="center"/>
          </w:tcPr>
          <w:p w14:paraId="4096CF60">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味苦，鲜度嫩度明显不佳，含黄叶须根，泥土、虫害严重，萎捏严重，浸水后仍不可恢复；农药残留超标。 </w:t>
            </w:r>
          </w:p>
          <w:p w14:paraId="2DC718A5">
            <w:pPr>
              <w:snapToGrid w:val="0"/>
              <w:spacing w:before="15" w:line="460" w:lineRule="exact"/>
              <w:ind w:right="32"/>
              <w:rPr>
                <w:rFonts w:eastAsia="新宋体"/>
                <w:color w:val="auto"/>
                <w:sz w:val="22"/>
                <w:szCs w:val="22"/>
                <w:highlight w:val="none"/>
              </w:rPr>
            </w:pPr>
          </w:p>
        </w:tc>
      </w:tr>
      <w:tr w14:paraId="077A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5BC96ACE">
            <w:pPr>
              <w:snapToGrid w:val="0"/>
              <w:spacing w:before="15" w:line="460" w:lineRule="exact"/>
              <w:ind w:right="32"/>
              <w:rPr>
                <w:rFonts w:eastAsia="新宋体"/>
                <w:color w:val="auto"/>
                <w:sz w:val="22"/>
                <w:szCs w:val="22"/>
                <w:highlight w:val="none"/>
              </w:rPr>
            </w:pPr>
          </w:p>
        </w:tc>
        <w:tc>
          <w:tcPr>
            <w:tcW w:w="993" w:type="dxa"/>
            <w:vAlign w:val="center"/>
          </w:tcPr>
          <w:p w14:paraId="4A193432">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根茎类（如香芋、土豆、莴笋等）</w:t>
            </w:r>
          </w:p>
        </w:tc>
        <w:tc>
          <w:tcPr>
            <w:tcW w:w="4650" w:type="dxa"/>
            <w:vAlign w:val="center"/>
          </w:tcPr>
          <w:p w14:paraId="2CE26EC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无虫咬、发芽、发霉现象，新鲜，形态大小与采购自购标准相当。农药残留不超标。 </w:t>
            </w:r>
          </w:p>
        </w:tc>
        <w:tc>
          <w:tcPr>
            <w:tcW w:w="3940" w:type="dxa"/>
            <w:vAlign w:val="center"/>
          </w:tcPr>
          <w:p w14:paraId="796A4026">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发芽严重、发霉，新鲜度不佳，形态大小与采购自购标准存在较大负偏差。农药残留超标。 </w:t>
            </w:r>
          </w:p>
        </w:tc>
      </w:tr>
      <w:tr w14:paraId="6C51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1F79DBF2">
            <w:pPr>
              <w:snapToGrid w:val="0"/>
              <w:spacing w:before="15" w:line="460" w:lineRule="exact"/>
              <w:ind w:right="32"/>
              <w:rPr>
                <w:rFonts w:eastAsia="新宋体"/>
                <w:color w:val="auto"/>
                <w:sz w:val="22"/>
                <w:szCs w:val="22"/>
                <w:highlight w:val="none"/>
              </w:rPr>
            </w:pPr>
          </w:p>
        </w:tc>
        <w:tc>
          <w:tcPr>
            <w:tcW w:w="993" w:type="dxa"/>
            <w:vAlign w:val="center"/>
          </w:tcPr>
          <w:p w14:paraId="73B81F29">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花果类，如西兰花、白菜花 </w:t>
            </w:r>
          </w:p>
        </w:tc>
        <w:tc>
          <w:tcPr>
            <w:tcW w:w="4650" w:type="dxa"/>
            <w:vAlign w:val="center"/>
          </w:tcPr>
          <w:p w14:paraId="1F6A36DA">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无虫害，成熟度良好，新鲜固有的色泽鲜明，无发霉发黄。农药残留不超标。</w:t>
            </w:r>
          </w:p>
        </w:tc>
        <w:tc>
          <w:tcPr>
            <w:tcW w:w="3940" w:type="dxa"/>
            <w:vAlign w:val="center"/>
          </w:tcPr>
          <w:p w14:paraId="69E74ABC">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 xml:space="preserve">不新鲜，发霉，虫害过多。农药残留超标。 </w:t>
            </w:r>
          </w:p>
        </w:tc>
      </w:tr>
      <w:tr w14:paraId="74A1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2AD5EEFE">
            <w:pPr>
              <w:snapToGrid w:val="0"/>
              <w:spacing w:line="460" w:lineRule="exact"/>
              <w:ind w:right="82"/>
              <w:jc w:val="center"/>
              <w:rPr>
                <w:rFonts w:eastAsia="新宋体"/>
                <w:color w:val="auto"/>
                <w:sz w:val="22"/>
                <w:szCs w:val="22"/>
                <w:highlight w:val="none"/>
              </w:rPr>
            </w:pPr>
            <w:r>
              <w:rPr>
                <w:rFonts w:eastAsia="新宋体"/>
                <w:color w:val="auto"/>
                <w:sz w:val="22"/>
                <w:szCs w:val="22"/>
                <w:highlight w:val="none"/>
              </w:rPr>
              <w:t>水果类</w:t>
            </w:r>
          </w:p>
        </w:tc>
        <w:tc>
          <w:tcPr>
            <w:tcW w:w="4650" w:type="dxa"/>
            <w:vAlign w:val="center"/>
          </w:tcPr>
          <w:p w14:paraId="0F9896D3">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水果外形正常，无虫咬、发霉现象，无虫害，成熟度良好，新鲜固有的色泽鲜明，农药残留不超标。</w:t>
            </w:r>
          </w:p>
        </w:tc>
        <w:tc>
          <w:tcPr>
            <w:tcW w:w="3940" w:type="dxa"/>
            <w:vAlign w:val="center"/>
          </w:tcPr>
          <w:p w14:paraId="6DD5C7DB">
            <w:pPr>
              <w:snapToGrid w:val="0"/>
              <w:spacing w:before="15" w:line="460" w:lineRule="exact"/>
              <w:ind w:right="32"/>
              <w:rPr>
                <w:rFonts w:eastAsia="新宋体"/>
                <w:color w:val="auto"/>
                <w:sz w:val="22"/>
                <w:szCs w:val="22"/>
                <w:highlight w:val="none"/>
              </w:rPr>
            </w:pPr>
            <w:r>
              <w:rPr>
                <w:rFonts w:eastAsia="新宋体"/>
                <w:color w:val="auto"/>
                <w:sz w:val="22"/>
                <w:szCs w:val="22"/>
                <w:highlight w:val="none"/>
              </w:rPr>
              <w:t>不新鲜，发霉，虫害过多。农药残留超标。</w:t>
            </w:r>
          </w:p>
        </w:tc>
      </w:tr>
    </w:tbl>
    <w:p w14:paraId="070BC0B4">
      <w:pPr>
        <w:snapToGrid w:val="0"/>
        <w:spacing w:line="460" w:lineRule="exact"/>
        <w:ind w:left="213" w:right="164"/>
        <w:rPr>
          <w:rFonts w:eastAsia="新宋体"/>
          <w:b/>
          <w:color w:val="auto"/>
          <w:sz w:val="22"/>
          <w:szCs w:val="22"/>
          <w:highlight w:val="none"/>
        </w:rPr>
      </w:pPr>
      <w:r>
        <w:rPr>
          <w:rFonts w:eastAsia="新宋体"/>
          <w:b/>
          <w:color w:val="auto"/>
          <w:sz w:val="22"/>
          <w:szCs w:val="22"/>
          <w:highlight w:val="none"/>
        </w:rPr>
        <w:t>注</w:t>
      </w:r>
      <w:r>
        <w:rPr>
          <w:rFonts w:eastAsia="新宋体"/>
          <w:b/>
          <w:color w:val="auto"/>
          <w:spacing w:val="-21"/>
          <w:sz w:val="22"/>
          <w:szCs w:val="22"/>
          <w:highlight w:val="none"/>
        </w:rPr>
        <w:t>：</w:t>
      </w:r>
      <w:r>
        <w:rPr>
          <w:rFonts w:eastAsia="新宋体"/>
          <w:color w:val="auto"/>
          <w:sz w:val="22"/>
          <w:szCs w:val="22"/>
          <w:highlight w:val="none"/>
        </w:rPr>
        <w:t>▲</w:t>
      </w:r>
      <w:r>
        <w:rPr>
          <w:rFonts w:eastAsia="新宋体"/>
          <w:b/>
          <w:color w:val="auto"/>
          <w:sz w:val="22"/>
          <w:szCs w:val="22"/>
          <w:highlight w:val="none"/>
          <w:u w:val="single"/>
        </w:rPr>
        <w:t>投标人可参考采购现使用产品档次确定各自投标产品品牌及规格，除以上</w:t>
      </w:r>
      <w:r>
        <w:rPr>
          <w:rFonts w:hint="eastAsia" w:eastAsia="新宋体"/>
          <w:b/>
          <w:color w:val="auto"/>
          <w:sz w:val="22"/>
          <w:szCs w:val="22"/>
          <w:highlight w:val="none"/>
          <w:u w:val="single"/>
        </w:rPr>
        <w:t>采购文件</w:t>
      </w:r>
      <w:r>
        <w:rPr>
          <w:rFonts w:eastAsia="新宋体"/>
          <w:b/>
          <w:color w:val="auto"/>
          <w:sz w:val="22"/>
          <w:szCs w:val="22"/>
          <w:highlight w:val="none"/>
          <w:u w:val="single"/>
        </w:rPr>
        <w:t>提出的现使用品牌外，欢迎其他能满足本项目技术需求且性能与所参考品牌相当的产品参加本项目投标。</w:t>
      </w:r>
    </w:p>
    <w:p w14:paraId="60E3A48E">
      <w:pPr>
        <w:snapToGrid w:val="0"/>
        <w:spacing w:line="460" w:lineRule="exact"/>
        <w:rPr>
          <w:rFonts w:eastAsia="新宋体"/>
          <w:b/>
          <w:color w:val="auto"/>
          <w:sz w:val="22"/>
          <w:szCs w:val="22"/>
          <w:highlight w:val="none"/>
        </w:rPr>
      </w:pPr>
      <w:r>
        <w:rPr>
          <w:rFonts w:eastAsia="新宋体"/>
          <w:b/>
          <w:color w:val="auto"/>
          <w:sz w:val="22"/>
          <w:szCs w:val="22"/>
          <w:highlight w:val="none"/>
          <w:lang w:val="zh-CN"/>
        </w:rPr>
        <w:t>四、定价及货款结算</w:t>
      </w:r>
      <w:r>
        <w:rPr>
          <w:rFonts w:eastAsia="新宋体"/>
          <w:b/>
          <w:color w:val="auto"/>
          <w:sz w:val="22"/>
          <w:szCs w:val="22"/>
          <w:highlight w:val="none"/>
        </w:rPr>
        <w:t>：</w:t>
      </w:r>
    </w:p>
    <w:p w14:paraId="0F2B0240">
      <w:pPr>
        <w:wordWrap w:val="0"/>
        <w:snapToGrid w:val="0"/>
        <w:spacing w:line="460" w:lineRule="exact"/>
        <w:ind w:firstLine="440" w:firstLineChars="200"/>
        <w:rPr>
          <w:rFonts w:eastAsia="新宋体"/>
          <w:b/>
          <w:color w:val="auto"/>
          <w:sz w:val="22"/>
          <w:szCs w:val="22"/>
          <w:highlight w:val="none"/>
          <w:u w:val="single"/>
        </w:rPr>
      </w:pPr>
      <w:r>
        <w:rPr>
          <w:rFonts w:eastAsia="新宋体"/>
          <w:color w:val="auto"/>
          <w:sz w:val="22"/>
          <w:szCs w:val="22"/>
          <w:highlight w:val="none"/>
        </w:rPr>
        <w:t>▲</w:t>
      </w:r>
      <w:r>
        <w:rPr>
          <w:rFonts w:eastAsia="新宋体"/>
          <w:b/>
          <w:color w:val="auto"/>
          <w:sz w:val="22"/>
          <w:szCs w:val="22"/>
          <w:highlight w:val="none"/>
          <w:u w:val="single"/>
        </w:rPr>
        <w:t>1、</w:t>
      </w:r>
      <w:r>
        <w:rPr>
          <w:rFonts w:hint="eastAsia" w:eastAsia="新宋体"/>
          <w:b/>
          <w:color w:val="auto"/>
          <w:sz w:val="22"/>
          <w:szCs w:val="22"/>
          <w:highlight w:val="none"/>
          <w:u w:val="single"/>
        </w:rPr>
        <w:t>中标人</w:t>
      </w:r>
      <w:r>
        <w:rPr>
          <w:rFonts w:eastAsia="新宋体"/>
          <w:b/>
          <w:color w:val="auto"/>
          <w:sz w:val="22"/>
          <w:szCs w:val="22"/>
          <w:highlight w:val="none"/>
          <w:u w:val="single"/>
        </w:rPr>
        <w:t>根据温州市发展和改革委员会官方网站（http://wzfgw.wenzhou.gov.cn/col/col1216782/index.html）最近之日公布的温州市区农贸市场价格监测表中</w:t>
      </w:r>
      <w:r>
        <w:rPr>
          <w:rFonts w:hint="eastAsia" w:eastAsia="新宋体"/>
          <w:b/>
          <w:color w:val="auto"/>
          <w:sz w:val="22"/>
          <w:szCs w:val="22"/>
          <w:highlight w:val="none"/>
          <w:u w:val="single"/>
        </w:rPr>
        <w:t>新田园农贸市场的产品价格</w:t>
      </w:r>
      <w:r>
        <w:rPr>
          <w:rFonts w:hint="eastAsia" w:eastAsia="新宋体"/>
          <w:b/>
          <w:color w:val="auto"/>
          <w:sz w:val="22"/>
          <w:szCs w:val="22"/>
          <w:highlight w:val="none"/>
          <w:u w:val="single"/>
          <w:lang w:val="en-US" w:eastAsia="zh-CN"/>
        </w:rPr>
        <w:t>作为</w:t>
      </w:r>
      <w:r>
        <w:rPr>
          <w:rFonts w:hint="eastAsia" w:eastAsia="新宋体"/>
          <w:b/>
          <w:color w:val="auto"/>
          <w:sz w:val="22"/>
          <w:szCs w:val="22"/>
          <w:highlight w:val="none"/>
          <w:u w:val="single"/>
        </w:rPr>
        <w:t>所需产品参考价格</w:t>
      </w:r>
      <w:r>
        <w:rPr>
          <w:rFonts w:eastAsia="新宋体"/>
          <w:b/>
          <w:color w:val="auto"/>
          <w:sz w:val="22"/>
          <w:szCs w:val="22"/>
          <w:highlight w:val="none"/>
          <w:u w:val="single"/>
        </w:rPr>
        <w:t>，温州市发展和改革委员会官方网站上未列明的货品，</w:t>
      </w:r>
      <w:r>
        <w:rPr>
          <w:rFonts w:hint="eastAsia" w:eastAsia="新宋体"/>
          <w:b/>
          <w:color w:val="auto"/>
          <w:sz w:val="22"/>
          <w:szCs w:val="22"/>
          <w:highlight w:val="none"/>
          <w:u w:val="single"/>
        </w:rPr>
        <w:t>采购人有权选</w:t>
      </w:r>
      <w:r>
        <w:rPr>
          <w:rFonts w:hint="eastAsia" w:eastAsia="新宋体"/>
          <w:b/>
          <w:color w:val="auto"/>
          <w:sz w:val="22"/>
          <w:szCs w:val="22"/>
          <w:highlight w:val="none"/>
          <w:u w:val="single"/>
          <w:lang w:eastAsia="zh-CN"/>
        </w:rPr>
        <w:t>苍龙区域较近农贸市场</w:t>
      </w:r>
      <w:r>
        <w:rPr>
          <w:rFonts w:hint="eastAsia" w:eastAsia="新宋体"/>
          <w:b/>
          <w:color w:val="auto"/>
          <w:sz w:val="22"/>
          <w:szCs w:val="22"/>
          <w:highlight w:val="none"/>
          <w:u w:val="single"/>
        </w:rPr>
        <w:t>进行市场询价的市场价作为产品参考价格</w:t>
      </w:r>
      <w:r>
        <w:rPr>
          <w:rFonts w:eastAsia="新宋体"/>
          <w:b/>
          <w:color w:val="auto"/>
          <w:sz w:val="22"/>
          <w:szCs w:val="22"/>
          <w:highlight w:val="none"/>
          <w:u w:val="single"/>
        </w:rPr>
        <w:t>；如农贸市场未提供的则由供应商报价与</w:t>
      </w:r>
      <w:r>
        <w:rPr>
          <w:rFonts w:hint="eastAsia" w:eastAsia="新宋体"/>
          <w:b/>
          <w:color w:val="auto"/>
          <w:sz w:val="22"/>
          <w:szCs w:val="22"/>
          <w:highlight w:val="none"/>
          <w:u w:val="single"/>
        </w:rPr>
        <w:t>采购人</w:t>
      </w:r>
      <w:r>
        <w:rPr>
          <w:rFonts w:eastAsia="新宋体"/>
          <w:b/>
          <w:color w:val="auto"/>
          <w:sz w:val="22"/>
          <w:szCs w:val="22"/>
          <w:highlight w:val="none"/>
          <w:u w:val="single"/>
        </w:rPr>
        <w:t>相互协商定出零售基准价，基准价不得高于当地当时的市场价。</w:t>
      </w:r>
      <w:r>
        <w:rPr>
          <w:rFonts w:hint="eastAsia" w:eastAsia="新宋体"/>
          <w:b/>
          <w:color w:val="auto"/>
          <w:sz w:val="22"/>
          <w:szCs w:val="22"/>
          <w:highlight w:val="none"/>
          <w:u w:val="single"/>
        </w:rPr>
        <w:t>供应商</w:t>
      </w:r>
      <w:r>
        <w:rPr>
          <w:rFonts w:eastAsia="新宋体"/>
          <w:b/>
          <w:color w:val="auto"/>
          <w:sz w:val="22"/>
          <w:szCs w:val="22"/>
          <w:highlight w:val="none"/>
          <w:u w:val="single"/>
        </w:rPr>
        <w:t>每</w:t>
      </w:r>
      <w:r>
        <w:rPr>
          <w:rFonts w:hint="eastAsia" w:eastAsia="新宋体"/>
          <w:b/>
          <w:color w:val="auto"/>
          <w:sz w:val="22"/>
          <w:szCs w:val="22"/>
          <w:highlight w:val="none"/>
          <w:u w:val="single"/>
        </w:rPr>
        <w:t>半个月</w:t>
      </w:r>
      <w:r>
        <w:rPr>
          <w:rFonts w:eastAsia="新宋体"/>
          <w:b/>
          <w:color w:val="auto"/>
          <w:sz w:val="22"/>
          <w:szCs w:val="22"/>
          <w:highlight w:val="none"/>
          <w:u w:val="single"/>
        </w:rPr>
        <w:t>核价根据折扣率报价，并提供带有拍摄时间的照片，以利于</w:t>
      </w:r>
      <w:r>
        <w:rPr>
          <w:rFonts w:hint="eastAsia" w:eastAsia="新宋体"/>
          <w:b/>
          <w:color w:val="auto"/>
          <w:sz w:val="22"/>
          <w:szCs w:val="22"/>
          <w:highlight w:val="none"/>
          <w:u w:val="single"/>
        </w:rPr>
        <w:t>采购人</w:t>
      </w:r>
      <w:r>
        <w:rPr>
          <w:rFonts w:eastAsia="新宋体"/>
          <w:b/>
          <w:color w:val="auto"/>
          <w:sz w:val="22"/>
          <w:szCs w:val="22"/>
          <w:highlight w:val="none"/>
          <w:u w:val="single"/>
        </w:rPr>
        <w:t>确认核价；禁止配送无市场实际零售商品或专供产品。</w:t>
      </w:r>
    </w:p>
    <w:p w14:paraId="7C594096">
      <w:pPr>
        <w:wordWrap w:val="0"/>
        <w:snapToGrid w:val="0"/>
        <w:spacing w:line="460" w:lineRule="exact"/>
        <w:ind w:firstLine="442" w:firstLineChars="200"/>
        <w:rPr>
          <w:rFonts w:eastAsia="新宋体"/>
          <w:b/>
          <w:color w:val="auto"/>
          <w:sz w:val="22"/>
          <w:szCs w:val="22"/>
          <w:highlight w:val="none"/>
          <w:u w:val="single"/>
        </w:rPr>
      </w:pPr>
      <w:r>
        <w:rPr>
          <w:rFonts w:eastAsia="新宋体"/>
          <w:b/>
          <w:color w:val="auto"/>
          <w:sz w:val="22"/>
          <w:szCs w:val="22"/>
          <w:highlight w:val="none"/>
          <w:u w:val="single"/>
        </w:rPr>
        <w:t>中标人所报折扣将作为下一周期供货商所供货品最高限价协商重要依据。</w:t>
      </w:r>
      <w:r>
        <w:rPr>
          <w:rFonts w:hint="eastAsia" w:eastAsia="新宋体"/>
          <w:b/>
          <w:color w:val="auto"/>
          <w:sz w:val="22"/>
          <w:szCs w:val="22"/>
          <w:highlight w:val="none"/>
          <w:u w:val="single"/>
        </w:rPr>
        <w:t>采购人</w:t>
      </w:r>
      <w:r>
        <w:rPr>
          <w:rFonts w:eastAsia="新宋体"/>
          <w:b/>
          <w:color w:val="auto"/>
          <w:sz w:val="22"/>
          <w:szCs w:val="22"/>
          <w:highlight w:val="none"/>
          <w:u w:val="single"/>
        </w:rPr>
        <w:t>成立采价组，</w:t>
      </w:r>
      <w:r>
        <w:rPr>
          <w:rFonts w:hint="eastAsia" w:eastAsia="新宋体"/>
          <w:b/>
          <w:color w:val="auto"/>
          <w:sz w:val="22"/>
          <w:szCs w:val="22"/>
          <w:highlight w:val="none"/>
          <w:u w:val="single"/>
        </w:rPr>
        <w:t>每半个月</w:t>
      </w:r>
      <w:r>
        <w:rPr>
          <w:rFonts w:eastAsia="新宋体"/>
          <w:b/>
          <w:color w:val="auto"/>
          <w:sz w:val="22"/>
          <w:szCs w:val="22"/>
          <w:highlight w:val="none"/>
          <w:u w:val="single"/>
        </w:rPr>
        <w:t>对食堂食品原料的价格进行采集，参考相关部门发布的市场信息，与供货商及时对接，原则上</w:t>
      </w:r>
      <w:r>
        <w:rPr>
          <w:rFonts w:hint="eastAsia" w:eastAsia="新宋体"/>
          <w:b/>
          <w:color w:val="auto"/>
          <w:sz w:val="22"/>
          <w:szCs w:val="22"/>
          <w:highlight w:val="none"/>
          <w:u w:val="single"/>
        </w:rPr>
        <w:t>每半个月</w:t>
      </w:r>
      <w:r>
        <w:rPr>
          <w:rFonts w:eastAsia="新宋体"/>
          <w:b/>
          <w:color w:val="auto"/>
          <w:sz w:val="22"/>
          <w:szCs w:val="22"/>
          <w:highlight w:val="none"/>
          <w:u w:val="single"/>
        </w:rPr>
        <w:t>确定一次。</w:t>
      </w:r>
    </w:p>
    <w:p w14:paraId="61A5D667">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eastAsia="新宋体"/>
          <w:color w:val="auto"/>
          <w:kern w:val="0"/>
          <w:sz w:val="22"/>
          <w:szCs w:val="22"/>
          <w:highlight w:val="none"/>
          <w:lang w:val="zh-CN"/>
        </w:rPr>
        <w:t>供应商提供的货品不得缺斤少两，</w:t>
      </w:r>
      <w:r>
        <w:rPr>
          <w:rFonts w:eastAsia="新宋体"/>
          <w:color w:val="auto"/>
          <w:kern w:val="0"/>
          <w:sz w:val="22"/>
          <w:szCs w:val="22"/>
          <w:highlight w:val="none"/>
        </w:rPr>
        <w:t>缺少的斤两应立即补货，</w:t>
      </w:r>
      <w:r>
        <w:rPr>
          <w:rFonts w:eastAsia="新宋体"/>
          <w:b w:val="0"/>
          <w:bCs/>
          <w:color w:val="auto"/>
          <w:kern w:val="0"/>
          <w:sz w:val="22"/>
          <w:szCs w:val="22"/>
          <w:highlight w:val="none"/>
          <w:lang w:val="zh-CN"/>
        </w:rPr>
        <w:t>务必在一小时内补齐</w:t>
      </w:r>
      <w:r>
        <w:rPr>
          <w:rFonts w:hint="eastAsia" w:eastAsia="新宋体"/>
          <w:b w:val="0"/>
          <w:bCs/>
          <w:color w:val="auto"/>
          <w:kern w:val="0"/>
          <w:sz w:val="22"/>
          <w:szCs w:val="22"/>
          <w:highlight w:val="none"/>
          <w:lang w:val="zh-CN"/>
        </w:rPr>
        <w:t>，</w:t>
      </w:r>
      <w:r>
        <w:rPr>
          <w:rFonts w:eastAsia="新宋体"/>
          <w:color w:val="auto"/>
          <w:kern w:val="0"/>
          <w:sz w:val="22"/>
          <w:szCs w:val="22"/>
          <w:highlight w:val="none"/>
        </w:rPr>
        <w:t>不得以运输时间过长为由，要求</w:t>
      </w:r>
      <w:r>
        <w:rPr>
          <w:rFonts w:hint="eastAsia" w:eastAsia="新宋体"/>
          <w:color w:val="auto"/>
          <w:kern w:val="0"/>
          <w:sz w:val="22"/>
          <w:szCs w:val="22"/>
          <w:highlight w:val="none"/>
        </w:rPr>
        <w:t>采购人</w:t>
      </w:r>
      <w:r>
        <w:rPr>
          <w:rFonts w:eastAsia="新宋体"/>
          <w:color w:val="auto"/>
          <w:kern w:val="0"/>
          <w:sz w:val="22"/>
          <w:szCs w:val="22"/>
          <w:highlight w:val="none"/>
        </w:rPr>
        <w:t>自行采购；也不得超过各单位提供的伙食菜单的需求量，并在配送后，以已造成既定实事为由，要求按照实际配送量进行结算，</w:t>
      </w:r>
      <w:r>
        <w:rPr>
          <w:rFonts w:eastAsia="新宋体"/>
          <w:color w:val="auto"/>
          <w:kern w:val="0"/>
          <w:sz w:val="22"/>
          <w:szCs w:val="22"/>
          <w:highlight w:val="none"/>
          <w:lang w:val="zh-CN"/>
        </w:rPr>
        <w:t>供应商</w:t>
      </w:r>
      <w:r>
        <w:rPr>
          <w:rFonts w:eastAsia="新宋体"/>
          <w:color w:val="auto"/>
          <w:kern w:val="0"/>
          <w:sz w:val="22"/>
          <w:szCs w:val="22"/>
          <w:highlight w:val="none"/>
        </w:rPr>
        <w:t>必须</w:t>
      </w:r>
      <w:r>
        <w:rPr>
          <w:rFonts w:eastAsia="新宋体"/>
          <w:color w:val="auto"/>
          <w:kern w:val="0"/>
          <w:sz w:val="22"/>
          <w:szCs w:val="22"/>
          <w:highlight w:val="none"/>
          <w:lang w:val="zh-CN"/>
        </w:rPr>
        <w:t>提供诚信服务。</w:t>
      </w:r>
    </w:p>
    <w:p w14:paraId="6CFB2AE7">
      <w:pPr>
        <w:autoSpaceDE w:val="0"/>
        <w:autoSpaceDN w:val="0"/>
        <w:adjustRightInd w:val="0"/>
        <w:snapToGrid w:val="0"/>
        <w:spacing w:line="460" w:lineRule="exact"/>
        <w:ind w:firstLine="440" w:firstLineChars="200"/>
        <w:rPr>
          <w:rFonts w:eastAsia="新宋体"/>
          <w:color w:val="auto"/>
          <w:kern w:val="0"/>
          <w:sz w:val="22"/>
          <w:szCs w:val="22"/>
          <w:highlight w:val="none"/>
          <w:lang w:val="zh-CN"/>
        </w:rPr>
      </w:pPr>
      <w:r>
        <w:rPr>
          <w:rFonts w:eastAsia="新宋体"/>
          <w:color w:val="auto"/>
          <w:kern w:val="0"/>
          <w:sz w:val="22"/>
          <w:szCs w:val="22"/>
          <w:highlight w:val="none"/>
        </w:rPr>
        <w:t>3、投标供应商应自行考虑食材的供货</w:t>
      </w:r>
      <w:r>
        <w:rPr>
          <w:rFonts w:hint="eastAsia" w:eastAsia="新宋体"/>
          <w:color w:val="auto"/>
          <w:kern w:val="0"/>
          <w:sz w:val="22"/>
          <w:szCs w:val="22"/>
          <w:highlight w:val="none"/>
        </w:rPr>
        <w:t>（包括但不限于宰杀、预处理、预加工等）</w:t>
      </w:r>
      <w:r>
        <w:rPr>
          <w:rFonts w:eastAsia="新宋体"/>
          <w:color w:val="auto"/>
          <w:kern w:val="0"/>
          <w:sz w:val="22"/>
          <w:szCs w:val="22"/>
          <w:highlight w:val="none"/>
        </w:rPr>
        <w:t>、税金、包装、运输、装卸、验收及其所有税费、招标代理服务费等全部费用后计算价格折扣率。</w:t>
      </w:r>
    </w:p>
    <w:p w14:paraId="184853D2">
      <w:pPr>
        <w:autoSpaceDE w:val="0"/>
        <w:autoSpaceDN w:val="0"/>
        <w:adjustRightInd w:val="0"/>
        <w:snapToGrid w:val="0"/>
        <w:spacing w:line="460" w:lineRule="exact"/>
        <w:ind w:firstLine="440" w:firstLineChars="200"/>
        <w:rPr>
          <w:rFonts w:eastAsia="新宋体"/>
          <w:color w:val="auto"/>
          <w:kern w:val="0"/>
          <w:sz w:val="22"/>
          <w:szCs w:val="22"/>
          <w:highlight w:val="none"/>
          <w:lang w:val="zh-CN"/>
        </w:rPr>
      </w:pPr>
      <w:r>
        <w:rPr>
          <w:rFonts w:eastAsia="新宋体"/>
          <w:color w:val="auto"/>
          <w:kern w:val="0"/>
          <w:sz w:val="22"/>
          <w:szCs w:val="22"/>
          <w:highlight w:val="none"/>
          <w:lang w:val="zh-CN"/>
        </w:rPr>
        <w:t>4、货款结算：</w:t>
      </w:r>
    </w:p>
    <w:p w14:paraId="74A6330D">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1）结算周期为每</w:t>
      </w:r>
      <w:r>
        <w:rPr>
          <w:rFonts w:hint="eastAsia" w:eastAsia="新宋体"/>
          <w:bCs/>
          <w:color w:val="auto"/>
          <w:sz w:val="22"/>
          <w:szCs w:val="22"/>
          <w:highlight w:val="none"/>
        </w:rPr>
        <w:t>个月</w:t>
      </w:r>
      <w:r>
        <w:rPr>
          <w:rFonts w:eastAsia="新宋体"/>
          <w:bCs/>
          <w:color w:val="auto"/>
          <w:sz w:val="22"/>
          <w:szCs w:val="22"/>
          <w:highlight w:val="none"/>
        </w:rPr>
        <w:t>结算一次。送货清单每天按时开具，与原材同步送达</w:t>
      </w:r>
      <w:r>
        <w:rPr>
          <w:rFonts w:eastAsia="新宋体"/>
          <w:color w:val="auto"/>
          <w:sz w:val="22"/>
          <w:szCs w:val="22"/>
          <w:highlight w:val="none"/>
        </w:rPr>
        <w:t>，增值税发票每</w:t>
      </w:r>
      <w:r>
        <w:rPr>
          <w:rFonts w:hint="eastAsia" w:eastAsia="新宋体"/>
          <w:bCs/>
          <w:color w:val="auto"/>
          <w:sz w:val="22"/>
          <w:szCs w:val="22"/>
          <w:highlight w:val="none"/>
        </w:rPr>
        <w:t>个月</w:t>
      </w:r>
      <w:r>
        <w:rPr>
          <w:rFonts w:eastAsia="新宋体"/>
          <w:color w:val="auto"/>
          <w:sz w:val="22"/>
          <w:szCs w:val="22"/>
          <w:highlight w:val="none"/>
        </w:rPr>
        <w:t>按时开具。</w:t>
      </w:r>
    </w:p>
    <w:p w14:paraId="79C1D130">
      <w:pPr>
        <w:snapToGrid w:val="0"/>
        <w:spacing w:line="460" w:lineRule="exact"/>
        <w:ind w:firstLine="440" w:firstLineChars="200"/>
        <w:rPr>
          <w:rFonts w:eastAsia="新宋体"/>
          <w:bCs/>
          <w:color w:val="auto"/>
          <w:sz w:val="22"/>
          <w:szCs w:val="22"/>
          <w:highlight w:val="none"/>
        </w:rPr>
      </w:pPr>
      <w:r>
        <w:rPr>
          <w:rFonts w:eastAsia="新宋体"/>
          <w:bCs/>
          <w:color w:val="auto"/>
          <w:sz w:val="22"/>
          <w:szCs w:val="22"/>
          <w:highlight w:val="none"/>
        </w:rPr>
        <w:t>2）送货清单中，</w:t>
      </w:r>
      <w:r>
        <w:rPr>
          <w:rFonts w:eastAsia="新宋体"/>
          <w:color w:val="auto"/>
          <w:sz w:val="22"/>
          <w:szCs w:val="22"/>
          <w:highlight w:val="none"/>
        </w:rPr>
        <w:t>当期（每</w:t>
      </w:r>
      <w:r>
        <w:rPr>
          <w:rFonts w:hint="eastAsia" w:eastAsia="新宋体"/>
          <w:color w:val="auto"/>
          <w:sz w:val="22"/>
          <w:szCs w:val="22"/>
          <w:highlight w:val="none"/>
        </w:rPr>
        <w:t>个月</w:t>
      </w:r>
      <w:r>
        <w:rPr>
          <w:rFonts w:eastAsia="新宋体"/>
          <w:color w:val="auto"/>
          <w:sz w:val="22"/>
          <w:szCs w:val="22"/>
          <w:highlight w:val="none"/>
        </w:rPr>
        <w:t>的供货期，下同）某宗产品实际供货数量*当期所报该宗产品供货单价</w:t>
      </w:r>
      <w:r>
        <w:rPr>
          <w:rFonts w:eastAsia="新宋体"/>
          <w:bCs/>
          <w:color w:val="auto"/>
          <w:sz w:val="22"/>
          <w:szCs w:val="22"/>
          <w:highlight w:val="none"/>
        </w:rPr>
        <w:t>*中标折扣，</w:t>
      </w:r>
      <w:r>
        <w:rPr>
          <w:rFonts w:eastAsia="新宋体"/>
          <w:color w:val="auto"/>
          <w:sz w:val="22"/>
          <w:szCs w:val="22"/>
          <w:highlight w:val="none"/>
        </w:rPr>
        <w:t>所有产品当期结算价之合为当期产品结算总价。</w:t>
      </w:r>
    </w:p>
    <w:p w14:paraId="05C6173C">
      <w:pPr>
        <w:snapToGrid w:val="0"/>
        <w:spacing w:line="460" w:lineRule="exact"/>
        <w:ind w:firstLine="442" w:firstLineChars="200"/>
        <w:rPr>
          <w:rFonts w:eastAsia="新宋体"/>
          <w:b/>
          <w:color w:val="auto"/>
          <w:sz w:val="22"/>
          <w:szCs w:val="22"/>
          <w:highlight w:val="none"/>
        </w:rPr>
      </w:pPr>
      <w:r>
        <w:rPr>
          <w:rFonts w:eastAsia="新宋体"/>
          <w:b/>
          <w:color w:val="auto"/>
          <w:sz w:val="22"/>
          <w:szCs w:val="22"/>
          <w:highlight w:val="none"/>
        </w:rPr>
        <w:t>对供应商恶意低价中标且不履行中标价格的行为，造成损失的，</w:t>
      </w:r>
      <w:r>
        <w:rPr>
          <w:rFonts w:hint="eastAsia" w:eastAsia="新宋体"/>
          <w:b/>
          <w:color w:val="auto"/>
          <w:sz w:val="22"/>
          <w:szCs w:val="22"/>
          <w:highlight w:val="none"/>
        </w:rPr>
        <w:t>采购人</w:t>
      </w:r>
      <w:r>
        <w:rPr>
          <w:rFonts w:eastAsia="新宋体"/>
          <w:b/>
          <w:color w:val="auto"/>
          <w:sz w:val="22"/>
          <w:szCs w:val="22"/>
          <w:highlight w:val="none"/>
        </w:rPr>
        <w:t>将没收履约保证金，不足赔偿的将付诸法律，同时将上报行政主管部门，由行政主管部门予以相应处罚。如给</w:t>
      </w:r>
      <w:r>
        <w:rPr>
          <w:rFonts w:hint="eastAsia" w:eastAsia="新宋体"/>
          <w:b/>
          <w:color w:val="auto"/>
          <w:sz w:val="22"/>
          <w:szCs w:val="22"/>
          <w:highlight w:val="none"/>
        </w:rPr>
        <w:t>采购人</w:t>
      </w:r>
      <w:r>
        <w:rPr>
          <w:rFonts w:eastAsia="新宋体"/>
          <w:b/>
          <w:color w:val="auto"/>
          <w:sz w:val="22"/>
          <w:szCs w:val="22"/>
          <w:highlight w:val="none"/>
        </w:rPr>
        <w:t>造成严重经济损失且行为特别恶劣的，</w:t>
      </w:r>
      <w:r>
        <w:rPr>
          <w:rFonts w:hint="eastAsia" w:eastAsia="新宋体"/>
          <w:b/>
          <w:color w:val="auto"/>
          <w:sz w:val="22"/>
          <w:szCs w:val="22"/>
          <w:highlight w:val="none"/>
        </w:rPr>
        <w:t>采购人</w:t>
      </w:r>
      <w:r>
        <w:rPr>
          <w:rFonts w:eastAsia="新宋体"/>
          <w:b/>
          <w:color w:val="auto"/>
          <w:sz w:val="22"/>
          <w:szCs w:val="22"/>
          <w:highlight w:val="none"/>
        </w:rPr>
        <w:t>保留追究其刑事责任权利。</w:t>
      </w:r>
    </w:p>
    <w:p w14:paraId="7C602052">
      <w:pPr>
        <w:snapToGrid w:val="0"/>
        <w:spacing w:line="460" w:lineRule="exact"/>
        <w:ind w:firstLine="442" w:firstLineChars="200"/>
        <w:rPr>
          <w:rFonts w:eastAsia="新宋体"/>
          <w:b/>
          <w:bCs/>
          <w:color w:val="auto"/>
          <w:kern w:val="0"/>
          <w:sz w:val="22"/>
          <w:szCs w:val="22"/>
          <w:highlight w:val="none"/>
        </w:rPr>
      </w:pPr>
      <w:r>
        <w:rPr>
          <w:rFonts w:eastAsia="新宋体"/>
          <w:b/>
          <w:bCs/>
          <w:color w:val="auto"/>
          <w:kern w:val="0"/>
          <w:sz w:val="22"/>
          <w:szCs w:val="22"/>
          <w:highlight w:val="none"/>
        </w:rPr>
        <w:t>五、采购计划的确定：</w:t>
      </w:r>
    </w:p>
    <w:p w14:paraId="24F1C77E">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bCs/>
          <w:color w:val="auto"/>
          <w:kern w:val="0"/>
          <w:sz w:val="22"/>
          <w:szCs w:val="22"/>
          <w:highlight w:val="none"/>
        </w:rPr>
        <w:t>1、</w:t>
      </w:r>
      <w:r>
        <w:rPr>
          <w:rFonts w:hint="eastAsia" w:eastAsia="新宋体"/>
          <w:b/>
          <w:color w:val="auto"/>
          <w:sz w:val="22"/>
          <w:szCs w:val="22"/>
          <w:highlight w:val="none"/>
          <w:u w:val="single"/>
        </w:rPr>
        <w:t>采购人</w:t>
      </w:r>
      <w:r>
        <w:rPr>
          <w:rFonts w:eastAsia="新宋体"/>
          <w:b/>
          <w:color w:val="auto"/>
          <w:sz w:val="22"/>
          <w:szCs w:val="22"/>
          <w:highlight w:val="none"/>
          <w:u w:val="single"/>
        </w:rPr>
        <w:t>会每日制定进货计划，确定具体送货时间、品种及数量，或根据季节变化和指定配送单位协商适当延长配送周期。</w:t>
      </w:r>
    </w:p>
    <w:p w14:paraId="43B977A3">
      <w:pPr>
        <w:autoSpaceDE w:val="0"/>
        <w:autoSpaceDN w:val="0"/>
        <w:adjustRightInd w:val="0"/>
        <w:snapToGrid w:val="0"/>
        <w:spacing w:line="460" w:lineRule="exact"/>
        <w:ind w:firstLine="440" w:firstLineChars="200"/>
        <w:rPr>
          <w:rFonts w:eastAsia="新宋体"/>
          <w:bCs/>
          <w:color w:val="auto"/>
          <w:kern w:val="0"/>
          <w:sz w:val="22"/>
          <w:szCs w:val="22"/>
          <w:highlight w:val="none"/>
          <w:lang w:val="zh-CN"/>
        </w:rPr>
      </w:pPr>
      <w:r>
        <w:rPr>
          <w:rFonts w:eastAsia="新宋体"/>
          <w:bCs/>
          <w:color w:val="auto"/>
          <w:kern w:val="0"/>
          <w:sz w:val="22"/>
          <w:szCs w:val="22"/>
          <w:highlight w:val="none"/>
        </w:rPr>
        <w:t>2、</w:t>
      </w:r>
      <w:r>
        <w:rPr>
          <w:rFonts w:eastAsia="新宋体"/>
          <w:bCs/>
          <w:color w:val="auto"/>
          <w:kern w:val="0"/>
          <w:sz w:val="22"/>
          <w:szCs w:val="22"/>
          <w:highlight w:val="none"/>
          <w:lang w:val="zh-CN"/>
        </w:rPr>
        <w:t>原则上，采购计划与实际下达的总订单偏差控制在20％以内。</w:t>
      </w:r>
    </w:p>
    <w:p w14:paraId="228CC57F">
      <w:pPr>
        <w:autoSpaceDE w:val="0"/>
        <w:autoSpaceDN w:val="0"/>
        <w:adjustRightInd w:val="0"/>
        <w:snapToGrid w:val="0"/>
        <w:spacing w:line="460" w:lineRule="exact"/>
        <w:ind w:firstLine="440" w:firstLineChars="200"/>
        <w:rPr>
          <w:rFonts w:eastAsia="新宋体"/>
          <w:color w:val="auto"/>
          <w:sz w:val="22"/>
          <w:szCs w:val="22"/>
          <w:highlight w:val="none"/>
        </w:rPr>
      </w:pPr>
      <w:r>
        <w:rPr>
          <w:rFonts w:eastAsia="新宋体"/>
          <w:bCs/>
          <w:color w:val="auto"/>
          <w:kern w:val="0"/>
          <w:sz w:val="22"/>
          <w:szCs w:val="22"/>
          <w:highlight w:val="none"/>
          <w:lang w:val="zh-CN"/>
        </w:rPr>
        <w:t>3、</w:t>
      </w:r>
      <w:r>
        <w:rPr>
          <w:rFonts w:eastAsia="新宋体"/>
          <w:color w:val="auto"/>
          <w:sz w:val="22"/>
          <w:szCs w:val="22"/>
          <w:highlight w:val="none"/>
        </w:rPr>
        <w:t>▲</w:t>
      </w:r>
      <w:r>
        <w:rPr>
          <w:rFonts w:eastAsia="新宋体"/>
          <w:b/>
          <w:color w:val="auto"/>
          <w:sz w:val="22"/>
          <w:szCs w:val="22"/>
          <w:highlight w:val="none"/>
          <w:u w:val="single"/>
        </w:rPr>
        <w:t>最终采购数量以</w:t>
      </w:r>
      <w:r>
        <w:rPr>
          <w:rFonts w:hint="eastAsia" w:eastAsia="新宋体"/>
          <w:b/>
          <w:color w:val="auto"/>
          <w:sz w:val="22"/>
          <w:szCs w:val="22"/>
          <w:highlight w:val="none"/>
          <w:u w:val="single"/>
        </w:rPr>
        <w:t>采购人</w:t>
      </w:r>
      <w:r>
        <w:rPr>
          <w:rFonts w:eastAsia="新宋体"/>
          <w:b/>
          <w:color w:val="auto"/>
          <w:sz w:val="22"/>
          <w:szCs w:val="22"/>
          <w:highlight w:val="none"/>
          <w:u w:val="single"/>
        </w:rPr>
        <w:t>每天过磅验收的订单数量为准</w:t>
      </w:r>
      <w:r>
        <w:rPr>
          <w:rFonts w:eastAsia="新宋体"/>
          <w:color w:val="auto"/>
          <w:sz w:val="22"/>
          <w:szCs w:val="22"/>
          <w:highlight w:val="none"/>
        </w:rPr>
        <w:t>。</w:t>
      </w:r>
    </w:p>
    <w:p w14:paraId="7AFF5471">
      <w:pPr>
        <w:autoSpaceDE w:val="0"/>
        <w:autoSpaceDN w:val="0"/>
        <w:adjustRightInd w:val="0"/>
        <w:snapToGrid w:val="0"/>
        <w:spacing w:line="460" w:lineRule="exact"/>
        <w:ind w:firstLine="440" w:firstLineChars="200"/>
        <w:rPr>
          <w:rFonts w:eastAsia="新宋体"/>
          <w:bCs/>
          <w:color w:val="auto"/>
          <w:kern w:val="0"/>
          <w:sz w:val="22"/>
          <w:szCs w:val="22"/>
          <w:highlight w:val="none"/>
          <w:lang w:val="zh-CN"/>
        </w:rPr>
      </w:pPr>
      <w:r>
        <w:rPr>
          <w:rFonts w:eastAsia="新宋体"/>
          <w:bCs/>
          <w:color w:val="auto"/>
          <w:kern w:val="0"/>
          <w:sz w:val="22"/>
          <w:szCs w:val="22"/>
          <w:highlight w:val="none"/>
        </w:rPr>
        <w:t>4、</w:t>
      </w:r>
      <w:r>
        <w:rPr>
          <w:rFonts w:eastAsia="新宋体"/>
          <w:bCs/>
          <w:color w:val="auto"/>
          <w:kern w:val="0"/>
          <w:sz w:val="22"/>
          <w:szCs w:val="22"/>
          <w:highlight w:val="none"/>
          <w:lang w:val="zh-CN"/>
        </w:rPr>
        <w:t>双方可根据蔬菜生产季节、天气、市场价格情况等协商调整每期采购计划中蔬菜品种和数量。供应商必须能保证提供丰富的品种供</w:t>
      </w:r>
      <w:r>
        <w:rPr>
          <w:rFonts w:hint="eastAsia" w:eastAsia="新宋体"/>
          <w:bCs/>
          <w:color w:val="auto"/>
          <w:kern w:val="0"/>
          <w:sz w:val="22"/>
          <w:szCs w:val="22"/>
          <w:highlight w:val="none"/>
          <w:lang w:val="zh-CN"/>
        </w:rPr>
        <w:t>采购人</w:t>
      </w:r>
      <w:r>
        <w:rPr>
          <w:rFonts w:eastAsia="新宋体"/>
          <w:bCs/>
          <w:color w:val="auto"/>
          <w:kern w:val="0"/>
          <w:sz w:val="22"/>
          <w:szCs w:val="22"/>
          <w:highlight w:val="none"/>
          <w:lang w:val="zh-CN"/>
        </w:rPr>
        <w:t>选择。</w:t>
      </w:r>
    </w:p>
    <w:p w14:paraId="15259380">
      <w:pPr>
        <w:autoSpaceDE w:val="0"/>
        <w:autoSpaceDN w:val="0"/>
        <w:adjustRightInd w:val="0"/>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rPr>
        <w:t>六、采购配送单位的考核：</w:t>
      </w:r>
    </w:p>
    <w:p w14:paraId="1A07CD8F">
      <w:pPr>
        <w:snapToGrid w:val="0"/>
        <w:spacing w:line="460" w:lineRule="exact"/>
        <w:ind w:firstLine="442" w:firstLineChars="200"/>
        <w:jc w:val="left"/>
        <w:rPr>
          <w:rFonts w:eastAsia="新宋体"/>
          <w:b/>
          <w:color w:val="auto"/>
          <w:sz w:val="22"/>
          <w:szCs w:val="22"/>
          <w:highlight w:val="none"/>
        </w:rPr>
      </w:pPr>
      <w:r>
        <w:rPr>
          <w:rFonts w:eastAsia="新宋体"/>
          <w:b/>
          <w:color w:val="auto"/>
          <w:sz w:val="22"/>
          <w:szCs w:val="22"/>
          <w:highlight w:val="none"/>
        </w:rPr>
        <w:t>配送任务完成后，</w:t>
      </w:r>
      <w:r>
        <w:rPr>
          <w:rFonts w:hint="eastAsia" w:eastAsia="新宋体"/>
          <w:b/>
          <w:color w:val="auto"/>
          <w:sz w:val="22"/>
          <w:szCs w:val="22"/>
          <w:highlight w:val="none"/>
        </w:rPr>
        <w:t>采购人</w:t>
      </w:r>
      <w:r>
        <w:rPr>
          <w:rFonts w:eastAsia="新宋体"/>
          <w:b/>
          <w:color w:val="auto"/>
          <w:sz w:val="22"/>
          <w:szCs w:val="22"/>
          <w:highlight w:val="none"/>
        </w:rPr>
        <w:t>每</w:t>
      </w:r>
      <w:r>
        <w:rPr>
          <w:rFonts w:hint="eastAsia" w:eastAsia="新宋体"/>
          <w:b/>
          <w:color w:val="auto"/>
          <w:sz w:val="22"/>
          <w:szCs w:val="22"/>
          <w:highlight w:val="none"/>
          <w:lang w:val="en-US" w:eastAsia="zh-CN"/>
        </w:rPr>
        <w:t>个</w:t>
      </w:r>
      <w:r>
        <w:rPr>
          <w:rFonts w:hint="eastAsia" w:eastAsia="新宋体"/>
          <w:b/>
          <w:color w:val="auto"/>
          <w:sz w:val="22"/>
          <w:szCs w:val="22"/>
          <w:highlight w:val="none"/>
        </w:rPr>
        <w:t>月</w:t>
      </w:r>
      <w:r>
        <w:rPr>
          <w:rFonts w:eastAsia="新宋体"/>
          <w:b/>
          <w:color w:val="auto"/>
          <w:sz w:val="22"/>
          <w:szCs w:val="22"/>
          <w:highlight w:val="none"/>
        </w:rPr>
        <w:t>对配送单位实行一次考核评分。本动态考核细则为暂定内容,</w:t>
      </w:r>
      <w:r>
        <w:rPr>
          <w:rFonts w:hint="eastAsia" w:eastAsia="新宋体"/>
          <w:b/>
          <w:color w:val="auto"/>
          <w:sz w:val="22"/>
          <w:szCs w:val="22"/>
          <w:highlight w:val="none"/>
        </w:rPr>
        <w:t>采购人</w:t>
      </w:r>
      <w:r>
        <w:rPr>
          <w:rFonts w:eastAsia="新宋体"/>
          <w:b/>
          <w:color w:val="auto"/>
          <w:sz w:val="22"/>
          <w:szCs w:val="22"/>
          <w:highlight w:val="none"/>
        </w:rPr>
        <w:t>有权根据配送具体情况修改及添加考核条款。</w:t>
      </w:r>
    </w:p>
    <w:p w14:paraId="7F984FBD">
      <w:pPr>
        <w:snapToGrid w:val="0"/>
        <w:spacing w:line="460" w:lineRule="exact"/>
        <w:jc w:val="center"/>
        <w:rPr>
          <w:rFonts w:eastAsia="新宋体"/>
          <w:b/>
          <w:color w:val="auto"/>
          <w:sz w:val="22"/>
          <w:szCs w:val="22"/>
          <w:highlight w:val="none"/>
        </w:rPr>
      </w:pPr>
      <w:r>
        <w:rPr>
          <w:rFonts w:eastAsia="新宋体"/>
          <w:b/>
          <w:color w:val="auto"/>
          <w:sz w:val="22"/>
          <w:szCs w:val="22"/>
          <w:highlight w:val="none"/>
        </w:rPr>
        <w:t>食材供应商评价表</w:t>
      </w:r>
    </w:p>
    <w:p w14:paraId="157BB918">
      <w:pPr>
        <w:snapToGrid w:val="0"/>
        <w:spacing w:line="460" w:lineRule="exact"/>
        <w:jc w:val="left"/>
        <w:rPr>
          <w:rFonts w:eastAsia="新宋体"/>
          <w:color w:val="auto"/>
          <w:sz w:val="22"/>
          <w:szCs w:val="22"/>
          <w:highlight w:val="none"/>
        </w:rPr>
      </w:pPr>
      <w:r>
        <w:rPr>
          <w:rFonts w:eastAsia="新宋体"/>
          <w:color w:val="auto"/>
          <w:sz w:val="22"/>
          <w:szCs w:val="22"/>
          <w:highlight w:val="none"/>
        </w:rPr>
        <w:t>供应商名称：                                                        月度：</w:t>
      </w:r>
    </w:p>
    <w:tbl>
      <w:tblPr>
        <w:tblStyle w:val="5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7367"/>
        <w:gridCol w:w="1019"/>
      </w:tblGrid>
      <w:tr w14:paraId="3B29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44" w:type="pct"/>
            <w:tcBorders>
              <w:top w:val="single" w:color="auto" w:sz="4" w:space="0"/>
              <w:left w:val="single" w:color="auto" w:sz="4" w:space="0"/>
              <w:bottom w:val="single" w:color="auto" w:sz="4" w:space="0"/>
              <w:right w:val="single" w:color="auto" w:sz="4" w:space="0"/>
            </w:tcBorders>
            <w:vAlign w:val="center"/>
          </w:tcPr>
          <w:p w14:paraId="6031A685">
            <w:pPr>
              <w:snapToGrid w:val="0"/>
              <w:spacing w:line="460" w:lineRule="exact"/>
              <w:jc w:val="center"/>
              <w:rPr>
                <w:rFonts w:eastAsia="新宋体"/>
                <w:color w:val="auto"/>
                <w:sz w:val="22"/>
                <w:szCs w:val="22"/>
                <w:highlight w:val="none"/>
              </w:rPr>
            </w:pPr>
            <w:r>
              <w:rPr>
                <w:rFonts w:eastAsia="新宋体"/>
                <w:color w:val="auto"/>
                <w:sz w:val="22"/>
                <w:szCs w:val="22"/>
                <w:highlight w:val="none"/>
              </w:rPr>
              <w:t>评价指标</w:t>
            </w:r>
          </w:p>
        </w:tc>
        <w:tc>
          <w:tcPr>
            <w:tcW w:w="3738" w:type="pct"/>
            <w:tcBorders>
              <w:top w:val="single" w:color="auto" w:sz="4" w:space="0"/>
              <w:left w:val="single" w:color="auto" w:sz="4" w:space="0"/>
              <w:bottom w:val="single" w:color="auto" w:sz="4" w:space="0"/>
              <w:right w:val="single" w:color="auto" w:sz="4" w:space="0"/>
            </w:tcBorders>
            <w:vAlign w:val="center"/>
          </w:tcPr>
          <w:p w14:paraId="4764D338">
            <w:pPr>
              <w:snapToGrid w:val="0"/>
              <w:spacing w:line="460" w:lineRule="exact"/>
              <w:jc w:val="center"/>
              <w:rPr>
                <w:rFonts w:eastAsia="新宋体"/>
                <w:color w:val="auto"/>
                <w:sz w:val="22"/>
                <w:szCs w:val="22"/>
                <w:highlight w:val="none"/>
              </w:rPr>
            </w:pPr>
            <w:r>
              <w:rPr>
                <w:rFonts w:eastAsia="新宋体"/>
                <w:color w:val="auto"/>
                <w:sz w:val="22"/>
                <w:szCs w:val="22"/>
                <w:highlight w:val="none"/>
              </w:rPr>
              <w:t>评价细则</w:t>
            </w:r>
          </w:p>
        </w:tc>
        <w:tc>
          <w:tcPr>
            <w:tcW w:w="516" w:type="pct"/>
            <w:tcBorders>
              <w:top w:val="single" w:color="auto" w:sz="4" w:space="0"/>
              <w:left w:val="single" w:color="auto" w:sz="4" w:space="0"/>
              <w:bottom w:val="single" w:color="auto" w:sz="4" w:space="0"/>
              <w:right w:val="single" w:color="auto" w:sz="4" w:space="0"/>
            </w:tcBorders>
            <w:vAlign w:val="center"/>
          </w:tcPr>
          <w:p w14:paraId="72614F92">
            <w:pPr>
              <w:snapToGrid w:val="0"/>
              <w:spacing w:line="460" w:lineRule="exact"/>
              <w:jc w:val="center"/>
              <w:rPr>
                <w:rFonts w:eastAsia="新宋体"/>
                <w:color w:val="auto"/>
                <w:sz w:val="22"/>
                <w:szCs w:val="22"/>
                <w:highlight w:val="none"/>
              </w:rPr>
            </w:pPr>
            <w:r>
              <w:rPr>
                <w:rFonts w:eastAsia="新宋体"/>
                <w:color w:val="auto"/>
                <w:sz w:val="22"/>
                <w:szCs w:val="22"/>
                <w:highlight w:val="none"/>
              </w:rPr>
              <w:t>扣分</w:t>
            </w:r>
          </w:p>
        </w:tc>
      </w:tr>
      <w:tr w14:paraId="64BB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restart"/>
            <w:tcBorders>
              <w:top w:val="single" w:color="auto" w:sz="4" w:space="0"/>
              <w:left w:val="single" w:color="auto" w:sz="4" w:space="0"/>
              <w:right w:val="single" w:color="auto" w:sz="4" w:space="0"/>
            </w:tcBorders>
            <w:vAlign w:val="center"/>
          </w:tcPr>
          <w:p w14:paraId="39D810C8">
            <w:pPr>
              <w:snapToGrid w:val="0"/>
              <w:spacing w:line="460" w:lineRule="exact"/>
              <w:jc w:val="center"/>
              <w:rPr>
                <w:rFonts w:eastAsia="新宋体"/>
                <w:color w:val="auto"/>
                <w:sz w:val="22"/>
                <w:szCs w:val="22"/>
                <w:highlight w:val="none"/>
              </w:rPr>
            </w:pPr>
            <w:r>
              <w:rPr>
                <w:rFonts w:eastAsia="新宋体"/>
                <w:color w:val="auto"/>
                <w:sz w:val="22"/>
                <w:szCs w:val="22"/>
                <w:highlight w:val="none"/>
              </w:rPr>
              <w:t>流程管理（30分）</w:t>
            </w:r>
          </w:p>
        </w:tc>
        <w:tc>
          <w:tcPr>
            <w:tcW w:w="3738" w:type="pct"/>
            <w:tcBorders>
              <w:top w:val="single" w:color="auto" w:sz="4" w:space="0"/>
              <w:left w:val="single" w:color="auto" w:sz="4" w:space="0"/>
              <w:bottom w:val="single" w:color="auto" w:sz="4" w:space="0"/>
              <w:right w:val="single" w:color="auto" w:sz="4" w:space="0"/>
            </w:tcBorders>
            <w:vAlign w:val="center"/>
          </w:tcPr>
          <w:p w14:paraId="5BA92085">
            <w:pPr>
              <w:snapToGrid w:val="0"/>
              <w:spacing w:line="460" w:lineRule="exact"/>
              <w:jc w:val="left"/>
              <w:rPr>
                <w:rFonts w:eastAsia="新宋体"/>
                <w:color w:val="auto"/>
                <w:sz w:val="22"/>
                <w:szCs w:val="22"/>
                <w:highlight w:val="none"/>
              </w:rPr>
            </w:pPr>
            <w:r>
              <w:rPr>
                <w:rFonts w:eastAsia="新宋体"/>
                <w:color w:val="auto"/>
                <w:sz w:val="22"/>
                <w:szCs w:val="22"/>
                <w:highlight w:val="none"/>
              </w:rPr>
              <w:t>准时送货（13分）：每</w:t>
            </w:r>
            <w:r>
              <w:rPr>
                <w:rFonts w:hint="eastAsia" w:eastAsia="新宋体"/>
                <w:color w:val="auto"/>
                <w:sz w:val="22"/>
                <w:szCs w:val="22"/>
                <w:highlight w:val="none"/>
              </w:rPr>
              <w:t>半月</w:t>
            </w:r>
            <w:r>
              <w:rPr>
                <w:rFonts w:eastAsia="新宋体"/>
                <w:color w:val="auto"/>
                <w:sz w:val="22"/>
                <w:szCs w:val="22"/>
                <w:highlight w:val="none"/>
              </w:rPr>
              <w:t>根据配送响应时间、应急供应情况等内容进行评价，未准时送货，非不可抗拒情况下延误一次扣3分，超出约定时间2小时以上的，或拒绝提供应急供应的，每出现一次，扣10分(以此类推，扣完为止)。</w:t>
            </w:r>
          </w:p>
        </w:tc>
        <w:tc>
          <w:tcPr>
            <w:tcW w:w="516" w:type="pct"/>
            <w:tcBorders>
              <w:top w:val="single" w:color="auto" w:sz="4" w:space="0"/>
              <w:left w:val="single" w:color="auto" w:sz="4" w:space="0"/>
              <w:right w:val="single" w:color="auto" w:sz="4" w:space="0"/>
            </w:tcBorders>
            <w:vAlign w:val="center"/>
          </w:tcPr>
          <w:p w14:paraId="11D4E2E2">
            <w:pPr>
              <w:snapToGrid w:val="0"/>
              <w:spacing w:line="460" w:lineRule="exact"/>
              <w:jc w:val="left"/>
              <w:rPr>
                <w:rFonts w:eastAsia="新宋体"/>
                <w:color w:val="auto"/>
                <w:sz w:val="22"/>
                <w:szCs w:val="22"/>
                <w:highlight w:val="none"/>
              </w:rPr>
            </w:pPr>
          </w:p>
        </w:tc>
      </w:tr>
      <w:tr w14:paraId="2BDC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continue"/>
            <w:tcBorders>
              <w:top w:val="single" w:color="auto" w:sz="4" w:space="0"/>
              <w:left w:val="single" w:color="auto" w:sz="4" w:space="0"/>
              <w:right w:val="single" w:color="auto" w:sz="4" w:space="0"/>
            </w:tcBorders>
            <w:vAlign w:val="center"/>
          </w:tcPr>
          <w:p w14:paraId="61DCF853">
            <w:pPr>
              <w:snapToGrid w:val="0"/>
              <w:spacing w:line="460" w:lineRule="exact"/>
              <w:jc w:val="center"/>
              <w:rPr>
                <w:rFonts w:eastAsia="新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223133CE">
            <w:pPr>
              <w:snapToGrid w:val="0"/>
              <w:spacing w:line="460" w:lineRule="exact"/>
              <w:jc w:val="left"/>
              <w:rPr>
                <w:rFonts w:eastAsia="新宋体"/>
                <w:color w:val="auto"/>
                <w:sz w:val="22"/>
                <w:szCs w:val="22"/>
                <w:highlight w:val="none"/>
              </w:rPr>
            </w:pPr>
            <w:r>
              <w:rPr>
                <w:rFonts w:eastAsia="新宋体"/>
                <w:color w:val="auto"/>
                <w:sz w:val="22"/>
                <w:szCs w:val="22"/>
                <w:highlight w:val="none"/>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人售后服务、解决问题态度推诿扯皮，推卸责任，菜品得不到及时地更换，每出现一次，扣3分；必须履行告知义务，菜品若出现缺货、供应商发现的质量有问题、菜品价格调整等必须提前至前1日晚上8点前告知单位（站点）伙食</w:t>
            </w:r>
            <w:r>
              <w:rPr>
                <w:rFonts w:hint="eastAsia" w:eastAsia="新宋体"/>
                <w:color w:val="auto"/>
                <w:sz w:val="22"/>
                <w:szCs w:val="22"/>
                <w:highlight w:val="none"/>
              </w:rPr>
              <w:t>采购人</w:t>
            </w:r>
            <w:r>
              <w:rPr>
                <w:rFonts w:eastAsia="新宋体"/>
                <w:color w:val="auto"/>
                <w:sz w:val="22"/>
                <w:szCs w:val="22"/>
                <w:highlight w:val="none"/>
              </w:rPr>
              <w:t>员，协商是否更换菜品，如果未能及时告知并协商妥当，每出现一次，扣3分，以此类推，扣完为止)；</w:t>
            </w:r>
          </w:p>
        </w:tc>
        <w:tc>
          <w:tcPr>
            <w:tcW w:w="516" w:type="pct"/>
            <w:tcBorders>
              <w:top w:val="single" w:color="auto" w:sz="4" w:space="0"/>
              <w:left w:val="single" w:color="auto" w:sz="4" w:space="0"/>
              <w:right w:val="single" w:color="auto" w:sz="4" w:space="0"/>
            </w:tcBorders>
            <w:vAlign w:val="center"/>
          </w:tcPr>
          <w:p w14:paraId="25869C4D">
            <w:pPr>
              <w:snapToGrid w:val="0"/>
              <w:spacing w:line="460" w:lineRule="exact"/>
              <w:jc w:val="left"/>
              <w:rPr>
                <w:rFonts w:eastAsia="新宋体"/>
                <w:color w:val="auto"/>
                <w:sz w:val="22"/>
                <w:szCs w:val="22"/>
                <w:highlight w:val="none"/>
              </w:rPr>
            </w:pPr>
          </w:p>
        </w:tc>
      </w:tr>
      <w:tr w14:paraId="547F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continue"/>
            <w:tcBorders>
              <w:top w:val="single" w:color="auto" w:sz="4" w:space="0"/>
              <w:left w:val="single" w:color="auto" w:sz="4" w:space="0"/>
              <w:right w:val="single" w:color="auto" w:sz="4" w:space="0"/>
            </w:tcBorders>
            <w:vAlign w:val="center"/>
          </w:tcPr>
          <w:p w14:paraId="763780CE">
            <w:pPr>
              <w:snapToGrid w:val="0"/>
              <w:spacing w:line="460" w:lineRule="exact"/>
              <w:jc w:val="center"/>
              <w:rPr>
                <w:rFonts w:eastAsia="新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4EF231B2">
            <w:pPr>
              <w:snapToGrid w:val="0"/>
              <w:spacing w:line="460" w:lineRule="exact"/>
              <w:jc w:val="left"/>
              <w:rPr>
                <w:rFonts w:eastAsia="新宋体"/>
                <w:color w:val="auto"/>
                <w:sz w:val="22"/>
                <w:szCs w:val="22"/>
                <w:highlight w:val="none"/>
              </w:rPr>
            </w:pPr>
            <w:r>
              <w:rPr>
                <w:rFonts w:eastAsia="新宋体"/>
                <w:color w:val="auto"/>
                <w:sz w:val="22"/>
                <w:szCs w:val="22"/>
                <w:highlight w:val="none"/>
              </w:rPr>
              <w:t>工作细致（6分）：配送物品清单与实际配送无差错，出现差错一次，扣3分，配送生熟食分类、分箱、分装，海鲜</w:t>
            </w:r>
            <w:r>
              <w:rPr>
                <w:rFonts w:hint="eastAsia" w:eastAsia="新宋体"/>
                <w:color w:val="auto"/>
                <w:sz w:val="22"/>
                <w:szCs w:val="22"/>
                <w:highlight w:val="none"/>
              </w:rPr>
              <w:t>应</w:t>
            </w:r>
            <w:r>
              <w:rPr>
                <w:rFonts w:eastAsia="新宋体"/>
                <w:color w:val="auto"/>
                <w:sz w:val="22"/>
                <w:szCs w:val="22"/>
                <w:highlight w:val="none"/>
              </w:rPr>
              <w:t>放在泡沫箱里</w:t>
            </w:r>
            <w:r>
              <w:rPr>
                <w:rFonts w:hint="eastAsia" w:eastAsia="新宋体"/>
                <w:color w:val="auto"/>
                <w:sz w:val="22"/>
                <w:szCs w:val="22"/>
                <w:highlight w:val="none"/>
              </w:rPr>
              <w:t>，</w:t>
            </w:r>
            <w:r>
              <w:rPr>
                <w:rFonts w:eastAsia="新宋体"/>
                <w:color w:val="auto"/>
                <w:sz w:val="22"/>
                <w:szCs w:val="22"/>
                <w:highlight w:val="none"/>
              </w:rPr>
              <w:t>冰块</w:t>
            </w:r>
            <w:r>
              <w:rPr>
                <w:rFonts w:hint="eastAsia" w:eastAsia="新宋体"/>
                <w:color w:val="auto"/>
                <w:sz w:val="22"/>
                <w:szCs w:val="22"/>
                <w:highlight w:val="none"/>
              </w:rPr>
              <w:t>保鲜，</w:t>
            </w:r>
            <w:r>
              <w:rPr>
                <w:rFonts w:eastAsia="新宋体"/>
                <w:color w:val="auto"/>
                <w:sz w:val="22"/>
                <w:szCs w:val="22"/>
                <w:highlight w:val="none"/>
              </w:rPr>
              <w:t>不得混装一个盒子一起配送，出现一次，扣3分，未按照指定品牌采购的，出现一次，扣3分，以此类推，扣完为止)；</w:t>
            </w:r>
          </w:p>
        </w:tc>
        <w:tc>
          <w:tcPr>
            <w:tcW w:w="516" w:type="pct"/>
            <w:tcBorders>
              <w:top w:val="single" w:color="auto" w:sz="4" w:space="0"/>
              <w:left w:val="single" w:color="auto" w:sz="4" w:space="0"/>
              <w:right w:val="single" w:color="auto" w:sz="4" w:space="0"/>
            </w:tcBorders>
            <w:vAlign w:val="center"/>
          </w:tcPr>
          <w:p w14:paraId="1DC7C78C">
            <w:pPr>
              <w:snapToGrid w:val="0"/>
              <w:spacing w:line="460" w:lineRule="exact"/>
              <w:jc w:val="left"/>
              <w:rPr>
                <w:rFonts w:eastAsia="新宋体"/>
                <w:color w:val="auto"/>
                <w:sz w:val="22"/>
                <w:szCs w:val="22"/>
                <w:highlight w:val="none"/>
              </w:rPr>
            </w:pPr>
          </w:p>
        </w:tc>
      </w:tr>
      <w:tr w14:paraId="44C1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4" w:type="pct"/>
            <w:vMerge w:val="continue"/>
            <w:tcBorders>
              <w:top w:val="single" w:color="auto" w:sz="4" w:space="0"/>
              <w:left w:val="single" w:color="auto" w:sz="4" w:space="0"/>
              <w:right w:val="single" w:color="auto" w:sz="4" w:space="0"/>
            </w:tcBorders>
            <w:vAlign w:val="center"/>
          </w:tcPr>
          <w:p w14:paraId="71BC93C0">
            <w:pPr>
              <w:snapToGrid w:val="0"/>
              <w:spacing w:line="460" w:lineRule="exact"/>
              <w:jc w:val="center"/>
              <w:rPr>
                <w:rFonts w:eastAsia="新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58CA3625">
            <w:pPr>
              <w:snapToGrid w:val="0"/>
              <w:spacing w:line="460" w:lineRule="exact"/>
              <w:jc w:val="left"/>
              <w:rPr>
                <w:rFonts w:eastAsia="新宋体"/>
                <w:color w:val="auto"/>
                <w:sz w:val="22"/>
                <w:szCs w:val="22"/>
                <w:highlight w:val="none"/>
              </w:rPr>
            </w:pPr>
            <w:r>
              <w:rPr>
                <w:rFonts w:eastAsia="新宋体"/>
                <w:color w:val="auto"/>
                <w:sz w:val="22"/>
                <w:szCs w:val="22"/>
                <w:highlight w:val="none"/>
              </w:rPr>
              <w:t>单据清晰（2分）：送货清单（结算凭证）项目齐全，机器打印清晰得2分，否则不得分。</w:t>
            </w:r>
          </w:p>
        </w:tc>
        <w:tc>
          <w:tcPr>
            <w:tcW w:w="516" w:type="pct"/>
            <w:tcBorders>
              <w:top w:val="single" w:color="auto" w:sz="4" w:space="0"/>
              <w:left w:val="single" w:color="auto" w:sz="4" w:space="0"/>
              <w:right w:val="single" w:color="auto" w:sz="4" w:space="0"/>
            </w:tcBorders>
            <w:vAlign w:val="center"/>
          </w:tcPr>
          <w:p w14:paraId="7AD06AF1">
            <w:pPr>
              <w:snapToGrid w:val="0"/>
              <w:spacing w:line="460" w:lineRule="exact"/>
              <w:jc w:val="left"/>
              <w:rPr>
                <w:rFonts w:eastAsia="新宋体"/>
                <w:color w:val="auto"/>
                <w:sz w:val="22"/>
                <w:szCs w:val="22"/>
                <w:highlight w:val="none"/>
              </w:rPr>
            </w:pPr>
          </w:p>
        </w:tc>
      </w:tr>
      <w:tr w14:paraId="4DAA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44" w:type="pct"/>
            <w:tcBorders>
              <w:top w:val="single" w:color="auto" w:sz="4" w:space="0"/>
              <w:left w:val="single" w:color="auto" w:sz="4" w:space="0"/>
              <w:bottom w:val="single" w:color="auto" w:sz="4" w:space="0"/>
              <w:right w:val="single" w:color="auto" w:sz="4" w:space="0"/>
            </w:tcBorders>
            <w:vAlign w:val="center"/>
          </w:tcPr>
          <w:p w14:paraId="4550E5A0">
            <w:pPr>
              <w:snapToGrid w:val="0"/>
              <w:spacing w:line="460" w:lineRule="exact"/>
              <w:jc w:val="center"/>
              <w:rPr>
                <w:rFonts w:eastAsia="新宋体"/>
                <w:color w:val="auto"/>
                <w:sz w:val="22"/>
                <w:szCs w:val="22"/>
                <w:highlight w:val="none"/>
              </w:rPr>
            </w:pPr>
            <w:r>
              <w:rPr>
                <w:rFonts w:eastAsia="新宋体"/>
                <w:color w:val="auto"/>
                <w:sz w:val="22"/>
                <w:szCs w:val="22"/>
                <w:highlight w:val="none"/>
              </w:rPr>
              <w:t>质量管理</w:t>
            </w:r>
          </w:p>
          <w:p w14:paraId="3A81018B">
            <w:pPr>
              <w:snapToGrid w:val="0"/>
              <w:spacing w:line="460" w:lineRule="exact"/>
              <w:jc w:val="center"/>
              <w:rPr>
                <w:rFonts w:eastAsia="新宋体"/>
                <w:color w:val="auto"/>
                <w:sz w:val="22"/>
                <w:szCs w:val="22"/>
                <w:highlight w:val="none"/>
              </w:rPr>
            </w:pPr>
            <w:r>
              <w:rPr>
                <w:rFonts w:eastAsia="新宋体"/>
                <w:color w:val="auto"/>
                <w:sz w:val="22"/>
                <w:szCs w:val="22"/>
                <w:highlight w:val="none"/>
              </w:rPr>
              <w:t>（50分）</w:t>
            </w:r>
          </w:p>
        </w:tc>
        <w:tc>
          <w:tcPr>
            <w:tcW w:w="3738" w:type="pct"/>
            <w:tcBorders>
              <w:top w:val="single" w:color="auto" w:sz="4" w:space="0"/>
              <w:left w:val="single" w:color="auto" w:sz="4" w:space="0"/>
              <w:bottom w:val="single" w:color="auto" w:sz="4" w:space="0"/>
              <w:right w:val="single" w:color="auto" w:sz="4" w:space="0"/>
            </w:tcBorders>
            <w:vAlign w:val="center"/>
          </w:tcPr>
          <w:p w14:paraId="14507E9E">
            <w:pPr>
              <w:snapToGrid w:val="0"/>
              <w:spacing w:line="460" w:lineRule="exact"/>
              <w:jc w:val="left"/>
              <w:rPr>
                <w:rFonts w:eastAsia="新宋体"/>
                <w:color w:val="auto"/>
                <w:sz w:val="22"/>
                <w:szCs w:val="22"/>
                <w:highlight w:val="none"/>
              </w:rPr>
            </w:pPr>
            <w:r>
              <w:rPr>
                <w:rFonts w:eastAsia="新宋体"/>
                <w:color w:val="auto"/>
                <w:sz w:val="22"/>
                <w:szCs w:val="22"/>
                <w:highlight w:val="none"/>
              </w:rPr>
              <w:t>每单位（站点）每</w:t>
            </w:r>
            <w:r>
              <w:rPr>
                <w:rFonts w:hint="eastAsia" w:eastAsia="新宋体"/>
                <w:color w:val="auto"/>
                <w:sz w:val="22"/>
                <w:szCs w:val="22"/>
                <w:highlight w:val="none"/>
              </w:rPr>
              <w:t>半月</w:t>
            </w:r>
            <w:r>
              <w:rPr>
                <w:rFonts w:eastAsia="新宋体"/>
                <w:color w:val="auto"/>
                <w:sz w:val="22"/>
                <w:szCs w:val="22"/>
                <w:highlight w:val="none"/>
              </w:rPr>
              <w:t>选不定数量菜品，发现一个菜品不新鲜度扣3分，每发现一个菜品不足量扣2分，扣完为止。</w:t>
            </w:r>
          </w:p>
        </w:tc>
        <w:tc>
          <w:tcPr>
            <w:tcW w:w="516" w:type="pct"/>
            <w:tcBorders>
              <w:top w:val="single" w:color="auto" w:sz="4" w:space="0"/>
              <w:left w:val="single" w:color="auto" w:sz="4" w:space="0"/>
              <w:bottom w:val="single" w:color="auto" w:sz="4" w:space="0"/>
              <w:right w:val="single" w:color="auto" w:sz="4" w:space="0"/>
            </w:tcBorders>
            <w:vAlign w:val="center"/>
          </w:tcPr>
          <w:p w14:paraId="25BC86EF">
            <w:pPr>
              <w:snapToGrid w:val="0"/>
              <w:spacing w:line="460" w:lineRule="exact"/>
              <w:jc w:val="left"/>
              <w:rPr>
                <w:rFonts w:eastAsia="新宋体"/>
                <w:color w:val="auto"/>
                <w:sz w:val="22"/>
                <w:szCs w:val="22"/>
                <w:highlight w:val="none"/>
              </w:rPr>
            </w:pPr>
          </w:p>
        </w:tc>
      </w:tr>
      <w:tr w14:paraId="34D9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44" w:type="pct"/>
            <w:tcBorders>
              <w:top w:val="single" w:color="auto" w:sz="4" w:space="0"/>
              <w:left w:val="single" w:color="auto" w:sz="4" w:space="0"/>
              <w:bottom w:val="single" w:color="auto" w:sz="4" w:space="0"/>
              <w:right w:val="single" w:color="auto" w:sz="4" w:space="0"/>
            </w:tcBorders>
            <w:vAlign w:val="center"/>
          </w:tcPr>
          <w:p w14:paraId="53C58E1B">
            <w:pPr>
              <w:snapToGrid w:val="0"/>
              <w:spacing w:line="460" w:lineRule="exact"/>
              <w:jc w:val="center"/>
              <w:rPr>
                <w:rFonts w:eastAsia="新宋体"/>
                <w:color w:val="auto"/>
                <w:sz w:val="22"/>
                <w:szCs w:val="22"/>
                <w:highlight w:val="none"/>
              </w:rPr>
            </w:pPr>
            <w:r>
              <w:rPr>
                <w:rFonts w:eastAsia="新宋体"/>
                <w:color w:val="auto"/>
                <w:sz w:val="22"/>
                <w:szCs w:val="22"/>
                <w:highlight w:val="none"/>
              </w:rPr>
              <w:t>价格评价</w:t>
            </w:r>
          </w:p>
          <w:p w14:paraId="046DDEB9">
            <w:pPr>
              <w:snapToGrid w:val="0"/>
              <w:spacing w:line="460" w:lineRule="exact"/>
              <w:jc w:val="center"/>
              <w:rPr>
                <w:rFonts w:eastAsia="新宋体"/>
                <w:color w:val="auto"/>
                <w:sz w:val="22"/>
                <w:szCs w:val="22"/>
                <w:highlight w:val="none"/>
              </w:rPr>
            </w:pPr>
            <w:r>
              <w:rPr>
                <w:rFonts w:eastAsia="新宋体"/>
                <w:color w:val="auto"/>
                <w:sz w:val="22"/>
                <w:szCs w:val="22"/>
                <w:highlight w:val="none"/>
              </w:rPr>
              <w:t>（20分）</w:t>
            </w:r>
          </w:p>
        </w:tc>
        <w:tc>
          <w:tcPr>
            <w:tcW w:w="3738" w:type="pct"/>
            <w:tcBorders>
              <w:top w:val="single" w:color="auto" w:sz="4" w:space="0"/>
              <w:left w:val="single" w:color="auto" w:sz="4" w:space="0"/>
              <w:bottom w:val="single" w:color="auto" w:sz="4" w:space="0"/>
              <w:right w:val="single" w:color="auto" w:sz="4" w:space="0"/>
            </w:tcBorders>
            <w:vAlign w:val="center"/>
          </w:tcPr>
          <w:p w14:paraId="6A3141FC">
            <w:pPr>
              <w:snapToGrid w:val="0"/>
              <w:spacing w:line="460" w:lineRule="exact"/>
              <w:rPr>
                <w:rFonts w:eastAsia="新宋体"/>
                <w:color w:val="auto"/>
                <w:sz w:val="22"/>
                <w:szCs w:val="22"/>
                <w:highlight w:val="none"/>
              </w:rPr>
            </w:pPr>
            <w:r>
              <w:rPr>
                <w:rFonts w:eastAsia="新宋体"/>
                <w:color w:val="auto"/>
                <w:sz w:val="22"/>
                <w:szCs w:val="22"/>
                <w:highlight w:val="none"/>
              </w:rPr>
              <w:t>每次选3-5个菜品进行市场比价，同等菜品价格超出市场价5%以内的，每个菜品扣5分；超5%-10%的，每个菜品扣10分；超10%以上的，每个菜品扣20分。</w:t>
            </w:r>
          </w:p>
          <w:p w14:paraId="0D113E01">
            <w:pPr>
              <w:snapToGrid w:val="0"/>
              <w:spacing w:line="460" w:lineRule="exact"/>
              <w:jc w:val="left"/>
              <w:rPr>
                <w:rFonts w:eastAsia="新宋体"/>
                <w:color w:val="auto"/>
                <w:sz w:val="22"/>
                <w:szCs w:val="22"/>
                <w:highlight w:val="none"/>
              </w:rPr>
            </w:pPr>
            <w:r>
              <w:rPr>
                <w:rFonts w:eastAsia="新宋体"/>
                <w:color w:val="auto"/>
                <w:sz w:val="22"/>
                <w:szCs w:val="22"/>
                <w:highlight w:val="none"/>
              </w:rPr>
              <w:t>注：上述价格为剔除税费和配送费5%后的净价。菜品的重量按处理后重量计算。</w:t>
            </w:r>
          </w:p>
        </w:tc>
        <w:tc>
          <w:tcPr>
            <w:tcW w:w="516" w:type="pct"/>
            <w:tcBorders>
              <w:top w:val="single" w:color="auto" w:sz="4" w:space="0"/>
              <w:left w:val="single" w:color="auto" w:sz="4" w:space="0"/>
              <w:bottom w:val="single" w:color="auto" w:sz="4" w:space="0"/>
              <w:right w:val="single" w:color="auto" w:sz="4" w:space="0"/>
            </w:tcBorders>
            <w:vAlign w:val="center"/>
          </w:tcPr>
          <w:p w14:paraId="1E261059">
            <w:pPr>
              <w:snapToGrid w:val="0"/>
              <w:spacing w:line="460" w:lineRule="exact"/>
              <w:jc w:val="left"/>
              <w:rPr>
                <w:rFonts w:eastAsia="新宋体"/>
                <w:color w:val="auto"/>
                <w:sz w:val="22"/>
                <w:szCs w:val="22"/>
                <w:highlight w:val="none"/>
              </w:rPr>
            </w:pPr>
          </w:p>
        </w:tc>
      </w:tr>
      <w:tr w14:paraId="7D79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83" w:type="pct"/>
            <w:gridSpan w:val="2"/>
            <w:tcBorders>
              <w:top w:val="single" w:color="auto" w:sz="4" w:space="0"/>
              <w:left w:val="single" w:color="auto" w:sz="4" w:space="0"/>
              <w:bottom w:val="single" w:color="auto" w:sz="4" w:space="0"/>
              <w:right w:val="single" w:color="auto" w:sz="4" w:space="0"/>
            </w:tcBorders>
            <w:vAlign w:val="center"/>
          </w:tcPr>
          <w:p w14:paraId="4CF12176">
            <w:pPr>
              <w:snapToGrid w:val="0"/>
              <w:spacing w:line="460" w:lineRule="exact"/>
              <w:jc w:val="center"/>
              <w:rPr>
                <w:rFonts w:eastAsia="新宋体"/>
                <w:color w:val="auto"/>
                <w:sz w:val="22"/>
                <w:szCs w:val="22"/>
                <w:highlight w:val="none"/>
              </w:rPr>
            </w:pPr>
            <w:r>
              <w:rPr>
                <w:rFonts w:eastAsia="新宋体"/>
                <w:color w:val="auto"/>
                <w:sz w:val="22"/>
                <w:szCs w:val="22"/>
                <w:highlight w:val="none"/>
              </w:rPr>
              <w:t>合计得分</w:t>
            </w:r>
          </w:p>
        </w:tc>
        <w:tc>
          <w:tcPr>
            <w:tcW w:w="516" w:type="pct"/>
            <w:tcBorders>
              <w:top w:val="single" w:color="auto" w:sz="4" w:space="0"/>
              <w:left w:val="single" w:color="auto" w:sz="4" w:space="0"/>
              <w:bottom w:val="single" w:color="auto" w:sz="4" w:space="0"/>
              <w:right w:val="single" w:color="auto" w:sz="4" w:space="0"/>
            </w:tcBorders>
            <w:vAlign w:val="center"/>
          </w:tcPr>
          <w:p w14:paraId="1FB3F9BA">
            <w:pPr>
              <w:snapToGrid w:val="0"/>
              <w:spacing w:line="460" w:lineRule="exact"/>
              <w:jc w:val="left"/>
              <w:rPr>
                <w:rFonts w:eastAsia="新宋体"/>
                <w:color w:val="auto"/>
                <w:sz w:val="22"/>
                <w:szCs w:val="22"/>
                <w:highlight w:val="none"/>
              </w:rPr>
            </w:pPr>
          </w:p>
        </w:tc>
      </w:tr>
      <w:tr w14:paraId="572E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7E62BE5">
            <w:pPr>
              <w:snapToGrid w:val="0"/>
              <w:spacing w:line="460" w:lineRule="exact"/>
              <w:rPr>
                <w:rFonts w:eastAsia="新宋体"/>
                <w:b/>
                <w:bCs/>
                <w:color w:val="auto"/>
                <w:sz w:val="22"/>
                <w:szCs w:val="22"/>
                <w:highlight w:val="none"/>
              </w:rPr>
            </w:pPr>
            <w:r>
              <w:rPr>
                <w:rFonts w:eastAsia="新宋体"/>
                <w:b/>
                <w:bCs/>
                <w:color w:val="auto"/>
                <w:sz w:val="22"/>
                <w:szCs w:val="22"/>
                <w:highlight w:val="none"/>
              </w:rPr>
              <w:t>扣分项目说明：配送公司如在配送期间出现上述评价问题，必须及时纠正。</w:t>
            </w:r>
          </w:p>
          <w:p w14:paraId="6B0F35F1">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1、如评价总分低于90分（含90分），配送公司要做出书面的整改承诺：</w:t>
            </w:r>
          </w:p>
          <w:p w14:paraId="008D20D0">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2、评价总分在80分-90分，扣当</w:t>
            </w:r>
            <w:r>
              <w:rPr>
                <w:rFonts w:hint="eastAsia" w:eastAsia="新宋体"/>
                <w:b/>
                <w:bCs/>
                <w:color w:val="auto"/>
                <w:sz w:val="22"/>
                <w:szCs w:val="22"/>
                <w:highlight w:val="none"/>
              </w:rPr>
              <w:t>期</w:t>
            </w:r>
            <w:r>
              <w:rPr>
                <w:rFonts w:eastAsia="新宋体"/>
                <w:b/>
                <w:bCs/>
                <w:color w:val="auto"/>
                <w:sz w:val="22"/>
                <w:szCs w:val="22"/>
                <w:highlight w:val="none"/>
              </w:rPr>
              <w:t>结算金额的1%作为罚</w:t>
            </w:r>
            <w:r>
              <w:rPr>
                <w:rFonts w:hint="eastAsia" w:eastAsia="新宋体"/>
                <w:b/>
                <w:bCs/>
                <w:color w:val="auto"/>
                <w:sz w:val="22"/>
                <w:szCs w:val="22"/>
                <w:highlight w:val="none"/>
              </w:rPr>
              <w:t>款</w:t>
            </w:r>
            <w:r>
              <w:rPr>
                <w:rFonts w:eastAsia="新宋体"/>
                <w:b/>
                <w:bCs/>
                <w:color w:val="auto"/>
                <w:sz w:val="22"/>
                <w:szCs w:val="22"/>
                <w:highlight w:val="none"/>
              </w:rPr>
              <w:t>；</w:t>
            </w:r>
          </w:p>
          <w:p w14:paraId="12D311B5">
            <w:pPr>
              <w:snapToGrid w:val="0"/>
              <w:spacing w:line="460" w:lineRule="exact"/>
              <w:rPr>
                <w:rFonts w:eastAsia="新宋体"/>
                <w:b/>
                <w:bCs/>
                <w:color w:val="auto"/>
                <w:sz w:val="22"/>
                <w:szCs w:val="22"/>
                <w:highlight w:val="none"/>
              </w:rPr>
            </w:pPr>
            <w:r>
              <w:rPr>
                <w:rFonts w:eastAsia="新宋体"/>
                <w:b/>
                <w:bCs/>
                <w:color w:val="auto"/>
                <w:sz w:val="22"/>
                <w:szCs w:val="22"/>
                <w:highlight w:val="none"/>
              </w:rPr>
              <w:t>二次以上（含）在80分-90分，扣当</w:t>
            </w:r>
            <w:r>
              <w:rPr>
                <w:rFonts w:hint="eastAsia" w:eastAsia="新宋体"/>
                <w:b/>
                <w:bCs/>
                <w:color w:val="auto"/>
                <w:sz w:val="22"/>
                <w:szCs w:val="22"/>
                <w:highlight w:val="none"/>
              </w:rPr>
              <w:t>期</w:t>
            </w:r>
            <w:r>
              <w:rPr>
                <w:rFonts w:eastAsia="新宋体"/>
                <w:b/>
                <w:bCs/>
                <w:color w:val="auto"/>
                <w:sz w:val="22"/>
                <w:szCs w:val="22"/>
                <w:highlight w:val="none"/>
              </w:rPr>
              <w:t>结算金额的5%作为罚</w:t>
            </w:r>
            <w:r>
              <w:rPr>
                <w:rFonts w:hint="eastAsia" w:eastAsia="新宋体"/>
                <w:b/>
                <w:bCs/>
                <w:color w:val="auto"/>
                <w:sz w:val="22"/>
                <w:szCs w:val="22"/>
                <w:highlight w:val="none"/>
              </w:rPr>
              <w:t>款</w:t>
            </w:r>
            <w:r>
              <w:rPr>
                <w:rFonts w:eastAsia="新宋体"/>
                <w:b/>
                <w:bCs/>
                <w:color w:val="auto"/>
                <w:sz w:val="22"/>
                <w:szCs w:val="22"/>
                <w:highlight w:val="none"/>
              </w:rPr>
              <w:t>。</w:t>
            </w:r>
          </w:p>
          <w:p w14:paraId="3BDF1634">
            <w:pPr>
              <w:snapToGrid w:val="0"/>
              <w:spacing w:line="460" w:lineRule="exact"/>
              <w:ind w:firstLine="221" w:firstLineChars="100"/>
              <w:rPr>
                <w:rFonts w:eastAsia="新宋体"/>
                <w:b/>
                <w:bCs/>
                <w:color w:val="auto"/>
                <w:sz w:val="22"/>
                <w:szCs w:val="22"/>
                <w:highlight w:val="none"/>
              </w:rPr>
            </w:pPr>
            <w:r>
              <w:rPr>
                <w:rFonts w:eastAsia="新宋体"/>
                <w:b/>
                <w:bCs/>
                <w:color w:val="auto"/>
                <w:sz w:val="22"/>
                <w:szCs w:val="22"/>
                <w:highlight w:val="none"/>
              </w:rPr>
              <w:t>3、评价总分在80分以下，约谈配送公司并予以警告，并扣当</w:t>
            </w:r>
            <w:r>
              <w:rPr>
                <w:rFonts w:hint="eastAsia" w:eastAsia="新宋体"/>
                <w:b/>
                <w:bCs/>
                <w:color w:val="auto"/>
                <w:sz w:val="22"/>
                <w:szCs w:val="22"/>
                <w:highlight w:val="none"/>
              </w:rPr>
              <w:t>期</w:t>
            </w:r>
            <w:r>
              <w:rPr>
                <w:rFonts w:eastAsia="新宋体"/>
                <w:b/>
                <w:bCs/>
                <w:color w:val="auto"/>
                <w:sz w:val="22"/>
                <w:szCs w:val="22"/>
                <w:highlight w:val="none"/>
              </w:rPr>
              <w:t>结算金额的扣5%作为罚</w:t>
            </w:r>
            <w:r>
              <w:rPr>
                <w:rFonts w:hint="eastAsia" w:eastAsia="新宋体"/>
                <w:b/>
                <w:bCs/>
                <w:color w:val="auto"/>
                <w:sz w:val="22"/>
                <w:szCs w:val="22"/>
                <w:highlight w:val="none"/>
              </w:rPr>
              <w:t>款</w:t>
            </w:r>
            <w:r>
              <w:rPr>
                <w:rFonts w:eastAsia="新宋体"/>
                <w:b/>
                <w:bCs/>
                <w:color w:val="auto"/>
                <w:sz w:val="22"/>
                <w:szCs w:val="22"/>
                <w:highlight w:val="none"/>
              </w:rPr>
              <w:t>；</w:t>
            </w:r>
          </w:p>
          <w:p w14:paraId="1C27C734">
            <w:pPr>
              <w:snapToGrid w:val="0"/>
              <w:spacing w:line="460" w:lineRule="exact"/>
              <w:rPr>
                <w:rFonts w:eastAsia="新宋体"/>
                <w:color w:val="auto"/>
                <w:sz w:val="22"/>
                <w:szCs w:val="22"/>
                <w:highlight w:val="none"/>
              </w:rPr>
            </w:pPr>
            <w:r>
              <w:rPr>
                <w:rFonts w:eastAsia="新宋体"/>
                <w:b/>
                <w:bCs/>
                <w:color w:val="auto"/>
                <w:sz w:val="22"/>
                <w:szCs w:val="22"/>
                <w:highlight w:val="none"/>
              </w:rPr>
              <w:t>二次及以上，按合同“十、违约责任”处罚。</w:t>
            </w:r>
          </w:p>
        </w:tc>
      </w:tr>
    </w:tbl>
    <w:p w14:paraId="1B6F9FF1">
      <w:pPr>
        <w:pStyle w:val="24"/>
        <w:snapToGrid w:val="0"/>
        <w:spacing w:line="460" w:lineRule="exact"/>
        <w:ind w:firstLine="0" w:firstLineChars="0"/>
        <w:rPr>
          <w:rFonts w:eastAsia="新宋体"/>
          <w:bCs/>
          <w:color w:val="auto"/>
          <w:sz w:val="22"/>
          <w:szCs w:val="22"/>
          <w:highlight w:val="none"/>
        </w:rPr>
      </w:pPr>
      <w:r>
        <w:rPr>
          <w:rFonts w:eastAsia="新宋体"/>
          <w:bCs/>
          <w:color w:val="auto"/>
          <w:sz w:val="22"/>
          <w:szCs w:val="22"/>
          <w:highlight w:val="none"/>
        </w:rPr>
        <w:t>七、订货：</w:t>
      </w:r>
    </w:p>
    <w:p w14:paraId="357B4997">
      <w:pPr>
        <w:autoSpaceDE w:val="0"/>
        <w:autoSpaceDN w:val="0"/>
        <w:adjustRightInd w:val="0"/>
        <w:snapToGrid w:val="0"/>
        <w:spacing w:line="460" w:lineRule="exact"/>
        <w:ind w:firstLine="440" w:firstLineChars="200"/>
        <w:rPr>
          <w:rFonts w:eastAsia="新宋体"/>
          <w:b/>
          <w:color w:val="auto"/>
          <w:kern w:val="0"/>
          <w:sz w:val="22"/>
          <w:szCs w:val="22"/>
          <w:highlight w:val="none"/>
        </w:rPr>
      </w:pPr>
      <w:r>
        <w:rPr>
          <w:rFonts w:eastAsia="新宋体"/>
          <w:color w:val="auto"/>
          <w:sz w:val="22"/>
          <w:szCs w:val="22"/>
          <w:highlight w:val="none"/>
        </w:rPr>
        <w:t>1、供应商须根据市场情况向</w:t>
      </w:r>
      <w:r>
        <w:rPr>
          <w:rFonts w:hint="eastAsia" w:eastAsia="新宋体"/>
          <w:color w:val="auto"/>
          <w:sz w:val="22"/>
          <w:szCs w:val="22"/>
          <w:highlight w:val="none"/>
        </w:rPr>
        <w:t>采购人</w:t>
      </w:r>
      <w:r>
        <w:rPr>
          <w:rFonts w:eastAsia="新宋体"/>
          <w:color w:val="auto"/>
          <w:sz w:val="22"/>
          <w:szCs w:val="22"/>
          <w:highlight w:val="none"/>
        </w:rPr>
        <w:t>提供换季食材的品种及价格，供</w:t>
      </w:r>
      <w:r>
        <w:rPr>
          <w:rFonts w:hint="eastAsia" w:eastAsia="新宋体"/>
          <w:color w:val="auto"/>
          <w:sz w:val="22"/>
          <w:szCs w:val="22"/>
          <w:highlight w:val="none"/>
        </w:rPr>
        <w:t>采购人</w:t>
      </w:r>
      <w:r>
        <w:rPr>
          <w:rFonts w:eastAsia="新宋体"/>
          <w:color w:val="auto"/>
          <w:sz w:val="22"/>
          <w:szCs w:val="22"/>
          <w:highlight w:val="none"/>
        </w:rPr>
        <w:t>参考。</w:t>
      </w:r>
    </w:p>
    <w:p w14:paraId="34936C23">
      <w:pPr>
        <w:autoSpaceDE w:val="0"/>
        <w:autoSpaceDN w:val="0"/>
        <w:adjustRightInd w:val="0"/>
        <w:snapToGrid w:val="0"/>
        <w:spacing w:line="46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rPr>
        <w:t>2、</w:t>
      </w:r>
      <w:r>
        <w:rPr>
          <w:rFonts w:hint="eastAsia" w:eastAsia="新宋体"/>
          <w:b/>
          <w:color w:val="auto"/>
          <w:kern w:val="0"/>
          <w:sz w:val="22"/>
          <w:szCs w:val="22"/>
          <w:highlight w:val="none"/>
        </w:rPr>
        <w:t>采购人</w:t>
      </w:r>
      <w:r>
        <w:rPr>
          <w:rFonts w:eastAsia="新宋体"/>
          <w:b/>
          <w:bCs/>
          <w:color w:val="auto"/>
          <w:kern w:val="0"/>
          <w:sz w:val="22"/>
          <w:szCs w:val="22"/>
          <w:highlight w:val="none"/>
          <w:lang w:val="zh-CN"/>
        </w:rPr>
        <w:t>应提前一天将第二天要采购的食品名称、规格、数量</w:t>
      </w:r>
      <w:r>
        <w:rPr>
          <w:rFonts w:eastAsia="新宋体"/>
          <w:b/>
          <w:color w:val="auto"/>
          <w:kern w:val="0"/>
          <w:sz w:val="22"/>
          <w:szCs w:val="22"/>
          <w:highlight w:val="none"/>
        </w:rPr>
        <w:t>，通过书面（或电子邮件）的形式通知中标供应商，以便中标供应商备货。</w:t>
      </w:r>
    </w:p>
    <w:p w14:paraId="52D7DBEC">
      <w:pPr>
        <w:autoSpaceDE w:val="0"/>
        <w:autoSpaceDN w:val="0"/>
        <w:adjustRightInd w:val="0"/>
        <w:snapToGrid w:val="0"/>
        <w:spacing w:line="460" w:lineRule="exact"/>
        <w:ind w:firstLine="440" w:firstLineChars="200"/>
        <w:rPr>
          <w:rFonts w:eastAsia="新宋体"/>
          <w:b/>
          <w:color w:val="auto"/>
          <w:kern w:val="0"/>
          <w:sz w:val="22"/>
          <w:szCs w:val="22"/>
          <w:highlight w:val="none"/>
        </w:rPr>
      </w:pPr>
      <w:r>
        <w:rPr>
          <w:rFonts w:eastAsia="新宋体"/>
          <w:color w:val="auto"/>
          <w:kern w:val="0"/>
          <w:sz w:val="22"/>
          <w:szCs w:val="22"/>
          <w:highlight w:val="none"/>
        </w:rPr>
        <w:t>3、</w:t>
      </w:r>
      <w:r>
        <w:rPr>
          <w:rFonts w:eastAsia="新宋体"/>
          <w:bCs/>
          <w:color w:val="auto"/>
          <w:kern w:val="0"/>
          <w:sz w:val="22"/>
          <w:szCs w:val="22"/>
          <w:highlight w:val="none"/>
        </w:rPr>
        <w:t>供应商接到</w:t>
      </w:r>
      <w:r>
        <w:rPr>
          <w:rFonts w:hint="eastAsia" w:eastAsia="新宋体"/>
          <w:bCs/>
          <w:color w:val="auto"/>
          <w:kern w:val="0"/>
          <w:sz w:val="22"/>
          <w:szCs w:val="22"/>
          <w:highlight w:val="none"/>
        </w:rPr>
        <w:t>采购人</w:t>
      </w:r>
      <w:r>
        <w:rPr>
          <w:rFonts w:eastAsia="新宋体"/>
          <w:bCs/>
          <w:color w:val="auto"/>
          <w:kern w:val="0"/>
          <w:sz w:val="22"/>
          <w:szCs w:val="22"/>
          <w:highlight w:val="none"/>
        </w:rPr>
        <w:t>订单后，个别品种因缺货而无法提供的，供应商应在接到供货通知2小时内知会</w:t>
      </w:r>
      <w:r>
        <w:rPr>
          <w:rFonts w:hint="eastAsia" w:eastAsia="新宋体"/>
          <w:bCs/>
          <w:color w:val="auto"/>
          <w:kern w:val="0"/>
          <w:sz w:val="22"/>
          <w:szCs w:val="22"/>
          <w:highlight w:val="none"/>
        </w:rPr>
        <w:t>采购人</w:t>
      </w:r>
      <w:r>
        <w:rPr>
          <w:rFonts w:eastAsia="新宋体"/>
          <w:bCs/>
          <w:color w:val="auto"/>
          <w:kern w:val="0"/>
          <w:sz w:val="22"/>
          <w:szCs w:val="22"/>
          <w:highlight w:val="none"/>
        </w:rPr>
        <w:t>并协商好解决方法。</w:t>
      </w:r>
      <w:r>
        <w:rPr>
          <w:rFonts w:hint="eastAsia" w:eastAsia="新宋体"/>
          <w:b/>
          <w:color w:val="auto"/>
          <w:kern w:val="0"/>
          <w:sz w:val="22"/>
          <w:szCs w:val="22"/>
          <w:highlight w:val="none"/>
        </w:rPr>
        <w:t>货品名称不一致的，以采购人要求提供的为准（经书面通知采购人并得到同意的除外）</w:t>
      </w:r>
      <w:r>
        <w:rPr>
          <w:rFonts w:hint="eastAsia" w:eastAsia="新宋体"/>
          <w:bCs/>
          <w:color w:val="auto"/>
          <w:sz w:val="22"/>
          <w:szCs w:val="22"/>
          <w:highlight w:val="none"/>
        </w:rPr>
        <w:t>，如导致无法准确及时结算的，按</w:t>
      </w:r>
      <w:r>
        <w:rPr>
          <w:rFonts w:eastAsia="新宋体"/>
          <w:bCs/>
          <w:color w:val="auto"/>
          <w:sz w:val="22"/>
          <w:szCs w:val="22"/>
          <w:highlight w:val="none"/>
        </w:rPr>
        <w:t>扣除相应考评分</w:t>
      </w:r>
      <w:r>
        <w:rPr>
          <w:rFonts w:hint="eastAsia" w:eastAsia="新宋体"/>
          <w:bCs/>
          <w:color w:val="auto"/>
          <w:sz w:val="22"/>
          <w:szCs w:val="22"/>
          <w:highlight w:val="none"/>
        </w:rPr>
        <w:t>处理</w:t>
      </w:r>
      <w:r>
        <w:rPr>
          <w:rFonts w:eastAsia="新宋体"/>
          <w:bCs/>
          <w:color w:val="auto"/>
          <w:sz w:val="22"/>
          <w:szCs w:val="22"/>
          <w:highlight w:val="none"/>
        </w:rPr>
        <w:t>。</w:t>
      </w:r>
    </w:p>
    <w:p w14:paraId="4EB5F864">
      <w:pPr>
        <w:autoSpaceDE w:val="0"/>
        <w:autoSpaceDN w:val="0"/>
        <w:adjustRightInd w:val="0"/>
        <w:snapToGrid w:val="0"/>
        <w:spacing w:line="460" w:lineRule="exact"/>
        <w:ind w:firstLine="442" w:firstLineChars="200"/>
        <w:rPr>
          <w:rFonts w:eastAsia="新宋体"/>
          <w:b/>
          <w:bCs/>
          <w:color w:val="auto"/>
          <w:kern w:val="0"/>
          <w:sz w:val="22"/>
          <w:szCs w:val="22"/>
          <w:highlight w:val="none"/>
        </w:rPr>
      </w:pPr>
      <w:r>
        <w:rPr>
          <w:rFonts w:eastAsia="新宋体"/>
          <w:b/>
          <w:bCs/>
          <w:color w:val="auto"/>
          <w:kern w:val="0"/>
          <w:sz w:val="22"/>
          <w:szCs w:val="22"/>
          <w:highlight w:val="none"/>
        </w:rPr>
        <w:t>4、若遇特殊情况，如：</w:t>
      </w:r>
      <w:r>
        <w:rPr>
          <w:rFonts w:hint="eastAsia" w:eastAsia="新宋体"/>
          <w:b/>
          <w:bCs/>
          <w:color w:val="auto"/>
          <w:kern w:val="0"/>
          <w:sz w:val="22"/>
          <w:szCs w:val="22"/>
          <w:highlight w:val="none"/>
        </w:rPr>
        <w:t>采购人</w:t>
      </w:r>
      <w:r>
        <w:rPr>
          <w:rFonts w:eastAsia="新宋体"/>
          <w:b/>
          <w:bCs/>
          <w:color w:val="auto"/>
          <w:kern w:val="0"/>
          <w:sz w:val="22"/>
          <w:szCs w:val="22"/>
          <w:highlight w:val="none"/>
        </w:rPr>
        <w:t>用餐人数临时增减，特需物品临时增减等，供应商需无条件配合</w:t>
      </w:r>
      <w:r>
        <w:rPr>
          <w:rFonts w:hint="eastAsia" w:eastAsia="新宋体"/>
          <w:b/>
          <w:bCs/>
          <w:color w:val="auto"/>
          <w:kern w:val="0"/>
          <w:sz w:val="22"/>
          <w:szCs w:val="22"/>
          <w:highlight w:val="none"/>
        </w:rPr>
        <w:t>采购人</w:t>
      </w:r>
      <w:r>
        <w:rPr>
          <w:rFonts w:eastAsia="新宋体"/>
          <w:b/>
          <w:bCs/>
          <w:color w:val="auto"/>
          <w:kern w:val="0"/>
          <w:sz w:val="22"/>
          <w:szCs w:val="22"/>
          <w:highlight w:val="none"/>
        </w:rPr>
        <w:t>。</w:t>
      </w:r>
    </w:p>
    <w:p w14:paraId="44DBAD56">
      <w:pPr>
        <w:autoSpaceDE w:val="0"/>
        <w:autoSpaceDN w:val="0"/>
        <w:adjustRightInd w:val="0"/>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rPr>
        <w:t>八、交货：</w:t>
      </w:r>
    </w:p>
    <w:p w14:paraId="0AA3DFA7">
      <w:pPr>
        <w:autoSpaceDE w:val="0"/>
        <w:autoSpaceDN w:val="0"/>
        <w:adjustRightInd w:val="0"/>
        <w:snapToGrid w:val="0"/>
        <w:spacing w:line="460" w:lineRule="exact"/>
        <w:ind w:firstLine="442" w:firstLineChars="200"/>
        <w:rPr>
          <w:rFonts w:eastAsia="新宋体"/>
          <w:b/>
          <w:color w:val="auto"/>
          <w:kern w:val="0"/>
          <w:sz w:val="22"/>
          <w:szCs w:val="22"/>
          <w:highlight w:val="none"/>
        </w:rPr>
      </w:pPr>
      <w:r>
        <w:rPr>
          <w:rFonts w:eastAsia="新宋体"/>
          <w:b/>
          <w:color w:val="auto"/>
          <w:kern w:val="0"/>
          <w:sz w:val="22"/>
          <w:szCs w:val="22"/>
          <w:highlight w:val="none"/>
        </w:rPr>
        <w:t>1、</w:t>
      </w:r>
      <w:r>
        <w:rPr>
          <w:rFonts w:eastAsia="新宋体"/>
          <w:b/>
          <w:color w:val="auto"/>
          <w:kern w:val="0"/>
          <w:sz w:val="22"/>
          <w:szCs w:val="22"/>
          <w:highlight w:val="none"/>
          <w:u w:val="single"/>
        </w:rPr>
        <w:t>供应商每天（包括法定节假日）早上</w:t>
      </w:r>
      <w:r>
        <w:rPr>
          <w:rFonts w:hint="eastAsia" w:eastAsia="新宋体"/>
          <w:b/>
          <w:color w:val="auto"/>
          <w:kern w:val="0"/>
          <w:sz w:val="22"/>
          <w:szCs w:val="22"/>
          <w:highlight w:val="none"/>
          <w:u w:val="single"/>
          <w:lang w:val="en-US" w:eastAsia="zh-CN"/>
        </w:rPr>
        <w:t>5：30至</w:t>
      </w:r>
      <w:r>
        <w:rPr>
          <w:rFonts w:eastAsia="新宋体"/>
          <w:b/>
          <w:color w:val="auto"/>
          <w:kern w:val="0"/>
          <w:sz w:val="22"/>
          <w:szCs w:val="22"/>
          <w:highlight w:val="none"/>
          <w:u w:val="single"/>
        </w:rPr>
        <w:t>6：20</w:t>
      </w:r>
      <w:r>
        <w:rPr>
          <w:rFonts w:hint="eastAsia" w:eastAsia="新宋体"/>
          <w:b/>
          <w:color w:val="auto"/>
          <w:kern w:val="0"/>
          <w:sz w:val="22"/>
          <w:szCs w:val="22"/>
          <w:highlight w:val="none"/>
          <w:u w:val="single"/>
          <w:lang w:val="en-US" w:eastAsia="zh-CN"/>
        </w:rPr>
        <w:t>之间</w:t>
      </w:r>
      <w:r>
        <w:rPr>
          <w:rFonts w:eastAsia="新宋体"/>
          <w:b/>
          <w:color w:val="auto"/>
          <w:kern w:val="0"/>
          <w:sz w:val="22"/>
          <w:szCs w:val="22"/>
          <w:highlight w:val="none"/>
          <w:u w:val="single"/>
        </w:rPr>
        <w:t>将订单内所有货品送到</w:t>
      </w:r>
      <w:r>
        <w:rPr>
          <w:rFonts w:hint="eastAsia" w:eastAsia="新宋体"/>
          <w:b/>
          <w:color w:val="auto"/>
          <w:kern w:val="0"/>
          <w:sz w:val="22"/>
          <w:szCs w:val="22"/>
          <w:highlight w:val="none"/>
          <w:u w:val="single"/>
        </w:rPr>
        <w:t>采购人</w:t>
      </w:r>
      <w:r>
        <w:rPr>
          <w:rFonts w:eastAsia="新宋体"/>
          <w:b/>
          <w:color w:val="auto"/>
          <w:kern w:val="0"/>
          <w:sz w:val="22"/>
          <w:szCs w:val="22"/>
          <w:highlight w:val="none"/>
          <w:u w:val="single"/>
        </w:rPr>
        <w:t>指定的地点并配送完毕（协助</w:t>
      </w:r>
      <w:r>
        <w:rPr>
          <w:rFonts w:hint="eastAsia" w:eastAsia="新宋体"/>
          <w:b/>
          <w:color w:val="auto"/>
          <w:kern w:val="0"/>
          <w:sz w:val="22"/>
          <w:szCs w:val="22"/>
          <w:highlight w:val="none"/>
          <w:u w:val="single"/>
        </w:rPr>
        <w:t>采购人</w:t>
      </w:r>
      <w:r>
        <w:rPr>
          <w:rFonts w:eastAsia="新宋体"/>
          <w:b/>
          <w:color w:val="auto"/>
          <w:kern w:val="0"/>
          <w:sz w:val="22"/>
          <w:szCs w:val="22"/>
          <w:highlight w:val="none"/>
          <w:u w:val="single"/>
        </w:rPr>
        <w:t>做好签收记录）。根据实际情况，如需一天配送多次，供应商必须无条件响应</w:t>
      </w:r>
      <w:r>
        <w:rPr>
          <w:rFonts w:eastAsia="新宋体"/>
          <w:b/>
          <w:color w:val="auto"/>
          <w:kern w:val="0"/>
          <w:sz w:val="22"/>
          <w:szCs w:val="22"/>
          <w:highlight w:val="none"/>
        </w:rPr>
        <w:t>。供应商提供《送货清单》一式三份（其中采购两份，一份食堂留档，一份财务做账），双方现场过秤并验收签名，作结算凭证。</w:t>
      </w:r>
    </w:p>
    <w:p w14:paraId="431870F3">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2、</w:t>
      </w:r>
      <w:r>
        <w:rPr>
          <w:rFonts w:eastAsia="新宋体"/>
          <w:b/>
          <w:bCs/>
          <w:color w:val="auto"/>
          <w:kern w:val="0"/>
          <w:sz w:val="22"/>
          <w:szCs w:val="22"/>
          <w:highlight w:val="none"/>
        </w:rPr>
        <w:t>所有品种按除箱净重过磅</w:t>
      </w:r>
      <w:r>
        <w:rPr>
          <w:rFonts w:hint="eastAsia" w:eastAsia="新宋体"/>
          <w:b/>
          <w:bCs/>
          <w:color w:val="auto"/>
          <w:kern w:val="0"/>
          <w:sz w:val="22"/>
          <w:szCs w:val="22"/>
          <w:highlight w:val="none"/>
        </w:rPr>
        <w:t>（所有食材</w:t>
      </w:r>
      <w:r>
        <w:rPr>
          <w:rFonts w:hint="eastAsia" w:eastAsia="新宋体"/>
          <w:color w:val="auto"/>
          <w:kern w:val="0"/>
          <w:sz w:val="22"/>
          <w:szCs w:val="22"/>
          <w:highlight w:val="none"/>
        </w:rPr>
        <w:t>包括但不限于宰杀、预处理、预加工等</w:t>
      </w:r>
      <w:r>
        <w:rPr>
          <w:rFonts w:hint="eastAsia" w:eastAsia="新宋体"/>
          <w:b/>
          <w:bCs/>
          <w:color w:val="auto"/>
          <w:kern w:val="0"/>
          <w:sz w:val="22"/>
          <w:szCs w:val="22"/>
          <w:highlight w:val="none"/>
        </w:rPr>
        <w:t>）</w:t>
      </w:r>
      <w:r>
        <w:rPr>
          <w:rFonts w:eastAsia="新宋体"/>
          <w:b/>
          <w:bCs/>
          <w:color w:val="auto"/>
          <w:kern w:val="0"/>
          <w:sz w:val="22"/>
          <w:szCs w:val="22"/>
          <w:highlight w:val="none"/>
        </w:rPr>
        <w:t>，</w:t>
      </w:r>
      <w:r>
        <w:rPr>
          <w:rFonts w:hint="eastAsia" w:eastAsia="新宋体"/>
          <w:b/>
          <w:bCs/>
          <w:color w:val="auto"/>
          <w:kern w:val="0"/>
          <w:sz w:val="22"/>
          <w:szCs w:val="22"/>
          <w:highlight w:val="none"/>
        </w:rPr>
        <w:t>采购品种有误须立即更换，</w:t>
      </w:r>
      <w:r>
        <w:rPr>
          <w:rFonts w:eastAsia="新宋体"/>
          <w:b/>
          <w:bCs/>
          <w:color w:val="auto"/>
          <w:kern w:val="0"/>
          <w:sz w:val="22"/>
          <w:szCs w:val="22"/>
          <w:highlight w:val="none"/>
        </w:rPr>
        <w:t>最终交易重量以双方确认的过磅数为准</w:t>
      </w:r>
      <w:r>
        <w:rPr>
          <w:rFonts w:eastAsia="新宋体"/>
          <w:color w:val="auto"/>
          <w:kern w:val="0"/>
          <w:sz w:val="22"/>
          <w:szCs w:val="22"/>
          <w:highlight w:val="none"/>
        </w:rPr>
        <w:t>。</w:t>
      </w:r>
    </w:p>
    <w:p w14:paraId="23AE44D6">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3、供应商送货人员负责将货物从车上搬到称上过磅，然后放到指定地点，由</w:t>
      </w:r>
      <w:r>
        <w:rPr>
          <w:rFonts w:hint="eastAsia" w:eastAsia="新宋体"/>
          <w:color w:val="auto"/>
          <w:kern w:val="0"/>
          <w:sz w:val="22"/>
          <w:szCs w:val="22"/>
          <w:highlight w:val="none"/>
        </w:rPr>
        <w:t>采购人</w:t>
      </w:r>
      <w:r>
        <w:rPr>
          <w:rFonts w:eastAsia="新宋体"/>
          <w:color w:val="auto"/>
          <w:kern w:val="0"/>
          <w:sz w:val="22"/>
          <w:szCs w:val="22"/>
          <w:highlight w:val="none"/>
        </w:rPr>
        <w:t>食堂人员负责</w:t>
      </w:r>
      <w:r>
        <w:rPr>
          <w:rFonts w:hint="eastAsia" w:eastAsia="新宋体"/>
          <w:color w:val="auto"/>
          <w:kern w:val="0"/>
          <w:sz w:val="22"/>
          <w:szCs w:val="22"/>
          <w:highlight w:val="none"/>
          <w:lang w:val="en-US" w:eastAsia="zh-CN"/>
        </w:rPr>
        <w:t>当面</w:t>
      </w:r>
      <w:r>
        <w:rPr>
          <w:rFonts w:eastAsia="新宋体"/>
          <w:color w:val="auto"/>
          <w:kern w:val="0"/>
          <w:sz w:val="22"/>
          <w:szCs w:val="22"/>
          <w:highlight w:val="none"/>
        </w:rPr>
        <w:t>验收并签字确认。</w:t>
      </w:r>
    </w:p>
    <w:p w14:paraId="6C788416">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4、考虑到叶菜类品种的特殊性，要求供应商实际供应除叶菜类外的品种及数量与</w:t>
      </w:r>
      <w:r>
        <w:rPr>
          <w:rFonts w:hint="eastAsia" w:eastAsia="新宋体"/>
          <w:color w:val="auto"/>
          <w:kern w:val="0"/>
          <w:sz w:val="22"/>
          <w:szCs w:val="22"/>
          <w:highlight w:val="none"/>
        </w:rPr>
        <w:t>采购人</w:t>
      </w:r>
      <w:r>
        <w:rPr>
          <w:rFonts w:eastAsia="新宋体"/>
          <w:color w:val="auto"/>
          <w:kern w:val="0"/>
          <w:sz w:val="22"/>
          <w:szCs w:val="22"/>
          <w:highlight w:val="none"/>
        </w:rPr>
        <w:t>订单要 求相差不能超过10％，叶菜类的品种及数量与</w:t>
      </w:r>
      <w:r>
        <w:rPr>
          <w:rFonts w:hint="eastAsia" w:eastAsia="新宋体"/>
          <w:color w:val="auto"/>
          <w:kern w:val="0"/>
          <w:sz w:val="22"/>
          <w:szCs w:val="22"/>
          <w:highlight w:val="none"/>
        </w:rPr>
        <w:t>采购人</w:t>
      </w:r>
      <w:r>
        <w:rPr>
          <w:rFonts w:eastAsia="新宋体"/>
          <w:color w:val="auto"/>
          <w:kern w:val="0"/>
          <w:sz w:val="22"/>
          <w:szCs w:val="22"/>
          <w:highlight w:val="none"/>
        </w:rPr>
        <w:t>订单要求相差不能超过30％。各品种数量超出规定的部分由供应商带回，不纳入结算，短缺的部份由供应商补足。</w:t>
      </w:r>
    </w:p>
    <w:p w14:paraId="12506A97">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5、肉类货品根据采购要求加工</w:t>
      </w:r>
      <w:r>
        <w:rPr>
          <w:rFonts w:hint="eastAsia" w:eastAsia="新宋体"/>
          <w:color w:val="auto"/>
          <w:kern w:val="0"/>
          <w:sz w:val="22"/>
          <w:szCs w:val="22"/>
          <w:highlight w:val="none"/>
        </w:rPr>
        <w:t>（如排骨切块）</w:t>
      </w:r>
      <w:r>
        <w:rPr>
          <w:rFonts w:eastAsia="新宋体"/>
          <w:color w:val="auto"/>
          <w:kern w:val="0"/>
          <w:sz w:val="22"/>
          <w:szCs w:val="22"/>
          <w:highlight w:val="none"/>
        </w:rPr>
        <w:t>，肉末、肉丝等原则上由采购食堂自行加工，在发生急需加工的情况时，可由供应商代为加工，但必须是招标单位的相关人员确定原材料量后，在招标单位的相关人员在场的情况下完成加工。</w:t>
      </w:r>
    </w:p>
    <w:p w14:paraId="622FEE69">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eastAsia="新宋体"/>
          <w:color w:val="auto"/>
          <w:kern w:val="0"/>
          <w:sz w:val="22"/>
          <w:szCs w:val="22"/>
          <w:highlight w:val="none"/>
        </w:rPr>
        <w:t>6、</w:t>
      </w:r>
      <w:r>
        <w:rPr>
          <w:rFonts w:hint="eastAsia" w:eastAsia="新宋体"/>
          <w:color w:val="auto"/>
          <w:kern w:val="0"/>
          <w:sz w:val="22"/>
          <w:szCs w:val="22"/>
          <w:highlight w:val="none"/>
        </w:rPr>
        <w:t>当天采购的配送产品</w:t>
      </w:r>
      <w:r>
        <w:rPr>
          <w:rFonts w:eastAsia="新宋体"/>
          <w:color w:val="auto"/>
          <w:kern w:val="0"/>
          <w:sz w:val="22"/>
          <w:szCs w:val="22"/>
          <w:highlight w:val="none"/>
        </w:rPr>
        <w:t>分类</w:t>
      </w:r>
      <w:r>
        <w:rPr>
          <w:rFonts w:hint="eastAsia" w:eastAsia="新宋体"/>
          <w:color w:val="auto"/>
          <w:kern w:val="0"/>
          <w:sz w:val="22"/>
          <w:szCs w:val="22"/>
          <w:highlight w:val="none"/>
        </w:rPr>
        <w:t>存储、运送，</w:t>
      </w:r>
      <w:r>
        <w:rPr>
          <w:rFonts w:eastAsia="新宋体"/>
          <w:color w:val="auto"/>
          <w:kern w:val="0"/>
          <w:sz w:val="22"/>
          <w:szCs w:val="22"/>
          <w:highlight w:val="none"/>
        </w:rPr>
        <w:t>海鲜</w:t>
      </w:r>
      <w:r>
        <w:rPr>
          <w:rFonts w:hint="eastAsia" w:eastAsia="新宋体"/>
          <w:color w:val="auto"/>
          <w:kern w:val="0"/>
          <w:sz w:val="22"/>
          <w:szCs w:val="22"/>
          <w:highlight w:val="none"/>
        </w:rPr>
        <w:t>水产品须存</w:t>
      </w:r>
      <w:r>
        <w:rPr>
          <w:rFonts w:eastAsia="新宋体"/>
          <w:color w:val="auto"/>
          <w:kern w:val="0"/>
          <w:sz w:val="22"/>
          <w:szCs w:val="22"/>
          <w:highlight w:val="none"/>
        </w:rPr>
        <w:t>放在泡沫箱里面</w:t>
      </w:r>
      <w:r>
        <w:rPr>
          <w:rFonts w:hint="eastAsia" w:eastAsia="新宋体"/>
          <w:color w:val="auto"/>
          <w:kern w:val="0"/>
          <w:sz w:val="22"/>
          <w:szCs w:val="22"/>
          <w:highlight w:val="none"/>
        </w:rPr>
        <w:t>，并配置</w:t>
      </w:r>
      <w:r>
        <w:rPr>
          <w:rFonts w:eastAsia="新宋体"/>
          <w:color w:val="auto"/>
          <w:kern w:val="0"/>
          <w:sz w:val="22"/>
          <w:szCs w:val="22"/>
          <w:highlight w:val="none"/>
        </w:rPr>
        <w:t>冰块</w:t>
      </w:r>
      <w:r>
        <w:rPr>
          <w:rFonts w:hint="eastAsia" w:eastAsia="新宋体"/>
          <w:color w:val="auto"/>
          <w:kern w:val="0"/>
          <w:sz w:val="22"/>
          <w:szCs w:val="22"/>
          <w:highlight w:val="none"/>
        </w:rPr>
        <w:t>保鲜。</w:t>
      </w:r>
      <w:r>
        <w:rPr>
          <w:rFonts w:eastAsia="新宋体"/>
          <w:color w:val="auto"/>
          <w:kern w:val="0"/>
          <w:sz w:val="22"/>
          <w:szCs w:val="22"/>
          <w:highlight w:val="none"/>
        </w:rPr>
        <w:t xml:space="preserve"> </w:t>
      </w:r>
    </w:p>
    <w:p w14:paraId="41B8E4A2">
      <w:pPr>
        <w:autoSpaceDE w:val="0"/>
        <w:autoSpaceDN w:val="0"/>
        <w:adjustRightInd w:val="0"/>
        <w:snapToGrid w:val="0"/>
        <w:spacing w:line="460" w:lineRule="exact"/>
        <w:ind w:firstLine="440" w:firstLineChars="200"/>
        <w:rPr>
          <w:rFonts w:eastAsia="新宋体"/>
          <w:color w:val="auto"/>
          <w:kern w:val="0"/>
          <w:sz w:val="22"/>
          <w:szCs w:val="22"/>
          <w:highlight w:val="none"/>
        </w:rPr>
      </w:pPr>
      <w:r>
        <w:rPr>
          <w:rFonts w:hint="eastAsia" w:eastAsia="新宋体"/>
          <w:color w:val="auto"/>
          <w:kern w:val="0"/>
          <w:sz w:val="22"/>
          <w:szCs w:val="22"/>
          <w:highlight w:val="none"/>
        </w:rPr>
        <w:t>7、</w:t>
      </w:r>
      <w:r>
        <w:rPr>
          <w:rFonts w:eastAsia="新宋体"/>
          <w:color w:val="auto"/>
          <w:kern w:val="0"/>
          <w:sz w:val="22"/>
          <w:szCs w:val="22"/>
          <w:highlight w:val="none"/>
        </w:rPr>
        <w:t>质量必须达到本标书配送所列的要求及验收标准，并且品质不低于</w:t>
      </w:r>
      <w:r>
        <w:rPr>
          <w:rFonts w:hint="eastAsia" w:eastAsia="新宋体"/>
          <w:color w:val="auto"/>
          <w:kern w:val="0"/>
          <w:sz w:val="22"/>
          <w:szCs w:val="22"/>
          <w:highlight w:val="none"/>
        </w:rPr>
        <w:t>采购人</w:t>
      </w:r>
      <w:r>
        <w:rPr>
          <w:rFonts w:eastAsia="新宋体"/>
          <w:color w:val="auto"/>
          <w:kern w:val="0"/>
          <w:sz w:val="22"/>
          <w:szCs w:val="22"/>
          <w:highlight w:val="none"/>
        </w:rPr>
        <w:t>当天在各大蔬菜批 发市场的自购标准。</w:t>
      </w:r>
    </w:p>
    <w:p w14:paraId="5920F059">
      <w:pPr>
        <w:autoSpaceDE w:val="0"/>
        <w:autoSpaceDN w:val="0"/>
        <w:adjustRightInd w:val="0"/>
        <w:snapToGrid w:val="0"/>
        <w:spacing w:line="460" w:lineRule="exact"/>
        <w:rPr>
          <w:rFonts w:eastAsia="新宋体"/>
          <w:b/>
          <w:bCs/>
          <w:color w:val="auto"/>
          <w:kern w:val="0"/>
          <w:sz w:val="22"/>
          <w:szCs w:val="22"/>
          <w:highlight w:val="none"/>
          <w:lang w:val="zh-CN"/>
        </w:rPr>
      </w:pPr>
      <w:r>
        <w:rPr>
          <w:rFonts w:eastAsia="新宋体"/>
          <w:b/>
          <w:bCs/>
          <w:color w:val="auto"/>
          <w:kern w:val="0"/>
          <w:sz w:val="22"/>
          <w:szCs w:val="22"/>
          <w:highlight w:val="none"/>
          <w:lang w:val="zh-CN"/>
        </w:rPr>
        <w:t>九、服务期限</w:t>
      </w:r>
    </w:p>
    <w:p w14:paraId="71DF7748">
      <w:pPr>
        <w:wordWrap w:val="0"/>
        <w:autoSpaceDE w:val="0"/>
        <w:autoSpaceDN w:val="0"/>
        <w:adjustRightInd w:val="0"/>
        <w:snapToGrid w:val="0"/>
        <w:spacing w:line="460" w:lineRule="exact"/>
        <w:ind w:firstLine="442" w:firstLineChars="200"/>
        <w:rPr>
          <w:rFonts w:eastAsia="新宋体"/>
          <w:b/>
          <w:color w:val="auto"/>
          <w:kern w:val="0"/>
          <w:sz w:val="22"/>
          <w:szCs w:val="22"/>
          <w:highlight w:val="none"/>
          <w:u w:val="single"/>
        </w:rPr>
      </w:pPr>
      <w:r>
        <w:rPr>
          <w:rFonts w:eastAsia="新宋体"/>
          <w:b/>
          <w:color w:val="auto"/>
          <w:kern w:val="0"/>
          <w:sz w:val="22"/>
          <w:szCs w:val="22"/>
          <w:highlight w:val="none"/>
          <w:u w:val="single"/>
        </w:rPr>
        <w:t>配送期限：一年（20   年   月    日至20    年    月     日）。</w:t>
      </w:r>
    </w:p>
    <w:p w14:paraId="68E8726A">
      <w:pPr>
        <w:snapToGrid w:val="0"/>
        <w:spacing w:line="460" w:lineRule="exact"/>
        <w:ind w:firstLine="440" w:firstLineChars="200"/>
        <w:rPr>
          <w:rFonts w:eastAsia="新宋体"/>
          <w:b/>
          <w:color w:val="auto"/>
          <w:kern w:val="0"/>
          <w:sz w:val="22"/>
          <w:szCs w:val="22"/>
          <w:highlight w:val="none"/>
          <w:u w:val="single"/>
        </w:rPr>
      </w:pPr>
      <w:r>
        <w:rPr>
          <w:rFonts w:eastAsia="新宋体"/>
          <w:bCs/>
          <w:color w:val="auto"/>
          <w:sz w:val="22"/>
          <w:szCs w:val="22"/>
          <w:highlight w:val="none"/>
        </w:rPr>
        <w:t>★</w:t>
      </w:r>
      <w:r>
        <w:rPr>
          <w:rFonts w:eastAsia="新宋体"/>
          <w:b/>
          <w:color w:val="auto"/>
          <w:kern w:val="0"/>
          <w:sz w:val="22"/>
          <w:szCs w:val="22"/>
          <w:highlight w:val="none"/>
          <w:u w:val="single"/>
        </w:rPr>
        <w:t>1年或采购金额达到总预算金额，任一条件达到即视为合作期结束。</w:t>
      </w:r>
      <w:r>
        <w:rPr>
          <w:rFonts w:hint="eastAsia" w:ascii="宋体" w:hAnsi="宋体" w:cs="宋体"/>
          <w:b/>
          <w:bCs/>
          <w:color w:val="auto"/>
          <w:kern w:val="0"/>
          <w:sz w:val="22"/>
          <w:szCs w:val="22"/>
          <w:highlight w:val="none"/>
        </w:rPr>
        <w:t>一年服务期或年</w:t>
      </w:r>
      <w:r>
        <w:rPr>
          <w:rFonts w:ascii="宋体" w:hAnsi="宋体" w:cs="宋体"/>
          <w:b/>
          <w:bCs/>
          <w:color w:val="auto"/>
          <w:kern w:val="0"/>
          <w:sz w:val="22"/>
          <w:szCs w:val="22"/>
          <w:highlight w:val="none"/>
        </w:rPr>
        <w:t>采购金额达到总预算金额</w:t>
      </w:r>
      <w:r>
        <w:rPr>
          <w:rFonts w:hint="eastAsia" w:ascii="宋体" w:hAnsi="宋体" w:cs="宋体"/>
          <w:b/>
          <w:bCs/>
          <w:color w:val="auto"/>
          <w:kern w:val="0"/>
          <w:sz w:val="22"/>
          <w:szCs w:val="22"/>
          <w:highlight w:val="none"/>
        </w:rPr>
        <w:t>满后，在财政资金保障前提下，</w:t>
      </w:r>
      <w:r>
        <w:rPr>
          <w:rFonts w:hint="eastAsia" w:ascii="新宋体" w:hAnsi="新宋体" w:eastAsia="新宋体" w:cs="新宋体"/>
          <w:b/>
          <w:bCs/>
          <w:color w:val="auto"/>
          <w:kern w:val="0"/>
          <w:sz w:val="22"/>
          <w:szCs w:val="22"/>
          <w:highlight w:val="none"/>
        </w:rPr>
        <w:t>通过采购方考核后</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服务期内</w:t>
      </w:r>
      <w:r>
        <w:rPr>
          <w:rFonts w:hint="eastAsia" w:ascii="新宋体" w:hAnsi="新宋体" w:eastAsia="新宋体" w:cs="新宋体"/>
          <w:b/>
          <w:bCs/>
          <w:color w:val="auto"/>
          <w:kern w:val="0"/>
          <w:sz w:val="22"/>
          <w:szCs w:val="22"/>
          <w:highlight w:val="none"/>
          <w:lang w:eastAsia="zh-CN"/>
        </w:rPr>
        <w:t>月考核平均</w:t>
      </w:r>
      <w:r>
        <w:rPr>
          <w:rFonts w:hint="eastAsia" w:ascii="新宋体" w:hAnsi="新宋体" w:eastAsia="新宋体" w:cs="新宋体"/>
          <w:b/>
          <w:bCs/>
          <w:color w:val="auto"/>
          <w:kern w:val="0"/>
          <w:sz w:val="22"/>
          <w:szCs w:val="22"/>
          <w:highlight w:val="none"/>
          <w:lang w:val="en-US" w:eastAsia="zh-CN"/>
        </w:rPr>
        <w:t>分不低于</w:t>
      </w:r>
      <w:r>
        <w:rPr>
          <w:rFonts w:hint="eastAsia" w:ascii="新宋体" w:hAnsi="新宋体" w:eastAsia="新宋体" w:cs="新宋体"/>
          <w:b/>
          <w:bCs/>
          <w:color w:val="auto"/>
          <w:kern w:val="0"/>
          <w:sz w:val="22"/>
          <w:szCs w:val="22"/>
          <w:highlight w:val="none"/>
          <w:lang w:eastAsia="zh-CN"/>
        </w:rPr>
        <w:t>90分）</w:t>
      </w:r>
      <w:r>
        <w:rPr>
          <w:rFonts w:hint="eastAsia" w:ascii="新宋体" w:hAnsi="新宋体" w:eastAsia="新宋体" w:cs="新宋体"/>
          <w:b/>
          <w:bCs/>
          <w:color w:val="auto"/>
          <w:kern w:val="0"/>
          <w:sz w:val="22"/>
          <w:szCs w:val="22"/>
          <w:highlight w:val="none"/>
        </w:rPr>
        <w:t>，采购方可选择续签下一年服务合同</w:t>
      </w:r>
      <w:r>
        <w:rPr>
          <w:rFonts w:hint="eastAsia" w:ascii="新宋体" w:hAnsi="新宋体" w:eastAsia="新宋体"/>
          <w:b/>
          <w:bCs/>
          <w:color w:val="auto"/>
          <w:spacing w:val="6"/>
          <w:szCs w:val="21"/>
          <w:highlight w:val="none"/>
        </w:rPr>
        <w:t>，续签期间按原合同条款履行，最多续签2次。</w:t>
      </w:r>
    </w:p>
    <w:p w14:paraId="60154329">
      <w:pPr>
        <w:autoSpaceDE w:val="0"/>
        <w:autoSpaceDN w:val="0"/>
        <w:adjustRightInd w:val="0"/>
        <w:snapToGrid w:val="0"/>
        <w:spacing w:line="460" w:lineRule="exact"/>
        <w:rPr>
          <w:rFonts w:eastAsia="新宋体"/>
          <w:b/>
          <w:bCs/>
          <w:color w:val="auto"/>
          <w:sz w:val="22"/>
          <w:szCs w:val="22"/>
          <w:highlight w:val="none"/>
        </w:rPr>
      </w:pPr>
      <w:r>
        <w:rPr>
          <w:rFonts w:eastAsia="新宋体"/>
          <w:b/>
          <w:bCs/>
          <w:color w:val="auto"/>
          <w:sz w:val="22"/>
          <w:szCs w:val="22"/>
          <w:highlight w:val="none"/>
        </w:rPr>
        <w:t>特别约定：合同期内如遇政策性原因或内部管理等特殊情况，导致合同无法履行，</w:t>
      </w:r>
      <w:r>
        <w:rPr>
          <w:rFonts w:hint="eastAsia" w:eastAsia="新宋体"/>
          <w:b/>
          <w:bCs/>
          <w:color w:val="auto"/>
          <w:sz w:val="22"/>
          <w:szCs w:val="22"/>
          <w:highlight w:val="none"/>
        </w:rPr>
        <w:t>采购人</w:t>
      </w:r>
      <w:r>
        <w:rPr>
          <w:rFonts w:eastAsia="新宋体"/>
          <w:b/>
          <w:bCs/>
          <w:color w:val="auto"/>
          <w:sz w:val="22"/>
          <w:szCs w:val="22"/>
          <w:highlight w:val="none"/>
        </w:rPr>
        <w:t>可提前一个月告知中标供应商解除合同，且不用任何赔偿，合同自行终止。</w:t>
      </w:r>
    </w:p>
    <w:p w14:paraId="36E90BA0">
      <w:pPr>
        <w:numPr>
          <w:ilvl w:val="0"/>
          <w:numId w:val="25"/>
        </w:numPr>
        <w:autoSpaceDE w:val="0"/>
        <w:autoSpaceDN w:val="0"/>
        <w:adjustRightInd w:val="0"/>
        <w:snapToGrid w:val="0"/>
        <w:spacing w:line="460" w:lineRule="exact"/>
        <w:rPr>
          <w:rFonts w:eastAsia="新宋体"/>
          <w:b/>
          <w:bCs/>
          <w:color w:val="auto"/>
          <w:sz w:val="22"/>
          <w:szCs w:val="22"/>
          <w:highlight w:val="none"/>
        </w:rPr>
      </w:pPr>
      <w:r>
        <w:rPr>
          <w:rFonts w:eastAsia="新宋体"/>
          <w:b/>
          <w:bCs/>
          <w:color w:val="auto"/>
          <w:sz w:val="22"/>
          <w:szCs w:val="22"/>
          <w:highlight w:val="none"/>
        </w:rPr>
        <w:t>配送地点：</w:t>
      </w:r>
      <w:r>
        <w:rPr>
          <w:rFonts w:hint="eastAsia" w:eastAsia="新宋体"/>
          <w:b/>
          <w:bCs/>
          <w:color w:val="auto"/>
          <w:sz w:val="22"/>
          <w:szCs w:val="22"/>
          <w:highlight w:val="none"/>
        </w:rPr>
        <w:t>采购人指定的地点</w:t>
      </w:r>
    </w:p>
    <w:p w14:paraId="7E3C89F4">
      <w:pPr>
        <w:autoSpaceDE w:val="0"/>
        <w:autoSpaceDN w:val="0"/>
        <w:adjustRightInd w:val="0"/>
        <w:snapToGrid w:val="0"/>
        <w:spacing w:line="460" w:lineRule="exact"/>
        <w:rPr>
          <w:rFonts w:eastAsia="新宋体"/>
          <w:b/>
          <w:color w:val="auto"/>
          <w:kern w:val="0"/>
          <w:sz w:val="22"/>
          <w:szCs w:val="22"/>
          <w:highlight w:val="none"/>
          <w:lang w:val="zh-CN"/>
        </w:rPr>
      </w:pPr>
      <w:r>
        <w:rPr>
          <w:rFonts w:eastAsia="新宋体"/>
          <w:b/>
          <w:color w:val="auto"/>
          <w:kern w:val="0"/>
          <w:sz w:val="22"/>
          <w:szCs w:val="22"/>
          <w:highlight w:val="none"/>
          <w:lang w:val="zh-CN"/>
        </w:rPr>
        <w:t>十一、其他要求</w:t>
      </w:r>
    </w:p>
    <w:p w14:paraId="1C243C9F">
      <w:pPr>
        <w:autoSpaceDE w:val="0"/>
        <w:autoSpaceDN w:val="0"/>
        <w:adjustRightInd w:val="0"/>
        <w:snapToGrid w:val="0"/>
        <w:spacing w:line="460" w:lineRule="exact"/>
        <w:ind w:firstLine="442" w:firstLineChars="200"/>
        <w:rPr>
          <w:rFonts w:eastAsia="新宋体"/>
          <w:b/>
          <w:color w:val="auto"/>
          <w:kern w:val="0"/>
          <w:sz w:val="22"/>
          <w:szCs w:val="22"/>
          <w:highlight w:val="none"/>
          <w:lang w:val="zh-CN"/>
        </w:rPr>
      </w:pPr>
      <w:r>
        <w:rPr>
          <w:rFonts w:hint="eastAsia" w:eastAsia="新宋体"/>
          <w:b/>
          <w:color w:val="auto"/>
          <w:kern w:val="0"/>
          <w:sz w:val="22"/>
          <w:szCs w:val="22"/>
          <w:highlight w:val="none"/>
        </w:rPr>
        <w:t>1、</w:t>
      </w:r>
      <w:r>
        <w:rPr>
          <w:rFonts w:eastAsia="新宋体"/>
          <w:b/>
          <w:color w:val="auto"/>
          <w:kern w:val="0"/>
          <w:sz w:val="22"/>
          <w:szCs w:val="22"/>
          <w:highlight w:val="none"/>
          <w:lang w:val="zh-CN"/>
        </w:rPr>
        <w:t>对食品质量问题在30分钟内响应，2小时以内到现场解决问题；不能当场解决的，必须采取更换等措施，以保证采购单位的正常使用，如因食品质量问题造成食用人的不良反应，供应商需负全部责任。</w:t>
      </w:r>
    </w:p>
    <w:p w14:paraId="2022A108">
      <w:pPr>
        <w:autoSpaceDE w:val="0"/>
        <w:autoSpaceDN w:val="0"/>
        <w:adjustRightInd w:val="0"/>
        <w:snapToGrid w:val="0"/>
        <w:spacing w:line="460" w:lineRule="exact"/>
        <w:ind w:firstLine="442" w:firstLineChars="200"/>
        <w:rPr>
          <w:rFonts w:eastAsia="新宋体"/>
          <w:b/>
          <w:color w:val="auto"/>
          <w:kern w:val="0"/>
          <w:sz w:val="22"/>
          <w:szCs w:val="22"/>
          <w:highlight w:val="none"/>
          <w:lang w:val="zh-CN"/>
        </w:rPr>
      </w:pPr>
      <w:r>
        <w:rPr>
          <w:rFonts w:eastAsia="新宋体"/>
          <w:b/>
          <w:color w:val="auto"/>
          <w:kern w:val="0"/>
          <w:sz w:val="22"/>
          <w:szCs w:val="22"/>
          <w:highlight w:val="none"/>
          <w:lang w:val="zh-CN"/>
        </w:rPr>
        <w:t>2、结算以</w:t>
      </w:r>
      <w:r>
        <w:rPr>
          <w:rFonts w:hint="eastAsia" w:eastAsia="新宋体"/>
          <w:b/>
          <w:color w:val="auto"/>
          <w:kern w:val="0"/>
          <w:sz w:val="22"/>
          <w:szCs w:val="22"/>
          <w:highlight w:val="none"/>
          <w:lang w:val="zh-CN"/>
        </w:rPr>
        <w:t>过磅验收的订单数量为准</w:t>
      </w:r>
      <w:r>
        <w:rPr>
          <w:rFonts w:eastAsia="新宋体"/>
          <w:b/>
          <w:color w:val="auto"/>
          <w:kern w:val="0"/>
          <w:sz w:val="22"/>
          <w:szCs w:val="22"/>
          <w:highlight w:val="none"/>
          <w:lang w:val="zh-CN"/>
        </w:rPr>
        <w:t>，供应商配送产品的数量须与</w:t>
      </w:r>
      <w:r>
        <w:rPr>
          <w:rFonts w:hint="eastAsia" w:eastAsia="新宋体"/>
          <w:b/>
          <w:color w:val="auto"/>
          <w:kern w:val="0"/>
          <w:sz w:val="22"/>
          <w:szCs w:val="22"/>
          <w:highlight w:val="none"/>
          <w:lang w:val="zh-CN"/>
        </w:rPr>
        <w:t>采购人</w:t>
      </w:r>
      <w:r>
        <w:rPr>
          <w:rFonts w:eastAsia="新宋体"/>
          <w:b/>
          <w:color w:val="auto"/>
          <w:kern w:val="0"/>
          <w:sz w:val="22"/>
          <w:szCs w:val="22"/>
          <w:highlight w:val="none"/>
          <w:lang w:val="zh-CN"/>
        </w:rPr>
        <w:t>的采购计划一致，如出现缺斤少两，</w:t>
      </w:r>
      <w:r>
        <w:rPr>
          <w:rFonts w:hint="eastAsia" w:eastAsia="新宋体"/>
          <w:b/>
          <w:color w:val="auto"/>
          <w:kern w:val="0"/>
          <w:sz w:val="22"/>
          <w:szCs w:val="22"/>
          <w:highlight w:val="none"/>
        </w:rPr>
        <w:t>或配送产品非采购人所列计划清单内产品，</w:t>
      </w:r>
      <w:r>
        <w:rPr>
          <w:rFonts w:eastAsia="新宋体"/>
          <w:b/>
          <w:color w:val="auto"/>
          <w:kern w:val="0"/>
          <w:sz w:val="22"/>
          <w:szCs w:val="22"/>
          <w:highlight w:val="none"/>
          <w:lang w:val="zh-CN"/>
        </w:rPr>
        <w:t>务必在一小时内补齐</w:t>
      </w:r>
      <w:r>
        <w:rPr>
          <w:rFonts w:hint="eastAsia" w:eastAsia="新宋体"/>
          <w:b/>
          <w:color w:val="auto"/>
          <w:kern w:val="0"/>
          <w:sz w:val="22"/>
          <w:szCs w:val="22"/>
          <w:highlight w:val="none"/>
        </w:rPr>
        <w:t>或更换</w:t>
      </w:r>
      <w:r>
        <w:rPr>
          <w:rFonts w:eastAsia="新宋体"/>
          <w:b/>
          <w:color w:val="auto"/>
          <w:kern w:val="0"/>
          <w:sz w:val="22"/>
          <w:szCs w:val="22"/>
          <w:highlight w:val="none"/>
          <w:lang w:val="zh-CN"/>
        </w:rPr>
        <w:t>。情节严重，影响当天单位人员餐食的，按</w:t>
      </w:r>
      <w:r>
        <w:rPr>
          <w:rFonts w:hint="eastAsia" w:eastAsia="新宋体"/>
          <w:b/>
          <w:color w:val="auto"/>
          <w:kern w:val="0"/>
          <w:sz w:val="22"/>
          <w:szCs w:val="22"/>
          <w:highlight w:val="none"/>
        </w:rPr>
        <w:t>合同违约</w:t>
      </w:r>
      <w:r>
        <w:rPr>
          <w:rFonts w:eastAsia="新宋体"/>
          <w:b/>
          <w:color w:val="auto"/>
          <w:kern w:val="0"/>
          <w:sz w:val="22"/>
          <w:szCs w:val="22"/>
          <w:highlight w:val="none"/>
          <w:lang w:val="zh-CN"/>
        </w:rPr>
        <w:t>处理</w:t>
      </w:r>
      <w:r>
        <w:rPr>
          <w:rFonts w:hint="eastAsia" w:eastAsia="新宋体"/>
          <w:b/>
          <w:color w:val="auto"/>
          <w:kern w:val="0"/>
          <w:sz w:val="22"/>
          <w:szCs w:val="22"/>
          <w:highlight w:val="none"/>
          <w:lang w:val="zh-CN"/>
        </w:rPr>
        <w:t>。</w:t>
      </w:r>
    </w:p>
    <w:p w14:paraId="26BFBD54">
      <w:pPr>
        <w:snapToGrid w:val="0"/>
        <w:spacing w:line="460" w:lineRule="exact"/>
        <w:rPr>
          <w:rFonts w:eastAsia="新宋体"/>
          <w:b/>
          <w:bCs/>
          <w:color w:val="auto"/>
          <w:kern w:val="0"/>
          <w:sz w:val="22"/>
          <w:szCs w:val="22"/>
          <w:highlight w:val="none"/>
        </w:rPr>
      </w:pPr>
      <w:r>
        <w:rPr>
          <w:rFonts w:eastAsia="新宋体"/>
          <w:b/>
          <w:bCs/>
          <w:color w:val="auto"/>
          <w:kern w:val="0"/>
          <w:sz w:val="22"/>
          <w:szCs w:val="22"/>
          <w:highlight w:val="none"/>
          <w:lang w:val="zh-CN"/>
        </w:rPr>
        <w:t>十</w:t>
      </w:r>
      <w:bookmarkEnd w:id="97"/>
      <w:r>
        <w:rPr>
          <w:rFonts w:eastAsia="新宋体"/>
          <w:b/>
          <w:bCs/>
          <w:color w:val="auto"/>
          <w:kern w:val="0"/>
          <w:sz w:val="22"/>
          <w:szCs w:val="22"/>
          <w:highlight w:val="none"/>
        </w:rPr>
        <w:t>二</w:t>
      </w:r>
      <w:r>
        <w:rPr>
          <w:rFonts w:eastAsia="新宋体"/>
          <w:b/>
          <w:bCs/>
          <w:color w:val="auto"/>
          <w:kern w:val="0"/>
          <w:sz w:val="22"/>
          <w:szCs w:val="22"/>
          <w:highlight w:val="none"/>
          <w:lang w:val="zh-CN"/>
        </w:rPr>
        <w:t>、报价要求</w:t>
      </w:r>
    </w:p>
    <w:p w14:paraId="3AB5C595">
      <w:pPr>
        <w:tabs>
          <w:tab w:val="left" w:pos="540"/>
        </w:tabs>
        <w:spacing w:line="460" w:lineRule="exact"/>
        <w:ind w:firstLine="660" w:firstLineChars="300"/>
        <w:rPr>
          <w:color w:val="auto"/>
          <w:highlight w:val="none"/>
        </w:rPr>
      </w:pPr>
      <w:r>
        <w:rPr>
          <w:rFonts w:eastAsia="新宋体"/>
          <w:color w:val="auto"/>
          <w:sz w:val="22"/>
          <w:szCs w:val="22"/>
          <w:highlight w:val="none"/>
          <w:lang w:val="en-GB"/>
        </w:rPr>
        <w:t>投标价为：</w:t>
      </w:r>
      <w:r>
        <w:rPr>
          <w:rFonts w:eastAsia="新宋体"/>
          <w:color w:val="auto"/>
          <w:sz w:val="22"/>
          <w:szCs w:val="22"/>
          <w:highlight w:val="none"/>
        </w:rPr>
        <w:t>投标人根据温州市发展和改革委员会官方网站（http://wzfgw.wenzhou.gov.cn/col/col1216782/index.html）最近之日公布的</w:t>
      </w:r>
      <w:r>
        <w:rPr>
          <w:rFonts w:eastAsia="新宋体"/>
          <w:bCs/>
          <w:color w:val="auto"/>
          <w:sz w:val="22"/>
          <w:szCs w:val="22"/>
          <w:highlight w:val="none"/>
          <w:u w:val="single"/>
        </w:rPr>
        <w:t>温州市区农贸市场价格监测表</w:t>
      </w:r>
      <w:r>
        <w:rPr>
          <w:rFonts w:eastAsia="新宋体"/>
          <w:color w:val="auto"/>
          <w:sz w:val="22"/>
          <w:szCs w:val="22"/>
          <w:highlight w:val="none"/>
        </w:rPr>
        <w:t>中</w:t>
      </w:r>
      <w:r>
        <w:rPr>
          <w:rFonts w:hint="eastAsia" w:eastAsia="新宋体"/>
          <w:b/>
          <w:color w:val="auto"/>
          <w:sz w:val="22"/>
          <w:szCs w:val="22"/>
          <w:highlight w:val="none"/>
          <w:u w:val="single"/>
        </w:rPr>
        <w:t>新田园农贸市场的产品价格</w:t>
      </w:r>
      <w:r>
        <w:rPr>
          <w:rFonts w:hint="eastAsia" w:eastAsia="新宋体"/>
          <w:b/>
          <w:color w:val="auto"/>
          <w:sz w:val="22"/>
          <w:szCs w:val="22"/>
          <w:highlight w:val="none"/>
          <w:u w:val="single"/>
          <w:lang w:val="en-US" w:eastAsia="zh-CN"/>
        </w:rPr>
        <w:t>作为</w:t>
      </w:r>
      <w:r>
        <w:rPr>
          <w:rFonts w:hint="eastAsia" w:eastAsia="新宋体"/>
          <w:b/>
          <w:color w:val="auto"/>
          <w:sz w:val="22"/>
          <w:szCs w:val="22"/>
          <w:highlight w:val="none"/>
          <w:u w:val="single"/>
        </w:rPr>
        <w:t>所需产品参考价</w:t>
      </w:r>
      <w:r>
        <w:rPr>
          <w:rFonts w:hint="eastAsia" w:eastAsia="新宋体"/>
          <w:color w:val="auto"/>
          <w:sz w:val="22"/>
          <w:szCs w:val="22"/>
          <w:highlight w:val="none"/>
        </w:rPr>
        <w:t>格</w:t>
      </w:r>
      <w:r>
        <w:rPr>
          <w:rFonts w:eastAsia="新宋体"/>
          <w:color w:val="auto"/>
          <w:sz w:val="22"/>
          <w:szCs w:val="22"/>
          <w:highlight w:val="none"/>
        </w:rPr>
        <w:t>。</w:t>
      </w:r>
      <w:r>
        <w:rPr>
          <w:rFonts w:eastAsia="新宋体"/>
          <w:b/>
          <w:color w:val="auto"/>
          <w:sz w:val="22"/>
          <w:szCs w:val="22"/>
          <w:highlight w:val="none"/>
          <w:u w:val="single"/>
        </w:rPr>
        <w:t>温州市发展和改革委员会官方网站上未列明的货品，</w:t>
      </w:r>
      <w:r>
        <w:rPr>
          <w:rFonts w:hint="eastAsia" w:eastAsia="新宋体"/>
          <w:b/>
          <w:color w:val="auto"/>
          <w:sz w:val="22"/>
          <w:szCs w:val="22"/>
          <w:highlight w:val="none"/>
          <w:u w:val="single"/>
        </w:rPr>
        <w:t>采购人有权选</w:t>
      </w:r>
      <w:r>
        <w:rPr>
          <w:rFonts w:hint="eastAsia" w:eastAsia="新宋体"/>
          <w:b/>
          <w:color w:val="auto"/>
          <w:sz w:val="22"/>
          <w:szCs w:val="22"/>
          <w:highlight w:val="none"/>
          <w:u w:val="single"/>
          <w:lang w:eastAsia="zh-CN"/>
        </w:rPr>
        <w:t>苍龙区域较近农贸市场</w:t>
      </w:r>
      <w:r>
        <w:rPr>
          <w:rFonts w:hint="eastAsia" w:eastAsia="新宋体"/>
          <w:b/>
          <w:color w:val="auto"/>
          <w:sz w:val="22"/>
          <w:szCs w:val="22"/>
          <w:highlight w:val="none"/>
          <w:u w:val="single"/>
        </w:rPr>
        <w:t>进行市场询价的市场价作为产品参考价格</w:t>
      </w:r>
      <w:r>
        <w:rPr>
          <w:rFonts w:eastAsia="新宋体"/>
          <w:b/>
          <w:color w:val="auto"/>
          <w:sz w:val="22"/>
          <w:szCs w:val="22"/>
          <w:highlight w:val="none"/>
          <w:u w:val="single"/>
        </w:rPr>
        <w:t>；如农贸市场未提供的则由供应商报价与</w:t>
      </w:r>
      <w:r>
        <w:rPr>
          <w:rFonts w:hint="eastAsia" w:eastAsia="新宋体"/>
          <w:b/>
          <w:color w:val="auto"/>
          <w:sz w:val="22"/>
          <w:szCs w:val="22"/>
          <w:highlight w:val="none"/>
          <w:u w:val="single"/>
        </w:rPr>
        <w:t>采购人</w:t>
      </w:r>
      <w:r>
        <w:rPr>
          <w:rFonts w:eastAsia="新宋体"/>
          <w:b/>
          <w:color w:val="auto"/>
          <w:sz w:val="22"/>
          <w:szCs w:val="22"/>
          <w:highlight w:val="none"/>
          <w:u w:val="single"/>
        </w:rPr>
        <w:t>相互协商定出零售基准价，基准价不得高于当地当时的市场价。</w:t>
      </w:r>
      <w:r>
        <w:rPr>
          <w:rFonts w:hint="eastAsia" w:eastAsia="新宋体"/>
          <w:bCs/>
          <w:color w:val="auto"/>
          <w:sz w:val="22"/>
          <w:szCs w:val="22"/>
          <w:highlight w:val="none"/>
        </w:rPr>
        <w:t>供应商每个月核价根据折扣率报价，并提供带有拍摄时间的照片，以利于采购人确认核价；禁止配送无市场实际零售商品或专供产品。中标人所报折扣将作为下一周期供货商所供货品最高限价协商重要依据，投标人应自行考虑食材的供货</w:t>
      </w:r>
      <w:r>
        <w:rPr>
          <w:rFonts w:hint="eastAsia" w:eastAsia="新宋体"/>
          <w:color w:val="auto"/>
          <w:kern w:val="0"/>
          <w:sz w:val="22"/>
          <w:szCs w:val="22"/>
          <w:highlight w:val="none"/>
        </w:rPr>
        <w:t>（包括但不限于宰杀、预处理、预加工等）</w:t>
      </w:r>
      <w:r>
        <w:rPr>
          <w:rFonts w:hint="eastAsia" w:eastAsia="新宋体"/>
          <w:bCs/>
          <w:color w:val="auto"/>
          <w:sz w:val="22"/>
          <w:szCs w:val="22"/>
          <w:highlight w:val="none"/>
        </w:rPr>
        <w:t>、税金、包装、运输、装卸、验收及其所有税费、招标代理服务费等全部费用后计算价格折扣。</w:t>
      </w:r>
    </w:p>
    <w:p w14:paraId="6F44CF8D">
      <w:pPr>
        <w:snapToGrid w:val="0"/>
        <w:spacing w:line="460" w:lineRule="exact"/>
        <w:ind w:firstLine="440" w:firstLineChars="200"/>
        <w:rPr>
          <w:rFonts w:eastAsia="新宋体"/>
          <w:bCs/>
          <w:color w:val="auto"/>
          <w:sz w:val="22"/>
          <w:szCs w:val="22"/>
          <w:highlight w:val="none"/>
        </w:rPr>
      </w:pPr>
      <w:r>
        <w:rPr>
          <w:rFonts w:eastAsia="新宋体"/>
          <w:color w:val="auto"/>
          <w:sz w:val="22"/>
          <w:szCs w:val="22"/>
          <w:highlight w:val="none"/>
        </w:rPr>
        <w:t>某宗产品当期结算价=该宗产品实际供货数量*当期该宗产品市场单价*中标折扣。</w:t>
      </w:r>
    </w:p>
    <w:p w14:paraId="0FCBBD9D">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十三、项目投标要求</w:t>
      </w:r>
    </w:p>
    <w:p w14:paraId="34BDBCF5">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1、供应商具有类似项目的实施经验。</w:t>
      </w:r>
    </w:p>
    <w:p w14:paraId="27D9BE8C">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2、供应商具有完善的管理体系，包括质量管理体系认证、环境认证体系认证和职业健康管理体系认证。</w:t>
      </w:r>
    </w:p>
    <w:p w14:paraId="1CD4A922">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3、供应商具有完善的内部管理制度、保管、发货等规章制度和保障措施。</w:t>
      </w:r>
    </w:p>
    <w:p w14:paraId="233D27F7">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4、供应商应严格把控食品安全。货物来源渠道、检测仪器设备配备、商品质量及安全的承诺。</w:t>
      </w:r>
    </w:p>
    <w:p w14:paraId="58662538">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5、供应商具有较强的仓储能力，有固定的仓储场所和齐全的相关设备。</w:t>
      </w:r>
    </w:p>
    <w:p w14:paraId="48434017">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6、供应商具有独立、封闭的检测室且有农药残留快速测试仪，具有保鲜库和冷链库。</w:t>
      </w:r>
    </w:p>
    <w:p w14:paraId="185B8D63">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7、供应商具有较强的配送能力，充足的运输车辆和配送驾驶员、齐全的配送网点。</w:t>
      </w:r>
    </w:p>
    <w:p w14:paraId="562DA34D">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8、供应商制定合理完善的项目管理实施方案，包括货物品质保证措施，货物加工、包装及保存、仓储、运输环节的质量保证及食品安全措施和供货方案。</w:t>
      </w:r>
    </w:p>
    <w:p w14:paraId="1A54C4C9">
      <w:pPr>
        <w:snapToGrid w:val="0"/>
        <w:spacing w:line="460" w:lineRule="exact"/>
        <w:ind w:firstLine="420"/>
        <w:rPr>
          <w:rFonts w:eastAsia="新宋体"/>
          <w:color w:val="auto"/>
          <w:sz w:val="22"/>
          <w:szCs w:val="22"/>
          <w:highlight w:val="none"/>
        </w:rPr>
      </w:pPr>
      <w:r>
        <w:rPr>
          <w:rFonts w:eastAsia="新宋体"/>
          <w:color w:val="auto"/>
          <w:sz w:val="22"/>
          <w:szCs w:val="22"/>
          <w:highlight w:val="none"/>
        </w:rPr>
        <w:t>9、供应商需制定完整的售后服务方案，应急方案。</w:t>
      </w:r>
    </w:p>
    <w:p w14:paraId="02B447A7">
      <w:pPr>
        <w:pStyle w:val="2"/>
        <w:jc w:val="both"/>
        <w:rPr>
          <w:color w:val="auto"/>
          <w:highlight w:val="none"/>
        </w:rPr>
      </w:pPr>
    </w:p>
    <w:p w14:paraId="47240190">
      <w:pPr>
        <w:rPr>
          <w:rFonts w:ascii="宋体" w:hAnsi="宋体" w:cs="宋体"/>
          <w:color w:val="auto"/>
          <w:sz w:val="36"/>
          <w:szCs w:val="36"/>
          <w:highlight w:val="none"/>
        </w:rPr>
      </w:pPr>
    </w:p>
    <w:p w14:paraId="25712A86">
      <w:pPr>
        <w:rPr>
          <w:rFonts w:ascii="宋体" w:hAnsi="宋体" w:cs="宋体"/>
          <w:color w:val="auto"/>
          <w:sz w:val="36"/>
          <w:szCs w:val="36"/>
          <w:highlight w:val="none"/>
        </w:rPr>
      </w:pPr>
    </w:p>
    <w:p w14:paraId="4977F160">
      <w:pPr>
        <w:rPr>
          <w:rFonts w:ascii="宋体" w:hAnsi="宋体" w:cs="宋体"/>
          <w:color w:val="auto"/>
          <w:sz w:val="36"/>
          <w:szCs w:val="36"/>
          <w:highlight w:val="none"/>
        </w:rPr>
      </w:pPr>
    </w:p>
    <w:p w14:paraId="2AF36501">
      <w:pPr>
        <w:jc w:val="center"/>
        <w:rPr>
          <w:rFonts w:ascii="宋体" w:hAnsi="宋体" w:cs="宋体"/>
          <w:color w:val="auto"/>
          <w:sz w:val="36"/>
          <w:szCs w:val="36"/>
          <w:highlight w:val="none"/>
        </w:rPr>
      </w:pPr>
      <w:bookmarkStart w:id="104" w:name="_Toc58406694"/>
    </w:p>
    <w:p w14:paraId="2D805176">
      <w:pPr>
        <w:jc w:val="center"/>
        <w:rPr>
          <w:rFonts w:ascii="宋体" w:hAnsi="宋体" w:cs="宋体"/>
          <w:color w:val="auto"/>
          <w:sz w:val="36"/>
          <w:szCs w:val="36"/>
          <w:highlight w:val="none"/>
        </w:rPr>
      </w:pPr>
    </w:p>
    <w:p w14:paraId="24141C84">
      <w:pPr>
        <w:pStyle w:val="2"/>
        <w:spacing w:line="440" w:lineRule="exact"/>
        <w:jc w:val="both"/>
        <w:rPr>
          <w:rFonts w:ascii="宋体" w:hAnsi="宋体" w:eastAsia="宋体" w:cs="宋体"/>
          <w:b w:val="0"/>
          <w:bCs w:val="0"/>
          <w:color w:val="auto"/>
          <w:sz w:val="22"/>
          <w:szCs w:val="22"/>
          <w:highlight w:val="none"/>
        </w:rPr>
      </w:pPr>
      <w:bookmarkStart w:id="105" w:name="_Toc470856415"/>
      <w:bookmarkStart w:id="106" w:name="_Toc470423851"/>
      <w:r>
        <w:rPr>
          <w:rFonts w:hint="eastAsia" w:ascii="宋体" w:hAnsi="宋体" w:eastAsia="宋体"/>
          <w:color w:val="auto"/>
          <w:sz w:val="24"/>
          <w:highlight w:val="none"/>
        </w:rPr>
        <w:br w:type="page"/>
      </w:r>
      <w:bookmarkEnd w:id="105"/>
      <w:bookmarkEnd w:id="106"/>
    </w:p>
    <w:p w14:paraId="1459B6A5">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第六部分</w:t>
      </w:r>
      <w:bookmarkEnd w:id="98"/>
      <w:bookmarkEnd w:id="99"/>
      <w:bookmarkEnd w:id="100"/>
      <w:bookmarkEnd w:id="101"/>
      <w:bookmarkEnd w:id="102"/>
      <w:r>
        <w:rPr>
          <w:rFonts w:hint="eastAsia" w:ascii="宋体" w:hAnsi="宋体" w:cs="宋体"/>
          <w:b/>
          <w:bCs/>
          <w:color w:val="auto"/>
          <w:sz w:val="36"/>
          <w:szCs w:val="36"/>
          <w:highlight w:val="none"/>
        </w:rPr>
        <w:t xml:space="preserve">   评标原则及方法</w:t>
      </w:r>
      <w:bookmarkEnd w:id="103"/>
      <w:bookmarkEnd w:id="104"/>
    </w:p>
    <w:bookmarkEnd w:id="1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419DD117">
      <w:pPr>
        <w:pStyle w:val="23"/>
        <w:overflowPunct w:val="0"/>
        <w:spacing w:after="0" w:line="440" w:lineRule="exact"/>
        <w:rPr>
          <w:rFonts w:ascii="宋体" w:hAnsi="宋体" w:cs="宋体"/>
          <w:b/>
          <w:color w:val="auto"/>
          <w:highlight w:val="none"/>
        </w:rPr>
      </w:pPr>
      <w:bookmarkStart w:id="107" w:name="_Toc221356961"/>
      <w:bookmarkStart w:id="108" w:name="_Toc221356898"/>
      <w:r>
        <w:rPr>
          <w:rFonts w:hint="eastAsia" w:ascii="宋体" w:hAnsi="宋体" w:cs="宋体"/>
          <w:b/>
          <w:color w:val="auto"/>
          <w:highlight w:val="none"/>
        </w:rPr>
        <w:t>一. 总  则</w:t>
      </w:r>
      <w:bookmarkEnd w:id="107"/>
      <w:bookmarkEnd w:id="108"/>
    </w:p>
    <w:p w14:paraId="663D047F">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服务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1834BC98">
      <w:pPr>
        <w:pStyle w:val="23"/>
        <w:overflowPunct w:val="0"/>
        <w:spacing w:after="0" w:line="440" w:lineRule="exact"/>
        <w:rPr>
          <w:rFonts w:ascii="宋体" w:hAnsi="宋体" w:cs="宋体"/>
          <w:b/>
          <w:color w:val="auto"/>
          <w:highlight w:val="none"/>
        </w:rPr>
      </w:pPr>
      <w:bookmarkStart w:id="109" w:name="_Toc221356962"/>
      <w:bookmarkStart w:id="110" w:name="_Toc221356899"/>
      <w:r>
        <w:rPr>
          <w:rFonts w:hint="eastAsia" w:ascii="宋体" w:hAnsi="宋体" w:cs="宋体"/>
          <w:b/>
          <w:color w:val="auto"/>
          <w:highlight w:val="none"/>
        </w:rPr>
        <w:t>二、评标组织</w:t>
      </w:r>
      <w:bookmarkEnd w:id="109"/>
      <w:bookmarkEnd w:id="110"/>
    </w:p>
    <w:p w14:paraId="33BEF5C0">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评标工作由采购人或代理机构依法组建的评标委员会负责，评标全过程由有关部门指导监督。</w:t>
      </w:r>
    </w:p>
    <w:p w14:paraId="640290D0">
      <w:pPr>
        <w:autoSpaceDE w:val="0"/>
        <w:autoSpaceDN w:val="0"/>
        <w:adjustRightInd w:val="0"/>
        <w:spacing w:line="44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三、评标程序</w:t>
      </w:r>
    </w:p>
    <w:p w14:paraId="02B24875">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14:paraId="310AB3EB">
      <w:pPr>
        <w:pStyle w:val="23"/>
        <w:adjustRightInd w:val="0"/>
        <w:snapToGrid w:val="0"/>
        <w:spacing w:after="0"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3C32CCDE">
      <w:pPr>
        <w:pStyle w:val="25"/>
        <w:numPr>
          <w:ilvl w:val="0"/>
          <w:numId w:val="26"/>
        </w:numPr>
        <w:adjustRightInd/>
        <w:spacing w:line="440" w:lineRule="exact"/>
        <w:jc w:val="both"/>
        <w:rPr>
          <w:rFonts w:cs="宋体"/>
          <w:b/>
          <w:color w:val="auto"/>
          <w:sz w:val="22"/>
          <w:szCs w:val="22"/>
          <w:highlight w:val="none"/>
          <w:u w:val="single"/>
        </w:rPr>
      </w:pPr>
      <w:r>
        <w:rPr>
          <w:rFonts w:hint="eastAsia" w:cs="宋体"/>
          <w:b/>
          <w:color w:val="auto"/>
          <w:sz w:val="22"/>
          <w:highlight w:val="none"/>
        </w:rPr>
        <w:t>本项目评标办法采取百分制综合评分法</w:t>
      </w:r>
      <w:r>
        <w:rPr>
          <w:rFonts w:hint="eastAsia" w:cs="宋体"/>
          <w:color w:val="auto"/>
          <w:sz w:val="22"/>
          <w:highlight w:val="none"/>
        </w:rPr>
        <w:t>，</w:t>
      </w:r>
      <w:r>
        <w:rPr>
          <w:rFonts w:hint="eastAsia" w:cs="宋体"/>
          <w:b/>
          <w:color w:val="auto"/>
          <w:sz w:val="22"/>
          <w:highlight w:val="none"/>
        </w:rPr>
        <w:t>其中</w:t>
      </w:r>
      <w:r>
        <w:rPr>
          <w:rFonts w:hint="eastAsia" w:cs="宋体"/>
          <w:b/>
          <w:bCs/>
          <w:color w:val="auto"/>
          <w:sz w:val="22"/>
          <w:highlight w:val="none"/>
        </w:rPr>
        <w:t>商务技术</w:t>
      </w:r>
      <w:r>
        <w:rPr>
          <w:rFonts w:hint="eastAsia" w:cs="宋体"/>
          <w:b/>
          <w:color w:val="auto"/>
          <w:sz w:val="22"/>
          <w:highlight w:val="none"/>
        </w:rPr>
        <w:t>90分（技术权值为90%），投标报价10分（价格权值为10%）。</w:t>
      </w:r>
      <w:r>
        <w:rPr>
          <w:rFonts w:hint="eastAsia" w:cs="宋体"/>
          <w:color w:val="auto"/>
          <w:sz w:val="22"/>
          <w:szCs w:val="22"/>
          <w:highlight w:val="none"/>
        </w:rPr>
        <w:t>即最大限度地满足采购文件实质性要求前提下，按照采购文件中规定的各项评分内容进行综合评审。以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74D84EC5">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highlight w:val="none"/>
        </w:rPr>
        <w:t>评标过程中遇到特殊情况，由评标委员会遵循公平、公正原则，采取记名投票方式按照少数服从多数原则决定。</w:t>
      </w:r>
    </w:p>
    <w:p w14:paraId="41F4CEB2">
      <w:pPr>
        <w:pStyle w:val="23"/>
        <w:spacing w:after="0"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五、评分细则</w:t>
      </w:r>
    </w:p>
    <w:p w14:paraId="3E372F15">
      <w:pPr>
        <w:numPr>
          <w:ilvl w:val="0"/>
          <w:numId w:val="27"/>
        </w:numPr>
        <w:spacing w:line="440" w:lineRule="exact"/>
        <w:ind w:firstLine="0"/>
        <w:rPr>
          <w:rFonts w:ascii="宋体" w:hAnsi="宋体" w:cs="宋体"/>
          <w:b/>
          <w:color w:val="auto"/>
          <w:sz w:val="22"/>
          <w:szCs w:val="22"/>
          <w:highlight w:val="none"/>
        </w:rPr>
      </w:pPr>
      <w:r>
        <w:rPr>
          <w:rFonts w:hint="eastAsia" w:ascii="宋体" w:hAnsi="宋体" w:cs="宋体"/>
          <w:b/>
          <w:color w:val="auto"/>
          <w:sz w:val="22"/>
          <w:szCs w:val="22"/>
          <w:highlight w:val="none"/>
        </w:rPr>
        <w:t>商务技术文件的评定（90分）</w:t>
      </w:r>
    </w:p>
    <w:p w14:paraId="43FC8AAF">
      <w:pPr>
        <w:spacing w:line="44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w:t>
      </w:r>
      <w:r>
        <w:rPr>
          <w:rFonts w:hint="eastAsia" w:ascii="宋体" w:hAnsi="宋体" w:cs="宋体"/>
          <w:b/>
          <w:color w:val="auto"/>
          <w:sz w:val="22"/>
          <w:szCs w:val="22"/>
          <w:highlight w:val="none"/>
        </w:rPr>
        <w:t>如任何一张表的一项评分内容分值超过规定的范围，则该张表无效。</w:t>
      </w:r>
      <w:r>
        <w:rPr>
          <w:rFonts w:hint="eastAsia" w:ascii="宋体" w:hAnsi="宋体" w:cs="宋体"/>
          <w:color w:val="auto"/>
          <w:sz w:val="22"/>
          <w:szCs w:val="22"/>
          <w:highlight w:val="none"/>
        </w:rPr>
        <w:t>评标委员会成员对各投标人的各项评分内容评分合计值的算术平均值为该投标人商务技术文件的最终得分（四舍五入，保留小数点后二位）。</w:t>
      </w:r>
    </w:p>
    <w:tbl>
      <w:tblPr>
        <w:tblStyle w:val="5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26"/>
        <w:gridCol w:w="1319"/>
        <w:gridCol w:w="1077"/>
        <w:gridCol w:w="4694"/>
        <w:gridCol w:w="1143"/>
      </w:tblGrid>
      <w:tr w14:paraId="1F01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Align w:val="center"/>
          </w:tcPr>
          <w:p w14:paraId="6F7EB225">
            <w:pPr>
              <w:snapToGrid w:val="0"/>
              <w:spacing w:line="460" w:lineRule="exact"/>
              <w:jc w:val="center"/>
              <w:rPr>
                <w:rFonts w:eastAsia="新宋体"/>
                <w:color w:val="auto"/>
                <w:sz w:val="22"/>
                <w:szCs w:val="22"/>
                <w:highlight w:val="none"/>
              </w:rPr>
            </w:pPr>
            <w:r>
              <w:rPr>
                <w:rFonts w:eastAsia="新宋体"/>
                <w:color w:val="auto"/>
                <w:sz w:val="22"/>
                <w:szCs w:val="22"/>
                <w:highlight w:val="none"/>
              </w:rPr>
              <w:t>序号</w:t>
            </w:r>
          </w:p>
        </w:tc>
        <w:tc>
          <w:tcPr>
            <w:tcW w:w="1191" w:type="pct"/>
            <w:gridSpan w:val="2"/>
            <w:vAlign w:val="center"/>
          </w:tcPr>
          <w:p w14:paraId="303385A3">
            <w:pPr>
              <w:snapToGrid w:val="0"/>
              <w:spacing w:line="460" w:lineRule="exact"/>
              <w:jc w:val="center"/>
              <w:rPr>
                <w:rFonts w:eastAsia="新宋体"/>
                <w:color w:val="auto"/>
                <w:sz w:val="22"/>
                <w:szCs w:val="22"/>
                <w:highlight w:val="none"/>
              </w:rPr>
            </w:pPr>
            <w:r>
              <w:rPr>
                <w:rFonts w:eastAsia="新宋体"/>
                <w:color w:val="auto"/>
                <w:sz w:val="22"/>
                <w:szCs w:val="22"/>
                <w:highlight w:val="none"/>
              </w:rPr>
              <w:t>评分项目</w:t>
            </w:r>
          </w:p>
        </w:tc>
        <w:tc>
          <w:tcPr>
            <w:tcW w:w="547" w:type="pct"/>
            <w:vAlign w:val="center"/>
          </w:tcPr>
          <w:p w14:paraId="04361F69">
            <w:pPr>
              <w:snapToGrid w:val="0"/>
              <w:spacing w:line="460" w:lineRule="exact"/>
              <w:jc w:val="center"/>
              <w:rPr>
                <w:rFonts w:eastAsia="新宋体"/>
                <w:color w:val="auto"/>
                <w:sz w:val="22"/>
                <w:szCs w:val="22"/>
                <w:highlight w:val="none"/>
              </w:rPr>
            </w:pPr>
            <w:r>
              <w:rPr>
                <w:rFonts w:eastAsia="新宋体"/>
                <w:color w:val="auto"/>
                <w:sz w:val="22"/>
                <w:szCs w:val="22"/>
                <w:highlight w:val="none"/>
              </w:rPr>
              <w:t>分值（分）</w:t>
            </w:r>
          </w:p>
        </w:tc>
        <w:tc>
          <w:tcPr>
            <w:tcW w:w="2384" w:type="pct"/>
            <w:vAlign w:val="center"/>
          </w:tcPr>
          <w:p w14:paraId="483B9E2B">
            <w:pPr>
              <w:snapToGrid w:val="0"/>
              <w:spacing w:line="460" w:lineRule="exact"/>
              <w:jc w:val="center"/>
              <w:rPr>
                <w:rFonts w:eastAsia="新宋体"/>
                <w:color w:val="auto"/>
                <w:sz w:val="22"/>
                <w:szCs w:val="22"/>
                <w:highlight w:val="none"/>
              </w:rPr>
            </w:pPr>
            <w:r>
              <w:rPr>
                <w:rFonts w:eastAsia="新宋体"/>
                <w:color w:val="auto"/>
                <w:sz w:val="22"/>
                <w:szCs w:val="22"/>
                <w:highlight w:val="none"/>
              </w:rPr>
              <w:t>评分标准</w:t>
            </w:r>
          </w:p>
        </w:tc>
        <w:tc>
          <w:tcPr>
            <w:tcW w:w="581" w:type="pct"/>
            <w:vAlign w:val="center"/>
          </w:tcPr>
          <w:p w14:paraId="48B1BE75">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备注</w:t>
            </w:r>
          </w:p>
        </w:tc>
      </w:tr>
      <w:tr w14:paraId="6913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Merge w:val="restart"/>
            <w:vAlign w:val="center"/>
          </w:tcPr>
          <w:p w14:paraId="2922334F">
            <w:pPr>
              <w:snapToGrid w:val="0"/>
              <w:spacing w:line="460" w:lineRule="exact"/>
              <w:jc w:val="center"/>
              <w:rPr>
                <w:rFonts w:eastAsia="新宋体"/>
                <w:color w:val="auto"/>
                <w:sz w:val="22"/>
                <w:szCs w:val="22"/>
                <w:highlight w:val="none"/>
              </w:rPr>
            </w:pPr>
            <w:r>
              <w:rPr>
                <w:rFonts w:eastAsia="新宋体"/>
                <w:color w:val="auto"/>
                <w:sz w:val="22"/>
                <w:szCs w:val="22"/>
                <w:highlight w:val="none"/>
              </w:rPr>
              <w:t>1</w:t>
            </w:r>
          </w:p>
        </w:tc>
        <w:tc>
          <w:tcPr>
            <w:tcW w:w="521" w:type="pct"/>
            <w:vMerge w:val="restart"/>
            <w:vAlign w:val="center"/>
          </w:tcPr>
          <w:p w14:paraId="28BC0223">
            <w:pPr>
              <w:snapToGrid w:val="0"/>
              <w:spacing w:line="460" w:lineRule="exact"/>
              <w:jc w:val="center"/>
              <w:rPr>
                <w:rFonts w:eastAsia="新宋体"/>
                <w:color w:val="auto"/>
                <w:sz w:val="22"/>
                <w:szCs w:val="22"/>
                <w:highlight w:val="none"/>
              </w:rPr>
            </w:pPr>
            <w:r>
              <w:rPr>
                <w:rFonts w:eastAsia="新宋体"/>
                <w:color w:val="auto"/>
                <w:sz w:val="22"/>
                <w:szCs w:val="22"/>
                <w:highlight w:val="none"/>
              </w:rPr>
              <w:t>供应商场地情况</w:t>
            </w:r>
          </w:p>
        </w:tc>
        <w:tc>
          <w:tcPr>
            <w:tcW w:w="669" w:type="pct"/>
            <w:vAlign w:val="center"/>
          </w:tcPr>
          <w:p w14:paraId="5F209FD7">
            <w:pPr>
              <w:snapToGrid w:val="0"/>
              <w:spacing w:line="460" w:lineRule="exact"/>
              <w:jc w:val="center"/>
              <w:rPr>
                <w:rFonts w:eastAsia="新宋体"/>
                <w:color w:val="auto"/>
                <w:sz w:val="22"/>
                <w:szCs w:val="22"/>
                <w:highlight w:val="none"/>
              </w:rPr>
            </w:pPr>
            <w:r>
              <w:rPr>
                <w:rFonts w:eastAsia="新宋体"/>
                <w:color w:val="auto"/>
                <w:sz w:val="22"/>
                <w:szCs w:val="22"/>
                <w:highlight w:val="none"/>
              </w:rPr>
              <w:t>仓库配置能力</w:t>
            </w:r>
          </w:p>
        </w:tc>
        <w:tc>
          <w:tcPr>
            <w:tcW w:w="547" w:type="pct"/>
            <w:vAlign w:val="center"/>
          </w:tcPr>
          <w:p w14:paraId="7909C5B6">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8</w:t>
            </w:r>
          </w:p>
        </w:tc>
        <w:tc>
          <w:tcPr>
            <w:tcW w:w="2384" w:type="pct"/>
            <w:vAlign w:val="center"/>
          </w:tcPr>
          <w:p w14:paraId="0DD80CA8">
            <w:pPr>
              <w:snapToGrid w:val="0"/>
              <w:spacing w:line="460" w:lineRule="exact"/>
              <w:rPr>
                <w:rFonts w:eastAsia="新宋体"/>
                <w:color w:val="auto"/>
                <w:sz w:val="22"/>
                <w:szCs w:val="22"/>
                <w:highlight w:val="none"/>
              </w:rPr>
            </w:pPr>
            <w:r>
              <w:rPr>
                <w:rFonts w:eastAsia="新宋体"/>
                <w:color w:val="auto"/>
                <w:sz w:val="22"/>
                <w:szCs w:val="22"/>
                <w:highlight w:val="none"/>
              </w:rPr>
              <w:t>根据投标供应商企业经营场所功能区</w:t>
            </w:r>
            <w:r>
              <w:rPr>
                <w:rFonts w:hint="eastAsia" w:eastAsia="新宋体"/>
                <w:color w:val="auto"/>
                <w:sz w:val="22"/>
                <w:szCs w:val="22"/>
                <w:highlight w:val="none"/>
                <w:lang w:val="en-US" w:eastAsia="zh-CN"/>
              </w:rPr>
              <w:t>配置</w:t>
            </w:r>
            <w:r>
              <w:rPr>
                <w:rFonts w:eastAsia="新宋体"/>
                <w:color w:val="auto"/>
                <w:sz w:val="22"/>
                <w:szCs w:val="22"/>
                <w:highlight w:val="none"/>
              </w:rPr>
              <w:t>及</w:t>
            </w:r>
            <w:r>
              <w:rPr>
                <w:rFonts w:hint="eastAsia" w:eastAsia="新宋体"/>
                <w:color w:val="auto"/>
                <w:sz w:val="22"/>
                <w:szCs w:val="22"/>
                <w:highlight w:val="none"/>
                <w:lang w:val="en-US" w:eastAsia="zh-CN"/>
              </w:rPr>
              <w:t>各功能区</w:t>
            </w:r>
            <w:r>
              <w:rPr>
                <w:rFonts w:eastAsia="新宋体"/>
                <w:color w:val="auto"/>
                <w:sz w:val="22"/>
                <w:szCs w:val="22"/>
                <w:highlight w:val="none"/>
              </w:rPr>
              <w:t>配套设施</w:t>
            </w:r>
            <w:r>
              <w:rPr>
                <w:rFonts w:hint="eastAsia" w:eastAsia="新宋体"/>
                <w:color w:val="auto"/>
                <w:sz w:val="22"/>
                <w:szCs w:val="22"/>
                <w:highlight w:val="none"/>
                <w:lang w:val="en-US" w:eastAsia="zh-CN"/>
              </w:rPr>
              <w:t>完善齐全程度、布局科学合理</w:t>
            </w:r>
            <w:r>
              <w:rPr>
                <w:rFonts w:eastAsia="新宋体"/>
                <w:color w:val="auto"/>
                <w:sz w:val="22"/>
                <w:szCs w:val="22"/>
                <w:highlight w:val="none"/>
              </w:rPr>
              <w:t>情况 (如办公区、冷冻区、恒温保鲜库、分拣车间、副食品仓储、检验室等配套设施)，综合</w:t>
            </w:r>
            <w:r>
              <w:rPr>
                <w:rFonts w:hint="eastAsia" w:eastAsia="新宋体"/>
                <w:color w:val="auto"/>
                <w:sz w:val="22"/>
                <w:szCs w:val="22"/>
                <w:highlight w:val="none"/>
                <w:lang w:val="en-US" w:eastAsia="zh-CN"/>
              </w:rPr>
              <w:t>量化</w:t>
            </w:r>
            <w:r>
              <w:rPr>
                <w:rFonts w:eastAsia="新宋体"/>
                <w:color w:val="auto"/>
                <w:sz w:val="22"/>
                <w:szCs w:val="22"/>
                <w:highlight w:val="none"/>
              </w:rPr>
              <w:t>打分</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8，6，4，2，0分</w:t>
            </w:r>
            <w:r>
              <w:rPr>
                <w:rFonts w:hint="eastAsia" w:eastAsia="新宋体"/>
                <w:color w:val="auto"/>
                <w:sz w:val="22"/>
                <w:szCs w:val="22"/>
                <w:highlight w:val="none"/>
                <w:lang w:eastAsia="zh-CN"/>
              </w:rPr>
              <w:t>）</w:t>
            </w:r>
          </w:p>
          <w:p w14:paraId="5B3F2AB3">
            <w:pPr>
              <w:snapToGrid w:val="0"/>
              <w:spacing w:line="460" w:lineRule="exact"/>
              <w:rPr>
                <w:rFonts w:eastAsia="新宋体"/>
                <w:color w:val="auto"/>
                <w:sz w:val="22"/>
                <w:szCs w:val="22"/>
                <w:highlight w:val="none"/>
              </w:rPr>
            </w:pPr>
            <w:r>
              <w:rPr>
                <w:rFonts w:eastAsia="新宋体"/>
                <w:b/>
                <w:bCs/>
                <w:color w:val="auto"/>
                <w:sz w:val="22"/>
                <w:szCs w:val="22"/>
                <w:highlight w:val="none"/>
              </w:rPr>
              <w:t>注：投标供应商需提供房产证或房屋租赁合同复印件加盖公章及现场平面布局图及图片。</w:t>
            </w:r>
          </w:p>
        </w:tc>
        <w:tc>
          <w:tcPr>
            <w:tcW w:w="581" w:type="pct"/>
            <w:vAlign w:val="center"/>
          </w:tcPr>
          <w:p w14:paraId="0CA89B76">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3CC9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Merge w:val="continue"/>
            <w:vAlign w:val="center"/>
          </w:tcPr>
          <w:p w14:paraId="5DD38300">
            <w:pPr>
              <w:snapToGrid w:val="0"/>
              <w:spacing w:line="460" w:lineRule="exact"/>
              <w:ind w:firstLine="220" w:firstLineChars="100"/>
              <w:jc w:val="center"/>
              <w:rPr>
                <w:rFonts w:eastAsia="新宋体"/>
                <w:color w:val="auto"/>
                <w:sz w:val="22"/>
                <w:szCs w:val="22"/>
                <w:highlight w:val="none"/>
              </w:rPr>
            </w:pPr>
          </w:p>
        </w:tc>
        <w:tc>
          <w:tcPr>
            <w:tcW w:w="521" w:type="pct"/>
            <w:vMerge w:val="continue"/>
            <w:vAlign w:val="center"/>
          </w:tcPr>
          <w:p w14:paraId="44A38766">
            <w:pPr>
              <w:snapToGrid w:val="0"/>
              <w:spacing w:line="460" w:lineRule="exact"/>
              <w:jc w:val="center"/>
              <w:rPr>
                <w:rFonts w:eastAsia="新宋体"/>
                <w:color w:val="auto"/>
                <w:sz w:val="22"/>
                <w:szCs w:val="22"/>
                <w:highlight w:val="none"/>
              </w:rPr>
            </w:pPr>
          </w:p>
        </w:tc>
        <w:tc>
          <w:tcPr>
            <w:tcW w:w="669" w:type="pct"/>
            <w:vAlign w:val="center"/>
          </w:tcPr>
          <w:p w14:paraId="499AAC0B">
            <w:pPr>
              <w:snapToGrid w:val="0"/>
              <w:spacing w:line="460" w:lineRule="exact"/>
              <w:jc w:val="center"/>
              <w:rPr>
                <w:rFonts w:eastAsia="新宋体"/>
                <w:color w:val="auto"/>
                <w:sz w:val="22"/>
                <w:szCs w:val="22"/>
                <w:highlight w:val="none"/>
              </w:rPr>
            </w:pPr>
            <w:r>
              <w:rPr>
                <w:rFonts w:eastAsia="新宋体"/>
                <w:color w:val="auto"/>
                <w:sz w:val="22"/>
                <w:szCs w:val="22"/>
                <w:highlight w:val="none"/>
              </w:rPr>
              <w:t>企业经营配套设施</w:t>
            </w:r>
          </w:p>
        </w:tc>
        <w:tc>
          <w:tcPr>
            <w:tcW w:w="547" w:type="pct"/>
            <w:vAlign w:val="center"/>
          </w:tcPr>
          <w:p w14:paraId="147171E9">
            <w:pPr>
              <w:snapToGrid w:val="0"/>
              <w:spacing w:line="460" w:lineRule="exact"/>
              <w:jc w:val="center"/>
              <w:rPr>
                <w:rFonts w:eastAsia="新宋体"/>
                <w:color w:val="auto"/>
                <w:sz w:val="22"/>
                <w:szCs w:val="22"/>
                <w:highlight w:val="none"/>
              </w:rPr>
            </w:pPr>
            <w:r>
              <w:rPr>
                <w:rFonts w:eastAsia="新宋体"/>
                <w:color w:val="auto"/>
                <w:sz w:val="22"/>
                <w:szCs w:val="22"/>
                <w:highlight w:val="none"/>
              </w:rPr>
              <w:t>0-8</w:t>
            </w:r>
          </w:p>
        </w:tc>
        <w:tc>
          <w:tcPr>
            <w:tcW w:w="2384" w:type="pct"/>
            <w:vAlign w:val="center"/>
          </w:tcPr>
          <w:p w14:paraId="0F4A2C85">
            <w:pPr>
              <w:snapToGrid w:val="0"/>
              <w:spacing w:line="460" w:lineRule="exact"/>
              <w:rPr>
                <w:rFonts w:eastAsia="新宋体"/>
                <w:color w:val="auto"/>
                <w:sz w:val="22"/>
                <w:szCs w:val="22"/>
                <w:highlight w:val="none"/>
              </w:rPr>
            </w:pPr>
            <w:r>
              <w:rPr>
                <w:rFonts w:eastAsia="新宋体"/>
                <w:color w:val="auto"/>
                <w:sz w:val="22"/>
                <w:szCs w:val="22"/>
                <w:highlight w:val="none"/>
              </w:rPr>
              <w:t>根据投标供应商企业经营配套设施：企业自有蔬菜种植生产基地或源头采购合作基地</w:t>
            </w:r>
            <w:r>
              <w:rPr>
                <w:rFonts w:hint="eastAsia" w:eastAsia="新宋体"/>
                <w:color w:val="auto"/>
                <w:sz w:val="22"/>
                <w:szCs w:val="22"/>
                <w:highlight w:val="none"/>
                <w:lang w:val="en-US" w:eastAsia="zh-CN"/>
              </w:rPr>
              <w:t>数量、规模、质量、覆盖范围等各方面满足采购需求</w:t>
            </w:r>
            <w:r>
              <w:rPr>
                <w:rFonts w:eastAsia="新宋体"/>
                <w:color w:val="auto"/>
                <w:sz w:val="22"/>
                <w:szCs w:val="22"/>
                <w:highlight w:val="none"/>
              </w:rPr>
              <w:t>情况综合</w:t>
            </w:r>
            <w:r>
              <w:rPr>
                <w:rFonts w:hint="eastAsia" w:eastAsia="新宋体"/>
                <w:color w:val="auto"/>
                <w:sz w:val="22"/>
                <w:szCs w:val="22"/>
                <w:highlight w:val="none"/>
                <w:lang w:val="en-US" w:eastAsia="zh-CN"/>
              </w:rPr>
              <w:t>量化</w:t>
            </w:r>
            <w:r>
              <w:rPr>
                <w:rFonts w:eastAsia="新宋体"/>
                <w:color w:val="auto"/>
                <w:sz w:val="22"/>
                <w:szCs w:val="22"/>
                <w:highlight w:val="none"/>
              </w:rPr>
              <w:t>打分。</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8，6，4，2，0分</w:t>
            </w:r>
            <w:r>
              <w:rPr>
                <w:rFonts w:hint="eastAsia" w:eastAsia="新宋体"/>
                <w:color w:val="auto"/>
                <w:sz w:val="22"/>
                <w:szCs w:val="22"/>
                <w:highlight w:val="none"/>
                <w:lang w:eastAsia="zh-CN"/>
              </w:rPr>
              <w:t>）</w:t>
            </w:r>
            <w:r>
              <w:rPr>
                <w:rFonts w:eastAsia="新宋体"/>
                <w:color w:val="auto"/>
                <w:sz w:val="22"/>
                <w:szCs w:val="22"/>
                <w:highlight w:val="none"/>
              </w:rPr>
              <w:t>。</w:t>
            </w:r>
          </w:p>
          <w:p w14:paraId="29ED39E2">
            <w:pPr>
              <w:snapToGrid w:val="0"/>
              <w:spacing w:line="460" w:lineRule="exact"/>
              <w:rPr>
                <w:rFonts w:eastAsia="新宋体"/>
                <w:color w:val="auto"/>
                <w:sz w:val="22"/>
                <w:szCs w:val="22"/>
                <w:highlight w:val="none"/>
              </w:rPr>
            </w:pPr>
            <w:r>
              <w:rPr>
                <w:rFonts w:eastAsia="新宋体"/>
                <w:b/>
                <w:bCs/>
                <w:color w:val="auto"/>
                <w:sz w:val="22"/>
                <w:szCs w:val="22"/>
                <w:highlight w:val="none"/>
              </w:rPr>
              <w:t>注：投标供应商需提供基地相关证明文件复印件加盖公章</w:t>
            </w:r>
          </w:p>
        </w:tc>
        <w:tc>
          <w:tcPr>
            <w:tcW w:w="581" w:type="pct"/>
            <w:vAlign w:val="center"/>
          </w:tcPr>
          <w:p w14:paraId="0DC7A2E8">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2126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Align w:val="center"/>
          </w:tcPr>
          <w:p w14:paraId="3DCD1F79">
            <w:pPr>
              <w:snapToGrid w:val="0"/>
              <w:spacing w:line="460" w:lineRule="exact"/>
              <w:ind w:firstLine="220" w:firstLineChars="100"/>
              <w:jc w:val="center"/>
              <w:rPr>
                <w:rFonts w:eastAsia="新宋体"/>
                <w:color w:val="auto"/>
                <w:sz w:val="22"/>
                <w:szCs w:val="22"/>
                <w:highlight w:val="none"/>
              </w:rPr>
            </w:pPr>
            <w:r>
              <w:rPr>
                <w:rFonts w:eastAsia="新宋体"/>
                <w:color w:val="auto"/>
                <w:sz w:val="22"/>
                <w:szCs w:val="22"/>
                <w:highlight w:val="none"/>
              </w:rPr>
              <w:t>2</w:t>
            </w:r>
          </w:p>
        </w:tc>
        <w:tc>
          <w:tcPr>
            <w:tcW w:w="1191" w:type="pct"/>
            <w:gridSpan w:val="2"/>
            <w:vAlign w:val="center"/>
          </w:tcPr>
          <w:p w14:paraId="1DC5E057">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体系</w:t>
            </w:r>
            <w:r>
              <w:rPr>
                <w:rFonts w:eastAsia="新宋体"/>
                <w:color w:val="auto"/>
                <w:sz w:val="22"/>
                <w:szCs w:val="22"/>
                <w:highlight w:val="none"/>
              </w:rPr>
              <w:t>认证证书</w:t>
            </w:r>
          </w:p>
        </w:tc>
        <w:tc>
          <w:tcPr>
            <w:tcW w:w="547" w:type="pct"/>
            <w:vAlign w:val="center"/>
          </w:tcPr>
          <w:p w14:paraId="569FA81B">
            <w:pPr>
              <w:snapToGrid w:val="0"/>
              <w:spacing w:line="460" w:lineRule="exact"/>
              <w:jc w:val="center"/>
              <w:rPr>
                <w:rFonts w:eastAsia="新宋体"/>
                <w:color w:val="auto"/>
                <w:sz w:val="22"/>
                <w:szCs w:val="22"/>
                <w:highlight w:val="none"/>
              </w:rPr>
            </w:pPr>
            <w:r>
              <w:rPr>
                <w:rFonts w:eastAsia="新宋体"/>
                <w:color w:val="auto"/>
                <w:sz w:val="22"/>
                <w:szCs w:val="22"/>
                <w:highlight w:val="none"/>
              </w:rPr>
              <w:t>0-6</w:t>
            </w:r>
          </w:p>
        </w:tc>
        <w:tc>
          <w:tcPr>
            <w:tcW w:w="2384" w:type="pct"/>
            <w:vAlign w:val="center"/>
          </w:tcPr>
          <w:p w14:paraId="6157F4E9">
            <w:pPr>
              <w:snapToGrid w:val="0"/>
              <w:spacing w:line="460" w:lineRule="exact"/>
              <w:rPr>
                <w:rFonts w:eastAsia="新宋体"/>
                <w:color w:val="auto"/>
                <w:sz w:val="22"/>
                <w:szCs w:val="22"/>
                <w:highlight w:val="none"/>
              </w:rPr>
            </w:pPr>
            <w:r>
              <w:rPr>
                <w:rFonts w:eastAsia="新宋体"/>
                <w:color w:val="auto"/>
                <w:sz w:val="22"/>
                <w:szCs w:val="22"/>
                <w:highlight w:val="none"/>
              </w:rPr>
              <w:t>（1）具备ISO9001质量管理体系认证证书得1分，</w:t>
            </w:r>
          </w:p>
          <w:p w14:paraId="515492BD">
            <w:pPr>
              <w:snapToGrid w:val="0"/>
              <w:spacing w:line="460" w:lineRule="exact"/>
              <w:rPr>
                <w:rFonts w:eastAsia="新宋体"/>
                <w:color w:val="auto"/>
                <w:sz w:val="22"/>
                <w:szCs w:val="22"/>
                <w:highlight w:val="none"/>
              </w:rPr>
            </w:pPr>
            <w:r>
              <w:rPr>
                <w:rFonts w:eastAsia="新宋体"/>
                <w:color w:val="auto"/>
                <w:sz w:val="22"/>
                <w:szCs w:val="22"/>
                <w:highlight w:val="none"/>
              </w:rPr>
              <w:t>（2）具有ISO14001环境管理体系认证证书得1分，</w:t>
            </w:r>
          </w:p>
          <w:p w14:paraId="49A57C13">
            <w:pPr>
              <w:snapToGrid w:val="0"/>
              <w:spacing w:line="460" w:lineRule="exact"/>
              <w:rPr>
                <w:rFonts w:eastAsia="新宋体"/>
                <w:color w:val="auto"/>
                <w:sz w:val="22"/>
                <w:szCs w:val="22"/>
                <w:highlight w:val="none"/>
              </w:rPr>
            </w:pPr>
            <w:r>
              <w:rPr>
                <w:rFonts w:eastAsia="新宋体"/>
                <w:color w:val="auto"/>
                <w:sz w:val="22"/>
                <w:szCs w:val="22"/>
                <w:highlight w:val="none"/>
              </w:rPr>
              <w:t>（3）具备OHSAS18001或者ISO45001职业健康安全管理体系认证证书得1分，</w:t>
            </w:r>
          </w:p>
          <w:p w14:paraId="6EFBF812">
            <w:pPr>
              <w:snapToGrid w:val="0"/>
              <w:spacing w:line="460" w:lineRule="exact"/>
              <w:rPr>
                <w:rFonts w:eastAsia="新宋体"/>
                <w:color w:val="auto"/>
                <w:sz w:val="22"/>
                <w:szCs w:val="22"/>
                <w:highlight w:val="none"/>
              </w:rPr>
            </w:pPr>
            <w:r>
              <w:rPr>
                <w:rFonts w:eastAsia="新宋体"/>
                <w:color w:val="auto"/>
                <w:sz w:val="22"/>
                <w:szCs w:val="22"/>
                <w:highlight w:val="none"/>
              </w:rPr>
              <w:t>（4）具备ISO22000食品安全管理体系认证证书得1分。</w:t>
            </w:r>
          </w:p>
          <w:p w14:paraId="1FAC76C9">
            <w:pPr>
              <w:snapToGrid w:val="0"/>
              <w:spacing w:line="460" w:lineRule="exact"/>
              <w:rPr>
                <w:rFonts w:eastAsia="新宋体"/>
                <w:color w:val="auto"/>
                <w:sz w:val="22"/>
                <w:szCs w:val="22"/>
                <w:highlight w:val="none"/>
              </w:rPr>
            </w:pPr>
            <w:r>
              <w:rPr>
                <w:rFonts w:eastAsia="新宋体"/>
                <w:color w:val="auto"/>
                <w:sz w:val="22"/>
                <w:szCs w:val="22"/>
                <w:highlight w:val="none"/>
              </w:rPr>
              <w:t>（5）具有有效的餐饮配送服务认证证书的得1分；</w:t>
            </w:r>
          </w:p>
          <w:p w14:paraId="7EFE8EFD">
            <w:pPr>
              <w:snapToGrid w:val="0"/>
              <w:spacing w:line="460" w:lineRule="exact"/>
              <w:rPr>
                <w:rFonts w:eastAsia="新宋体"/>
                <w:color w:val="auto"/>
                <w:sz w:val="22"/>
                <w:szCs w:val="22"/>
                <w:highlight w:val="none"/>
              </w:rPr>
            </w:pPr>
            <w:r>
              <w:rPr>
                <w:rFonts w:eastAsia="新宋体"/>
                <w:color w:val="auto"/>
                <w:sz w:val="22"/>
                <w:szCs w:val="22"/>
                <w:highlight w:val="none"/>
              </w:rPr>
              <w:t>（6）具有有效的供应链安全管理体系认证证书的得1分</w:t>
            </w:r>
          </w:p>
          <w:p w14:paraId="6BCC6763">
            <w:pPr>
              <w:snapToGrid w:val="0"/>
              <w:spacing w:line="460" w:lineRule="exact"/>
              <w:rPr>
                <w:rFonts w:eastAsia="新宋体"/>
                <w:color w:val="auto"/>
                <w:sz w:val="22"/>
                <w:szCs w:val="22"/>
                <w:highlight w:val="none"/>
              </w:rPr>
            </w:pPr>
            <w:r>
              <w:rPr>
                <w:rFonts w:eastAsia="新宋体"/>
                <w:b/>
                <w:bCs/>
                <w:color w:val="auto"/>
                <w:sz w:val="22"/>
                <w:szCs w:val="22"/>
                <w:highlight w:val="none"/>
              </w:rPr>
              <w:t>注：提供</w:t>
            </w:r>
            <w:r>
              <w:rPr>
                <w:rFonts w:hint="eastAsia" w:eastAsia="新宋体"/>
                <w:b/>
                <w:bCs/>
                <w:color w:val="auto"/>
                <w:sz w:val="22"/>
                <w:szCs w:val="22"/>
                <w:highlight w:val="none"/>
              </w:rPr>
              <w:t>有效</w:t>
            </w:r>
            <w:r>
              <w:rPr>
                <w:rFonts w:eastAsia="新宋体"/>
                <w:b/>
                <w:bCs/>
                <w:color w:val="auto"/>
                <w:sz w:val="22"/>
                <w:szCs w:val="22"/>
                <w:highlight w:val="none"/>
              </w:rPr>
              <w:t>认证证书复印件和中国认监委网站查询页面截图加盖投标供应商公章，否则不得分。</w:t>
            </w:r>
          </w:p>
        </w:tc>
        <w:tc>
          <w:tcPr>
            <w:tcW w:w="581" w:type="pct"/>
            <w:vAlign w:val="center"/>
          </w:tcPr>
          <w:p w14:paraId="7DD0FAF3">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355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Align w:val="center"/>
          </w:tcPr>
          <w:p w14:paraId="70C38D20">
            <w:pPr>
              <w:snapToGrid w:val="0"/>
              <w:spacing w:line="460" w:lineRule="exact"/>
              <w:ind w:firstLine="110" w:firstLineChars="50"/>
              <w:jc w:val="center"/>
              <w:rPr>
                <w:rFonts w:eastAsia="新宋体"/>
                <w:color w:val="auto"/>
                <w:sz w:val="22"/>
                <w:szCs w:val="22"/>
                <w:highlight w:val="none"/>
              </w:rPr>
            </w:pPr>
            <w:r>
              <w:rPr>
                <w:rFonts w:eastAsia="新宋体"/>
                <w:color w:val="auto"/>
                <w:sz w:val="22"/>
                <w:szCs w:val="22"/>
                <w:highlight w:val="none"/>
              </w:rPr>
              <w:t>3</w:t>
            </w:r>
          </w:p>
        </w:tc>
        <w:tc>
          <w:tcPr>
            <w:tcW w:w="1191" w:type="pct"/>
            <w:gridSpan w:val="2"/>
            <w:vAlign w:val="center"/>
          </w:tcPr>
          <w:p w14:paraId="02E88563">
            <w:pPr>
              <w:snapToGrid w:val="0"/>
              <w:spacing w:line="460" w:lineRule="exact"/>
              <w:jc w:val="center"/>
              <w:rPr>
                <w:rFonts w:eastAsia="新宋体"/>
                <w:color w:val="auto"/>
                <w:sz w:val="22"/>
                <w:szCs w:val="22"/>
                <w:highlight w:val="none"/>
              </w:rPr>
            </w:pPr>
            <w:r>
              <w:rPr>
                <w:rFonts w:eastAsia="新宋体"/>
                <w:color w:val="auto"/>
                <w:sz w:val="22"/>
                <w:szCs w:val="22"/>
                <w:highlight w:val="none"/>
              </w:rPr>
              <w:t>项目案例业绩</w:t>
            </w:r>
          </w:p>
        </w:tc>
        <w:tc>
          <w:tcPr>
            <w:tcW w:w="547" w:type="pct"/>
            <w:vAlign w:val="center"/>
          </w:tcPr>
          <w:p w14:paraId="104E26E0">
            <w:pPr>
              <w:snapToGrid w:val="0"/>
              <w:spacing w:line="460" w:lineRule="exact"/>
              <w:jc w:val="center"/>
              <w:rPr>
                <w:rFonts w:eastAsia="新宋体"/>
                <w:color w:val="auto"/>
                <w:sz w:val="22"/>
                <w:szCs w:val="22"/>
                <w:highlight w:val="none"/>
              </w:rPr>
            </w:pPr>
            <w:r>
              <w:rPr>
                <w:rFonts w:eastAsia="新宋体"/>
                <w:color w:val="auto"/>
                <w:sz w:val="22"/>
                <w:szCs w:val="22"/>
                <w:highlight w:val="none"/>
              </w:rPr>
              <w:t>0-1</w:t>
            </w:r>
          </w:p>
        </w:tc>
        <w:tc>
          <w:tcPr>
            <w:tcW w:w="2384" w:type="pct"/>
            <w:vAlign w:val="center"/>
          </w:tcPr>
          <w:p w14:paraId="269D91CD">
            <w:pPr>
              <w:snapToGrid w:val="0"/>
              <w:spacing w:line="460" w:lineRule="exact"/>
              <w:rPr>
                <w:rFonts w:eastAsia="新宋体"/>
                <w:color w:val="auto"/>
                <w:sz w:val="22"/>
                <w:szCs w:val="22"/>
                <w:highlight w:val="none"/>
              </w:rPr>
            </w:pPr>
            <w:r>
              <w:rPr>
                <w:rFonts w:eastAsia="新宋体"/>
                <w:color w:val="auto"/>
                <w:sz w:val="22"/>
                <w:szCs w:val="22"/>
                <w:highlight w:val="none"/>
              </w:rPr>
              <w:t>202</w:t>
            </w:r>
            <w:r>
              <w:rPr>
                <w:rFonts w:hint="eastAsia" w:eastAsia="新宋体"/>
                <w:color w:val="auto"/>
                <w:sz w:val="22"/>
                <w:szCs w:val="22"/>
                <w:highlight w:val="none"/>
              </w:rPr>
              <w:t>2</w:t>
            </w:r>
            <w:r>
              <w:rPr>
                <w:rFonts w:eastAsia="新宋体"/>
                <w:color w:val="auto"/>
                <w:sz w:val="22"/>
                <w:szCs w:val="22"/>
                <w:highlight w:val="none"/>
              </w:rPr>
              <w:t>年1月1日至今（以合同签订时间为准）承担过类似食堂食材采购及配送服务业绩情况，每提供1个业绩的0.5分，最高得1分。</w:t>
            </w:r>
          </w:p>
          <w:p w14:paraId="1695E88C">
            <w:pPr>
              <w:snapToGrid w:val="0"/>
              <w:spacing w:line="460" w:lineRule="exact"/>
              <w:rPr>
                <w:rFonts w:eastAsia="新宋体"/>
                <w:color w:val="auto"/>
                <w:sz w:val="22"/>
                <w:szCs w:val="22"/>
                <w:highlight w:val="none"/>
              </w:rPr>
            </w:pPr>
            <w:r>
              <w:rPr>
                <w:rFonts w:eastAsia="新宋体"/>
                <w:b/>
                <w:bCs/>
                <w:color w:val="auto"/>
                <w:sz w:val="22"/>
                <w:szCs w:val="22"/>
                <w:highlight w:val="none"/>
              </w:rPr>
              <w:t>注：需提供合同、中标通知书及任一期发票扫描件，否则不得分。</w:t>
            </w:r>
          </w:p>
        </w:tc>
        <w:tc>
          <w:tcPr>
            <w:tcW w:w="581" w:type="pct"/>
            <w:vAlign w:val="center"/>
          </w:tcPr>
          <w:p w14:paraId="7DED1BF9">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790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Merge w:val="restart"/>
            <w:vAlign w:val="center"/>
          </w:tcPr>
          <w:p w14:paraId="525E23C2">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4</w:t>
            </w:r>
          </w:p>
        </w:tc>
        <w:tc>
          <w:tcPr>
            <w:tcW w:w="1191" w:type="pct"/>
            <w:gridSpan w:val="2"/>
            <w:vMerge w:val="restart"/>
            <w:vAlign w:val="center"/>
          </w:tcPr>
          <w:p w14:paraId="463FDBCD">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供货服务方案及保障措施</w:t>
            </w:r>
          </w:p>
        </w:tc>
        <w:tc>
          <w:tcPr>
            <w:tcW w:w="547" w:type="pct"/>
            <w:vAlign w:val="center"/>
          </w:tcPr>
          <w:p w14:paraId="02BD5C1A">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5</w:t>
            </w:r>
          </w:p>
        </w:tc>
        <w:tc>
          <w:tcPr>
            <w:tcW w:w="2384" w:type="pct"/>
            <w:vAlign w:val="center"/>
          </w:tcPr>
          <w:p w14:paraId="05C67ADB">
            <w:pPr>
              <w:snapToGrid w:val="0"/>
              <w:spacing w:line="460" w:lineRule="exact"/>
              <w:rPr>
                <w:rFonts w:eastAsia="新宋体"/>
                <w:color w:val="auto"/>
                <w:sz w:val="22"/>
                <w:szCs w:val="22"/>
                <w:highlight w:val="none"/>
              </w:rPr>
            </w:pPr>
            <w:r>
              <w:rPr>
                <w:rFonts w:eastAsia="新宋体"/>
                <w:color w:val="auto"/>
                <w:sz w:val="22"/>
                <w:szCs w:val="22"/>
                <w:highlight w:val="none"/>
              </w:rPr>
              <w:t>承诺遇退、换货在30分钟内响应并完成的得5分，在1小时内响应并完成的得3分，在2小时内响应并完成的得1分，超过2小时的不得分。</w:t>
            </w:r>
          </w:p>
        </w:tc>
        <w:tc>
          <w:tcPr>
            <w:tcW w:w="581" w:type="pct"/>
            <w:vAlign w:val="center"/>
          </w:tcPr>
          <w:p w14:paraId="48975AC9">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21AC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94" w:type="pct"/>
            <w:vMerge w:val="continue"/>
            <w:vAlign w:val="center"/>
          </w:tcPr>
          <w:p w14:paraId="3A52EB92">
            <w:pPr>
              <w:snapToGrid w:val="0"/>
              <w:spacing w:line="460" w:lineRule="exact"/>
              <w:ind w:firstLine="220" w:firstLineChars="100"/>
              <w:jc w:val="center"/>
              <w:rPr>
                <w:rFonts w:eastAsia="新宋体"/>
                <w:color w:val="auto"/>
                <w:sz w:val="22"/>
                <w:szCs w:val="22"/>
                <w:highlight w:val="none"/>
              </w:rPr>
            </w:pPr>
          </w:p>
        </w:tc>
        <w:tc>
          <w:tcPr>
            <w:tcW w:w="1191" w:type="pct"/>
            <w:gridSpan w:val="2"/>
            <w:vMerge w:val="continue"/>
            <w:vAlign w:val="center"/>
          </w:tcPr>
          <w:p w14:paraId="74A72E8A">
            <w:pPr>
              <w:snapToGrid w:val="0"/>
              <w:spacing w:line="460" w:lineRule="exact"/>
              <w:jc w:val="center"/>
              <w:rPr>
                <w:rFonts w:eastAsia="新宋体"/>
                <w:color w:val="auto"/>
                <w:sz w:val="22"/>
                <w:szCs w:val="22"/>
                <w:highlight w:val="none"/>
              </w:rPr>
            </w:pPr>
          </w:p>
        </w:tc>
        <w:tc>
          <w:tcPr>
            <w:tcW w:w="547" w:type="pct"/>
            <w:vAlign w:val="center"/>
          </w:tcPr>
          <w:p w14:paraId="68E1C023">
            <w:pPr>
              <w:snapToGrid w:val="0"/>
              <w:spacing w:line="460" w:lineRule="exact"/>
              <w:jc w:val="center"/>
              <w:rPr>
                <w:rFonts w:hint="eastAsia" w:eastAsia="新宋体"/>
                <w:color w:val="auto"/>
                <w:sz w:val="22"/>
                <w:szCs w:val="22"/>
                <w:highlight w:val="none"/>
                <w:lang w:eastAsia="zh-CN"/>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2384" w:type="pct"/>
            <w:vAlign w:val="center"/>
          </w:tcPr>
          <w:p w14:paraId="0D12D4DA">
            <w:pPr>
              <w:snapToGrid w:val="0"/>
              <w:spacing w:line="460" w:lineRule="exact"/>
              <w:rPr>
                <w:rFonts w:hint="eastAsia" w:eastAsia="新宋体"/>
                <w:color w:val="auto"/>
                <w:sz w:val="22"/>
                <w:szCs w:val="22"/>
                <w:highlight w:val="none"/>
                <w:lang w:eastAsia="zh-CN"/>
              </w:rPr>
            </w:pPr>
            <w:r>
              <w:rPr>
                <w:rFonts w:eastAsia="新宋体"/>
                <w:color w:val="auto"/>
                <w:sz w:val="22"/>
                <w:szCs w:val="22"/>
                <w:highlight w:val="none"/>
              </w:rPr>
              <w:t>根据供应商在接到订货通知后能按要求时间送到的</w:t>
            </w:r>
            <w:r>
              <w:rPr>
                <w:rFonts w:hint="eastAsia" w:eastAsia="新宋体"/>
                <w:color w:val="auto"/>
                <w:sz w:val="22"/>
                <w:szCs w:val="22"/>
                <w:highlight w:val="none"/>
                <w:lang w:val="en-US" w:eastAsia="zh-CN"/>
              </w:rPr>
              <w:t>供货</w:t>
            </w:r>
            <w:r>
              <w:rPr>
                <w:rFonts w:eastAsia="新宋体"/>
                <w:color w:val="auto"/>
                <w:sz w:val="22"/>
                <w:szCs w:val="22"/>
                <w:highlight w:val="none"/>
              </w:rPr>
              <w:t>承诺情况进行</w:t>
            </w:r>
            <w:r>
              <w:rPr>
                <w:rFonts w:hint="eastAsia" w:eastAsia="新宋体"/>
                <w:color w:val="auto"/>
                <w:sz w:val="22"/>
                <w:szCs w:val="22"/>
                <w:highlight w:val="none"/>
                <w:lang w:eastAsia="zh-CN"/>
              </w:rPr>
              <w:t>综合量化打分</w:t>
            </w:r>
            <w:r>
              <w:rPr>
                <w:rFonts w:eastAsia="新宋体"/>
                <w:color w:val="auto"/>
                <w:sz w:val="22"/>
                <w:szCs w:val="22"/>
                <w:highlight w:val="none"/>
              </w:rPr>
              <w:t>。</w:t>
            </w:r>
            <w:r>
              <w:rPr>
                <w:rFonts w:hint="eastAsia" w:eastAsia="新宋体"/>
                <w:color w:val="auto"/>
                <w:sz w:val="22"/>
                <w:szCs w:val="22"/>
                <w:highlight w:val="none"/>
              </w:rPr>
              <w:t>（</w:t>
            </w:r>
            <w:r>
              <w:rPr>
                <w:rFonts w:hint="eastAsia" w:eastAsia="新宋体"/>
                <w:color w:val="auto"/>
                <w:sz w:val="22"/>
                <w:szCs w:val="22"/>
                <w:highlight w:val="none"/>
                <w:lang w:val="en-US" w:eastAsia="zh-CN"/>
              </w:rPr>
              <w:t>4</w:t>
            </w:r>
            <w:r>
              <w:rPr>
                <w:rFonts w:hint="eastAsia" w:eastAsia="新宋体"/>
                <w:color w:val="auto"/>
                <w:sz w:val="22"/>
                <w:szCs w:val="22"/>
                <w:highlight w:val="none"/>
              </w:rPr>
              <w:t>，</w:t>
            </w:r>
            <w:r>
              <w:rPr>
                <w:rFonts w:hint="eastAsia" w:eastAsia="新宋体"/>
                <w:color w:val="auto"/>
                <w:sz w:val="22"/>
                <w:szCs w:val="22"/>
                <w:highlight w:val="none"/>
                <w:lang w:val="en-US" w:eastAsia="zh-CN"/>
              </w:rPr>
              <w:t>3</w:t>
            </w:r>
            <w:r>
              <w:rPr>
                <w:rFonts w:hint="eastAsia" w:eastAsia="新宋体"/>
                <w:color w:val="auto"/>
                <w:sz w:val="22"/>
                <w:szCs w:val="22"/>
                <w:highlight w:val="none"/>
              </w:rPr>
              <w:t>，</w:t>
            </w:r>
            <w:r>
              <w:rPr>
                <w:rFonts w:hint="eastAsia" w:eastAsia="新宋体"/>
                <w:color w:val="auto"/>
                <w:sz w:val="22"/>
                <w:szCs w:val="22"/>
                <w:highlight w:val="none"/>
                <w:lang w:val="en-US" w:eastAsia="zh-CN"/>
              </w:rPr>
              <w:t>2</w:t>
            </w:r>
            <w:r>
              <w:rPr>
                <w:rFonts w:hint="eastAsia" w:eastAsia="新宋体"/>
                <w:color w:val="auto"/>
                <w:sz w:val="22"/>
                <w:szCs w:val="22"/>
                <w:highlight w:val="none"/>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，0</w:t>
            </w:r>
            <w:r>
              <w:rPr>
                <w:rFonts w:hint="eastAsia" w:eastAsia="新宋体"/>
                <w:color w:val="auto"/>
                <w:sz w:val="22"/>
                <w:szCs w:val="22"/>
                <w:highlight w:val="none"/>
                <w:lang w:eastAsia="zh-CN"/>
              </w:rPr>
              <w:t>）</w:t>
            </w:r>
          </w:p>
        </w:tc>
        <w:tc>
          <w:tcPr>
            <w:tcW w:w="581" w:type="pct"/>
            <w:vAlign w:val="center"/>
          </w:tcPr>
          <w:p w14:paraId="7E9726E2">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7B82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94" w:type="pct"/>
            <w:vMerge w:val="continue"/>
            <w:vAlign w:val="center"/>
          </w:tcPr>
          <w:p w14:paraId="15F90F99">
            <w:pPr>
              <w:snapToGrid w:val="0"/>
              <w:spacing w:line="460" w:lineRule="exact"/>
              <w:ind w:firstLine="220" w:firstLineChars="100"/>
              <w:jc w:val="center"/>
              <w:rPr>
                <w:rFonts w:eastAsia="新宋体"/>
                <w:color w:val="auto"/>
                <w:sz w:val="22"/>
                <w:szCs w:val="22"/>
                <w:highlight w:val="none"/>
              </w:rPr>
            </w:pPr>
          </w:p>
        </w:tc>
        <w:tc>
          <w:tcPr>
            <w:tcW w:w="1191" w:type="pct"/>
            <w:gridSpan w:val="2"/>
            <w:vMerge w:val="continue"/>
            <w:vAlign w:val="center"/>
          </w:tcPr>
          <w:p w14:paraId="4F4DDEA2">
            <w:pPr>
              <w:snapToGrid w:val="0"/>
              <w:spacing w:line="460" w:lineRule="exact"/>
              <w:jc w:val="center"/>
              <w:rPr>
                <w:rFonts w:eastAsia="新宋体"/>
                <w:color w:val="auto"/>
                <w:sz w:val="22"/>
                <w:szCs w:val="22"/>
                <w:highlight w:val="none"/>
              </w:rPr>
            </w:pPr>
          </w:p>
        </w:tc>
        <w:tc>
          <w:tcPr>
            <w:tcW w:w="547" w:type="pct"/>
            <w:vAlign w:val="center"/>
          </w:tcPr>
          <w:p w14:paraId="453C17FF">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2384" w:type="pct"/>
            <w:vAlign w:val="center"/>
          </w:tcPr>
          <w:p w14:paraId="25FDC5CF">
            <w:pPr>
              <w:snapToGrid w:val="0"/>
              <w:spacing w:line="460" w:lineRule="exact"/>
              <w:rPr>
                <w:rFonts w:hint="default" w:eastAsia="新宋体"/>
                <w:color w:val="auto"/>
                <w:sz w:val="22"/>
                <w:szCs w:val="22"/>
                <w:highlight w:val="none"/>
                <w:lang w:val="en-US" w:eastAsia="zh-CN"/>
              </w:rPr>
            </w:pPr>
            <w:r>
              <w:rPr>
                <w:rFonts w:eastAsia="新宋体"/>
                <w:color w:val="auto"/>
                <w:sz w:val="22"/>
                <w:szCs w:val="22"/>
                <w:highlight w:val="none"/>
              </w:rPr>
              <w:t>根据供应商在接到订货通知后</w:t>
            </w:r>
            <w:r>
              <w:rPr>
                <w:rFonts w:hint="eastAsia" w:eastAsia="新宋体"/>
                <w:color w:val="auto"/>
                <w:sz w:val="22"/>
                <w:szCs w:val="22"/>
                <w:highlight w:val="none"/>
                <w:lang w:val="en-US" w:eastAsia="zh-CN"/>
              </w:rPr>
              <w:t>的</w:t>
            </w:r>
            <w:r>
              <w:rPr>
                <w:rFonts w:hint="eastAsia" w:eastAsia="新宋体"/>
                <w:color w:val="auto"/>
                <w:sz w:val="22"/>
                <w:szCs w:val="22"/>
                <w:highlight w:val="none"/>
              </w:rPr>
              <w:t>供货</w:t>
            </w:r>
            <w:r>
              <w:rPr>
                <w:rFonts w:eastAsia="新宋体"/>
                <w:color w:val="auto"/>
                <w:sz w:val="22"/>
                <w:szCs w:val="22"/>
                <w:highlight w:val="none"/>
              </w:rPr>
              <w:t>保证措施</w:t>
            </w:r>
            <w:r>
              <w:rPr>
                <w:rFonts w:hint="eastAsia" w:eastAsia="新宋体"/>
                <w:color w:val="auto"/>
                <w:sz w:val="22"/>
                <w:szCs w:val="22"/>
                <w:highlight w:val="none"/>
                <w:lang w:val="en-US" w:eastAsia="zh-CN"/>
              </w:rPr>
              <w:t>科学合理性进行综合量化打分。</w:t>
            </w:r>
            <w:r>
              <w:rPr>
                <w:rFonts w:hint="eastAsia" w:eastAsia="新宋体"/>
                <w:color w:val="auto"/>
                <w:sz w:val="22"/>
                <w:szCs w:val="22"/>
                <w:highlight w:val="none"/>
              </w:rPr>
              <w:t>（</w:t>
            </w:r>
            <w:r>
              <w:rPr>
                <w:rFonts w:hint="eastAsia" w:eastAsia="新宋体"/>
                <w:color w:val="auto"/>
                <w:sz w:val="22"/>
                <w:szCs w:val="22"/>
                <w:highlight w:val="none"/>
                <w:lang w:val="en-US" w:eastAsia="zh-CN"/>
              </w:rPr>
              <w:t>4</w:t>
            </w:r>
            <w:r>
              <w:rPr>
                <w:rFonts w:hint="eastAsia" w:eastAsia="新宋体"/>
                <w:color w:val="auto"/>
                <w:sz w:val="22"/>
                <w:szCs w:val="22"/>
                <w:highlight w:val="none"/>
              </w:rPr>
              <w:t>，</w:t>
            </w:r>
            <w:r>
              <w:rPr>
                <w:rFonts w:hint="eastAsia" w:eastAsia="新宋体"/>
                <w:color w:val="auto"/>
                <w:sz w:val="22"/>
                <w:szCs w:val="22"/>
                <w:highlight w:val="none"/>
                <w:lang w:val="en-US" w:eastAsia="zh-CN"/>
              </w:rPr>
              <w:t>3</w:t>
            </w:r>
            <w:r>
              <w:rPr>
                <w:rFonts w:hint="eastAsia" w:eastAsia="新宋体"/>
                <w:color w:val="auto"/>
                <w:sz w:val="22"/>
                <w:szCs w:val="22"/>
                <w:highlight w:val="none"/>
              </w:rPr>
              <w:t>，</w:t>
            </w:r>
            <w:r>
              <w:rPr>
                <w:rFonts w:hint="eastAsia" w:eastAsia="新宋体"/>
                <w:color w:val="auto"/>
                <w:sz w:val="22"/>
                <w:szCs w:val="22"/>
                <w:highlight w:val="none"/>
                <w:lang w:val="en-US" w:eastAsia="zh-CN"/>
              </w:rPr>
              <w:t>2</w:t>
            </w:r>
            <w:r>
              <w:rPr>
                <w:rFonts w:hint="eastAsia" w:eastAsia="新宋体"/>
                <w:color w:val="auto"/>
                <w:sz w:val="22"/>
                <w:szCs w:val="22"/>
                <w:highlight w:val="none"/>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，0</w:t>
            </w:r>
            <w:r>
              <w:rPr>
                <w:rFonts w:hint="eastAsia" w:eastAsia="新宋体"/>
                <w:color w:val="auto"/>
                <w:sz w:val="22"/>
                <w:szCs w:val="22"/>
                <w:highlight w:val="none"/>
                <w:lang w:eastAsia="zh-CN"/>
              </w:rPr>
              <w:t>）</w:t>
            </w:r>
          </w:p>
        </w:tc>
        <w:tc>
          <w:tcPr>
            <w:tcW w:w="581" w:type="pct"/>
            <w:vAlign w:val="center"/>
          </w:tcPr>
          <w:p w14:paraId="6778DDDC">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3B60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94" w:type="pct"/>
            <w:vMerge w:val="continue"/>
            <w:vAlign w:val="center"/>
          </w:tcPr>
          <w:p w14:paraId="1C023A24">
            <w:pPr>
              <w:snapToGrid w:val="0"/>
              <w:spacing w:line="460" w:lineRule="exact"/>
              <w:ind w:firstLine="220" w:firstLineChars="100"/>
              <w:jc w:val="center"/>
              <w:rPr>
                <w:rFonts w:eastAsia="新宋体"/>
                <w:color w:val="auto"/>
                <w:sz w:val="22"/>
                <w:szCs w:val="22"/>
                <w:highlight w:val="none"/>
              </w:rPr>
            </w:pPr>
          </w:p>
        </w:tc>
        <w:tc>
          <w:tcPr>
            <w:tcW w:w="1191" w:type="pct"/>
            <w:gridSpan w:val="2"/>
            <w:vMerge w:val="continue"/>
            <w:vAlign w:val="center"/>
          </w:tcPr>
          <w:p w14:paraId="6E1E057F">
            <w:pPr>
              <w:snapToGrid w:val="0"/>
              <w:spacing w:line="460" w:lineRule="exact"/>
              <w:rPr>
                <w:rFonts w:eastAsia="新宋体"/>
                <w:color w:val="auto"/>
                <w:sz w:val="22"/>
                <w:szCs w:val="22"/>
                <w:highlight w:val="none"/>
              </w:rPr>
            </w:pPr>
          </w:p>
        </w:tc>
        <w:tc>
          <w:tcPr>
            <w:tcW w:w="547" w:type="pct"/>
            <w:vAlign w:val="center"/>
          </w:tcPr>
          <w:p w14:paraId="426919AC">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2384" w:type="pct"/>
            <w:vAlign w:val="center"/>
          </w:tcPr>
          <w:p w14:paraId="771B255D">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根据供应商对</w:t>
            </w:r>
            <w:r>
              <w:rPr>
                <w:rFonts w:hint="eastAsia" w:eastAsia="新宋体"/>
                <w:color w:val="auto"/>
                <w:sz w:val="22"/>
                <w:szCs w:val="22"/>
                <w:highlight w:val="none"/>
              </w:rPr>
              <w:t>采购人单位</w:t>
            </w:r>
            <w:r>
              <w:rPr>
                <w:rFonts w:eastAsia="新宋体"/>
                <w:color w:val="auto"/>
                <w:sz w:val="22"/>
                <w:szCs w:val="22"/>
                <w:highlight w:val="none"/>
              </w:rPr>
              <w:t>内部管理的特殊性的了解</w:t>
            </w:r>
            <w:r>
              <w:rPr>
                <w:rFonts w:hint="eastAsia" w:eastAsia="新宋体"/>
                <w:color w:val="auto"/>
                <w:sz w:val="22"/>
                <w:szCs w:val="22"/>
                <w:highlight w:val="none"/>
                <w:lang w:val="en-US" w:eastAsia="zh-CN"/>
              </w:rPr>
              <w:t>情况提出针对性建议方案</w:t>
            </w:r>
            <w:r>
              <w:rPr>
                <w:rFonts w:eastAsia="新宋体"/>
                <w:color w:val="auto"/>
                <w:sz w:val="22"/>
                <w:szCs w:val="22"/>
                <w:highlight w:val="none"/>
              </w:rPr>
              <w:t>进行</w:t>
            </w:r>
            <w:r>
              <w:rPr>
                <w:rFonts w:hint="eastAsia" w:eastAsia="新宋体"/>
                <w:color w:val="auto"/>
                <w:sz w:val="22"/>
                <w:szCs w:val="22"/>
                <w:highlight w:val="none"/>
                <w:lang w:eastAsia="zh-CN"/>
              </w:rPr>
              <w:t>综合量化打分</w:t>
            </w:r>
            <w:r>
              <w:rPr>
                <w:rFonts w:eastAsia="新宋体"/>
                <w:color w:val="auto"/>
                <w:sz w:val="22"/>
                <w:szCs w:val="22"/>
                <w:highlight w:val="none"/>
              </w:rPr>
              <w:t>。</w:t>
            </w:r>
            <w:r>
              <w:rPr>
                <w:rFonts w:hint="eastAsia" w:eastAsia="新宋体"/>
                <w:color w:val="auto"/>
                <w:sz w:val="22"/>
                <w:szCs w:val="22"/>
                <w:highlight w:val="none"/>
              </w:rPr>
              <w:t>（</w:t>
            </w:r>
            <w:r>
              <w:rPr>
                <w:rFonts w:hint="eastAsia" w:eastAsia="新宋体"/>
                <w:color w:val="auto"/>
                <w:sz w:val="22"/>
                <w:szCs w:val="22"/>
                <w:highlight w:val="none"/>
                <w:lang w:val="en-US" w:eastAsia="zh-CN"/>
              </w:rPr>
              <w:t>4</w:t>
            </w:r>
            <w:r>
              <w:rPr>
                <w:rFonts w:hint="eastAsia" w:eastAsia="新宋体"/>
                <w:color w:val="auto"/>
                <w:sz w:val="22"/>
                <w:szCs w:val="22"/>
                <w:highlight w:val="none"/>
              </w:rPr>
              <w:t>，</w:t>
            </w:r>
            <w:r>
              <w:rPr>
                <w:rFonts w:hint="eastAsia" w:eastAsia="新宋体"/>
                <w:color w:val="auto"/>
                <w:sz w:val="22"/>
                <w:szCs w:val="22"/>
                <w:highlight w:val="none"/>
                <w:lang w:val="en-US" w:eastAsia="zh-CN"/>
              </w:rPr>
              <w:t>3</w:t>
            </w:r>
            <w:r>
              <w:rPr>
                <w:rFonts w:hint="eastAsia" w:eastAsia="新宋体"/>
                <w:color w:val="auto"/>
                <w:sz w:val="22"/>
                <w:szCs w:val="22"/>
                <w:highlight w:val="none"/>
              </w:rPr>
              <w:t>，</w:t>
            </w:r>
            <w:r>
              <w:rPr>
                <w:rFonts w:hint="eastAsia" w:eastAsia="新宋体"/>
                <w:color w:val="auto"/>
                <w:sz w:val="22"/>
                <w:szCs w:val="22"/>
                <w:highlight w:val="none"/>
                <w:lang w:val="en-US" w:eastAsia="zh-CN"/>
              </w:rPr>
              <w:t>2</w:t>
            </w:r>
            <w:r>
              <w:rPr>
                <w:rFonts w:hint="eastAsia" w:eastAsia="新宋体"/>
                <w:color w:val="auto"/>
                <w:sz w:val="22"/>
                <w:szCs w:val="22"/>
                <w:highlight w:val="none"/>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，0</w:t>
            </w:r>
            <w:r>
              <w:rPr>
                <w:rFonts w:hint="eastAsia" w:eastAsia="新宋体"/>
                <w:color w:val="auto"/>
                <w:sz w:val="22"/>
                <w:szCs w:val="22"/>
                <w:highlight w:val="none"/>
                <w:lang w:eastAsia="zh-CN"/>
              </w:rPr>
              <w:t>）</w:t>
            </w:r>
          </w:p>
        </w:tc>
        <w:tc>
          <w:tcPr>
            <w:tcW w:w="581" w:type="pct"/>
            <w:vAlign w:val="center"/>
          </w:tcPr>
          <w:p w14:paraId="091F3B3D">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3686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94" w:type="pct"/>
            <w:vMerge w:val="continue"/>
            <w:vAlign w:val="center"/>
          </w:tcPr>
          <w:p w14:paraId="6CE3F46C">
            <w:pPr>
              <w:snapToGrid w:val="0"/>
              <w:spacing w:line="460" w:lineRule="exact"/>
              <w:ind w:firstLine="220" w:firstLineChars="100"/>
              <w:jc w:val="center"/>
              <w:rPr>
                <w:rFonts w:eastAsia="新宋体"/>
                <w:color w:val="auto"/>
                <w:sz w:val="22"/>
                <w:szCs w:val="22"/>
                <w:highlight w:val="none"/>
              </w:rPr>
            </w:pPr>
          </w:p>
        </w:tc>
        <w:tc>
          <w:tcPr>
            <w:tcW w:w="1191" w:type="pct"/>
            <w:gridSpan w:val="2"/>
            <w:vMerge w:val="continue"/>
            <w:vAlign w:val="center"/>
          </w:tcPr>
          <w:p w14:paraId="707EB518">
            <w:pPr>
              <w:snapToGrid w:val="0"/>
              <w:spacing w:line="460" w:lineRule="exact"/>
              <w:rPr>
                <w:rFonts w:eastAsia="新宋体"/>
                <w:color w:val="auto"/>
                <w:sz w:val="22"/>
                <w:szCs w:val="22"/>
                <w:highlight w:val="none"/>
              </w:rPr>
            </w:pPr>
          </w:p>
        </w:tc>
        <w:tc>
          <w:tcPr>
            <w:tcW w:w="547" w:type="pct"/>
            <w:vAlign w:val="center"/>
          </w:tcPr>
          <w:p w14:paraId="6AB4CBB1">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2384" w:type="pct"/>
            <w:vAlign w:val="center"/>
          </w:tcPr>
          <w:p w14:paraId="51840241">
            <w:pPr>
              <w:adjustRightInd w:val="0"/>
              <w:snapToGrid w:val="0"/>
              <w:spacing w:line="460" w:lineRule="exact"/>
              <w:jc w:val="left"/>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根据</w:t>
            </w:r>
            <w:r>
              <w:rPr>
                <w:rFonts w:eastAsia="新宋体"/>
                <w:color w:val="auto"/>
                <w:sz w:val="22"/>
                <w:szCs w:val="22"/>
                <w:highlight w:val="none"/>
              </w:rPr>
              <w:t>供应商</w:t>
            </w:r>
            <w:r>
              <w:rPr>
                <w:rFonts w:hint="eastAsia" w:eastAsia="新宋体"/>
                <w:color w:val="auto"/>
                <w:sz w:val="22"/>
                <w:szCs w:val="22"/>
                <w:highlight w:val="none"/>
                <w:lang w:val="en-US" w:eastAsia="zh-CN"/>
              </w:rPr>
              <w:t>供货</w:t>
            </w:r>
            <w:r>
              <w:rPr>
                <w:rFonts w:eastAsia="新宋体"/>
                <w:color w:val="auto"/>
                <w:sz w:val="22"/>
                <w:szCs w:val="22"/>
                <w:highlight w:val="none"/>
              </w:rPr>
              <w:t>服务方案</w:t>
            </w:r>
            <w:r>
              <w:rPr>
                <w:rFonts w:hint="eastAsia" w:eastAsia="新宋体"/>
                <w:color w:val="auto"/>
                <w:sz w:val="22"/>
                <w:szCs w:val="22"/>
                <w:highlight w:val="none"/>
              </w:rPr>
              <w:t>全面</w:t>
            </w:r>
            <w:r>
              <w:rPr>
                <w:rFonts w:hint="eastAsia" w:eastAsia="新宋体"/>
                <w:color w:val="auto"/>
                <w:sz w:val="22"/>
                <w:szCs w:val="22"/>
                <w:highlight w:val="none"/>
                <w:lang w:val="en-US" w:eastAsia="zh-CN"/>
              </w:rPr>
              <w:t>性</w:t>
            </w:r>
            <w:r>
              <w:rPr>
                <w:rFonts w:eastAsia="新宋体"/>
                <w:color w:val="auto"/>
                <w:sz w:val="22"/>
                <w:szCs w:val="22"/>
                <w:highlight w:val="none"/>
              </w:rPr>
              <w:t>情况</w:t>
            </w:r>
            <w:r>
              <w:rPr>
                <w:rFonts w:hint="eastAsia" w:eastAsia="新宋体"/>
                <w:color w:val="auto"/>
                <w:sz w:val="22"/>
                <w:szCs w:val="22"/>
                <w:highlight w:val="none"/>
                <w:lang w:val="en-US" w:eastAsia="zh-CN"/>
              </w:rPr>
              <w:t>进行综合量化打分。</w:t>
            </w:r>
            <w:r>
              <w:rPr>
                <w:rFonts w:hint="eastAsia" w:eastAsia="新宋体"/>
                <w:color w:val="auto"/>
                <w:sz w:val="22"/>
                <w:szCs w:val="22"/>
                <w:highlight w:val="none"/>
              </w:rPr>
              <w:t>（</w:t>
            </w:r>
            <w:r>
              <w:rPr>
                <w:rFonts w:hint="eastAsia" w:eastAsia="新宋体"/>
                <w:color w:val="auto"/>
                <w:sz w:val="22"/>
                <w:szCs w:val="22"/>
                <w:highlight w:val="none"/>
                <w:lang w:val="en-US" w:eastAsia="zh-CN"/>
              </w:rPr>
              <w:t>4</w:t>
            </w:r>
            <w:r>
              <w:rPr>
                <w:rFonts w:hint="eastAsia" w:eastAsia="新宋体"/>
                <w:color w:val="auto"/>
                <w:sz w:val="22"/>
                <w:szCs w:val="22"/>
                <w:highlight w:val="none"/>
              </w:rPr>
              <w:t>，</w:t>
            </w:r>
            <w:r>
              <w:rPr>
                <w:rFonts w:hint="eastAsia" w:eastAsia="新宋体"/>
                <w:color w:val="auto"/>
                <w:sz w:val="22"/>
                <w:szCs w:val="22"/>
                <w:highlight w:val="none"/>
                <w:lang w:val="en-US" w:eastAsia="zh-CN"/>
              </w:rPr>
              <w:t>3</w:t>
            </w:r>
            <w:r>
              <w:rPr>
                <w:rFonts w:hint="eastAsia" w:eastAsia="新宋体"/>
                <w:color w:val="auto"/>
                <w:sz w:val="22"/>
                <w:szCs w:val="22"/>
                <w:highlight w:val="none"/>
              </w:rPr>
              <w:t>，</w:t>
            </w:r>
            <w:r>
              <w:rPr>
                <w:rFonts w:hint="eastAsia" w:eastAsia="新宋体"/>
                <w:color w:val="auto"/>
                <w:sz w:val="22"/>
                <w:szCs w:val="22"/>
                <w:highlight w:val="none"/>
                <w:lang w:val="en-US" w:eastAsia="zh-CN"/>
              </w:rPr>
              <w:t>2</w:t>
            </w:r>
            <w:r>
              <w:rPr>
                <w:rFonts w:hint="eastAsia" w:eastAsia="新宋体"/>
                <w:color w:val="auto"/>
                <w:sz w:val="22"/>
                <w:szCs w:val="22"/>
                <w:highlight w:val="none"/>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，0</w:t>
            </w:r>
            <w:r>
              <w:rPr>
                <w:rFonts w:hint="eastAsia" w:eastAsia="新宋体"/>
                <w:color w:val="auto"/>
                <w:sz w:val="22"/>
                <w:szCs w:val="22"/>
                <w:highlight w:val="none"/>
                <w:lang w:eastAsia="zh-CN"/>
              </w:rPr>
              <w:t>）</w:t>
            </w:r>
          </w:p>
        </w:tc>
        <w:tc>
          <w:tcPr>
            <w:tcW w:w="581" w:type="pct"/>
            <w:vAlign w:val="center"/>
          </w:tcPr>
          <w:p w14:paraId="6618E1F7">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63AF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294" w:type="pct"/>
            <w:vMerge w:val="continue"/>
            <w:vAlign w:val="center"/>
          </w:tcPr>
          <w:p w14:paraId="312B64EA">
            <w:pPr>
              <w:snapToGrid w:val="0"/>
              <w:spacing w:line="460" w:lineRule="exact"/>
              <w:ind w:firstLine="220" w:firstLineChars="100"/>
              <w:jc w:val="center"/>
              <w:rPr>
                <w:rFonts w:eastAsia="新宋体"/>
                <w:color w:val="auto"/>
                <w:sz w:val="22"/>
                <w:szCs w:val="22"/>
                <w:highlight w:val="none"/>
              </w:rPr>
            </w:pPr>
          </w:p>
        </w:tc>
        <w:tc>
          <w:tcPr>
            <w:tcW w:w="1191" w:type="pct"/>
            <w:gridSpan w:val="2"/>
            <w:vMerge w:val="continue"/>
            <w:vAlign w:val="center"/>
          </w:tcPr>
          <w:p w14:paraId="248C76CD">
            <w:pPr>
              <w:snapToGrid w:val="0"/>
              <w:spacing w:line="460" w:lineRule="exact"/>
              <w:rPr>
                <w:rFonts w:eastAsia="新宋体"/>
                <w:color w:val="auto"/>
                <w:sz w:val="22"/>
                <w:szCs w:val="22"/>
                <w:highlight w:val="none"/>
              </w:rPr>
            </w:pPr>
          </w:p>
        </w:tc>
        <w:tc>
          <w:tcPr>
            <w:tcW w:w="547" w:type="pct"/>
            <w:vAlign w:val="center"/>
          </w:tcPr>
          <w:p w14:paraId="540C28DD">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2384" w:type="pct"/>
            <w:vAlign w:val="center"/>
          </w:tcPr>
          <w:p w14:paraId="6A37C657">
            <w:pPr>
              <w:adjustRightInd w:val="0"/>
              <w:snapToGrid w:val="0"/>
              <w:spacing w:line="460" w:lineRule="exact"/>
              <w:jc w:val="left"/>
              <w:rPr>
                <w:rFonts w:hint="eastAsia" w:eastAsia="新宋体"/>
                <w:color w:val="auto"/>
                <w:sz w:val="22"/>
                <w:szCs w:val="22"/>
                <w:highlight w:val="none"/>
                <w:lang w:eastAsia="zh-CN"/>
              </w:rPr>
            </w:pPr>
            <w:r>
              <w:rPr>
                <w:rFonts w:eastAsia="新宋体"/>
                <w:color w:val="auto"/>
                <w:sz w:val="22"/>
                <w:szCs w:val="22"/>
                <w:highlight w:val="none"/>
              </w:rPr>
              <w:t>根据供应商对所供商品</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肉类、水产等</w:t>
            </w:r>
            <w:r>
              <w:rPr>
                <w:rFonts w:hint="eastAsia" w:eastAsia="新宋体"/>
                <w:color w:val="auto"/>
                <w:sz w:val="22"/>
                <w:szCs w:val="22"/>
                <w:highlight w:val="none"/>
                <w:lang w:eastAsia="zh-CN"/>
              </w:rPr>
              <w:t>）</w:t>
            </w:r>
            <w:r>
              <w:rPr>
                <w:rFonts w:eastAsia="新宋体"/>
                <w:color w:val="auto"/>
                <w:sz w:val="22"/>
                <w:szCs w:val="22"/>
                <w:highlight w:val="none"/>
              </w:rPr>
              <w:t>质量保证承诺</w:t>
            </w:r>
            <w:r>
              <w:rPr>
                <w:rFonts w:hint="eastAsia" w:eastAsia="新宋体"/>
                <w:color w:val="auto"/>
                <w:sz w:val="22"/>
                <w:szCs w:val="22"/>
                <w:highlight w:val="none"/>
                <w:lang w:val="en-US" w:eastAsia="zh-CN"/>
              </w:rPr>
              <w:t>及措施</w:t>
            </w:r>
            <w:r>
              <w:rPr>
                <w:rFonts w:eastAsia="新宋体"/>
                <w:color w:val="auto"/>
                <w:sz w:val="22"/>
                <w:szCs w:val="22"/>
                <w:highlight w:val="none"/>
              </w:rPr>
              <w:t>情况进行</w:t>
            </w:r>
            <w:r>
              <w:rPr>
                <w:rFonts w:hint="eastAsia" w:eastAsia="新宋体"/>
                <w:color w:val="auto"/>
                <w:sz w:val="22"/>
                <w:szCs w:val="22"/>
                <w:highlight w:val="none"/>
              </w:rPr>
              <w:t>综合量化</w:t>
            </w:r>
            <w:r>
              <w:rPr>
                <w:rFonts w:eastAsia="新宋体"/>
                <w:color w:val="auto"/>
                <w:sz w:val="22"/>
                <w:szCs w:val="22"/>
                <w:highlight w:val="none"/>
              </w:rPr>
              <w:t>打分</w:t>
            </w:r>
            <w:r>
              <w:rPr>
                <w:rFonts w:hint="eastAsia" w:eastAsia="新宋体"/>
                <w:color w:val="auto"/>
                <w:sz w:val="22"/>
                <w:szCs w:val="22"/>
                <w:highlight w:val="none"/>
                <w:lang w:eastAsia="zh-CN"/>
              </w:rPr>
              <w:t>。</w:t>
            </w:r>
            <w:r>
              <w:rPr>
                <w:rFonts w:hint="eastAsia" w:eastAsia="新宋体"/>
                <w:color w:val="auto"/>
                <w:sz w:val="22"/>
                <w:szCs w:val="22"/>
                <w:highlight w:val="none"/>
              </w:rPr>
              <w:t>（</w:t>
            </w:r>
            <w:r>
              <w:rPr>
                <w:rFonts w:hint="eastAsia" w:eastAsia="新宋体"/>
                <w:color w:val="auto"/>
                <w:sz w:val="22"/>
                <w:szCs w:val="22"/>
                <w:highlight w:val="none"/>
                <w:lang w:val="en-US" w:eastAsia="zh-CN"/>
              </w:rPr>
              <w:t>4</w:t>
            </w:r>
            <w:r>
              <w:rPr>
                <w:rFonts w:hint="eastAsia" w:eastAsia="新宋体"/>
                <w:color w:val="auto"/>
                <w:sz w:val="22"/>
                <w:szCs w:val="22"/>
                <w:highlight w:val="none"/>
              </w:rPr>
              <w:t>，</w:t>
            </w:r>
            <w:r>
              <w:rPr>
                <w:rFonts w:hint="eastAsia" w:eastAsia="新宋体"/>
                <w:color w:val="auto"/>
                <w:sz w:val="22"/>
                <w:szCs w:val="22"/>
                <w:highlight w:val="none"/>
                <w:lang w:val="en-US" w:eastAsia="zh-CN"/>
              </w:rPr>
              <w:t>3</w:t>
            </w:r>
            <w:r>
              <w:rPr>
                <w:rFonts w:hint="eastAsia" w:eastAsia="新宋体"/>
                <w:color w:val="auto"/>
                <w:sz w:val="22"/>
                <w:szCs w:val="22"/>
                <w:highlight w:val="none"/>
              </w:rPr>
              <w:t>，</w:t>
            </w:r>
            <w:r>
              <w:rPr>
                <w:rFonts w:hint="eastAsia" w:eastAsia="新宋体"/>
                <w:color w:val="auto"/>
                <w:sz w:val="22"/>
                <w:szCs w:val="22"/>
                <w:highlight w:val="none"/>
                <w:lang w:val="en-US" w:eastAsia="zh-CN"/>
              </w:rPr>
              <w:t>2</w:t>
            </w:r>
            <w:r>
              <w:rPr>
                <w:rFonts w:hint="eastAsia" w:eastAsia="新宋体"/>
                <w:color w:val="auto"/>
                <w:sz w:val="22"/>
                <w:szCs w:val="22"/>
                <w:highlight w:val="none"/>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，0</w:t>
            </w:r>
            <w:r>
              <w:rPr>
                <w:rFonts w:hint="eastAsia" w:eastAsia="新宋体"/>
                <w:color w:val="auto"/>
                <w:sz w:val="22"/>
                <w:szCs w:val="22"/>
                <w:highlight w:val="none"/>
                <w:lang w:eastAsia="zh-CN"/>
              </w:rPr>
              <w:t>）</w:t>
            </w:r>
          </w:p>
        </w:tc>
        <w:tc>
          <w:tcPr>
            <w:tcW w:w="581" w:type="pct"/>
            <w:vAlign w:val="center"/>
          </w:tcPr>
          <w:p w14:paraId="1819FB58">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7497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Merge w:val="continue"/>
            <w:vAlign w:val="center"/>
          </w:tcPr>
          <w:p w14:paraId="2DB3CBA9">
            <w:pPr>
              <w:snapToGrid w:val="0"/>
              <w:spacing w:line="460" w:lineRule="exact"/>
              <w:ind w:firstLine="220" w:firstLineChars="100"/>
              <w:jc w:val="center"/>
              <w:rPr>
                <w:rFonts w:eastAsia="新宋体"/>
                <w:color w:val="auto"/>
                <w:sz w:val="22"/>
                <w:szCs w:val="22"/>
                <w:highlight w:val="none"/>
              </w:rPr>
            </w:pPr>
          </w:p>
        </w:tc>
        <w:tc>
          <w:tcPr>
            <w:tcW w:w="1191" w:type="pct"/>
            <w:gridSpan w:val="2"/>
            <w:vMerge w:val="continue"/>
            <w:vAlign w:val="center"/>
          </w:tcPr>
          <w:p w14:paraId="3E0FB36B">
            <w:pPr>
              <w:snapToGrid w:val="0"/>
              <w:spacing w:line="460" w:lineRule="exact"/>
              <w:rPr>
                <w:rFonts w:eastAsia="新宋体"/>
                <w:color w:val="auto"/>
                <w:sz w:val="22"/>
                <w:szCs w:val="22"/>
                <w:highlight w:val="none"/>
              </w:rPr>
            </w:pPr>
          </w:p>
        </w:tc>
        <w:tc>
          <w:tcPr>
            <w:tcW w:w="547" w:type="pct"/>
            <w:vAlign w:val="center"/>
          </w:tcPr>
          <w:p w14:paraId="68DBEE9F">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lang w:val="en-US" w:eastAsia="zh-CN"/>
              </w:rPr>
              <w:t>4</w:t>
            </w:r>
          </w:p>
        </w:tc>
        <w:tc>
          <w:tcPr>
            <w:tcW w:w="2384" w:type="pct"/>
            <w:vAlign w:val="center"/>
          </w:tcPr>
          <w:p w14:paraId="42D0A321">
            <w:pPr>
              <w:adjustRightInd w:val="0"/>
              <w:snapToGrid w:val="0"/>
              <w:spacing w:line="460" w:lineRule="exact"/>
              <w:jc w:val="left"/>
              <w:rPr>
                <w:rFonts w:eastAsia="新宋体"/>
                <w:color w:val="auto"/>
                <w:sz w:val="22"/>
                <w:szCs w:val="22"/>
                <w:highlight w:val="none"/>
              </w:rPr>
            </w:pPr>
            <w:r>
              <w:rPr>
                <w:rFonts w:eastAsia="新宋体"/>
                <w:color w:val="auto"/>
                <w:sz w:val="22"/>
                <w:szCs w:val="22"/>
                <w:highlight w:val="none"/>
              </w:rPr>
              <w:t>根据供应商对所供商品</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蔬菜、水果等</w:t>
            </w:r>
            <w:r>
              <w:rPr>
                <w:rFonts w:hint="eastAsia" w:eastAsia="新宋体"/>
                <w:color w:val="auto"/>
                <w:sz w:val="22"/>
                <w:szCs w:val="22"/>
                <w:highlight w:val="none"/>
                <w:lang w:eastAsia="zh-CN"/>
              </w:rPr>
              <w:t>）</w:t>
            </w:r>
            <w:r>
              <w:rPr>
                <w:rFonts w:eastAsia="新宋体"/>
                <w:color w:val="auto"/>
                <w:sz w:val="22"/>
                <w:szCs w:val="22"/>
                <w:highlight w:val="none"/>
              </w:rPr>
              <w:t>质量保证</w:t>
            </w:r>
            <w:r>
              <w:rPr>
                <w:rFonts w:hint="eastAsia" w:eastAsia="新宋体"/>
                <w:color w:val="auto"/>
                <w:sz w:val="22"/>
                <w:szCs w:val="22"/>
                <w:highlight w:val="none"/>
                <w:lang w:val="en-US" w:eastAsia="zh-CN"/>
              </w:rPr>
              <w:t>承诺及</w:t>
            </w:r>
            <w:r>
              <w:rPr>
                <w:rFonts w:eastAsia="新宋体"/>
                <w:color w:val="auto"/>
                <w:sz w:val="22"/>
                <w:szCs w:val="22"/>
                <w:highlight w:val="none"/>
              </w:rPr>
              <w:t>措施</w:t>
            </w:r>
            <w:r>
              <w:rPr>
                <w:rFonts w:hint="eastAsia" w:eastAsia="新宋体"/>
                <w:color w:val="auto"/>
                <w:sz w:val="22"/>
                <w:szCs w:val="22"/>
                <w:highlight w:val="none"/>
                <w:lang w:val="en-US" w:eastAsia="zh-CN"/>
              </w:rPr>
              <w:t>合理科学性情况综合量化打分</w:t>
            </w:r>
            <w:r>
              <w:rPr>
                <w:rFonts w:eastAsia="新宋体"/>
                <w:color w:val="auto"/>
                <w:sz w:val="22"/>
                <w:szCs w:val="22"/>
                <w:highlight w:val="none"/>
              </w:rPr>
              <w:t>。</w:t>
            </w:r>
            <w:r>
              <w:rPr>
                <w:rFonts w:hint="eastAsia" w:eastAsia="新宋体"/>
                <w:color w:val="auto"/>
                <w:sz w:val="22"/>
                <w:szCs w:val="22"/>
                <w:highlight w:val="none"/>
              </w:rPr>
              <w:t>（</w:t>
            </w:r>
            <w:r>
              <w:rPr>
                <w:rFonts w:hint="eastAsia" w:eastAsia="新宋体"/>
                <w:color w:val="auto"/>
                <w:sz w:val="22"/>
                <w:szCs w:val="22"/>
                <w:highlight w:val="none"/>
                <w:lang w:val="en-US" w:eastAsia="zh-CN"/>
              </w:rPr>
              <w:t>4</w:t>
            </w:r>
            <w:r>
              <w:rPr>
                <w:rFonts w:hint="eastAsia" w:eastAsia="新宋体"/>
                <w:color w:val="auto"/>
                <w:sz w:val="22"/>
                <w:szCs w:val="22"/>
                <w:highlight w:val="none"/>
              </w:rPr>
              <w:t>，</w:t>
            </w:r>
            <w:r>
              <w:rPr>
                <w:rFonts w:hint="eastAsia" w:eastAsia="新宋体"/>
                <w:color w:val="auto"/>
                <w:sz w:val="22"/>
                <w:szCs w:val="22"/>
                <w:highlight w:val="none"/>
                <w:lang w:val="en-US" w:eastAsia="zh-CN"/>
              </w:rPr>
              <w:t>3</w:t>
            </w:r>
            <w:r>
              <w:rPr>
                <w:rFonts w:hint="eastAsia" w:eastAsia="新宋体"/>
                <w:color w:val="auto"/>
                <w:sz w:val="22"/>
                <w:szCs w:val="22"/>
                <w:highlight w:val="none"/>
              </w:rPr>
              <w:t>，</w:t>
            </w:r>
            <w:r>
              <w:rPr>
                <w:rFonts w:hint="eastAsia" w:eastAsia="新宋体"/>
                <w:color w:val="auto"/>
                <w:sz w:val="22"/>
                <w:szCs w:val="22"/>
                <w:highlight w:val="none"/>
                <w:lang w:val="en-US" w:eastAsia="zh-CN"/>
              </w:rPr>
              <w:t>2</w:t>
            </w:r>
            <w:r>
              <w:rPr>
                <w:rFonts w:hint="eastAsia" w:eastAsia="新宋体"/>
                <w:color w:val="auto"/>
                <w:sz w:val="22"/>
                <w:szCs w:val="22"/>
                <w:highlight w:val="none"/>
              </w:rPr>
              <w:t>，</w:t>
            </w:r>
            <w:r>
              <w:rPr>
                <w:rFonts w:hint="eastAsia" w:eastAsia="新宋体"/>
                <w:color w:val="auto"/>
                <w:sz w:val="22"/>
                <w:szCs w:val="22"/>
                <w:highlight w:val="none"/>
                <w:lang w:val="en-US" w:eastAsia="zh-CN"/>
              </w:rPr>
              <w:t>1</w:t>
            </w:r>
            <w:r>
              <w:rPr>
                <w:rFonts w:hint="eastAsia" w:eastAsia="新宋体"/>
                <w:color w:val="auto"/>
                <w:sz w:val="22"/>
                <w:szCs w:val="22"/>
                <w:highlight w:val="none"/>
              </w:rPr>
              <w:t>，0</w:t>
            </w:r>
            <w:r>
              <w:rPr>
                <w:rFonts w:hint="eastAsia" w:eastAsia="新宋体"/>
                <w:color w:val="auto"/>
                <w:sz w:val="22"/>
                <w:szCs w:val="22"/>
                <w:highlight w:val="none"/>
                <w:lang w:eastAsia="zh-CN"/>
              </w:rPr>
              <w:t>）</w:t>
            </w:r>
          </w:p>
        </w:tc>
        <w:tc>
          <w:tcPr>
            <w:tcW w:w="581" w:type="pct"/>
            <w:vAlign w:val="center"/>
          </w:tcPr>
          <w:p w14:paraId="52CA1C9F">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1E85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Align w:val="center"/>
          </w:tcPr>
          <w:p w14:paraId="314994AF">
            <w:pPr>
              <w:snapToGrid w:val="0"/>
              <w:spacing w:line="460" w:lineRule="exact"/>
              <w:ind w:firstLine="220" w:firstLineChars="100"/>
              <w:jc w:val="center"/>
              <w:rPr>
                <w:rFonts w:eastAsia="新宋体"/>
                <w:color w:val="auto"/>
                <w:sz w:val="22"/>
                <w:szCs w:val="22"/>
                <w:highlight w:val="none"/>
              </w:rPr>
            </w:pPr>
            <w:r>
              <w:rPr>
                <w:rFonts w:hint="eastAsia" w:eastAsia="新宋体"/>
                <w:color w:val="auto"/>
                <w:sz w:val="22"/>
                <w:szCs w:val="22"/>
                <w:highlight w:val="none"/>
              </w:rPr>
              <w:t>5</w:t>
            </w:r>
          </w:p>
        </w:tc>
        <w:tc>
          <w:tcPr>
            <w:tcW w:w="1191" w:type="pct"/>
            <w:gridSpan w:val="2"/>
            <w:vAlign w:val="center"/>
          </w:tcPr>
          <w:p w14:paraId="48CAF2A6">
            <w:pPr>
              <w:snapToGrid w:val="0"/>
              <w:spacing w:line="460" w:lineRule="exact"/>
              <w:rPr>
                <w:rFonts w:eastAsia="新宋体"/>
                <w:color w:val="auto"/>
                <w:sz w:val="22"/>
                <w:szCs w:val="22"/>
                <w:highlight w:val="none"/>
              </w:rPr>
            </w:pPr>
            <w:r>
              <w:rPr>
                <w:rFonts w:eastAsia="新宋体"/>
                <w:color w:val="auto"/>
                <w:sz w:val="22"/>
                <w:szCs w:val="22"/>
                <w:highlight w:val="none"/>
              </w:rPr>
              <w:t>食品安全责任保险</w:t>
            </w:r>
          </w:p>
        </w:tc>
        <w:tc>
          <w:tcPr>
            <w:tcW w:w="547" w:type="pct"/>
            <w:vAlign w:val="center"/>
          </w:tcPr>
          <w:p w14:paraId="0161C51E">
            <w:pPr>
              <w:snapToGrid w:val="0"/>
              <w:spacing w:line="460" w:lineRule="exact"/>
              <w:jc w:val="center"/>
              <w:rPr>
                <w:rFonts w:eastAsia="新宋体"/>
                <w:color w:val="auto"/>
                <w:sz w:val="22"/>
                <w:szCs w:val="22"/>
                <w:highlight w:val="none"/>
              </w:rPr>
            </w:pPr>
            <w:r>
              <w:rPr>
                <w:rFonts w:hint="eastAsia" w:eastAsia="新宋体"/>
                <w:color w:val="auto"/>
                <w:sz w:val="22"/>
                <w:szCs w:val="22"/>
                <w:highlight w:val="none"/>
              </w:rPr>
              <w:t>0-2</w:t>
            </w:r>
          </w:p>
        </w:tc>
        <w:tc>
          <w:tcPr>
            <w:tcW w:w="2384" w:type="pct"/>
            <w:vAlign w:val="center"/>
          </w:tcPr>
          <w:p w14:paraId="1194751C">
            <w:pPr>
              <w:snapToGrid w:val="0"/>
              <w:spacing w:line="460" w:lineRule="exact"/>
              <w:rPr>
                <w:rFonts w:eastAsia="新宋体"/>
                <w:color w:val="auto"/>
                <w:sz w:val="22"/>
                <w:szCs w:val="22"/>
                <w:highlight w:val="none"/>
              </w:rPr>
            </w:pPr>
            <w:r>
              <w:rPr>
                <w:rFonts w:eastAsia="新宋体"/>
                <w:color w:val="auto"/>
                <w:sz w:val="22"/>
                <w:szCs w:val="22"/>
                <w:highlight w:val="none"/>
              </w:rPr>
              <w:t>供应商投保食品安全责任保险，根据食品安全责任险保险单的内容及额度情况进行评分。需提供保单复印件，要求保额清晰可见。食品安全责任保险保额在2000万元（含）以上的得2分，1000万（含）到2000万的得1.5分，500万（含）到1000万的得1分，保额不足500万的得0.5分，未投保的不得分。</w:t>
            </w:r>
          </w:p>
        </w:tc>
        <w:tc>
          <w:tcPr>
            <w:tcW w:w="581" w:type="pct"/>
            <w:vAlign w:val="center"/>
          </w:tcPr>
          <w:p w14:paraId="3C04E287">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3455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Merge w:val="restart"/>
            <w:tcBorders>
              <w:top w:val="single" w:color="auto" w:sz="4" w:space="0"/>
              <w:left w:val="single" w:color="auto" w:sz="4" w:space="0"/>
              <w:right w:val="single" w:color="auto" w:sz="4" w:space="0"/>
            </w:tcBorders>
            <w:vAlign w:val="center"/>
          </w:tcPr>
          <w:p w14:paraId="1522B94B">
            <w:pPr>
              <w:snapToGrid w:val="0"/>
              <w:spacing w:line="460" w:lineRule="exact"/>
              <w:ind w:firstLine="220" w:firstLineChars="100"/>
              <w:jc w:val="center"/>
              <w:rPr>
                <w:rFonts w:eastAsia="新宋体"/>
                <w:color w:val="auto"/>
                <w:sz w:val="22"/>
                <w:szCs w:val="22"/>
                <w:highlight w:val="none"/>
              </w:rPr>
            </w:pPr>
            <w:r>
              <w:rPr>
                <w:rFonts w:eastAsia="新宋体"/>
                <w:color w:val="auto"/>
                <w:sz w:val="22"/>
                <w:szCs w:val="22"/>
                <w:highlight w:val="none"/>
              </w:rPr>
              <w:t>6</w:t>
            </w:r>
          </w:p>
        </w:tc>
        <w:tc>
          <w:tcPr>
            <w:tcW w:w="521" w:type="pct"/>
            <w:vMerge w:val="restart"/>
            <w:tcBorders>
              <w:top w:val="single" w:color="auto" w:sz="4" w:space="0"/>
              <w:left w:val="single" w:color="auto" w:sz="4" w:space="0"/>
              <w:right w:val="single" w:color="auto" w:sz="4" w:space="0"/>
            </w:tcBorders>
            <w:vAlign w:val="center"/>
          </w:tcPr>
          <w:p w14:paraId="102CC28F">
            <w:pPr>
              <w:snapToGrid w:val="0"/>
              <w:spacing w:line="460" w:lineRule="exact"/>
              <w:jc w:val="center"/>
              <w:rPr>
                <w:rFonts w:eastAsia="新宋体"/>
                <w:color w:val="auto"/>
                <w:sz w:val="22"/>
                <w:szCs w:val="22"/>
                <w:highlight w:val="none"/>
              </w:rPr>
            </w:pPr>
            <w:r>
              <w:rPr>
                <w:rFonts w:eastAsia="新宋体"/>
                <w:color w:val="auto"/>
                <w:sz w:val="22"/>
                <w:szCs w:val="22"/>
                <w:highlight w:val="none"/>
              </w:rPr>
              <w:t>配送能力</w:t>
            </w:r>
          </w:p>
        </w:tc>
        <w:tc>
          <w:tcPr>
            <w:tcW w:w="669" w:type="pct"/>
            <w:tcBorders>
              <w:top w:val="single" w:color="auto" w:sz="4" w:space="0"/>
              <w:left w:val="single" w:color="auto" w:sz="4" w:space="0"/>
              <w:right w:val="single" w:color="auto" w:sz="4" w:space="0"/>
            </w:tcBorders>
            <w:vAlign w:val="center"/>
          </w:tcPr>
          <w:p w14:paraId="0012D203">
            <w:pPr>
              <w:snapToGrid w:val="0"/>
              <w:spacing w:line="460" w:lineRule="exact"/>
              <w:jc w:val="center"/>
              <w:rPr>
                <w:rFonts w:eastAsia="新宋体"/>
                <w:color w:val="auto"/>
                <w:sz w:val="22"/>
                <w:szCs w:val="22"/>
                <w:highlight w:val="none"/>
              </w:rPr>
            </w:pPr>
            <w:r>
              <w:rPr>
                <w:rFonts w:eastAsia="新宋体"/>
                <w:color w:val="auto"/>
                <w:sz w:val="22"/>
                <w:szCs w:val="22"/>
                <w:highlight w:val="none"/>
              </w:rPr>
              <w:t>配送车辆</w:t>
            </w:r>
          </w:p>
        </w:tc>
        <w:tc>
          <w:tcPr>
            <w:tcW w:w="547" w:type="pct"/>
            <w:tcBorders>
              <w:top w:val="single" w:color="auto" w:sz="4" w:space="0"/>
              <w:left w:val="single" w:color="auto" w:sz="4" w:space="0"/>
              <w:bottom w:val="single" w:color="auto" w:sz="4" w:space="0"/>
              <w:right w:val="single" w:color="auto" w:sz="4" w:space="0"/>
            </w:tcBorders>
            <w:vAlign w:val="center"/>
          </w:tcPr>
          <w:p w14:paraId="6D9FA2F8">
            <w:pPr>
              <w:snapToGrid w:val="0"/>
              <w:spacing w:line="460" w:lineRule="exact"/>
              <w:jc w:val="center"/>
              <w:rPr>
                <w:rFonts w:eastAsia="新宋体"/>
                <w:color w:val="auto"/>
                <w:sz w:val="22"/>
                <w:szCs w:val="22"/>
                <w:highlight w:val="none"/>
              </w:rPr>
            </w:pPr>
            <w:r>
              <w:rPr>
                <w:rFonts w:eastAsia="新宋体"/>
                <w:color w:val="auto"/>
                <w:sz w:val="22"/>
                <w:szCs w:val="22"/>
                <w:highlight w:val="none"/>
              </w:rPr>
              <w:t>0-8</w:t>
            </w:r>
          </w:p>
        </w:tc>
        <w:tc>
          <w:tcPr>
            <w:tcW w:w="2384" w:type="pct"/>
            <w:tcBorders>
              <w:top w:val="single" w:color="auto" w:sz="4" w:space="0"/>
              <w:left w:val="single" w:color="auto" w:sz="4" w:space="0"/>
              <w:bottom w:val="single" w:color="auto" w:sz="4" w:space="0"/>
              <w:right w:val="single" w:color="auto" w:sz="4" w:space="0"/>
            </w:tcBorders>
            <w:vAlign w:val="center"/>
          </w:tcPr>
          <w:p w14:paraId="752A0A68">
            <w:pPr>
              <w:snapToGrid w:val="0"/>
              <w:spacing w:line="460" w:lineRule="exact"/>
              <w:rPr>
                <w:rFonts w:eastAsia="新宋体"/>
                <w:color w:val="auto"/>
                <w:sz w:val="22"/>
                <w:szCs w:val="22"/>
                <w:highlight w:val="none"/>
              </w:rPr>
            </w:pPr>
            <w:r>
              <w:rPr>
                <w:rFonts w:eastAsia="新宋体"/>
                <w:color w:val="auto"/>
                <w:sz w:val="22"/>
                <w:szCs w:val="22"/>
                <w:highlight w:val="none"/>
              </w:rPr>
              <w:t>供应商具备配送冷藏车一辆的得1分，本小项最多4分。</w:t>
            </w:r>
          </w:p>
          <w:p w14:paraId="6262F81D">
            <w:pPr>
              <w:snapToGrid w:val="0"/>
              <w:spacing w:line="460" w:lineRule="exact"/>
              <w:rPr>
                <w:rFonts w:eastAsia="新宋体"/>
                <w:color w:val="auto"/>
                <w:sz w:val="22"/>
                <w:szCs w:val="22"/>
                <w:highlight w:val="none"/>
              </w:rPr>
            </w:pPr>
            <w:r>
              <w:rPr>
                <w:rFonts w:eastAsia="新宋体"/>
                <w:color w:val="auto"/>
                <w:sz w:val="22"/>
                <w:szCs w:val="22"/>
                <w:highlight w:val="none"/>
              </w:rPr>
              <w:t>供应商具备配送厢式货车一辆的得1分，本小项最多4分。</w:t>
            </w:r>
          </w:p>
          <w:p w14:paraId="080019EA">
            <w:pPr>
              <w:snapToGrid w:val="0"/>
              <w:spacing w:line="460" w:lineRule="exact"/>
              <w:rPr>
                <w:rFonts w:eastAsia="新宋体"/>
                <w:color w:val="auto"/>
                <w:sz w:val="22"/>
                <w:szCs w:val="22"/>
                <w:highlight w:val="none"/>
              </w:rPr>
            </w:pPr>
            <w:r>
              <w:rPr>
                <w:rFonts w:eastAsia="新宋体"/>
                <w:b/>
                <w:bCs/>
                <w:color w:val="auto"/>
                <w:sz w:val="22"/>
                <w:szCs w:val="22"/>
                <w:highlight w:val="none"/>
              </w:rPr>
              <w:t>注：需提供该供应商所具备的配送车辆的相关证明材料（自有车辆行驶证或投标截止日前的有效车辆租赁协议及其车辆行驶证），并加盖公章，冷藏车认定以车辆照片的制冷机组为准，车辆正面照片，显示车牌</w:t>
            </w:r>
            <w:r>
              <w:rPr>
                <w:rFonts w:hint="eastAsia" w:eastAsia="新宋体"/>
                <w:b/>
                <w:bCs/>
                <w:color w:val="auto"/>
                <w:sz w:val="22"/>
                <w:szCs w:val="22"/>
                <w:highlight w:val="none"/>
              </w:rPr>
              <w:t>，</w:t>
            </w:r>
            <w:r>
              <w:rPr>
                <w:rFonts w:eastAsia="新宋体"/>
                <w:b/>
                <w:bCs/>
                <w:color w:val="auto"/>
                <w:sz w:val="22"/>
                <w:szCs w:val="22"/>
                <w:highlight w:val="none"/>
              </w:rPr>
              <w:t>否则不得分。</w:t>
            </w:r>
          </w:p>
        </w:tc>
        <w:tc>
          <w:tcPr>
            <w:tcW w:w="581" w:type="pct"/>
            <w:tcBorders>
              <w:top w:val="single" w:color="auto" w:sz="4" w:space="0"/>
              <w:left w:val="single" w:color="auto" w:sz="4" w:space="0"/>
              <w:bottom w:val="single" w:color="auto" w:sz="4" w:space="0"/>
              <w:right w:val="single" w:color="auto" w:sz="4" w:space="0"/>
            </w:tcBorders>
            <w:vAlign w:val="center"/>
          </w:tcPr>
          <w:p w14:paraId="34AFB4D8">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39CF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vMerge w:val="continue"/>
            <w:tcBorders>
              <w:left w:val="single" w:color="auto" w:sz="4" w:space="0"/>
              <w:right w:val="single" w:color="auto" w:sz="4" w:space="0"/>
            </w:tcBorders>
            <w:vAlign w:val="center"/>
          </w:tcPr>
          <w:p w14:paraId="5460F5A4">
            <w:pPr>
              <w:snapToGrid w:val="0"/>
              <w:spacing w:line="460" w:lineRule="exact"/>
              <w:ind w:firstLine="220" w:firstLineChars="100"/>
              <w:jc w:val="center"/>
              <w:rPr>
                <w:rFonts w:eastAsia="新宋体"/>
                <w:color w:val="auto"/>
                <w:sz w:val="22"/>
                <w:szCs w:val="22"/>
                <w:highlight w:val="none"/>
              </w:rPr>
            </w:pPr>
          </w:p>
        </w:tc>
        <w:tc>
          <w:tcPr>
            <w:tcW w:w="521" w:type="pct"/>
            <w:vMerge w:val="continue"/>
            <w:tcBorders>
              <w:left w:val="single" w:color="auto" w:sz="4" w:space="0"/>
              <w:right w:val="single" w:color="auto" w:sz="4" w:space="0"/>
            </w:tcBorders>
            <w:vAlign w:val="center"/>
          </w:tcPr>
          <w:p w14:paraId="3CC5EF98">
            <w:pPr>
              <w:snapToGrid w:val="0"/>
              <w:spacing w:line="460" w:lineRule="exact"/>
              <w:jc w:val="center"/>
              <w:rPr>
                <w:rFonts w:eastAsia="新宋体"/>
                <w:color w:val="auto"/>
                <w:sz w:val="22"/>
                <w:szCs w:val="22"/>
                <w:highlight w:val="none"/>
              </w:rPr>
            </w:pPr>
          </w:p>
        </w:tc>
        <w:tc>
          <w:tcPr>
            <w:tcW w:w="669" w:type="pct"/>
            <w:tcBorders>
              <w:top w:val="single" w:color="auto" w:sz="4" w:space="0"/>
              <w:left w:val="single" w:color="auto" w:sz="4" w:space="0"/>
              <w:right w:val="single" w:color="auto" w:sz="4" w:space="0"/>
            </w:tcBorders>
            <w:vAlign w:val="center"/>
          </w:tcPr>
          <w:p w14:paraId="2F18C710">
            <w:pPr>
              <w:snapToGrid w:val="0"/>
              <w:spacing w:line="460" w:lineRule="exact"/>
              <w:jc w:val="center"/>
              <w:rPr>
                <w:rFonts w:eastAsia="新宋体"/>
                <w:color w:val="auto"/>
                <w:sz w:val="22"/>
                <w:szCs w:val="22"/>
                <w:highlight w:val="none"/>
              </w:rPr>
            </w:pPr>
            <w:r>
              <w:rPr>
                <w:rFonts w:eastAsia="新宋体"/>
                <w:color w:val="auto"/>
                <w:sz w:val="22"/>
                <w:szCs w:val="22"/>
                <w:highlight w:val="none"/>
              </w:rPr>
              <w:t>驾驶员</w:t>
            </w:r>
          </w:p>
        </w:tc>
        <w:tc>
          <w:tcPr>
            <w:tcW w:w="547" w:type="pct"/>
            <w:tcBorders>
              <w:top w:val="single" w:color="auto" w:sz="4" w:space="0"/>
              <w:left w:val="single" w:color="auto" w:sz="4" w:space="0"/>
              <w:bottom w:val="single" w:color="auto" w:sz="4" w:space="0"/>
              <w:right w:val="single" w:color="auto" w:sz="4" w:space="0"/>
            </w:tcBorders>
            <w:vAlign w:val="center"/>
          </w:tcPr>
          <w:p w14:paraId="4018F70F">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4</w:t>
            </w:r>
          </w:p>
        </w:tc>
        <w:tc>
          <w:tcPr>
            <w:tcW w:w="2384" w:type="pct"/>
            <w:tcBorders>
              <w:top w:val="single" w:color="auto" w:sz="4" w:space="0"/>
              <w:left w:val="single" w:color="auto" w:sz="4" w:space="0"/>
              <w:bottom w:val="single" w:color="auto" w:sz="4" w:space="0"/>
              <w:right w:val="single" w:color="auto" w:sz="4" w:space="0"/>
            </w:tcBorders>
            <w:vAlign w:val="center"/>
          </w:tcPr>
          <w:p w14:paraId="341D1015">
            <w:pPr>
              <w:snapToGrid w:val="0"/>
              <w:spacing w:line="460" w:lineRule="exact"/>
              <w:rPr>
                <w:rFonts w:eastAsia="新宋体"/>
                <w:color w:val="auto"/>
                <w:sz w:val="22"/>
                <w:szCs w:val="22"/>
                <w:highlight w:val="none"/>
              </w:rPr>
            </w:pPr>
            <w:r>
              <w:rPr>
                <w:rFonts w:eastAsia="新宋体"/>
                <w:color w:val="auto"/>
                <w:sz w:val="22"/>
                <w:szCs w:val="22"/>
                <w:highlight w:val="none"/>
              </w:rPr>
              <w:t>根据供应商为本项目投入的驾驶员数量</w:t>
            </w:r>
            <w:r>
              <w:rPr>
                <w:rFonts w:hint="eastAsia" w:eastAsia="新宋体"/>
                <w:color w:val="auto"/>
                <w:sz w:val="22"/>
                <w:szCs w:val="22"/>
                <w:highlight w:val="none"/>
                <w:lang w:eastAsia="zh-CN"/>
              </w:rPr>
              <w:t>、</w:t>
            </w:r>
            <w:r>
              <w:rPr>
                <w:rFonts w:eastAsia="新宋体"/>
                <w:color w:val="auto"/>
                <w:sz w:val="22"/>
                <w:szCs w:val="22"/>
                <w:highlight w:val="none"/>
              </w:rPr>
              <w:t>驾龄</w:t>
            </w:r>
            <w:r>
              <w:rPr>
                <w:rFonts w:hint="eastAsia" w:eastAsia="新宋体"/>
                <w:color w:val="auto"/>
                <w:sz w:val="22"/>
                <w:szCs w:val="22"/>
                <w:highlight w:val="none"/>
                <w:lang w:eastAsia="zh-CN"/>
              </w:rPr>
              <w:t>、</w:t>
            </w:r>
            <w:r>
              <w:rPr>
                <w:rFonts w:hint="eastAsia" w:eastAsia="新宋体"/>
                <w:color w:val="auto"/>
                <w:sz w:val="22"/>
                <w:szCs w:val="22"/>
                <w:highlight w:val="none"/>
                <w:lang w:val="en-US" w:eastAsia="zh-CN"/>
              </w:rPr>
              <w:t>年龄以及身体健康状况等</w:t>
            </w:r>
            <w:r>
              <w:rPr>
                <w:rFonts w:eastAsia="新宋体"/>
                <w:color w:val="auto"/>
                <w:sz w:val="22"/>
                <w:szCs w:val="22"/>
                <w:highlight w:val="none"/>
              </w:rPr>
              <w:t>情况进行</w:t>
            </w:r>
            <w:r>
              <w:rPr>
                <w:rFonts w:hint="eastAsia" w:eastAsia="新宋体"/>
                <w:color w:val="auto"/>
                <w:sz w:val="22"/>
                <w:szCs w:val="22"/>
                <w:highlight w:val="none"/>
              </w:rPr>
              <w:t>综合量化</w:t>
            </w:r>
            <w:r>
              <w:rPr>
                <w:rFonts w:eastAsia="新宋体"/>
                <w:color w:val="auto"/>
                <w:sz w:val="22"/>
                <w:szCs w:val="22"/>
                <w:highlight w:val="none"/>
              </w:rPr>
              <w:t>打分</w:t>
            </w:r>
            <w:r>
              <w:rPr>
                <w:rFonts w:hint="eastAsia" w:eastAsia="新宋体"/>
                <w:color w:val="auto"/>
                <w:sz w:val="22"/>
                <w:szCs w:val="22"/>
                <w:highlight w:val="none"/>
              </w:rPr>
              <w:t>（4，3，2，1，0分）</w:t>
            </w:r>
          </w:p>
          <w:p w14:paraId="6FB12229">
            <w:pPr>
              <w:pStyle w:val="16"/>
              <w:snapToGrid w:val="0"/>
              <w:spacing w:line="460" w:lineRule="exact"/>
              <w:ind w:firstLine="0"/>
              <w:rPr>
                <w:rFonts w:eastAsia="新宋体"/>
                <w:color w:val="auto"/>
                <w:sz w:val="22"/>
                <w:szCs w:val="22"/>
                <w:highlight w:val="none"/>
              </w:rPr>
            </w:pPr>
            <w:r>
              <w:rPr>
                <w:rFonts w:eastAsia="新宋体"/>
                <w:bCs/>
                <w:color w:val="auto"/>
                <w:sz w:val="22"/>
                <w:szCs w:val="22"/>
                <w:highlight w:val="none"/>
              </w:rPr>
              <w:t>注：</w:t>
            </w:r>
            <w:r>
              <w:rPr>
                <w:rFonts w:eastAsia="新宋体"/>
                <w:color w:val="auto"/>
                <w:sz w:val="22"/>
                <w:szCs w:val="22"/>
                <w:highlight w:val="none"/>
              </w:rPr>
              <w:t>提供</w:t>
            </w:r>
            <w:r>
              <w:rPr>
                <w:rFonts w:hint="eastAsia" w:eastAsia="新宋体"/>
                <w:color w:val="auto"/>
                <w:sz w:val="22"/>
                <w:szCs w:val="22"/>
                <w:highlight w:val="none"/>
                <w:lang w:val="en-US" w:eastAsia="zh-CN"/>
              </w:rPr>
              <w:t>健康证、</w:t>
            </w:r>
            <w:r>
              <w:rPr>
                <w:rFonts w:eastAsia="新宋体"/>
                <w:color w:val="auto"/>
                <w:sz w:val="22"/>
                <w:szCs w:val="22"/>
                <w:highlight w:val="none"/>
              </w:rPr>
              <w:t>驾驶证、劳动合同复印件加盖公章，否则不得分</w:t>
            </w:r>
          </w:p>
        </w:tc>
        <w:tc>
          <w:tcPr>
            <w:tcW w:w="581" w:type="pct"/>
            <w:tcBorders>
              <w:top w:val="single" w:color="auto" w:sz="4" w:space="0"/>
              <w:left w:val="single" w:color="auto" w:sz="4" w:space="0"/>
              <w:bottom w:val="single" w:color="auto" w:sz="4" w:space="0"/>
              <w:right w:val="single" w:color="auto" w:sz="4" w:space="0"/>
            </w:tcBorders>
            <w:vAlign w:val="center"/>
          </w:tcPr>
          <w:p w14:paraId="14D2229A">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6B0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tcBorders>
              <w:left w:val="single" w:color="auto" w:sz="4" w:space="0"/>
              <w:right w:val="single" w:color="auto" w:sz="4" w:space="0"/>
            </w:tcBorders>
            <w:vAlign w:val="center"/>
          </w:tcPr>
          <w:p w14:paraId="5D1AEF46">
            <w:pPr>
              <w:snapToGrid w:val="0"/>
              <w:spacing w:line="460" w:lineRule="exact"/>
              <w:jc w:val="center"/>
              <w:rPr>
                <w:rFonts w:eastAsia="新宋体"/>
                <w:color w:val="auto"/>
                <w:sz w:val="22"/>
                <w:szCs w:val="22"/>
                <w:highlight w:val="none"/>
              </w:rPr>
            </w:pPr>
            <w:r>
              <w:rPr>
                <w:rFonts w:eastAsia="新宋体"/>
                <w:color w:val="auto"/>
                <w:sz w:val="22"/>
                <w:szCs w:val="22"/>
                <w:highlight w:val="none"/>
              </w:rPr>
              <w:t>7</w:t>
            </w:r>
          </w:p>
        </w:tc>
        <w:tc>
          <w:tcPr>
            <w:tcW w:w="1191" w:type="pct"/>
            <w:gridSpan w:val="2"/>
            <w:tcBorders>
              <w:left w:val="single" w:color="auto" w:sz="4" w:space="0"/>
              <w:right w:val="single" w:color="auto" w:sz="4" w:space="0"/>
            </w:tcBorders>
            <w:vAlign w:val="center"/>
          </w:tcPr>
          <w:p w14:paraId="78042750">
            <w:pPr>
              <w:snapToGrid w:val="0"/>
              <w:spacing w:line="460" w:lineRule="exact"/>
              <w:jc w:val="center"/>
              <w:rPr>
                <w:rFonts w:eastAsia="新宋体"/>
                <w:color w:val="auto"/>
                <w:sz w:val="22"/>
                <w:szCs w:val="22"/>
                <w:highlight w:val="none"/>
              </w:rPr>
            </w:pPr>
            <w:r>
              <w:rPr>
                <w:rFonts w:eastAsia="新宋体"/>
                <w:color w:val="auto"/>
                <w:sz w:val="22"/>
                <w:szCs w:val="22"/>
                <w:highlight w:val="none"/>
              </w:rPr>
              <w:t>食品检测设备</w:t>
            </w:r>
          </w:p>
        </w:tc>
        <w:tc>
          <w:tcPr>
            <w:tcW w:w="547" w:type="pct"/>
            <w:tcBorders>
              <w:top w:val="single" w:color="auto" w:sz="4" w:space="0"/>
              <w:left w:val="single" w:color="auto" w:sz="4" w:space="0"/>
              <w:bottom w:val="single" w:color="auto" w:sz="4" w:space="0"/>
              <w:right w:val="single" w:color="auto" w:sz="4" w:space="0"/>
            </w:tcBorders>
            <w:vAlign w:val="center"/>
          </w:tcPr>
          <w:p w14:paraId="59D96568">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6</w:t>
            </w:r>
          </w:p>
        </w:tc>
        <w:tc>
          <w:tcPr>
            <w:tcW w:w="2384" w:type="pct"/>
            <w:tcBorders>
              <w:top w:val="single" w:color="auto" w:sz="4" w:space="0"/>
              <w:left w:val="single" w:color="auto" w:sz="4" w:space="0"/>
              <w:bottom w:val="single" w:color="auto" w:sz="4" w:space="0"/>
              <w:right w:val="single" w:color="auto" w:sz="4" w:space="0"/>
            </w:tcBorders>
            <w:vAlign w:val="center"/>
          </w:tcPr>
          <w:p w14:paraId="0A867C66">
            <w:pPr>
              <w:pStyle w:val="561"/>
              <w:snapToGrid w:val="0"/>
              <w:spacing w:before="22" w:line="460" w:lineRule="exact"/>
              <w:ind w:right="41"/>
              <w:rPr>
                <w:rFonts w:eastAsia="新宋体"/>
                <w:color w:val="auto"/>
                <w:sz w:val="22"/>
                <w:szCs w:val="22"/>
                <w:highlight w:val="none"/>
              </w:rPr>
            </w:pPr>
            <w:r>
              <w:rPr>
                <w:rFonts w:hint="eastAsia" w:eastAsia="新宋体"/>
                <w:color w:val="auto"/>
                <w:sz w:val="22"/>
                <w:szCs w:val="22"/>
                <w:highlight w:val="none"/>
              </w:rPr>
              <w:t>供应商</w:t>
            </w:r>
            <w:r>
              <w:rPr>
                <w:rFonts w:eastAsia="新宋体"/>
                <w:color w:val="auto"/>
                <w:sz w:val="22"/>
                <w:szCs w:val="22"/>
                <w:highlight w:val="none"/>
              </w:rPr>
              <w:t>具有食品多功能检测仪、农药残留速测仪、兽药残留检测仪、微生物检测仪、</w:t>
            </w:r>
            <w:r>
              <w:rPr>
                <w:rFonts w:hint="eastAsia" w:eastAsia="新宋体"/>
                <w:color w:val="auto"/>
                <w:sz w:val="22"/>
                <w:szCs w:val="22"/>
                <w:highlight w:val="none"/>
              </w:rPr>
              <w:t>甲醛</w:t>
            </w:r>
            <w:r>
              <w:rPr>
                <w:rFonts w:eastAsia="新宋体"/>
                <w:color w:val="auto"/>
                <w:sz w:val="22"/>
                <w:szCs w:val="22"/>
                <w:highlight w:val="none"/>
              </w:rPr>
              <w:t>检测仪</w:t>
            </w:r>
            <w:r>
              <w:rPr>
                <w:rFonts w:hint="eastAsia" w:eastAsia="新宋体"/>
                <w:color w:val="auto"/>
                <w:sz w:val="22"/>
                <w:szCs w:val="22"/>
                <w:highlight w:val="none"/>
              </w:rPr>
              <w:t>、重金属检测仪、</w:t>
            </w:r>
            <w:r>
              <w:rPr>
                <w:rFonts w:eastAsia="新宋体"/>
                <w:color w:val="auto"/>
                <w:sz w:val="22"/>
                <w:szCs w:val="22"/>
                <w:highlight w:val="none"/>
              </w:rPr>
              <w:t>每个</w:t>
            </w:r>
            <w:r>
              <w:rPr>
                <w:rFonts w:hint="eastAsia" w:eastAsia="新宋体"/>
                <w:color w:val="auto"/>
                <w:sz w:val="22"/>
                <w:szCs w:val="22"/>
                <w:highlight w:val="none"/>
              </w:rPr>
              <w:t>设备</w:t>
            </w:r>
            <w:r>
              <w:rPr>
                <w:rFonts w:eastAsia="新宋体"/>
                <w:color w:val="auto"/>
                <w:sz w:val="22"/>
                <w:szCs w:val="22"/>
                <w:highlight w:val="none"/>
              </w:rPr>
              <w:t xml:space="preserve">得 1 分，最高得 </w:t>
            </w:r>
            <w:r>
              <w:rPr>
                <w:rFonts w:hint="eastAsia" w:eastAsia="新宋体"/>
                <w:color w:val="auto"/>
                <w:sz w:val="22"/>
                <w:szCs w:val="22"/>
                <w:highlight w:val="none"/>
              </w:rPr>
              <w:t>6</w:t>
            </w:r>
            <w:r>
              <w:rPr>
                <w:rFonts w:eastAsia="新宋体"/>
                <w:color w:val="auto"/>
                <w:sz w:val="22"/>
                <w:szCs w:val="22"/>
                <w:highlight w:val="none"/>
              </w:rPr>
              <w:t>分。</w:t>
            </w:r>
          </w:p>
          <w:p w14:paraId="16A55CAE">
            <w:pPr>
              <w:pStyle w:val="561"/>
              <w:snapToGrid w:val="0"/>
              <w:spacing w:before="22" w:line="460" w:lineRule="exact"/>
              <w:ind w:right="41"/>
              <w:rPr>
                <w:rFonts w:eastAsia="新宋体"/>
                <w:color w:val="auto"/>
                <w:sz w:val="22"/>
                <w:szCs w:val="22"/>
                <w:highlight w:val="none"/>
              </w:rPr>
            </w:pPr>
            <w:r>
              <w:rPr>
                <w:rFonts w:eastAsia="新宋体"/>
                <w:color w:val="auto"/>
                <w:sz w:val="22"/>
                <w:szCs w:val="22"/>
                <w:highlight w:val="none"/>
              </w:rPr>
              <w:t>注：设备照片、设备发票或设备使用权证明加盖公章</w:t>
            </w:r>
          </w:p>
        </w:tc>
        <w:tc>
          <w:tcPr>
            <w:tcW w:w="581" w:type="pct"/>
            <w:tcBorders>
              <w:top w:val="single" w:color="auto" w:sz="4" w:space="0"/>
              <w:left w:val="single" w:color="auto" w:sz="4" w:space="0"/>
              <w:bottom w:val="single" w:color="auto" w:sz="4" w:space="0"/>
              <w:right w:val="single" w:color="auto" w:sz="4" w:space="0"/>
            </w:tcBorders>
            <w:vAlign w:val="center"/>
          </w:tcPr>
          <w:p w14:paraId="1B0666C1">
            <w:pPr>
              <w:snapToGrid w:val="0"/>
              <w:spacing w:line="460" w:lineRule="exact"/>
              <w:jc w:val="center"/>
              <w:rPr>
                <w:rFonts w:eastAsia="新宋体"/>
                <w:color w:val="auto"/>
                <w:sz w:val="22"/>
                <w:szCs w:val="22"/>
                <w:highlight w:val="none"/>
              </w:rPr>
            </w:pPr>
            <w:r>
              <w:rPr>
                <w:rFonts w:eastAsia="新宋体"/>
                <w:color w:val="auto"/>
                <w:sz w:val="22"/>
                <w:szCs w:val="22"/>
                <w:highlight w:val="none"/>
              </w:rPr>
              <w:t>客观分</w:t>
            </w:r>
          </w:p>
        </w:tc>
      </w:tr>
      <w:tr w14:paraId="5274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tcBorders>
              <w:left w:val="single" w:color="auto" w:sz="4" w:space="0"/>
              <w:right w:val="single" w:color="auto" w:sz="4" w:space="0"/>
            </w:tcBorders>
            <w:vAlign w:val="center"/>
          </w:tcPr>
          <w:p w14:paraId="58E2BB86">
            <w:pPr>
              <w:snapToGrid w:val="0"/>
              <w:spacing w:line="460" w:lineRule="exact"/>
              <w:jc w:val="center"/>
              <w:rPr>
                <w:rFonts w:eastAsia="新宋体"/>
                <w:color w:val="auto"/>
                <w:sz w:val="22"/>
                <w:szCs w:val="22"/>
                <w:highlight w:val="none"/>
              </w:rPr>
            </w:pPr>
            <w:r>
              <w:rPr>
                <w:rFonts w:eastAsia="新宋体"/>
                <w:color w:val="auto"/>
                <w:sz w:val="22"/>
                <w:szCs w:val="22"/>
                <w:highlight w:val="none"/>
              </w:rPr>
              <w:t>8</w:t>
            </w:r>
          </w:p>
        </w:tc>
        <w:tc>
          <w:tcPr>
            <w:tcW w:w="1191" w:type="pct"/>
            <w:gridSpan w:val="2"/>
            <w:tcBorders>
              <w:left w:val="single" w:color="auto" w:sz="4" w:space="0"/>
              <w:right w:val="single" w:color="auto" w:sz="4" w:space="0"/>
            </w:tcBorders>
            <w:vAlign w:val="center"/>
          </w:tcPr>
          <w:p w14:paraId="26F7D108">
            <w:pPr>
              <w:snapToGrid w:val="0"/>
              <w:spacing w:line="460" w:lineRule="exact"/>
              <w:jc w:val="center"/>
              <w:rPr>
                <w:rFonts w:eastAsia="新宋体"/>
                <w:color w:val="auto"/>
                <w:sz w:val="22"/>
                <w:szCs w:val="22"/>
                <w:highlight w:val="none"/>
              </w:rPr>
            </w:pPr>
            <w:r>
              <w:rPr>
                <w:rFonts w:eastAsia="新宋体"/>
                <w:color w:val="auto"/>
                <w:sz w:val="22"/>
                <w:szCs w:val="22"/>
                <w:highlight w:val="none"/>
              </w:rPr>
              <w:t>项目组成员</w:t>
            </w:r>
          </w:p>
        </w:tc>
        <w:tc>
          <w:tcPr>
            <w:tcW w:w="547" w:type="pct"/>
            <w:tcBorders>
              <w:top w:val="single" w:color="auto" w:sz="4" w:space="0"/>
              <w:left w:val="single" w:color="auto" w:sz="4" w:space="0"/>
              <w:bottom w:val="single" w:color="auto" w:sz="4" w:space="0"/>
              <w:right w:val="single" w:color="auto" w:sz="4" w:space="0"/>
            </w:tcBorders>
            <w:vAlign w:val="center"/>
          </w:tcPr>
          <w:p w14:paraId="3FFB4478">
            <w:pPr>
              <w:snapToGrid w:val="0"/>
              <w:spacing w:line="460" w:lineRule="exact"/>
              <w:jc w:val="center"/>
              <w:rPr>
                <w:rFonts w:eastAsia="新宋体"/>
                <w:color w:val="auto"/>
                <w:sz w:val="22"/>
                <w:szCs w:val="22"/>
                <w:highlight w:val="none"/>
              </w:rPr>
            </w:pPr>
            <w:r>
              <w:rPr>
                <w:rFonts w:eastAsia="新宋体"/>
                <w:color w:val="auto"/>
                <w:sz w:val="22"/>
                <w:szCs w:val="22"/>
                <w:highlight w:val="none"/>
              </w:rPr>
              <w:t>0-8</w:t>
            </w:r>
          </w:p>
        </w:tc>
        <w:tc>
          <w:tcPr>
            <w:tcW w:w="2384" w:type="pct"/>
            <w:tcBorders>
              <w:top w:val="single" w:color="auto" w:sz="4" w:space="0"/>
              <w:left w:val="single" w:color="auto" w:sz="4" w:space="0"/>
              <w:bottom w:val="single" w:color="auto" w:sz="4" w:space="0"/>
              <w:right w:val="single" w:color="auto" w:sz="4" w:space="0"/>
            </w:tcBorders>
            <w:vAlign w:val="center"/>
          </w:tcPr>
          <w:p w14:paraId="58152BEE">
            <w:pPr>
              <w:snapToGrid w:val="0"/>
              <w:spacing w:line="460" w:lineRule="exact"/>
              <w:rPr>
                <w:rFonts w:eastAsia="新宋体"/>
                <w:color w:val="auto"/>
                <w:sz w:val="22"/>
                <w:szCs w:val="22"/>
                <w:highlight w:val="none"/>
              </w:rPr>
            </w:pPr>
            <w:r>
              <w:rPr>
                <w:rFonts w:eastAsia="新宋体"/>
                <w:color w:val="auto"/>
                <w:sz w:val="22"/>
                <w:szCs w:val="22"/>
                <w:highlight w:val="none"/>
              </w:rPr>
              <w:t>根据供应商的拟投入员工数量、岗位配备、人员资格证书等情况进行</w:t>
            </w:r>
            <w:r>
              <w:rPr>
                <w:rFonts w:hint="eastAsia" w:eastAsia="新宋体"/>
                <w:color w:val="auto"/>
                <w:sz w:val="22"/>
                <w:szCs w:val="22"/>
                <w:highlight w:val="none"/>
              </w:rPr>
              <w:t>综合量化</w:t>
            </w:r>
            <w:r>
              <w:rPr>
                <w:rFonts w:eastAsia="新宋体"/>
                <w:color w:val="auto"/>
                <w:sz w:val="22"/>
                <w:szCs w:val="22"/>
                <w:highlight w:val="none"/>
              </w:rPr>
              <w:t>打分。</w:t>
            </w:r>
            <w:r>
              <w:rPr>
                <w:rFonts w:hint="eastAsia" w:eastAsia="新宋体"/>
                <w:color w:val="auto"/>
                <w:sz w:val="22"/>
                <w:szCs w:val="22"/>
                <w:highlight w:val="none"/>
              </w:rPr>
              <w:t>（8，6，4，2，0分）</w:t>
            </w:r>
          </w:p>
          <w:p w14:paraId="0475B0F7">
            <w:pPr>
              <w:snapToGrid w:val="0"/>
              <w:spacing w:line="460" w:lineRule="exact"/>
              <w:rPr>
                <w:rFonts w:eastAsia="新宋体"/>
                <w:color w:val="auto"/>
                <w:sz w:val="22"/>
                <w:szCs w:val="22"/>
                <w:highlight w:val="none"/>
              </w:rPr>
            </w:pPr>
            <w:bookmarkStart w:id="111" w:name="_Toc25512"/>
            <w:bookmarkStart w:id="112" w:name="_Toc20392"/>
            <w:r>
              <w:rPr>
                <w:rFonts w:eastAsia="新宋体"/>
                <w:color w:val="auto"/>
                <w:sz w:val="22"/>
                <w:szCs w:val="22"/>
                <w:highlight w:val="none"/>
              </w:rPr>
              <w:t>注：需提供人员健康证和近三个月</w:t>
            </w:r>
            <w:r>
              <w:rPr>
                <w:rFonts w:hint="eastAsia" w:eastAsia="新宋体"/>
                <w:color w:val="auto"/>
                <w:sz w:val="22"/>
                <w:szCs w:val="22"/>
                <w:highlight w:val="none"/>
              </w:rPr>
              <w:t>任一月</w:t>
            </w:r>
            <w:r>
              <w:rPr>
                <w:rFonts w:eastAsia="新宋体"/>
                <w:color w:val="auto"/>
                <w:sz w:val="22"/>
                <w:szCs w:val="22"/>
                <w:highlight w:val="none"/>
              </w:rPr>
              <w:t>的社保证明，否则不得分。</w:t>
            </w:r>
            <w:bookmarkEnd w:id="111"/>
            <w:bookmarkEnd w:id="112"/>
          </w:p>
        </w:tc>
        <w:tc>
          <w:tcPr>
            <w:tcW w:w="581" w:type="pct"/>
            <w:tcBorders>
              <w:top w:val="single" w:color="auto" w:sz="4" w:space="0"/>
              <w:left w:val="single" w:color="auto" w:sz="4" w:space="0"/>
              <w:bottom w:val="single" w:color="auto" w:sz="4" w:space="0"/>
              <w:right w:val="single" w:color="auto" w:sz="4" w:space="0"/>
            </w:tcBorders>
            <w:vAlign w:val="center"/>
          </w:tcPr>
          <w:p w14:paraId="24F7AB58">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7014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tcBorders>
              <w:left w:val="single" w:color="auto" w:sz="4" w:space="0"/>
              <w:right w:val="single" w:color="auto" w:sz="4" w:space="0"/>
            </w:tcBorders>
            <w:vAlign w:val="center"/>
          </w:tcPr>
          <w:p w14:paraId="7CB17B48">
            <w:pPr>
              <w:snapToGrid w:val="0"/>
              <w:spacing w:line="460" w:lineRule="exact"/>
              <w:jc w:val="center"/>
              <w:rPr>
                <w:rFonts w:eastAsia="新宋体"/>
                <w:color w:val="auto"/>
                <w:sz w:val="22"/>
                <w:szCs w:val="22"/>
                <w:highlight w:val="none"/>
              </w:rPr>
            </w:pPr>
            <w:r>
              <w:rPr>
                <w:rFonts w:eastAsia="新宋体"/>
                <w:color w:val="auto"/>
                <w:sz w:val="22"/>
                <w:szCs w:val="22"/>
                <w:highlight w:val="none"/>
              </w:rPr>
              <w:t>9</w:t>
            </w:r>
          </w:p>
        </w:tc>
        <w:tc>
          <w:tcPr>
            <w:tcW w:w="1191" w:type="pct"/>
            <w:gridSpan w:val="2"/>
            <w:tcBorders>
              <w:left w:val="single" w:color="auto" w:sz="4" w:space="0"/>
              <w:right w:val="single" w:color="auto" w:sz="4" w:space="0"/>
            </w:tcBorders>
            <w:vAlign w:val="center"/>
          </w:tcPr>
          <w:p w14:paraId="47A80D79">
            <w:pPr>
              <w:snapToGrid w:val="0"/>
              <w:spacing w:line="460" w:lineRule="exact"/>
              <w:jc w:val="center"/>
              <w:rPr>
                <w:rFonts w:eastAsia="新宋体"/>
                <w:color w:val="auto"/>
                <w:sz w:val="22"/>
                <w:szCs w:val="22"/>
                <w:highlight w:val="none"/>
              </w:rPr>
            </w:pPr>
            <w:r>
              <w:rPr>
                <w:rFonts w:eastAsia="新宋体"/>
                <w:color w:val="auto"/>
                <w:sz w:val="22"/>
                <w:szCs w:val="22"/>
                <w:highlight w:val="none"/>
              </w:rPr>
              <w:t>管理的规范性</w:t>
            </w:r>
          </w:p>
        </w:tc>
        <w:tc>
          <w:tcPr>
            <w:tcW w:w="547" w:type="pct"/>
            <w:tcBorders>
              <w:top w:val="single" w:color="auto" w:sz="4" w:space="0"/>
              <w:left w:val="single" w:color="auto" w:sz="4" w:space="0"/>
              <w:bottom w:val="single" w:color="auto" w:sz="4" w:space="0"/>
              <w:right w:val="single" w:color="auto" w:sz="4" w:space="0"/>
            </w:tcBorders>
            <w:vAlign w:val="center"/>
          </w:tcPr>
          <w:p w14:paraId="13818E7F">
            <w:pPr>
              <w:snapToGrid w:val="0"/>
              <w:spacing w:line="460" w:lineRule="exact"/>
              <w:jc w:val="center"/>
              <w:rPr>
                <w:rFonts w:eastAsia="新宋体"/>
                <w:color w:val="auto"/>
                <w:sz w:val="22"/>
                <w:szCs w:val="22"/>
                <w:highlight w:val="none"/>
              </w:rPr>
            </w:pPr>
            <w:r>
              <w:rPr>
                <w:rFonts w:eastAsia="新宋体"/>
                <w:color w:val="auto"/>
                <w:sz w:val="22"/>
                <w:szCs w:val="22"/>
                <w:highlight w:val="none"/>
              </w:rPr>
              <w:t>0-5</w:t>
            </w:r>
          </w:p>
        </w:tc>
        <w:tc>
          <w:tcPr>
            <w:tcW w:w="2384" w:type="pct"/>
            <w:tcBorders>
              <w:top w:val="single" w:color="auto" w:sz="4" w:space="0"/>
              <w:left w:val="single" w:color="auto" w:sz="4" w:space="0"/>
              <w:bottom w:val="single" w:color="auto" w:sz="4" w:space="0"/>
              <w:right w:val="single" w:color="auto" w:sz="4" w:space="0"/>
            </w:tcBorders>
            <w:vAlign w:val="center"/>
          </w:tcPr>
          <w:p w14:paraId="2FC8B33D">
            <w:pPr>
              <w:snapToGrid w:val="0"/>
              <w:spacing w:line="460" w:lineRule="exact"/>
              <w:rPr>
                <w:rFonts w:eastAsia="新宋体"/>
                <w:color w:val="auto"/>
                <w:sz w:val="22"/>
                <w:szCs w:val="22"/>
                <w:highlight w:val="none"/>
              </w:rPr>
            </w:pPr>
            <w:r>
              <w:rPr>
                <w:rFonts w:eastAsia="新宋体"/>
                <w:color w:val="auto"/>
                <w:sz w:val="22"/>
                <w:szCs w:val="22"/>
                <w:highlight w:val="none"/>
              </w:rPr>
              <w:t>根据供应商组织制度健全、岗位职责、质量考核办法三项内容进行</w:t>
            </w:r>
            <w:r>
              <w:rPr>
                <w:rFonts w:hint="eastAsia" w:eastAsia="新宋体"/>
                <w:color w:val="auto"/>
                <w:sz w:val="22"/>
                <w:szCs w:val="22"/>
                <w:highlight w:val="none"/>
              </w:rPr>
              <w:t>综合量化</w:t>
            </w:r>
            <w:r>
              <w:rPr>
                <w:rFonts w:eastAsia="新宋体"/>
                <w:color w:val="auto"/>
                <w:sz w:val="22"/>
                <w:szCs w:val="22"/>
                <w:highlight w:val="none"/>
              </w:rPr>
              <w:t>打分。</w:t>
            </w:r>
            <w:r>
              <w:rPr>
                <w:rFonts w:hint="eastAsia" w:eastAsia="新宋体"/>
                <w:color w:val="auto"/>
                <w:sz w:val="22"/>
                <w:szCs w:val="22"/>
                <w:highlight w:val="none"/>
              </w:rPr>
              <w:t>（5，4，3，2，0分）</w:t>
            </w:r>
          </w:p>
        </w:tc>
        <w:tc>
          <w:tcPr>
            <w:tcW w:w="581" w:type="pct"/>
            <w:tcBorders>
              <w:top w:val="single" w:color="auto" w:sz="4" w:space="0"/>
              <w:left w:val="single" w:color="auto" w:sz="4" w:space="0"/>
              <w:bottom w:val="single" w:color="auto" w:sz="4" w:space="0"/>
              <w:right w:val="single" w:color="auto" w:sz="4" w:space="0"/>
            </w:tcBorders>
            <w:vAlign w:val="center"/>
          </w:tcPr>
          <w:p w14:paraId="7C658AAA">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r w14:paraId="4CB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4" w:type="pct"/>
            <w:tcBorders>
              <w:left w:val="single" w:color="auto" w:sz="4" w:space="0"/>
              <w:right w:val="single" w:color="auto" w:sz="4" w:space="0"/>
            </w:tcBorders>
            <w:vAlign w:val="center"/>
          </w:tcPr>
          <w:p w14:paraId="6DE68EED">
            <w:pPr>
              <w:snapToGrid w:val="0"/>
              <w:spacing w:line="460" w:lineRule="exact"/>
              <w:jc w:val="center"/>
              <w:rPr>
                <w:rFonts w:eastAsia="新宋体"/>
                <w:color w:val="auto"/>
                <w:sz w:val="22"/>
                <w:szCs w:val="22"/>
                <w:highlight w:val="none"/>
              </w:rPr>
            </w:pPr>
            <w:r>
              <w:rPr>
                <w:rFonts w:eastAsia="新宋体"/>
                <w:color w:val="auto"/>
                <w:sz w:val="22"/>
                <w:szCs w:val="22"/>
                <w:highlight w:val="none"/>
              </w:rPr>
              <w:t>10</w:t>
            </w:r>
          </w:p>
        </w:tc>
        <w:tc>
          <w:tcPr>
            <w:tcW w:w="1191" w:type="pct"/>
            <w:gridSpan w:val="2"/>
            <w:tcBorders>
              <w:left w:val="single" w:color="auto" w:sz="4" w:space="0"/>
              <w:right w:val="single" w:color="auto" w:sz="4" w:space="0"/>
            </w:tcBorders>
            <w:vAlign w:val="center"/>
          </w:tcPr>
          <w:p w14:paraId="6866C2C1">
            <w:pPr>
              <w:snapToGrid w:val="0"/>
              <w:spacing w:line="460" w:lineRule="exact"/>
              <w:jc w:val="center"/>
              <w:rPr>
                <w:rFonts w:eastAsia="新宋体"/>
                <w:color w:val="auto"/>
                <w:sz w:val="22"/>
                <w:szCs w:val="22"/>
                <w:highlight w:val="none"/>
              </w:rPr>
            </w:pPr>
            <w:r>
              <w:rPr>
                <w:rFonts w:eastAsia="新宋体"/>
                <w:color w:val="auto"/>
                <w:sz w:val="22"/>
                <w:szCs w:val="22"/>
                <w:highlight w:val="none"/>
              </w:rPr>
              <w:t>突发事件应急预案</w:t>
            </w:r>
          </w:p>
        </w:tc>
        <w:tc>
          <w:tcPr>
            <w:tcW w:w="547" w:type="pct"/>
            <w:tcBorders>
              <w:top w:val="single" w:color="auto" w:sz="4" w:space="0"/>
              <w:left w:val="single" w:color="auto" w:sz="4" w:space="0"/>
              <w:bottom w:val="single" w:color="auto" w:sz="4" w:space="0"/>
              <w:right w:val="single" w:color="auto" w:sz="4" w:space="0"/>
            </w:tcBorders>
            <w:vAlign w:val="center"/>
          </w:tcPr>
          <w:p w14:paraId="6E28A542">
            <w:pPr>
              <w:snapToGrid w:val="0"/>
              <w:spacing w:line="460" w:lineRule="exact"/>
              <w:jc w:val="center"/>
              <w:rPr>
                <w:rFonts w:eastAsia="新宋体"/>
                <w:color w:val="auto"/>
                <w:sz w:val="22"/>
                <w:szCs w:val="22"/>
                <w:highlight w:val="none"/>
              </w:rPr>
            </w:pPr>
            <w:r>
              <w:rPr>
                <w:rFonts w:eastAsia="新宋体"/>
                <w:color w:val="auto"/>
                <w:sz w:val="22"/>
                <w:szCs w:val="22"/>
                <w:highlight w:val="none"/>
              </w:rPr>
              <w:t>0-</w:t>
            </w:r>
            <w:r>
              <w:rPr>
                <w:rFonts w:hint="eastAsia" w:eastAsia="新宋体"/>
                <w:color w:val="auto"/>
                <w:sz w:val="22"/>
                <w:szCs w:val="22"/>
                <w:highlight w:val="none"/>
              </w:rPr>
              <w:t>,5</w:t>
            </w:r>
          </w:p>
        </w:tc>
        <w:tc>
          <w:tcPr>
            <w:tcW w:w="2384" w:type="pct"/>
            <w:tcBorders>
              <w:top w:val="single" w:color="auto" w:sz="4" w:space="0"/>
              <w:left w:val="single" w:color="auto" w:sz="4" w:space="0"/>
              <w:bottom w:val="single" w:color="auto" w:sz="4" w:space="0"/>
              <w:right w:val="single" w:color="auto" w:sz="4" w:space="0"/>
            </w:tcBorders>
            <w:vAlign w:val="center"/>
          </w:tcPr>
          <w:p w14:paraId="0B13806D">
            <w:pPr>
              <w:snapToGrid w:val="0"/>
              <w:spacing w:line="460" w:lineRule="exact"/>
              <w:rPr>
                <w:rFonts w:eastAsia="新宋体"/>
                <w:color w:val="auto"/>
                <w:sz w:val="22"/>
                <w:szCs w:val="22"/>
                <w:highlight w:val="none"/>
              </w:rPr>
            </w:pPr>
            <w:r>
              <w:rPr>
                <w:rFonts w:eastAsia="新宋体"/>
                <w:color w:val="auto"/>
                <w:sz w:val="22"/>
                <w:szCs w:val="22"/>
                <w:highlight w:val="none"/>
              </w:rPr>
              <w:t>根据供应商针对突发事件应急预案</w:t>
            </w:r>
            <w:r>
              <w:rPr>
                <w:rFonts w:ascii="宋体" w:hAnsi="宋体" w:cs="宋体"/>
                <w:color w:val="auto"/>
                <w:kern w:val="0"/>
                <w:sz w:val="22"/>
                <w:szCs w:val="22"/>
                <w:highlight w:val="none"/>
              </w:rPr>
              <w:t>(如：临时需要增加货物数量时，能</w:t>
            </w:r>
            <w:r>
              <w:rPr>
                <w:rFonts w:hint="eastAsia" w:ascii="宋体" w:hAnsi="宋体" w:cs="宋体"/>
                <w:color w:val="auto"/>
                <w:kern w:val="0"/>
                <w:sz w:val="22"/>
                <w:szCs w:val="22"/>
                <w:highlight w:val="none"/>
              </w:rPr>
              <w:t>否</w:t>
            </w:r>
            <w:r>
              <w:rPr>
                <w:rFonts w:ascii="宋体" w:hAnsi="宋体" w:cs="宋体"/>
                <w:color w:val="auto"/>
                <w:kern w:val="0"/>
                <w:sz w:val="22"/>
                <w:szCs w:val="22"/>
                <w:highlight w:val="none"/>
              </w:rPr>
              <w:t>及时配送</w:t>
            </w:r>
            <w:r>
              <w:rPr>
                <w:rFonts w:hint="eastAsia" w:ascii="宋体" w:hAnsi="宋体" w:cs="宋体"/>
                <w:color w:val="auto"/>
                <w:kern w:val="0"/>
                <w:sz w:val="22"/>
                <w:szCs w:val="22"/>
                <w:highlight w:val="none"/>
              </w:rPr>
              <w:t>、配送过程出现事故如何处理等</w:t>
            </w:r>
            <w:r>
              <w:rPr>
                <w:rFonts w:ascii="宋体" w:hAnsi="宋体" w:cs="宋体"/>
                <w:color w:val="auto"/>
                <w:kern w:val="0"/>
                <w:sz w:val="22"/>
                <w:szCs w:val="22"/>
                <w:highlight w:val="none"/>
              </w:rPr>
              <w:t>)</w:t>
            </w:r>
            <w:r>
              <w:rPr>
                <w:rFonts w:hint="eastAsia" w:eastAsia="新宋体"/>
                <w:color w:val="auto"/>
                <w:sz w:val="22"/>
                <w:szCs w:val="22"/>
                <w:highlight w:val="none"/>
              </w:rPr>
              <w:t>全面性、及时性</w:t>
            </w:r>
            <w:r>
              <w:rPr>
                <w:rFonts w:eastAsia="新宋体"/>
                <w:color w:val="auto"/>
                <w:sz w:val="22"/>
                <w:szCs w:val="22"/>
                <w:highlight w:val="none"/>
              </w:rPr>
              <w:t>进行</w:t>
            </w:r>
            <w:r>
              <w:rPr>
                <w:rFonts w:hint="eastAsia" w:eastAsia="新宋体"/>
                <w:color w:val="auto"/>
                <w:sz w:val="22"/>
                <w:szCs w:val="22"/>
                <w:highlight w:val="none"/>
              </w:rPr>
              <w:t>综合量化</w:t>
            </w:r>
            <w:r>
              <w:rPr>
                <w:rFonts w:eastAsia="新宋体"/>
                <w:color w:val="auto"/>
                <w:sz w:val="22"/>
                <w:szCs w:val="22"/>
                <w:highlight w:val="none"/>
              </w:rPr>
              <w:t>打分。</w:t>
            </w:r>
            <w:r>
              <w:rPr>
                <w:rFonts w:hint="eastAsia" w:eastAsia="新宋体"/>
                <w:color w:val="auto"/>
                <w:sz w:val="22"/>
                <w:szCs w:val="22"/>
                <w:highlight w:val="none"/>
              </w:rPr>
              <w:t>（5，4，3，2，0分）</w:t>
            </w:r>
          </w:p>
        </w:tc>
        <w:tc>
          <w:tcPr>
            <w:tcW w:w="581" w:type="pct"/>
            <w:tcBorders>
              <w:top w:val="single" w:color="auto" w:sz="4" w:space="0"/>
              <w:left w:val="single" w:color="auto" w:sz="4" w:space="0"/>
              <w:bottom w:val="single" w:color="auto" w:sz="4" w:space="0"/>
              <w:right w:val="single" w:color="auto" w:sz="4" w:space="0"/>
            </w:tcBorders>
            <w:vAlign w:val="center"/>
          </w:tcPr>
          <w:p w14:paraId="35A85C88">
            <w:pPr>
              <w:snapToGrid w:val="0"/>
              <w:spacing w:line="460" w:lineRule="exact"/>
              <w:jc w:val="center"/>
              <w:rPr>
                <w:rFonts w:eastAsia="新宋体"/>
                <w:color w:val="auto"/>
                <w:sz w:val="22"/>
                <w:szCs w:val="22"/>
                <w:highlight w:val="none"/>
              </w:rPr>
            </w:pPr>
            <w:r>
              <w:rPr>
                <w:rFonts w:eastAsia="新宋体"/>
                <w:color w:val="auto"/>
                <w:sz w:val="22"/>
                <w:szCs w:val="22"/>
                <w:highlight w:val="none"/>
              </w:rPr>
              <w:t>主观分</w:t>
            </w:r>
          </w:p>
        </w:tc>
      </w:tr>
    </w:tbl>
    <w:p w14:paraId="513FFBA6">
      <w:pPr>
        <w:numPr>
          <w:ilvl w:val="0"/>
          <w:numId w:val="27"/>
        </w:numPr>
        <w:spacing w:line="440" w:lineRule="exact"/>
        <w:ind w:firstLine="0"/>
        <w:rPr>
          <w:rFonts w:ascii="宋体" w:hAnsi="宋体" w:cs="宋体"/>
          <w:b/>
          <w:bCs/>
          <w:color w:val="auto"/>
          <w:sz w:val="22"/>
          <w:szCs w:val="22"/>
          <w:highlight w:val="none"/>
        </w:rPr>
      </w:pPr>
      <w:r>
        <w:rPr>
          <w:rFonts w:hint="eastAsia" w:ascii="宋体" w:hAnsi="宋体" w:cs="宋体"/>
          <w:b/>
          <w:color w:val="auto"/>
          <w:sz w:val="22"/>
          <w:szCs w:val="22"/>
          <w:highlight w:val="none"/>
        </w:rPr>
        <w:t>投标报价评分</w:t>
      </w:r>
      <w:r>
        <w:rPr>
          <w:rFonts w:hint="eastAsia" w:ascii="宋体" w:hAnsi="宋体" w:cs="宋体"/>
          <w:b/>
          <w:bCs/>
          <w:color w:val="auto"/>
          <w:sz w:val="22"/>
          <w:szCs w:val="22"/>
          <w:highlight w:val="none"/>
        </w:rPr>
        <w:t>（10分）：</w:t>
      </w:r>
    </w:p>
    <w:p w14:paraId="6B4F382A">
      <w:pPr>
        <w:spacing w:line="44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2.1满足采购文件要求且投标价格（折扣率）最低的投标报价为评标基准价；</w:t>
      </w:r>
    </w:p>
    <w:p w14:paraId="71097991">
      <w:pPr>
        <w:spacing w:line="440" w:lineRule="exact"/>
        <w:ind w:left="33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1）有效投标人的投标价等于评标基准价时，其投标报价评分值为满分；</w:t>
      </w:r>
    </w:p>
    <w:p w14:paraId="5256A677">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highlight w:val="none"/>
        </w:rPr>
        <w:t>报价得分</w:t>
      </w:r>
      <w:r>
        <w:rPr>
          <w:rFonts w:hint="eastAsia" w:ascii="新宋体" w:hAnsi="新宋体" w:eastAsia="新宋体" w:cs="宋体"/>
          <w:color w:val="auto"/>
          <w:kern w:val="0"/>
          <w:sz w:val="22"/>
          <w:szCs w:val="22"/>
          <w:highlight w:val="none"/>
        </w:rPr>
        <w:t>=（评标基准价/投标人投标报价）×10</w:t>
      </w:r>
      <w:r>
        <w:rPr>
          <w:rFonts w:hint="eastAsia" w:ascii="新宋体" w:hAnsi="新宋体" w:eastAsia="新宋体" w:cs="宋体"/>
          <w:color w:val="auto"/>
          <w:sz w:val="22"/>
          <w:szCs w:val="22"/>
          <w:highlight w:val="none"/>
        </w:rPr>
        <w:t>（四舍五入，保留小数点后2位）</w:t>
      </w:r>
    </w:p>
    <w:p w14:paraId="2B94C34A">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）如投标人报价超过采购预算或最高限价，其投标文件作无效标处理。</w:t>
      </w:r>
    </w:p>
    <w:p w14:paraId="26140EDF">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4</w:t>
      </w:r>
      <w:r>
        <w:rPr>
          <w:rFonts w:hint="eastAsia" w:ascii="新宋体" w:hAnsi="新宋体" w:eastAsia="新宋体" w:cs="宋体"/>
          <w:color w:val="auto"/>
          <w:kern w:val="0"/>
          <w:sz w:val="22"/>
          <w:szCs w:val="22"/>
          <w:highlight w:val="none"/>
        </w:rPr>
        <w:t>）所有投标人商务报价均超采购预算或最高限价，重新组织招标。</w:t>
      </w:r>
    </w:p>
    <w:p w14:paraId="28010A9B">
      <w:pPr>
        <w:spacing w:line="440" w:lineRule="exac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14:paraId="696F2BFC">
      <w:pPr>
        <w:topLinePunct/>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①</w:t>
      </w: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14:paraId="1EAA5890">
      <w:pPr>
        <w:spacing w:line="440" w:lineRule="exact"/>
        <w:ind w:firstLine="440" w:firstLineChars="200"/>
        <w:rPr>
          <w:color w:val="auto"/>
          <w:highlight w:val="none"/>
        </w:rPr>
      </w:pPr>
      <w:r>
        <w:rPr>
          <w:rFonts w:hint="eastAsia" w:ascii="新宋体" w:hAnsi="新宋体" w:eastAsia="新宋体" w:cs="宋体"/>
          <w:bCs/>
          <w:color w:val="auto"/>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宋体" w:hAnsi="宋体" w:cs="宋体"/>
          <w:bCs/>
          <w:color w:val="auto"/>
          <w:sz w:val="22"/>
          <w:highlight w:val="none"/>
        </w:rPr>
        <w:t>。</w:t>
      </w:r>
    </w:p>
    <w:p w14:paraId="3A69F1CE">
      <w:pPr>
        <w:numPr>
          <w:ilvl w:val="0"/>
          <w:numId w:val="27"/>
        </w:numPr>
        <w:snapToGrid w:val="0"/>
        <w:spacing w:line="460" w:lineRule="exact"/>
        <w:ind w:firstLine="0"/>
        <w:rPr>
          <w:rFonts w:ascii="新宋体" w:hAnsi="新宋体" w:eastAsia="新宋体" w:cs="宋体"/>
          <w:bCs/>
          <w:color w:val="auto"/>
          <w:sz w:val="22"/>
          <w:highlight w:val="none"/>
        </w:rPr>
      </w:pPr>
      <w:r>
        <w:rPr>
          <w:rFonts w:hint="eastAsia" w:ascii="新宋体" w:hAnsi="新宋体" w:eastAsia="新宋体" w:cs="新宋体"/>
          <w:b/>
          <w:bCs/>
          <w:color w:val="auto"/>
          <w:sz w:val="22"/>
          <w:szCs w:val="22"/>
          <w:highlight w:val="none"/>
        </w:rPr>
        <w:t>有效投标人的综合得分为商务技术文件得分和投标报价得分的总和</w:t>
      </w:r>
      <w:r>
        <w:rPr>
          <w:rFonts w:hint="eastAsia" w:ascii="新宋体" w:hAnsi="新宋体" w:eastAsia="新宋体" w:cs="宋体"/>
          <w:bCs/>
          <w:color w:val="auto"/>
          <w:sz w:val="22"/>
          <w:highlight w:val="none"/>
        </w:rPr>
        <w:t>。</w:t>
      </w:r>
    </w:p>
    <w:p w14:paraId="57B3FC3C">
      <w:pPr>
        <w:numPr>
          <w:ilvl w:val="0"/>
          <w:numId w:val="27"/>
        </w:numPr>
        <w:snapToGrid w:val="0"/>
        <w:spacing w:line="460" w:lineRule="exact"/>
        <w:ind w:firstLine="0"/>
        <w:rPr>
          <w:rFonts w:eastAsia="新宋体"/>
          <w:b/>
          <w:bCs/>
          <w:color w:val="auto"/>
          <w:sz w:val="22"/>
          <w:szCs w:val="22"/>
          <w:highlight w:val="none"/>
        </w:rPr>
      </w:pPr>
      <w:r>
        <w:rPr>
          <w:rFonts w:eastAsia="新宋体"/>
          <w:b/>
          <w:bCs/>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432EA8">
      <w:pPr>
        <w:spacing w:line="440" w:lineRule="exact"/>
        <w:rPr>
          <w:rFonts w:ascii="新宋体" w:hAnsi="新宋体" w:eastAsia="新宋体" w:cs="宋体"/>
          <w:bCs/>
          <w:color w:val="auto"/>
          <w:sz w:val="22"/>
          <w:highlight w:val="none"/>
        </w:rPr>
      </w:pPr>
    </w:p>
    <w:p w14:paraId="599F7EE3">
      <w:pPr>
        <w:pStyle w:val="2"/>
        <w:rPr>
          <w:color w:val="auto"/>
          <w:highlight w:val="none"/>
        </w:rPr>
      </w:pPr>
    </w:p>
    <w:p w14:paraId="3D48C0F5">
      <w:pPr>
        <w:spacing w:line="440" w:lineRule="exact"/>
        <w:rPr>
          <w:rFonts w:ascii="宋体" w:hAnsi="宋体" w:cs="宋体"/>
          <w:b/>
          <w:color w:val="auto"/>
          <w:sz w:val="22"/>
          <w:szCs w:val="22"/>
          <w:highlight w:val="none"/>
        </w:rPr>
      </w:pPr>
    </w:p>
    <w:sectPr>
      <w:footerReference r:id="rId11" w:type="first"/>
      <w:headerReference r:id="rId9" w:type="default"/>
      <w:footerReference r:id="rId10" w:type="default"/>
      <w:type w:val="nextColumn"/>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黑体"/>
    <w:panose1 w:val="00000000000000000000"/>
    <w:charset w:val="0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Univers LT Std 47 Cn Lt">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Univers LT Std 57 Cn">
    <w:altName w:val="Univers"/>
    <w:panose1 w:val="00000000000000000000"/>
    <w:charset w:val="00"/>
    <w:family w:val="swiss"/>
    <w:pitch w:val="default"/>
    <w:sig w:usb0="00000000" w:usb1="00000000" w:usb2="00000000" w:usb3="00000000" w:csb0="00000001" w:csb1="00000000"/>
  </w:font>
  <w:font w:name="Univers">
    <w:panose1 w:val="020B0603020202030204"/>
    <w:charset w:val="00"/>
    <w:family w:val="auto"/>
    <w:pitch w:val="default"/>
    <w:sig w:usb0="00000007" w:usb1="00000000" w:usb2="00000000" w:usb3="00000000" w:csb0="00000093" w:csb1="00000000"/>
  </w:font>
  <w:font w:name="Linotype Univers 330 Light">
    <w:altName w:val="仿宋"/>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F174">
    <w:pPr>
      <w:pStyle w:val="38"/>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E275">
    <w:pPr>
      <w:pStyle w:val="38"/>
      <w:framePr w:wrap="around" w:vAnchor="text" w:hAnchor="margin" w:xAlign="center" w:y="1"/>
      <w:rPr>
        <w:rStyle w:val="62"/>
      </w:rPr>
    </w:pPr>
    <w:r>
      <w:fldChar w:fldCharType="begin"/>
    </w:r>
    <w:r>
      <w:rPr>
        <w:rStyle w:val="62"/>
      </w:rPr>
      <w:instrText xml:space="preserve">PAGE  </w:instrText>
    </w:r>
    <w:r>
      <w:fldChar w:fldCharType="end"/>
    </w:r>
  </w:p>
  <w:p w14:paraId="256242E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766B">
    <w:pPr>
      <w:pStyle w:val="38"/>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1E7A">
    <w:pPr>
      <w:pStyle w:val="38"/>
      <w:pBdr>
        <w:top w:val="single" w:color="auto" w:sz="4" w:space="1"/>
      </w:pBdr>
      <w:ind w:right="-82" w:rightChars="-39" w:firstLine="4410" w:firstLineChars="2450"/>
      <w:jc w:val="right"/>
      <w:rPr>
        <w:rFonts w:ascii="宋体" w:hAnsi="宋体" w:cs="宋体"/>
      </w:rPr>
    </w:pPr>
    <w:r>
      <w:pict>
        <v:shape id="文本框 6" o:spid="_x0000_s1027" o:spt="202" type="#_x0000_t202" style="position:absolute;left:0pt;margin-top:0pt;height:10.4pt;width:23.85pt;mso-position-horizontal:center;mso-position-horizontal-relative:margin;z-index:251659264;mso-width-relative:page;mso-height-relative:page;" filled="f" stroked="f" coordsize="21600,21600" o:gfxdata="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7k&#10;xVrUAAAAAwEAAA8AAAAAAAAAAQAgAAAAOAAAAGRycy9kb3ducmV2LnhtbFBLAQIUABQAAAAIAIdO&#10;4kCJ3VGP2AEAAKQDAAAOAAAAAAAAAAEAIAAAADkBAABkcnMvZTJvRG9jLnhtbFBLBQYAAAAABgAG&#10;AFkBAACDBQAAAAA=&#10;">
          <v:path/>
          <v:fill on="f" focussize="0,0"/>
          <v:stroke on="f" joinstyle="miter"/>
          <v:imagedata o:title=""/>
          <o:lock v:ext="edit"/>
          <v:textbox inset="0mm,0mm,0mm,0mm">
            <w:txbxContent>
              <w:p w14:paraId="7F84A0B9">
                <w:pPr>
                  <w:pStyle w:val="38"/>
                  <w:rPr>
                    <w:rStyle w:val="62"/>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2"/>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2"/>
                    <w:rFonts w:ascii="新宋体" w:hAnsi="新宋体" w:eastAsia="新宋体" w:cs="新宋体"/>
                    <w:b/>
                    <w:sz w:val="16"/>
                    <w:szCs w:val="16"/>
                  </w:rPr>
                  <w:t>58</w:t>
                </w:r>
                <w:r>
                  <w:rPr>
                    <w:rFonts w:hint="eastAsia" w:ascii="新宋体" w:hAnsi="新宋体" w:eastAsia="新宋体" w:cs="新宋体"/>
                    <w:b/>
                    <w:sz w:val="16"/>
                    <w:szCs w:val="16"/>
                  </w:rPr>
                  <w:fldChar w:fldCharType="end"/>
                </w:r>
              </w:p>
            </w:txbxContent>
          </v:textbox>
        </v:shape>
      </w:pic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8B93">
    <w:pPr>
      <w:pStyle w:val="38"/>
    </w:pPr>
    <w:r>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Pi91E0AAAAAIBAAAPAAAAAAAAAAEAIAAAADgAAABkcnMvZG93bnJldi54bWxQSwECFAAU&#10;AAAACACHTuJAHw/ZyuMBAAC7AwAADgAAAAAAAAABACAAAAA1AQAAZHJzL2Uyb0RvYy54bWxQSwUG&#10;AAAAAAYABgBZAQAAigUAAAAA&#10;">
          <v:path/>
          <v:fill on="f" focussize="0,0"/>
          <v:stroke on="f" joinstyle="miter"/>
          <v:imagedata o:title=""/>
          <o:lock v:ext="edit"/>
          <v:textbox inset="0mm,0mm,0mm,0mm" style="mso-fit-shape-to-text:t;">
            <w:txbxContent>
              <w:p w14:paraId="15F96B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BE60">
    <w:pPr>
      <w:pStyle w:val="39"/>
      <w:pBdr>
        <w:bottom w:val="none" w:color="auto" w:sz="0" w:space="1"/>
      </w:pBdr>
      <w:jc w:val="left"/>
    </w:pPr>
    <w:r>
      <w:rPr>
        <w:rFonts w:hint="eastAsia"/>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8D5C">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E04F">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069B">
    <w:pPr>
      <w:pStyle w:val="39"/>
      <w:jc w:val="both"/>
      <w:rPr>
        <w:rFonts w:eastAsia="新宋体"/>
      </w:rPr>
    </w:pPr>
    <w:r>
      <w:rPr>
        <w:rFonts w:hint="eastAsia" w:eastAsia="新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F3AF3E12"/>
    <w:multiLevelType w:val="singleLevel"/>
    <w:tmpl w:val="F3AF3E12"/>
    <w:lvl w:ilvl="0" w:tentative="0">
      <w:start w:val="1"/>
      <w:numFmt w:val="decimal"/>
      <w:suff w:val="space"/>
      <w:lvlText w:val="%1)"/>
      <w:lvlJc w:val="left"/>
    </w:lvl>
  </w:abstractNum>
  <w:abstractNum w:abstractNumId="4">
    <w:nsid w:val="00000005"/>
    <w:multiLevelType w:val="multilevel"/>
    <w:tmpl w:val="00000005"/>
    <w:lvl w:ilvl="0" w:tentative="0">
      <w:start w:val="1"/>
      <w:numFmt w:val="bullet"/>
      <w:pStyle w:val="27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
    <w:nsid w:val="00000006"/>
    <w:multiLevelType w:val="multilevel"/>
    <w:tmpl w:val="00000006"/>
    <w:lvl w:ilvl="0" w:tentative="0">
      <w:start w:val="1"/>
      <w:numFmt w:val="decimal"/>
      <w:pStyle w:val="18"/>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5"/>
      <w:numFmt w:val="decimal"/>
      <w:pStyle w:val="525"/>
      <w:lvlText w:val="%1."/>
      <w:lvlJc w:val="left"/>
      <w:pPr>
        <w:tabs>
          <w:tab w:val="left" w:pos="360"/>
        </w:tabs>
        <w:ind w:left="360" w:hanging="360"/>
      </w:pPr>
      <w:rPr>
        <w:rFonts w:hint="default"/>
      </w:rPr>
    </w:lvl>
    <w:lvl w:ilvl="1" w:tentative="0">
      <w:start w:val="0"/>
      <w:numFmt w:val="none"/>
      <w:pStyle w:val="493"/>
      <w:lvlText w:val=""/>
      <w:lvlJc w:val="left"/>
      <w:pPr>
        <w:tabs>
          <w:tab w:val="left" w:pos="360"/>
        </w:tabs>
      </w:pPr>
    </w:lvl>
    <w:lvl w:ilvl="2" w:tentative="0">
      <w:start w:val="0"/>
      <w:numFmt w:val="none"/>
      <w:pStyle w:val="471"/>
      <w:lvlText w:val=""/>
      <w:lvlJc w:val="left"/>
      <w:pPr>
        <w:tabs>
          <w:tab w:val="left" w:pos="360"/>
        </w:tabs>
      </w:pPr>
    </w:lvl>
    <w:lvl w:ilvl="3" w:tentative="0">
      <w:start w:val="0"/>
      <w:numFmt w:val="none"/>
      <w:pStyle w:val="470"/>
      <w:lvlText w:val=""/>
      <w:lvlJc w:val="left"/>
      <w:pPr>
        <w:tabs>
          <w:tab w:val="left" w:pos="360"/>
        </w:tabs>
      </w:pPr>
    </w:lvl>
    <w:lvl w:ilvl="4" w:tentative="0">
      <w:start w:val="0"/>
      <w:numFmt w:val="none"/>
      <w:pStyle w:val="501"/>
      <w:lvlText w:val=""/>
      <w:lvlJc w:val="left"/>
      <w:pPr>
        <w:tabs>
          <w:tab w:val="left" w:pos="360"/>
        </w:tabs>
      </w:pPr>
    </w:lvl>
    <w:lvl w:ilvl="5" w:tentative="0">
      <w:start w:val="0"/>
      <w:numFmt w:val="none"/>
      <w:pStyle w:val="628"/>
      <w:lvlText w:val=""/>
      <w:lvlJc w:val="left"/>
      <w:pPr>
        <w:tabs>
          <w:tab w:val="left" w:pos="360"/>
        </w:tabs>
      </w:pPr>
    </w:lvl>
    <w:lvl w:ilvl="6" w:tentative="0">
      <w:start w:val="0"/>
      <w:numFmt w:val="none"/>
      <w:pStyle w:val="627"/>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0">
    <w:nsid w:val="11300B8F"/>
    <w:multiLevelType w:val="singleLevel"/>
    <w:tmpl w:val="11300B8F"/>
    <w:lvl w:ilvl="0" w:tentative="0">
      <w:start w:val="10"/>
      <w:numFmt w:val="chineseCounting"/>
      <w:suff w:val="nothing"/>
      <w:lvlText w:val="%1、"/>
      <w:lvlJc w:val="left"/>
      <w:rPr>
        <w:rFonts w:hint="eastAsia"/>
      </w:rPr>
    </w:lvl>
  </w:abstractNum>
  <w:abstractNum w:abstractNumId="11">
    <w:nsid w:val="2D723055"/>
    <w:multiLevelType w:val="multilevel"/>
    <w:tmpl w:val="2D723055"/>
    <w:lvl w:ilvl="0" w:tentative="0">
      <w:start w:val="1"/>
      <w:numFmt w:val="bullet"/>
      <w:pStyle w:val="599"/>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2DD62459"/>
    <w:multiLevelType w:val="singleLevel"/>
    <w:tmpl w:val="2DD62459"/>
    <w:lvl w:ilvl="0" w:tentative="0">
      <w:start w:val="1"/>
      <w:numFmt w:val="bullet"/>
      <w:pStyle w:val="660"/>
      <w:lvlText w:val=""/>
      <w:lvlJc w:val="left"/>
      <w:pPr>
        <w:tabs>
          <w:tab w:val="left" w:pos="425"/>
        </w:tabs>
        <w:ind w:left="425" w:hanging="425"/>
      </w:pPr>
      <w:rPr>
        <w:rFonts w:hint="default" w:ascii="Wingdings" w:hAnsi="Wingdings"/>
      </w:rPr>
    </w:lvl>
  </w:abstractNum>
  <w:abstractNum w:abstractNumId="13">
    <w:nsid w:val="335030C5"/>
    <w:multiLevelType w:val="multilevel"/>
    <w:tmpl w:val="335030C5"/>
    <w:lvl w:ilvl="0" w:tentative="0">
      <w:start w:val="1"/>
      <w:numFmt w:val="decimal"/>
      <w:pStyle w:val="51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5B05358"/>
    <w:multiLevelType w:val="multilevel"/>
    <w:tmpl w:val="35B05358"/>
    <w:lvl w:ilvl="0" w:tentative="0">
      <w:start w:val="1"/>
      <w:numFmt w:val="bullet"/>
      <w:pStyle w:val="54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9622E4B"/>
    <w:multiLevelType w:val="multilevel"/>
    <w:tmpl w:val="39622E4B"/>
    <w:lvl w:ilvl="0" w:tentative="0">
      <w:start w:val="1"/>
      <w:numFmt w:val="decimal"/>
      <w:pStyle w:val="352"/>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6">
    <w:nsid w:val="496D15BE"/>
    <w:multiLevelType w:val="multilevel"/>
    <w:tmpl w:val="496D15BE"/>
    <w:lvl w:ilvl="0" w:tentative="0">
      <w:start w:val="1"/>
      <w:numFmt w:val="decimal"/>
      <w:pStyle w:val="292"/>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A75A52"/>
    <w:multiLevelType w:val="multilevel"/>
    <w:tmpl w:val="4CA75A52"/>
    <w:lvl w:ilvl="0" w:tentative="0">
      <w:start w:val="1"/>
      <w:numFmt w:val="decimal"/>
      <w:pStyle w:val="569"/>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8">
    <w:nsid w:val="54F403B5"/>
    <w:multiLevelType w:val="singleLevel"/>
    <w:tmpl w:val="54F403B5"/>
    <w:lvl w:ilvl="0" w:tentative="0">
      <w:start w:val="1"/>
      <w:numFmt w:val="chineseCounting"/>
      <w:suff w:val="nothing"/>
      <w:lvlText w:val="%1、"/>
      <w:lvlJc w:val="left"/>
      <w:pPr>
        <w:ind w:left="0" w:firstLine="0"/>
      </w:pPr>
    </w:lvl>
  </w:abstractNum>
  <w:abstractNum w:abstractNumId="19">
    <w:nsid w:val="550F68AE"/>
    <w:multiLevelType w:val="multilevel"/>
    <w:tmpl w:val="550F68AE"/>
    <w:lvl w:ilvl="0" w:tentative="0">
      <w:start w:val="1"/>
      <w:numFmt w:val="decimal"/>
      <w:pStyle w:val="601"/>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7FD3DA"/>
    <w:multiLevelType w:val="singleLevel"/>
    <w:tmpl w:val="557FD3DA"/>
    <w:lvl w:ilvl="0" w:tentative="0">
      <w:start w:val="3"/>
      <w:numFmt w:val="chineseCounting"/>
      <w:suff w:val="nothing"/>
      <w:lvlText w:val="%1、"/>
      <w:lvlJc w:val="left"/>
      <w:pPr>
        <w:ind w:left="0" w:firstLine="0"/>
      </w:pPr>
    </w:lvl>
  </w:abstractNum>
  <w:abstractNum w:abstractNumId="21">
    <w:nsid w:val="6B864C8B"/>
    <w:multiLevelType w:val="multilevel"/>
    <w:tmpl w:val="6B864C8B"/>
    <w:lvl w:ilvl="0" w:tentative="0">
      <w:start w:val="1"/>
      <w:numFmt w:val="decimal"/>
      <w:pStyle w:val="535"/>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2"/>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2">
    <w:nsid w:val="70391D9F"/>
    <w:multiLevelType w:val="multilevel"/>
    <w:tmpl w:val="70391D9F"/>
    <w:lvl w:ilvl="0" w:tentative="0">
      <w:start w:val="1"/>
      <w:numFmt w:val="bullet"/>
      <w:pStyle w:val="419"/>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3">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24">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5"/>
      <w:lvlText w:val=""/>
      <w:lvlJc w:val="left"/>
      <w:pPr>
        <w:ind w:left="840" w:hanging="420"/>
      </w:pPr>
      <w:rPr>
        <w:rFonts w:hint="default" w:ascii="Wingdings" w:hAnsi="Wingdings"/>
      </w:rPr>
    </w:lvl>
    <w:lvl w:ilvl="2" w:tentative="0">
      <w:start w:val="1"/>
      <w:numFmt w:val="bullet"/>
      <w:pStyle w:val="64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9213472"/>
    <w:multiLevelType w:val="multilevel"/>
    <w:tmpl w:val="79213472"/>
    <w:lvl w:ilvl="0" w:tentative="0">
      <w:start w:val="1"/>
      <w:numFmt w:val="decimal"/>
      <w:pStyle w:val="263"/>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2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1"/>
  </w:num>
  <w:num w:numId="3">
    <w:abstractNumId w:val="25"/>
  </w:num>
  <w:num w:numId="4">
    <w:abstractNumId w:val="4"/>
  </w:num>
  <w:num w:numId="5">
    <w:abstractNumId w:val="16"/>
  </w:num>
  <w:num w:numId="6">
    <w:abstractNumId w:val="15"/>
  </w:num>
  <w:num w:numId="7">
    <w:abstractNumId w:val="22"/>
  </w:num>
  <w:num w:numId="8">
    <w:abstractNumId w:val="24"/>
  </w:num>
  <w:num w:numId="9">
    <w:abstractNumId w:val="6"/>
  </w:num>
  <w:num w:numId="10">
    <w:abstractNumId w:val="13"/>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9"/>
    <w:lvlOverride w:ilvl="0">
      <w:startOverride w:val="1"/>
    </w:lvlOverride>
  </w:num>
  <w:num w:numId="15">
    <w:abstractNumId w:val="12"/>
  </w:num>
  <w:num w:numId="16">
    <w:abstractNumId w:val="7"/>
  </w:num>
  <w:num w:numId="17">
    <w:abstractNumId w:val="26"/>
  </w:num>
  <w:num w:numId="18">
    <w:abstractNumId w:val="2"/>
  </w:num>
  <w:num w:numId="19">
    <w:abstractNumId w:val="8"/>
  </w:num>
  <w:num w:numId="20">
    <w:abstractNumId w:val="3"/>
  </w:num>
  <w:num w:numId="21">
    <w:abstractNumId w:val="18"/>
    <w:lvlOverride w:ilvl="0">
      <w:startOverride w:val="1"/>
    </w:lvlOverride>
  </w:num>
  <w:num w:numId="22">
    <w:abstractNumId w:val="20"/>
    <w:lvlOverride w:ilvl="0">
      <w:startOverride w:val="3"/>
    </w:lvlOverride>
  </w:num>
  <w:num w:numId="23">
    <w:abstractNumId w:val="1"/>
  </w:num>
  <w:num w:numId="24">
    <w:abstractNumId w:val="0"/>
  </w:num>
  <w:num w:numId="25">
    <w:abstractNumId w:val="10"/>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4Y2FiM2Y2MWU2MDVmMTUxYjFkMDg4YjU4NmRhYmE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6A1"/>
    <w:rsid w:val="000528C6"/>
    <w:rsid w:val="000546C0"/>
    <w:rsid w:val="0005782F"/>
    <w:rsid w:val="000609AA"/>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59C4"/>
    <w:rsid w:val="000F65DE"/>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4D56"/>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0CD"/>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57DCF"/>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6A3E"/>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0E14"/>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3FD6"/>
    <w:rsid w:val="00374BBC"/>
    <w:rsid w:val="003751D2"/>
    <w:rsid w:val="003762D2"/>
    <w:rsid w:val="0037776D"/>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1274"/>
    <w:rsid w:val="003D28C5"/>
    <w:rsid w:val="003D43D9"/>
    <w:rsid w:val="003D5E4D"/>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209E"/>
    <w:rsid w:val="005E46C6"/>
    <w:rsid w:val="005F178D"/>
    <w:rsid w:val="005F2119"/>
    <w:rsid w:val="005F255D"/>
    <w:rsid w:val="005F5EAF"/>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7DF4"/>
    <w:rsid w:val="00750FB7"/>
    <w:rsid w:val="007512D7"/>
    <w:rsid w:val="00751C60"/>
    <w:rsid w:val="00752013"/>
    <w:rsid w:val="007526D6"/>
    <w:rsid w:val="007527BF"/>
    <w:rsid w:val="007531E2"/>
    <w:rsid w:val="00753717"/>
    <w:rsid w:val="00753F3F"/>
    <w:rsid w:val="0075741F"/>
    <w:rsid w:val="00760716"/>
    <w:rsid w:val="0076216B"/>
    <w:rsid w:val="00762454"/>
    <w:rsid w:val="00764DB2"/>
    <w:rsid w:val="007671C1"/>
    <w:rsid w:val="00770926"/>
    <w:rsid w:val="00771069"/>
    <w:rsid w:val="00774309"/>
    <w:rsid w:val="00774BAD"/>
    <w:rsid w:val="0077511C"/>
    <w:rsid w:val="0078020F"/>
    <w:rsid w:val="00781D23"/>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34E3"/>
    <w:rsid w:val="007C614D"/>
    <w:rsid w:val="007D0799"/>
    <w:rsid w:val="007D10AB"/>
    <w:rsid w:val="007D2B68"/>
    <w:rsid w:val="007D3DCD"/>
    <w:rsid w:val="007D4692"/>
    <w:rsid w:val="007D5D99"/>
    <w:rsid w:val="007D6026"/>
    <w:rsid w:val="007D7DC2"/>
    <w:rsid w:val="007E3587"/>
    <w:rsid w:val="007E7DEB"/>
    <w:rsid w:val="007F01B0"/>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26794"/>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66E4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506"/>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00E"/>
    <w:rsid w:val="009415F2"/>
    <w:rsid w:val="00942007"/>
    <w:rsid w:val="0094329C"/>
    <w:rsid w:val="00944630"/>
    <w:rsid w:val="00944B94"/>
    <w:rsid w:val="0094534C"/>
    <w:rsid w:val="00946899"/>
    <w:rsid w:val="0094770C"/>
    <w:rsid w:val="00947995"/>
    <w:rsid w:val="00947ED2"/>
    <w:rsid w:val="00950009"/>
    <w:rsid w:val="00954060"/>
    <w:rsid w:val="00956846"/>
    <w:rsid w:val="00962BAA"/>
    <w:rsid w:val="0096437E"/>
    <w:rsid w:val="00964734"/>
    <w:rsid w:val="00964C6C"/>
    <w:rsid w:val="0096512E"/>
    <w:rsid w:val="00967DE1"/>
    <w:rsid w:val="009719FF"/>
    <w:rsid w:val="00973512"/>
    <w:rsid w:val="009763BE"/>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5F8"/>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90B"/>
    <w:rsid w:val="00A35069"/>
    <w:rsid w:val="00A40263"/>
    <w:rsid w:val="00A40E62"/>
    <w:rsid w:val="00A45B2C"/>
    <w:rsid w:val="00A46A66"/>
    <w:rsid w:val="00A46D37"/>
    <w:rsid w:val="00A470F3"/>
    <w:rsid w:val="00A50867"/>
    <w:rsid w:val="00A526F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3D6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1F26"/>
    <w:rsid w:val="00BB3F57"/>
    <w:rsid w:val="00BB64C1"/>
    <w:rsid w:val="00BB73C4"/>
    <w:rsid w:val="00BC0D8B"/>
    <w:rsid w:val="00BC12BC"/>
    <w:rsid w:val="00BC2938"/>
    <w:rsid w:val="00BC543D"/>
    <w:rsid w:val="00BC65A3"/>
    <w:rsid w:val="00BC6892"/>
    <w:rsid w:val="00BC7008"/>
    <w:rsid w:val="00BD02F5"/>
    <w:rsid w:val="00BD1A54"/>
    <w:rsid w:val="00BD21F7"/>
    <w:rsid w:val="00BD4342"/>
    <w:rsid w:val="00BD51C8"/>
    <w:rsid w:val="00BD5B6B"/>
    <w:rsid w:val="00BD6BA5"/>
    <w:rsid w:val="00BD6FC9"/>
    <w:rsid w:val="00BD755E"/>
    <w:rsid w:val="00BE1CFF"/>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891"/>
    <w:rsid w:val="00C7207C"/>
    <w:rsid w:val="00C72D05"/>
    <w:rsid w:val="00C731D8"/>
    <w:rsid w:val="00C75799"/>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4E2"/>
    <w:rsid w:val="00CB27BD"/>
    <w:rsid w:val="00CB3536"/>
    <w:rsid w:val="00CB4265"/>
    <w:rsid w:val="00CB4312"/>
    <w:rsid w:val="00CB4992"/>
    <w:rsid w:val="00CB4A53"/>
    <w:rsid w:val="00CB5772"/>
    <w:rsid w:val="00CC1BC9"/>
    <w:rsid w:val="00CC2550"/>
    <w:rsid w:val="00CC5E14"/>
    <w:rsid w:val="00CC6C3D"/>
    <w:rsid w:val="00CC6D06"/>
    <w:rsid w:val="00CC7034"/>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458A"/>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6"/>
    <w:rsid w:val="00EF594C"/>
    <w:rsid w:val="00EF78B8"/>
    <w:rsid w:val="00F01A97"/>
    <w:rsid w:val="00F032A0"/>
    <w:rsid w:val="00F054C4"/>
    <w:rsid w:val="00F06DE3"/>
    <w:rsid w:val="00F0786C"/>
    <w:rsid w:val="00F0791C"/>
    <w:rsid w:val="00F07CBD"/>
    <w:rsid w:val="00F121B8"/>
    <w:rsid w:val="00F127F0"/>
    <w:rsid w:val="00F157A1"/>
    <w:rsid w:val="00F1680D"/>
    <w:rsid w:val="00F17807"/>
    <w:rsid w:val="00F1798B"/>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4FBD"/>
    <w:rsid w:val="00F95033"/>
    <w:rsid w:val="00F9636E"/>
    <w:rsid w:val="00F9721A"/>
    <w:rsid w:val="00FA2EAD"/>
    <w:rsid w:val="00FA3E8E"/>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75527C"/>
    <w:rsid w:val="01B47E04"/>
    <w:rsid w:val="01C24651"/>
    <w:rsid w:val="01C915FA"/>
    <w:rsid w:val="01F62F61"/>
    <w:rsid w:val="02012CC2"/>
    <w:rsid w:val="021E018C"/>
    <w:rsid w:val="023868B8"/>
    <w:rsid w:val="02557483"/>
    <w:rsid w:val="02B15D77"/>
    <w:rsid w:val="02C10E79"/>
    <w:rsid w:val="02F034FC"/>
    <w:rsid w:val="03096EC1"/>
    <w:rsid w:val="03417CB0"/>
    <w:rsid w:val="037B3BA0"/>
    <w:rsid w:val="037C6ACA"/>
    <w:rsid w:val="039E706E"/>
    <w:rsid w:val="03BE7AAE"/>
    <w:rsid w:val="03D925A3"/>
    <w:rsid w:val="03E97543"/>
    <w:rsid w:val="03FC095B"/>
    <w:rsid w:val="03FD6D49"/>
    <w:rsid w:val="042F5D1F"/>
    <w:rsid w:val="04637138"/>
    <w:rsid w:val="049A7BD3"/>
    <w:rsid w:val="049F3B72"/>
    <w:rsid w:val="04A24A7D"/>
    <w:rsid w:val="04B12457"/>
    <w:rsid w:val="04DF6A75"/>
    <w:rsid w:val="04EA21CE"/>
    <w:rsid w:val="04EB042F"/>
    <w:rsid w:val="0501077F"/>
    <w:rsid w:val="05105249"/>
    <w:rsid w:val="0514323F"/>
    <w:rsid w:val="052133ED"/>
    <w:rsid w:val="05236321"/>
    <w:rsid w:val="054830BA"/>
    <w:rsid w:val="054F35A7"/>
    <w:rsid w:val="05530F98"/>
    <w:rsid w:val="05534A8E"/>
    <w:rsid w:val="05626F0B"/>
    <w:rsid w:val="056801AD"/>
    <w:rsid w:val="059C7931"/>
    <w:rsid w:val="05AF5852"/>
    <w:rsid w:val="05CC0EC7"/>
    <w:rsid w:val="05CF5E57"/>
    <w:rsid w:val="05D35773"/>
    <w:rsid w:val="05DD7FAE"/>
    <w:rsid w:val="05ED6D79"/>
    <w:rsid w:val="05EE2C8F"/>
    <w:rsid w:val="05F80C2C"/>
    <w:rsid w:val="06072F00"/>
    <w:rsid w:val="060F03CA"/>
    <w:rsid w:val="060F080D"/>
    <w:rsid w:val="061D6AF3"/>
    <w:rsid w:val="061F7618"/>
    <w:rsid w:val="06472967"/>
    <w:rsid w:val="064E14AE"/>
    <w:rsid w:val="06581D70"/>
    <w:rsid w:val="06616FE7"/>
    <w:rsid w:val="06812940"/>
    <w:rsid w:val="06A2646F"/>
    <w:rsid w:val="06C2237B"/>
    <w:rsid w:val="06EA4C3B"/>
    <w:rsid w:val="0727403C"/>
    <w:rsid w:val="0764081E"/>
    <w:rsid w:val="079C0598"/>
    <w:rsid w:val="080768F7"/>
    <w:rsid w:val="08216DD1"/>
    <w:rsid w:val="082A7FFD"/>
    <w:rsid w:val="087A3C3E"/>
    <w:rsid w:val="087A4E0A"/>
    <w:rsid w:val="087D7B3B"/>
    <w:rsid w:val="08820352"/>
    <w:rsid w:val="08AC67C8"/>
    <w:rsid w:val="08C7561E"/>
    <w:rsid w:val="08F32743"/>
    <w:rsid w:val="08FD286E"/>
    <w:rsid w:val="090303BC"/>
    <w:rsid w:val="092F724F"/>
    <w:rsid w:val="09300F3B"/>
    <w:rsid w:val="094B32DC"/>
    <w:rsid w:val="094E0278"/>
    <w:rsid w:val="096A10D1"/>
    <w:rsid w:val="09D45A56"/>
    <w:rsid w:val="09DD4E88"/>
    <w:rsid w:val="0A20637B"/>
    <w:rsid w:val="0A35341D"/>
    <w:rsid w:val="0A507644"/>
    <w:rsid w:val="0AAA3909"/>
    <w:rsid w:val="0B106908"/>
    <w:rsid w:val="0B1E58F0"/>
    <w:rsid w:val="0B2E69D9"/>
    <w:rsid w:val="0B4E0497"/>
    <w:rsid w:val="0B5C0D9E"/>
    <w:rsid w:val="0B641FE7"/>
    <w:rsid w:val="0B71239E"/>
    <w:rsid w:val="0B7A1B78"/>
    <w:rsid w:val="0B9F7869"/>
    <w:rsid w:val="0BA01101"/>
    <w:rsid w:val="0BBB1364"/>
    <w:rsid w:val="0BC9539F"/>
    <w:rsid w:val="0BCD6D9E"/>
    <w:rsid w:val="0BE12B86"/>
    <w:rsid w:val="0BFD6957"/>
    <w:rsid w:val="0C210B2D"/>
    <w:rsid w:val="0C492CE9"/>
    <w:rsid w:val="0C6816CE"/>
    <w:rsid w:val="0C7E5F6D"/>
    <w:rsid w:val="0CA879D8"/>
    <w:rsid w:val="0D0B3FF1"/>
    <w:rsid w:val="0D1C41F6"/>
    <w:rsid w:val="0D1D6955"/>
    <w:rsid w:val="0D326E78"/>
    <w:rsid w:val="0D5A4DF7"/>
    <w:rsid w:val="0D915AFC"/>
    <w:rsid w:val="0D974242"/>
    <w:rsid w:val="0DA7666B"/>
    <w:rsid w:val="0DB57E54"/>
    <w:rsid w:val="0DC6188C"/>
    <w:rsid w:val="0DFFE16A"/>
    <w:rsid w:val="0E1E49F8"/>
    <w:rsid w:val="0E2A1C4C"/>
    <w:rsid w:val="0E3C2EFC"/>
    <w:rsid w:val="0E6A2F43"/>
    <w:rsid w:val="0ECF145E"/>
    <w:rsid w:val="0EEB6487"/>
    <w:rsid w:val="0F156190"/>
    <w:rsid w:val="0F2056E1"/>
    <w:rsid w:val="0F3A448D"/>
    <w:rsid w:val="0F874D5A"/>
    <w:rsid w:val="0F9D25A1"/>
    <w:rsid w:val="0FB41D99"/>
    <w:rsid w:val="0FE47865"/>
    <w:rsid w:val="100B6747"/>
    <w:rsid w:val="102978DA"/>
    <w:rsid w:val="103313EA"/>
    <w:rsid w:val="107E588B"/>
    <w:rsid w:val="10811C7A"/>
    <w:rsid w:val="10886CF4"/>
    <w:rsid w:val="10B55BD2"/>
    <w:rsid w:val="10C20E5F"/>
    <w:rsid w:val="10CF32FA"/>
    <w:rsid w:val="10CF355A"/>
    <w:rsid w:val="10D6033B"/>
    <w:rsid w:val="10DB1A50"/>
    <w:rsid w:val="10F638F3"/>
    <w:rsid w:val="1145529D"/>
    <w:rsid w:val="116F3DB0"/>
    <w:rsid w:val="11754949"/>
    <w:rsid w:val="117D384D"/>
    <w:rsid w:val="11CB1184"/>
    <w:rsid w:val="11F34D41"/>
    <w:rsid w:val="12154D3D"/>
    <w:rsid w:val="124F74EF"/>
    <w:rsid w:val="12742AC7"/>
    <w:rsid w:val="13077F85"/>
    <w:rsid w:val="130A757E"/>
    <w:rsid w:val="1331710B"/>
    <w:rsid w:val="135A37F7"/>
    <w:rsid w:val="136E1182"/>
    <w:rsid w:val="138F6C27"/>
    <w:rsid w:val="139E45C8"/>
    <w:rsid w:val="13C06743"/>
    <w:rsid w:val="13C407C9"/>
    <w:rsid w:val="13C702B9"/>
    <w:rsid w:val="14034084"/>
    <w:rsid w:val="140B63F8"/>
    <w:rsid w:val="1473700D"/>
    <w:rsid w:val="14967CC8"/>
    <w:rsid w:val="14C33A7B"/>
    <w:rsid w:val="14F01823"/>
    <w:rsid w:val="14F81E38"/>
    <w:rsid w:val="15094E25"/>
    <w:rsid w:val="150C6473"/>
    <w:rsid w:val="1557BE1E"/>
    <w:rsid w:val="1583747F"/>
    <w:rsid w:val="15877190"/>
    <w:rsid w:val="15A5462A"/>
    <w:rsid w:val="15A90DA7"/>
    <w:rsid w:val="15D6463B"/>
    <w:rsid w:val="160C42D6"/>
    <w:rsid w:val="163C7876"/>
    <w:rsid w:val="16430E10"/>
    <w:rsid w:val="16651463"/>
    <w:rsid w:val="167F6DA8"/>
    <w:rsid w:val="16B017A5"/>
    <w:rsid w:val="16E9298A"/>
    <w:rsid w:val="16F55FB8"/>
    <w:rsid w:val="16FB6B41"/>
    <w:rsid w:val="17281577"/>
    <w:rsid w:val="17372BA0"/>
    <w:rsid w:val="175C51BC"/>
    <w:rsid w:val="175E341E"/>
    <w:rsid w:val="17C8687A"/>
    <w:rsid w:val="180309BC"/>
    <w:rsid w:val="180513B0"/>
    <w:rsid w:val="187D1ABE"/>
    <w:rsid w:val="1889564E"/>
    <w:rsid w:val="18B02EF0"/>
    <w:rsid w:val="18D32E22"/>
    <w:rsid w:val="18F56002"/>
    <w:rsid w:val="19004393"/>
    <w:rsid w:val="195B0D62"/>
    <w:rsid w:val="19E415C3"/>
    <w:rsid w:val="1A2E4D24"/>
    <w:rsid w:val="1A2F6BB8"/>
    <w:rsid w:val="1A3D616C"/>
    <w:rsid w:val="1A41751D"/>
    <w:rsid w:val="1A686FD2"/>
    <w:rsid w:val="1AB36E09"/>
    <w:rsid w:val="1AB80937"/>
    <w:rsid w:val="1ADC7CD8"/>
    <w:rsid w:val="1B0672C6"/>
    <w:rsid w:val="1B196BD3"/>
    <w:rsid w:val="1B9969DF"/>
    <w:rsid w:val="1BB2199A"/>
    <w:rsid w:val="1BBA200E"/>
    <w:rsid w:val="1BFE4A94"/>
    <w:rsid w:val="1BFEF202"/>
    <w:rsid w:val="1C350227"/>
    <w:rsid w:val="1C7444C3"/>
    <w:rsid w:val="1CE14D21"/>
    <w:rsid w:val="1CE33BE2"/>
    <w:rsid w:val="1CF504D9"/>
    <w:rsid w:val="1CFB0475"/>
    <w:rsid w:val="1D272397"/>
    <w:rsid w:val="1D4B1E31"/>
    <w:rsid w:val="1D747847"/>
    <w:rsid w:val="1D8125BE"/>
    <w:rsid w:val="1E1F2AE3"/>
    <w:rsid w:val="1E556E6E"/>
    <w:rsid w:val="1E736928"/>
    <w:rsid w:val="1E8E2DB0"/>
    <w:rsid w:val="1E9F000F"/>
    <w:rsid w:val="1EB525EF"/>
    <w:rsid w:val="1EB6109D"/>
    <w:rsid w:val="1ECA3722"/>
    <w:rsid w:val="1EE65588"/>
    <w:rsid w:val="1EF2736B"/>
    <w:rsid w:val="1F16470F"/>
    <w:rsid w:val="1F4F0922"/>
    <w:rsid w:val="1F6B0692"/>
    <w:rsid w:val="1F934CC0"/>
    <w:rsid w:val="1FD15D74"/>
    <w:rsid w:val="1FDD44EC"/>
    <w:rsid w:val="203A044D"/>
    <w:rsid w:val="204B180E"/>
    <w:rsid w:val="20533588"/>
    <w:rsid w:val="2066258A"/>
    <w:rsid w:val="20821300"/>
    <w:rsid w:val="20AC6CCD"/>
    <w:rsid w:val="20B67DB3"/>
    <w:rsid w:val="20DC6201"/>
    <w:rsid w:val="20E51B52"/>
    <w:rsid w:val="211975F1"/>
    <w:rsid w:val="21326DF6"/>
    <w:rsid w:val="21584AE0"/>
    <w:rsid w:val="215F06A9"/>
    <w:rsid w:val="219B2BCD"/>
    <w:rsid w:val="21E30861"/>
    <w:rsid w:val="21FF4FCD"/>
    <w:rsid w:val="22051F98"/>
    <w:rsid w:val="220726E7"/>
    <w:rsid w:val="220B200C"/>
    <w:rsid w:val="221D1F0E"/>
    <w:rsid w:val="22430565"/>
    <w:rsid w:val="22582CF2"/>
    <w:rsid w:val="225D5559"/>
    <w:rsid w:val="22660C40"/>
    <w:rsid w:val="227A76F5"/>
    <w:rsid w:val="227E44E6"/>
    <w:rsid w:val="228E4DC3"/>
    <w:rsid w:val="22BA7EEE"/>
    <w:rsid w:val="22C44C41"/>
    <w:rsid w:val="22DB181A"/>
    <w:rsid w:val="22F11B81"/>
    <w:rsid w:val="2305495A"/>
    <w:rsid w:val="233141F6"/>
    <w:rsid w:val="23427BF9"/>
    <w:rsid w:val="23454594"/>
    <w:rsid w:val="236A69D7"/>
    <w:rsid w:val="238133A8"/>
    <w:rsid w:val="239B4ABA"/>
    <w:rsid w:val="23AA48AE"/>
    <w:rsid w:val="23AA79A5"/>
    <w:rsid w:val="23C17FCB"/>
    <w:rsid w:val="240B1774"/>
    <w:rsid w:val="246918CD"/>
    <w:rsid w:val="247054DD"/>
    <w:rsid w:val="24776664"/>
    <w:rsid w:val="247E2C16"/>
    <w:rsid w:val="24E045FA"/>
    <w:rsid w:val="250C613C"/>
    <w:rsid w:val="251122A2"/>
    <w:rsid w:val="25291F40"/>
    <w:rsid w:val="25394E23"/>
    <w:rsid w:val="253D2474"/>
    <w:rsid w:val="25457FB6"/>
    <w:rsid w:val="25747400"/>
    <w:rsid w:val="25747A43"/>
    <w:rsid w:val="25870A1F"/>
    <w:rsid w:val="25956469"/>
    <w:rsid w:val="259E49F1"/>
    <w:rsid w:val="25AE615B"/>
    <w:rsid w:val="25B44F23"/>
    <w:rsid w:val="25EF7AF6"/>
    <w:rsid w:val="26181240"/>
    <w:rsid w:val="262F2132"/>
    <w:rsid w:val="26303FAF"/>
    <w:rsid w:val="26324BE9"/>
    <w:rsid w:val="26597496"/>
    <w:rsid w:val="268830E0"/>
    <w:rsid w:val="26954D40"/>
    <w:rsid w:val="26B36C9D"/>
    <w:rsid w:val="26C22C66"/>
    <w:rsid w:val="26CB0992"/>
    <w:rsid w:val="26D011FB"/>
    <w:rsid w:val="274F1635"/>
    <w:rsid w:val="27ED550F"/>
    <w:rsid w:val="28167D9C"/>
    <w:rsid w:val="28AA1A78"/>
    <w:rsid w:val="28CF54AB"/>
    <w:rsid w:val="291C39BD"/>
    <w:rsid w:val="292C14BA"/>
    <w:rsid w:val="2932229D"/>
    <w:rsid w:val="29500600"/>
    <w:rsid w:val="297D10CF"/>
    <w:rsid w:val="299452ED"/>
    <w:rsid w:val="29D93FE5"/>
    <w:rsid w:val="29DB6414"/>
    <w:rsid w:val="29E24B7A"/>
    <w:rsid w:val="29F50F47"/>
    <w:rsid w:val="2A4944AA"/>
    <w:rsid w:val="2A5F7A43"/>
    <w:rsid w:val="2AB51687"/>
    <w:rsid w:val="2ABF45A3"/>
    <w:rsid w:val="2AC667BC"/>
    <w:rsid w:val="2ACB79F4"/>
    <w:rsid w:val="2ACE5A58"/>
    <w:rsid w:val="2AD21F0D"/>
    <w:rsid w:val="2AD406FB"/>
    <w:rsid w:val="2B2A1401"/>
    <w:rsid w:val="2BA75114"/>
    <w:rsid w:val="2BD64CE6"/>
    <w:rsid w:val="2BDB3A0A"/>
    <w:rsid w:val="2C4D184B"/>
    <w:rsid w:val="2C503A00"/>
    <w:rsid w:val="2C5E32CE"/>
    <w:rsid w:val="2C6879B6"/>
    <w:rsid w:val="2C7359A9"/>
    <w:rsid w:val="2C7C3FA7"/>
    <w:rsid w:val="2CA90E20"/>
    <w:rsid w:val="2CB77835"/>
    <w:rsid w:val="2CCE079A"/>
    <w:rsid w:val="2CEB4BC0"/>
    <w:rsid w:val="2D175CF0"/>
    <w:rsid w:val="2D3C3DC5"/>
    <w:rsid w:val="2D726292"/>
    <w:rsid w:val="2D7527D3"/>
    <w:rsid w:val="2D81205D"/>
    <w:rsid w:val="2DA86846"/>
    <w:rsid w:val="2DCA355C"/>
    <w:rsid w:val="2DDF394E"/>
    <w:rsid w:val="2DE15A2A"/>
    <w:rsid w:val="2DEE76C2"/>
    <w:rsid w:val="2DF41502"/>
    <w:rsid w:val="2E163EBF"/>
    <w:rsid w:val="2E2A1718"/>
    <w:rsid w:val="2E6F109E"/>
    <w:rsid w:val="2E704C40"/>
    <w:rsid w:val="2E7D6578"/>
    <w:rsid w:val="2E947909"/>
    <w:rsid w:val="2EAE2F99"/>
    <w:rsid w:val="2EB201EE"/>
    <w:rsid w:val="2EBE2687"/>
    <w:rsid w:val="2EC411FD"/>
    <w:rsid w:val="2EFF34CE"/>
    <w:rsid w:val="2F0517E9"/>
    <w:rsid w:val="2F1C67BC"/>
    <w:rsid w:val="2F6516EE"/>
    <w:rsid w:val="2F8C4B5A"/>
    <w:rsid w:val="2F9D27EF"/>
    <w:rsid w:val="2FBC7BBE"/>
    <w:rsid w:val="2FEC276B"/>
    <w:rsid w:val="30021413"/>
    <w:rsid w:val="30117E7F"/>
    <w:rsid w:val="303375CD"/>
    <w:rsid w:val="30417E57"/>
    <w:rsid w:val="304B1457"/>
    <w:rsid w:val="305631D2"/>
    <w:rsid w:val="30750065"/>
    <w:rsid w:val="309C337C"/>
    <w:rsid w:val="30CB0233"/>
    <w:rsid w:val="30D5114E"/>
    <w:rsid w:val="3103135B"/>
    <w:rsid w:val="310E17FD"/>
    <w:rsid w:val="31361F63"/>
    <w:rsid w:val="31560621"/>
    <w:rsid w:val="31587608"/>
    <w:rsid w:val="31B55E35"/>
    <w:rsid w:val="31E94182"/>
    <w:rsid w:val="322E2DDD"/>
    <w:rsid w:val="32462DCA"/>
    <w:rsid w:val="3252168B"/>
    <w:rsid w:val="32614B36"/>
    <w:rsid w:val="328874D7"/>
    <w:rsid w:val="329B4449"/>
    <w:rsid w:val="32B465D6"/>
    <w:rsid w:val="32ED1692"/>
    <w:rsid w:val="32F7454B"/>
    <w:rsid w:val="33130FE9"/>
    <w:rsid w:val="3338457A"/>
    <w:rsid w:val="33436A97"/>
    <w:rsid w:val="33461627"/>
    <w:rsid w:val="33841118"/>
    <w:rsid w:val="338A38E1"/>
    <w:rsid w:val="33994A92"/>
    <w:rsid w:val="33B15CD8"/>
    <w:rsid w:val="33B71E0E"/>
    <w:rsid w:val="33D33712"/>
    <w:rsid w:val="33D36285"/>
    <w:rsid w:val="33EE2BD0"/>
    <w:rsid w:val="34271C06"/>
    <w:rsid w:val="342A2EDE"/>
    <w:rsid w:val="346A6F41"/>
    <w:rsid w:val="346D06AE"/>
    <w:rsid w:val="34735E7F"/>
    <w:rsid w:val="34772642"/>
    <w:rsid w:val="347F2FC4"/>
    <w:rsid w:val="34B61205"/>
    <w:rsid w:val="34DA77F4"/>
    <w:rsid w:val="35114DCF"/>
    <w:rsid w:val="35635188"/>
    <w:rsid w:val="357B628C"/>
    <w:rsid w:val="35825271"/>
    <w:rsid w:val="358729D1"/>
    <w:rsid w:val="35935E58"/>
    <w:rsid w:val="359A6072"/>
    <w:rsid w:val="35E8116D"/>
    <w:rsid w:val="35EA0E10"/>
    <w:rsid w:val="35F56C5B"/>
    <w:rsid w:val="35FC6BDB"/>
    <w:rsid w:val="361E7731"/>
    <w:rsid w:val="36650D65"/>
    <w:rsid w:val="366B11D8"/>
    <w:rsid w:val="36760A6F"/>
    <w:rsid w:val="36AA0DA9"/>
    <w:rsid w:val="36E16658"/>
    <w:rsid w:val="36FD63F6"/>
    <w:rsid w:val="37424F12"/>
    <w:rsid w:val="375F35F1"/>
    <w:rsid w:val="37675342"/>
    <w:rsid w:val="379D4CDE"/>
    <w:rsid w:val="37E142B1"/>
    <w:rsid w:val="37EC177B"/>
    <w:rsid w:val="37F555DB"/>
    <w:rsid w:val="38461A94"/>
    <w:rsid w:val="391F631E"/>
    <w:rsid w:val="394A3E5F"/>
    <w:rsid w:val="39587818"/>
    <w:rsid w:val="39B55902"/>
    <w:rsid w:val="39E64AA3"/>
    <w:rsid w:val="3A5D47D6"/>
    <w:rsid w:val="3A816F5E"/>
    <w:rsid w:val="3A910CD2"/>
    <w:rsid w:val="3AA2196D"/>
    <w:rsid w:val="3ACD436A"/>
    <w:rsid w:val="3B1139DC"/>
    <w:rsid w:val="3B346891"/>
    <w:rsid w:val="3B3C3764"/>
    <w:rsid w:val="3B4E2A1B"/>
    <w:rsid w:val="3B693ABE"/>
    <w:rsid w:val="3B695CE9"/>
    <w:rsid w:val="3B930F30"/>
    <w:rsid w:val="3BAA3A8C"/>
    <w:rsid w:val="3BCC6D26"/>
    <w:rsid w:val="3BCD6DCC"/>
    <w:rsid w:val="3BFF1AFF"/>
    <w:rsid w:val="3C05794C"/>
    <w:rsid w:val="3C6224D2"/>
    <w:rsid w:val="3C8637E7"/>
    <w:rsid w:val="3C8A7F52"/>
    <w:rsid w:val="3C93694A"/>
    <w:rsid w:val="3C9C0EE0"/>
    <w:rsid w:val="3CAA50D7"/>
    <w:rsid w:val="3CC23CE7"/>
    <w:rsid w:val="3CF70CA6"/>
    <w:rsid w:val="3D26209C"/>
    <w:rsid w:val="3D685D41"/>
    <w:rsid w:val="3D6E0891"/>
    <w:rsid w:val="3D734BA5"/>
    <w:rsid w:val="3D7627E6"/>
    <w:rsid w:val="3DA72863"/>
    <w:rsid w:val="3DD95F68"/>
    <w:rsid w:val="3DDD2815"/>
    <w:rsid w:val="3DEB73A9"/>
    <w:rsid w:val="3DF51398"/>
    <w:rsid w:val="3DFA0550"/>
    <w:rsid w:val="3E49637E"/>
    <w:rsid w:val="3E5762FA"/>
    <w:rsid w:val="3EAC1F9C"/>
    <w:rsid w:val="3EBA7D64"/>
    <w:rsid w:val="3ED6116F"/>
    <w:rsid w:val="3F357959"/>
    <w:rsid w:val="3F514B43"/>
    <w:rsid w:val="3F621BC8"/>
    <w:rsid w:val="3F6E5909"/>
    <w:rsid w:val="3F7A1395"/>
    <w:rsid w:val="3F9A5F9A"/>
    <w:rsid w:val="3FB56969"/>
    <w:rsid w:val="3FEE6A4A"/>
    <w:rsid w:val="4040304E"/>
    <w:rsid w:val="40420572"/>
    <w:rsid w:val="40585914"/>
    <w:rsid w:val="409A7B8F"/>
    <w:rsid w:val="40EF0D87"/>
    <w:rsid w:val="40EF2F2A"/>
    <w:rsid w:val="41230A69"/>
    <w:rsid w:val="412A6933"/>
    <w:rsid w:val="41646F01"/>
    <w:rsid w:val="41817207"/>
    <w:rsid w:val="418408ED"/>
    <w:rsid w:val="419E3F34"/>
    <w:rsid w:val="41A22929"/>
    <w:rsid w:val="41A50A27"/>
    <w:rsid w:val="41FB4403"/>
    <w:rsid w:val="420B3F64"/>
    <w:rsid w:val="421C22C0"/>
    <w:rsid w:val="422A509B"/>
    <w:rsid w:val="422B2257"/>
    <w:rsid w:val="422E75D1"/>
    <w:rsid w:val="42476297"/>
    <w:rsid w:val="424B3B49"/>
    <w:rsid w:val="42613D77"/>
    <w:rsid w:val="42756196"/>
    <w:rsid w:val="42931AF9"/>
    <w:rsid w:val="4296204B"/>
    <w:rsid w:val="429C5AC6"/>
    <w:rsid w:val="42A07EB9"/>
    <w:rsid w:val="42E228B8"/>
    <w:rsid w:val="42ED3256"/>
    <w:rsid w:val="4300495F"/>
    <w:rsid w:val="43102EFE"/>
    <w:rsid w:val="431C3DD3"/>
    <w:rsid w:val="437370B7"/>
    <w:rsid w:val="43897891"/>
    <w:rsid w:val="439F43EC"/>
    <w:rsid w:val="43A04842"/>
    <w:rsid w:val="43AD0D2E"/>
    <w:rsid w:val="4426495C"/>
    <w:rsid w:val="44296D06"/>
    <w:rsid w:val="445B3043"/>
    <w:rsid w:val="44957B12"/>
    <w:rsid w:val="44BA339E"/>
    <w:rsid w:val="44C4421D"/>
    <w:rsid w:val="44DD3E91"/>
    <w:rsid w:val="44EC5239"/>
    <w:rsid w:val="44FE6A97"/>
    <w:rsid w:val="45280009"/>
    <w:rsid w:val="45936C0F"/>
    <w:rsid w:val="460423BC"/>
    <w:rsid w:val="46045CCA"/>
    <w:rsid w:val="46163B17"/>
    <w:rsid w:val="46323B86"/>
    <w:rsid w:val="46830356"/>
    <w:rsid w:val="468B12A0"/>
    <w:rsid w:val="46945465"/>
    <w:rsid w:val="46946CC7"/>
    <w:rsid w:val="46E416BF"/>
    <w:rsid w:val="46F91E7C"/>
    <w:rsid w:val="471764EE"/>
    <w:rsid w:val="47601966"/>
    <w:rsid w:val="478F1EA0"/>
    <w:rsid w:val="47A21B7E"/>
    <w:rsid w:val="47B85DA2"/>
    <w:rsid w:val="47C14269"/>
    <w:rsid w:val="47FA7693"/>
    <w:rsid w:val="47FC1AAA"/>
    <w:rsid w:val="48030BB8"/>
    <w:rsid w:val="48312A56"/>
    <w:rsid w:val="4831507B"/>
    <w:rsid w:val="48817C9B"/>
    <w:rsid w:val="488C4279"/>
    <w:rsid w:val="48975150"/>
    <w:rsid w:val="48F873C3"/>
    <w:rsid w:val="4908499A"/>
    <w:rsid w:val="491202EB"/>
    <w:rsid w:val="49295E46"/>
    <w:rsid w:val="49625A84"/>
    <w:rsid w:val="49653F45"/>
    <w:rsid w:val="49BE34F2"/>
    <w:rsid w:val="49CD5922"/>
    <w:rsid w:val="4A107465"/>
    <w:rsid w:val="4A192915"/>
    <w:rsid w:val="4A4C39AD"/>
    <w:rsid w:val="4A7D3C0E"/>
    <w:rsid w:val="4A9E78BB"/>
    <w:rsid w:val="4AA306D4"/>
    <w:rsid w:val="4AE22767"/>
    <w:rsid w:val="4B113C91"/>
    <w:rsid w:val="4B221C9D"/>
    <w:rsid w:val="4B8507BD"/>
    <w:rsid w:val="4BA73B1A"/>
    <w:rsid w:val="4BB47AC2"/>
    <w:rsid w:val="4BC02BD8"/>
    <w:rsid w:val="4BD66AD1"/>
    <w:rsid w:val="4C2113BB"/>
    <w:rsid w:val="4C5E0D5A"/>
    <w:rsid w:val="4C796071"/>
    <w:rsid w:val="4C7C7209"/>
    <w:rsid w:val="4CBF4276"/>
    <w:rsid w:val="4CD541BE"/>
    <w:rsid w:val="4CE2382F"/>
    <w:rsid w:val="4D3E6D99"/>
    <w:rsid w:val="4D584B20"/>
    <w:rsid w:val="4DB72D0B"/>
    <w:rsid w:val="4DBC3F28"/>
    <w:rsid w:val="4DDE1A53"/>
    <w:rsid w:val="4E1622A9"/>
    <w:rsid w:val="4E1E138D"/>
    <w:rsid w:val="4E212628"/>
    <w:rsid w:val="4E236883"/>
    <w:rsid w:val="4E2E279D"/>
    <w:rsid w:val="4E47495A"/>
    <w:rsid w:val="4E693FAA"/>
    <w:rsid w:val="4E8F0339"/>
    <w:rsid w:val="4EA948AD"/>
    <w:rsid w:val="4EBA6BDA"/>
    <w:rsid w:val="4EDC01C5"/>
    <w:rsid w:val="4F3B09F2"/>
    <w:rsid w:val="4FAB421F"/>
    <w:rsid w:val="4FBA3327"/>
    <w:rsid w:val="4FC60261"/>
    <w:rsid w:val="50265D8C"/>
    <w:rsid w:val="5028016B"/>
    <w:rsid w:val="504001F7"/>
    <w:rsid w:val="50873996"/>
    <w:rsid w:val="50C55F5A"/>
    <w:rsid w:val="50EC3E2B"/>
    <w:rsid w:val="50F2034F"/>
    <w:rsid w:val="51611A3C"/>
    <w:rsid w:val="51767DCA"/>
    <w:rsid w:val="51A66B21"/>
    <w:rsid w:val="51A71702"/>
    <w:rsid w:val="51B122AB"/>
    <w:rsid w:val="51EC339B"/>
    <w:rsid w:val="52380824"/>
    <w:rsid w:val="52582329"/>
    <w:rsid w:val="52595FA5"/>
    <w:rsid w:val="52A40B8F"/>
    <w:rsid w:val="52CD27D2"/>
    <w:rsid w:val="52D32FAE"/>
    <w:rsid w:val="52F13372"/>
    <w:rsid w:val="53013A3B"/>
    <w:rsid w:val="534C3C77"/>
    <w:rsid w:val="534D60B9"/>
    <w:rsid w:val="535A067F"/>
    <w:rsid w:val="53696550"/>
    <w:rsid w:val="538066A3"/>
    <w:rsid w:val="539C13A0"/>
    <w:rsid w:val="53B72340"/>
    <w:rsid w:val="542B7346"/>
    <w:rsid w:val="54446CA9"/>
    <w:rsid w:val="54461AD3"/>
    <w:rsid w:val="54581E64"/>
    <w:rsid w:val="5497640C"/>
    <w:rsid w:val="54B566C2"/>
    <w:rsid w:val="54B85F76"/>
    <w:rsid w:val="54FF2231"/>
    <w:rsid w:val="5568105C"/>
    <w:rsid w:val="557C08CC"/>
    <w:rsid w:val="557C6727"/>
    <w:rsid w:val="559F7C0B"/>
    <w:rsid w:val="56172DB1"/>
    <w:rsid w:val="5633291A"/>
    <w:rsid w:val="565B3F47"/>
    <w:rsid w:val="567F71BD"/>
    <w:rsid w:val="56A21C1F"/>
    <w:rsid w:val="56C105B6"/>
    <w:rsid w:val="57396B1E"/>
    <w:rsid w:val="57440089"/>
    <w:rsid w:val="57495993"/>
    <w:rsid w:val="576A0140"/>
    <w:rsid w:val="579357FF"/>
    <w:rsid w:val="57984764"/>
    <w:rsid w:val="57B32062"/>
    <w:rsid w:val="57CF0AFC"/>
    <w:rsid w:val="57F9404F"/>
    <w:rsid w:val="57FDC10F"/>
    <w:rsid w:val="58067904"/>
    <w:rsid w:val="5858380C"/>
    <w:rsid w:val="58613506"/>
    <w:rsid w:val="586438F5"/>
    <w:rsid w:val="586A05AE"/>
    <w:rsid w:val="58750E05"/>
    <w:rsid w:val="58845D9B"/>
    <w:rsid w:val="58884175"/>
    <w:rsid w:val="58AD0DF8"/>
    <w:rsid w:val="58ED7447"/>
    <w:rsid w:val="58EF76ED"/>
    <w:rsid w:val="591B58C0"/>
    <w:rsid w:val="59204F48"/>
    <w:rsid w:val="59234ECA"/>
    <w:rsid w:val="592B2A55"/>
    <w:rsid w:val="595D3DAB"/>
    <w:rsid w:val="59840B1E"/>
    <w:rsid w:val="59EC3952"/>
    <w:rsid w:val="59ED2A83"/>
    <w:rsid w:val="5A1C6270"/>
    <w:rsid w:val="5A245A88"/>
    <w:rsid w:val="5A2B7908"/>
    <w:rsid w:val="5A41687A"/>
    <w:rsid w:val="5A4C341C"/>
    <w:rsid w:val="5A6D3BE8"/>
    <w:rsid w:val="5A822399"/>
    <w:rsid w:val="5AB729DC"/>
    <w:rsid w:val="5AB77B5E"/>
    <w:rsid w:val="5AEA5EB0"/>
    <w:rsid w:val="5B3369D1"/>
    <w:rsid w:val="5B5501AE"/>
    <w:rsid w:val="5B796ABB"/>
    <w:rsid w:val="5BA43DF3"/>
    <w:rsid w:val="5BE307B4"/>
    <w:rsid w:val="5C0E34F4"/>
    <w:rsid w:val="5C166E4F"/>
    <w:rsid w:val="5C276E7C"/>
    <w:rsid w:val="5C306DDF"/>
    <w:rsid w:val="5C49575C"/>
    <w:rsid w:val="5C5510C9"/>
    <w:rsid w:val="5C9108EC"/>
    <w:rsid w:val="5C9E4255"/>
    <w:rsid w:val="5C9E4B22"/>
    <w:rsid w:val="5CD42E3E"/>
    <w:rsid w:val="5CE57BAC"/>
    <w:rsid w:val="5CF41B55"/>
    <w:rsid w:val="5D064542"/>
    <w:rsid w:val="5D0F5894"/>
    <w:rsid w:val="5D215608"/>
    <w:rsid w:val="5D2A6E50"/>
    <w:rsid w:val="5D316B4B"/>
    <w:rsid w:val="5D7C032C"/>
    <w:rsid w:val="5D7E6CC5"/>
    <w:rsid w:val="5D8178C4"/>
    <w:rsid w:val="5D89316A"/>
    <w:rsid w:val="5DA628A5"/>
    <w:rsid w:val="5DAE0909"/>
    <w:rsid w:val="5DCE5468"/>
    <w:rsid w:val="5DE24E13"/>
    <w:rsid w:val="5DE93F98"/>
    <w:rsid w:val="5DEC14F9"/>
    <w:rsid w:val="5E132EFB"/>
    <w:rsid w:val="5E1C02C1"/>
    <w:rsid w:val="5E245A60"/>
    <w:rsid w:val="5E425C3A"/>
    <w:rsid w:val="5E531B9F"/>
    <w:rsid w:val="5E5F1019"/>
    <w:rsid w:val="5E790599"/>
    <w:rsid w:val="5E84188B"/>
    <w:rsid w:val="5EA77881"/>
    <w:rsid w:val="5EBE0004"/>
    <w:rsid w:val="5ED42E29"/>
    <w:rsid w:val="5ED87541"/>
    <w:rsid w:val="5F0D61FF"/>
    <w:rsid w:val="5F1B0F35"/>
    <w:rsid w:val="5F2E1BCB"/>
    <w:rsid w:val="5F424F1B"/>
    <w:rsid w:val="5F682CF2"/>
    <w:rsid w:val="5F69359F"/>
    <w:rsid w:val="5F6A29BF"/>
    <w:rsid w:val="5F7C8529"/>
    <w:rsid w:val="5F857143"/>
    <w:rsid w:val="5FABFA21"/>
    <w:rsid w:val="5FD11D7D"/>
    <w:rsid w:val="5FDB7D9D"/>
    <w:rsid w:val="5FF3766A"/>
    <w:rsid w:val="5FFE4272"/>
    <w:rsid w:val="5FFFD856"/>
    <w:rsid w:val="60101288"/>
    <w:rsid w:val="603B3D4E"/>
    <w:rsid w:val="60510E15"/>
    <w:rsid w:val="60563B24"/>
    <w:rsid w:val="605C2ABC"/>
    <w:rsid w:val="607905F2"/>
    <w:rsid w:val="60A77BF0"/>
    <w:rsid w:val="60AB793D"/>
    <w:rsid w:val="60DE62A5"/>
    <w:rsid w:val="60EB3387"/>
    <w:rsid w:val="61354C2B"/>
    <w:rsid w:val="615006E0"/>
    <w:rsid w:val="6161292D"/>
    <w:rsid w:val="6167161A"/>
    <w:rsid w:val="61DC6DB3"/>
    <w:rsid w:val="61E34130"/>
    <w:rsid w:val="623E51B7"/>
    <w:rsid w:val="62532DD8"/>
    <w:rsid w:val="629F5C38"/>
    <w:rsid w:val="62D95D35"/>
    <w:rsid w:val="62E14DA4"/>
    <w:rsid w:val="62E55EDB"/>
    <w:rsid w:val="62F803A4"/>
    <w:rsid w:val="63522BFA"/>
    <w:rsid w:val="63614E88"/>
    <w:rsid w:val="63846D76"/>
    <w:rsid w:val="63A23566"/>
    <w:rsid w:val="63AE7C71"/>
    <w:rsid w:val="63B17F1C"/>
    <w:rsid w:val="63E776F7"/>
    <w:rsid w:val="644840EA"/>
    <w:rsid w:val="6477079C"/>
    <w:rsid w:val="6477283B"/>
    <w:rsid w:val="64884ABB"/>
    <w:rsid w:val="648D3962"/>
    <w:rsid w:val="64BF74D6"/>
    <w:rsid w:val="64CA25E2"/>
    <w:rsid w:val="64CC5C0C"/>
    <w:rsid w:val="6505674D"/>
    <w:rsid w:val="651D7774"/>
    <w:rsid w:val="65261CA4"/>
    <w:rsid w:val="6537227D"/>
    <w:rsid w:val="65687B32"/>
    <w:rsid w:val="65C32F83"/>
    <w:rsid w:val="65FD5241"/>
    <w:rsid w:val="66145AE8"/>
    <w:rsid w:val="66266612"/>
    <w:rsid w:val="66542825"/>
    <w:rsid w:val="668974B7"/>
    <w:rsid w:val="66BD4D07"/>
    <w:rsid w:val="66DB1A39"/>
    <w:rsid w:val="67120167"/>
    <w:rsid w:val="672957C5"/>
    <w:rsid w:val="676D5535"/>
    <w:rsid w:val="67764BCE"/>
    <w:rsid w:val="679A064C"/>
    <w:rsid w:val="67EE6E63"/>
    <w:rsid w:val="681D0A33"/>
    <w:rsid w:val="681E541D"/>
    <w:rsid w:val="68546EEF"/>
    <w:rsid w:val="6876296E"/>
    <w:rsid w:val="68906D27"/>
    <w:rsid w:val="68922C4A"/>
    <w:rsid w:val="689D1AB8"/>
    <w:rsid w:val="68A80483"/>
    <w:rsid w:val="68A903C8"/>
    <w:rsid w:val="6900157B"/>
    <w:rsid w:val="69320929"/>
    <w:rsid w:val="693F49C8"/>
    <w:rsid w:val="69660C8B"/>
    <w:rsid w:val="696F212F"/>
    <w:rsid w:val="69752D81"/>
    <w:rsid w:val="69791C0D"/>
    <w:rsid w:val="69A433E0"/>
    <w:rsid w:val="69DA2876"/>
    <w:rsid w:val="69E057C4"/>
    <w:rsid w:val="69E3747F"/>
    <w:rsid w:val="69E76C61"/>
    <w:rsid w:val="69EE5696"/>
    <w:rsid w:val="6A332318"/>
    <w:rsid w:val="6A3430A0"/>
    <w:rsid w:val="6A3B6DF6"/>
    <w:rsid w:val="6A3C1FDC"/>
    <w:rsid w:val="6A4416A2"/>
    <w:rsid w:val="6A973EB8"/>
    <w:rsid w:val="6AAB60E7"/>
    <w:rsid w:val="6ABC7327"/>
    <w:rsid w:val="6AD4155F"/>
    <w:rsid w:val="6B092739"/>
    <w:rsid w:val="6B171F35"/>
    <w:rsid w:val="6B1801A0"/>
    <w:rsid w:val="6BAB6F14"/>
    <w:rsid w:val="6BAD1EE5"/>
    <w:rsid w:val="6BB9504A"/>
    <w:rsid w:val="6BBE353D"/>
    <w:rsid w:val="6BEB4F4D"/>
    <w:rsid w:val="6BF26A5C"/>
    <w:rsid w:val="6BFE0038"/>
    <w:rsid w:val="6C5B10BC"/>
    <w:rsid w:val="6C8769E4"/>
    <w:rsid w:val="6CD429A0"/>
    <w:rsid w:val="6D012796"/>
    <w:rsid w:val="6D3A3329"/>
    <w:rsid w:val="6D5341EA"/>
    <w:rsid w:val="6D780DA9"/>
    <w:rsid w:val="6D9E6246"/>
    <w:rsid w:val="6DAA54AF"/>
    <w:rsid w:val="6DF3512C"/>
    <w:rsid w:val="6E002CD0"/>
    <w:rsid w:val="6E3E7623"/>
    <w:rsid w:val="6E7F06E9"/>
    <w:rsid w:val="6E962CB7"/>
    <w:rsid w:val="6E9C74A7"/>
    <w:rsid w:val="6EB16B19"/>
    <w:rsid w:val="6EB26CBB"/>
    <w:rsid w:val="6EC10BF5"/>
    <w:rsid w:val="6EC13C6B"/>
    <w:rsid w:val="6EC66036"/>
    <w:rsid w:val="6EC92841"/>
    <w:rsid w:val="6ED547AD"/>
    <w:rsid w:val="6ED84BE7"/>
    <w:rsid w:val="6ED91374"/>
    <w:rsid w:val="6F0A353C"/>
    <w:rsid w:val="6F0E1D81"/>
    <w:rsid w:val="6F154E94"/>
    <w:rsid w:val="6F5311A2"/>
    <w:rsid w:val="6F7B503A"/>
    <w:rsid w:val="6F7C5281"/>
    <w:rsid w:val="6F94255E"/>
    <w:rsid w:val="6FA86872"/>
    <w:rsid w:val="6FED759E"/>
    <w:rsid w:val="6FFE28A4"/>
    <w:rsid w:val="700B1DBC"/>
    <w:rsid w:val="700D682A"/>
    <w:rsid w:val="700F5C96"/>
    <w:rsid w:val="70485252"/>
    <w:rsid w:val="704F2C5F"/>
    <w:rsid w:val="7079769E"/>
    <w:rsid w:val="707E2B59"/>
    <w:rsid w:val="708D0D8E"/>
    <w:rsid w:val="70A82C64"/>
    <w:rsid w:val="70D8212E"/>
    <w:rsid w:val="70DE752F"/>
    <w:rsid w:val="70DF68B2"/>
    <w:rsid w:val="70E4170B"/>
    <w:rsid w:val="70EF7150"/>
    <w:rsid w:val="713E2ADE"/>
    <w:rsid w:val="7146408D"/>
    <w:rsid w:val="7166670A"/>
    <w:rsid w:val="71844742"/>
    <w:rsid w:val="719B701F"/>
    <w:rsid w:val="719F3C47"/>
    <w:rsid w:val="71B21C56"/>
    <w:rsid w:val="71D927C2"/>
    <w:rsid w:val="7219323C"/>
    <w:rsid w:val="7290103C"/>
    <w:rsid w:val="72A66CA0"/>
    <w:rsid w:val="72CE1C3F"/>
    <w:rsid w:val="72D540E5"/>
    <w:rsid w:val="732228BC"/>
    <w:rsid w:val="73353A6C"/>
    <w:rsid w:val="733B028F"/>
    <w:rsid w:val="73547CB3"/>
    <w:rsid w:val="73694025"/>
    <w:rsid w:val="737C0B1C"/>
    <w:rsid w:val="739A7DBC"/>
    <w:rsid w:val="73AC7712"/>
    <w:rsid w:val="73C37B3A"/>
    <w:rsid w:val="73E5397F"/>
    <w:rsid w:val="73EA70F6"/>
    <w:rsid w:val="73F047A5"/>
    <w:rsid w:val="740021F6"/>
    <w:rsid w:val="740A4FCB"/>
    <w:rsid w:val="74332397"/>
    <w:rsid w:val="74410973"/>
    <w:rsid w:val="74477C79"/>
    <w:rsid w:val="749F7D37"/>
    <w:rsid w:val="74A24B1F"/>
    <w:rsid w:val="74A33864"/>
    <w:rsid w:val="75061B64"/>
    <w:rsid w:val="751838B1"/>
    <w:rsid w:val="75337361"/>
    <w:rsid w:val="753A3F71"/>
    <w:rsid w:val="757229F9"/>
    <w:rsid w:val="75787FC9"/>
    <w:rsid w:val="757E4AF9"/>
    <w:rsid w:val="759304D8"/>
    <w:rsid w:val="75936516"/>
    <w:rsid w:val="75A17E72"/>
    <w:rsid w:val="75A27EB4"/>
    <w:rsid w:val="75D133D0"/>
    <w:rsid w:val="75E83B07"/>
    <w:rsid w:val="763E0C8B"/>
    <w:rsid w:val="7674673D"/>
    <w:rsid w:val="76786F2E"/>
    <w:rsid w:val="76D91331"/>
    <w:rsid w:val="770A683C"/>
    <w:rsid w:val="77B06CF3"/>
    <w:rsid w:val="77B45926"/>
    <w:rsid w:val="77B5591A"/>
    <w:rsid w:val="77C6308A"/>
    <w:rsid w:val="77C94015"/>
    <w:rsid w:val="77DF7C67"/>
    <w:rsid w:val="77FF4284"/>
    <w:rsid w:val="783536B7"/>
    <w:rsid w:val="783E15CD"/>
    <w:rsid w:val="78546CA6"/>
    <w:rsid w:val="78BB6E2A"/>
    <w:rsid w:val="78E818E5"/>
    <w:rsid w:val="79231B0D"/>
    <w:rsid w:val="793F7353"/>
    <w:rsid w:val="795A6DA8"/>
    <w:rsid w:val="797F60D5"/>
    <w:rsid w:val="79DC55F4"/>
    <w:rsid w:val="79FF16A0"/>
    <w:rsid w:val="7A0D6076"/>
    <w:rsid w:val="7A3031E0"/>
    <w:rsid w:val="7A434E36"/>
    <w:rsid w:val="7A71383E"/>
    <w:rsid w:val="7A7747DA"/>
    <w:rsid w:val="7A7E03D6"/>
    <w:rsid w:val="7A877999"/>
    <w:rsid w:val="7AB756AF"/>
    <w:rsid w:val="7AF91823"/>
    <w:rsid w:val="7AFF2D6F"/>
    <w:rsid w:val="7B396895"/>
    <w:rsid w:val="7BD24E35"/>
    <w:rsid w:val="7BE23A26"/>
    <w:rsid w:val="7BE93382"/>
    <w:rsid w:val="7BF7A014"/>
    <w:rsid w:val="7C082B3B"/>
    <w:rsid w:val="7C190EA3"/>
    <w:rsid w:val="7C2D09C7"/>
    <w:rsid w:val="7C3F1B77"/>
    <w:rsid w:val="7C4A7907"/>
    <w:rsid w:val="7CA52ABC"/>
    <w:rsid w:val="7D332259"/>
    <w:rsid w:val="7D3846C5"/>
    <w:rsid w:val="7D39012C"/>
    <w:rsid w:val="7D50212B"/>
    <w:rsid w:val="7D5928AF"/>
    <w:rsid w:val="7D6B16D3"/>
    <w:rsid w:val="7D784C4C"/>
    <w:rsid w:val="7D790677"/>
    <w:rsid w:val="7D7D0A2D"/>
    <w:rsid w:val="7D9561F5"/>
    <w:rsid w:val="7DC04C9F"/>
    <w:rsid w:val="7DCF07E9"/>
    <w:rsid w:val="7E053626"/>
    <w:rsid w:val="7E247594"/>
    <w:rsid w:val="7E262414"/>
    <w:rsid w:val="7E375C98"/>
    <w:rsid w:val="7E59738C"/>
    <w:rsid w:val="7E7437A1"/>
    <w:rsid w:val="7E806398"/>
    <w:rsid w:val="7E843559"/>
    <w:rsid w:val="7E9711D8"/>
    <w:rsid w:val="7EC873B0"/>
    <w:rsid w:val="7EE22AA9"/>
    <w:rsid w:val="7F3E7ACF"/>
    <w:rsid w:val="7F4777E4"/>
    <w:rsid w:val="7F6FC54E"/>
    <w:rsid w:val="7F89761A"/>
    <w:rsid w:val="7F9F59A2"/>
    <w:rsid w:val="7FC54901"/>
    <w:rsid w:val="7FCFF568"/>
    <w:rsid w:val="7FDA7E75"/>
    <w:rsid w:val="7FEA5DAD"/>
    <w:rsid w:val="7FFF2F8A"/>
    <w:rsid w:val="97AF3377"/>
    <w:rsid w:val="BFBC9F51"/>
    <w:rsid w:val="CD4B673A"/>
    <w:rsid w:val="D73FD318"/>
    <w:rsid w:val="DEFF14BE"/>
    <w:rsid w:val="DF67AAB2"/>
    <w:rsid w:val="DFFF7404"/>
    <w:rsid w:val="E6FF94ED"/>
    <w:rsid w:val="EBE5C110"/>
    <w:rsid w:val="EDBB0467"/>
    <w:rsid w:val="EFD5B7C0"/>
    <w:rsid w:val="F5FFB7D9"/>
    <w:rsid w:val="F6F32FA4"/>
    <w:rsid w:val="F9FD1B0F"/>
    <w:rsid w:val="FAFDD644"/>
    <w:rsid w:val="FB5CAB92"/>
    <w:rsid w:val="FBFEEB0E"/>
    <w:rsid w:val="FDFB6D9A"/>
    <w:rsid w:val="FEBECF3A"/>
    <w:rsid w:val="FEDECA2F"/>
    <w:rsid w:val="FF4A63E1"/>
    <w:rsid w:val="FF9F30A9"/>
    <w:rsid w:val="FFAADA61"/>
    <w:rsid w:val="FFFF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jc w:val="center"/>
      <w:outlineLvl w:val="0"/>
    </w:pPr>
    <w:rPr>
      <w:rFonts w:ascii="楷体_GB2312" w:hAnsi="Tahoma" w:eastAsia="楷体_GB2312"/>
      <w:b/>
      <w:bCs/>
    </w:rPr>
  </w:style>
  <w:style w:type="paragraph" w:styleId="4">
    <w:name w:val="heading 2"/>
    <w:basedOn w:val="1"/>
    <w:next w:val="1"/>
    <w:link w:val="8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5" w:lineRule="auto"/>
      <w:outlineLvl w:val="2"/>
    </w:pPr>
    <w:rPr>
      <w:b/>
      <w:bCs/>
      <w:sz w:val="32"/>
      <w:szCs w:val="32"/>
    </w:rPr>
  </w:style>
  <w:style w:type="paragraph" w:styleId="6">
    <w:name w:val="heading 4"/>
    <w:basedOn w:val="1"/>
    <w:next w:val="1"/>
    <w:link w:val="8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4"/>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5"/>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6"/>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7"/>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8"/>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3">
    <w:name w:val="macro"/>
    <w:link w:val="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89"/>
    <w:qFormat/>
    <w:uiPriority w:val="0"/>
    <w:pPr>
      <w:jc w:val="left"/>
    </w:pPr>
    <w:rPr>
      <w:rFonts w:eastAsia="黑体"/>
      <w:sz w:val="28"/>
      <w:szCs w:val="20"/>
    </w:rPr>
  </w:style>
  <w:style w:type="paragraph" w:styleId="14">
    <w:name w:val="E-mail Signature"/>
    <w:basedOn w:val="1"/>
    <w:qFormat/>
    <w:uiPriority w:val="0"/>
  </w:style>
  <w:style w:type="paragraph" w:styleId="15">
    <w:name w:val="List Number"/>
    <w:basedOn w:val="1"/>
    <w:qFormat/>
    <w:uiPriority w:val="0"/>
    <w:pPr>
      <w:tabs>
        <w:tab w:val="left" w:pos="360"/>
      </w:tabs>
      <w:ind w:left="360" w:hanging="360" w:hangingChars="200"/>
    </w:pPr>
  </w:style>
  <w:style w:type="paragraph" w:styleId="16">
    <w:name w:val="Normal Indent"/>
    <w:basedOn w:val="1"/>
    <w:next w:val="1"/>
    <w:link w:val="90"/>
    <w:qFormat/>
    <w:uiPriority w:val="0"/>
    <w:pPr>
      <w:adjustRightInd w:val="0"/>
      <w:spacing w:line="312" w:lineRule="atLeast"/>
      <w:ind w:firstLine="420"/>
      <w:textAlignment w:val="baseline"/>
    </w:pPr>
    <w:rPr>
      <w:kern w:val="0"/>
      <w:szCs w:val="20"/>
    </w:rPr>
  </w:style>
  <w:style w:type="paragraph" w:styleId="17">
    <w:name w:val="caption"/>
    <w:basedOn w:val="1"/>
    <w:next w:val="1"/>
    <w:link w:val="91"/>
    <w:qFormat/>
    <w:uiPriority w:val="0"/>
    <w:pPr>
      <w:autoSpaceDE w:val="0"/>
      <w:autoSpaceDN w:val="0"/>
      <w:adjustRightInd w:val="0"/>
      <w:jc w:val="left"/>
    </w:pPr>
    <w:rPr>
      <w:rFonts w:ascii="Arial" w:hAnsi="Arial" w:eastAsia="黑体"/>
      <w:kern w:val="0"/>
      <w:sz w:val="20"/>
      <w:szCs w:val="20"/>
    </w:rPr>
  </w:style>
  <w:style w:type="paragraph" w:styleId="18">
    <w:name w:val="List Bullet"/>
    <w:basedOn w:val="1"/>
    <w:qFormat/>
    <w:uiPriority w:val="0"/>
    <w:pPr>
      <w:numPr>
        <w:ilvl w:val="0"/>
        <w:numId w:val="1"/>
      </w:numPr>
      <w:tabs>
        <w:tab w:val="left" w:pos="360"/>
        <w:tab w:val="clear" w:pos="1080"/>
      </w:tabs>
    </w:pPr>
    <w:rPr>
      <w:rFonts w:ascii="Calibri" w:hAnsi="Calibri"/>
      <w:szCs w:val="22"/>
    </w:rPr>
  </w:style>
  <w:style w:type="paragraph" w:styleId="19">
    <w:name w:val="Document Map"/>
    <w:basedOn w:val="1"/>
    <w:link w:val="92"/>
    <w:qFormat/>
    <w:uiPriority w:val="0"/>
    <w:pPr>
      <w:shd w:val="clear" w:color="auto" w:fill="000080"/>
    </w:pPr>
  </w:style>
  <w:style w:type="paragraph" w:styleId="20">
    <w:name w:val="annotation text"/>
    <w:basedOn w:val="1"/>
    <w:link w:val="93"/>
    <w:qFormat/>
    <w:uiPriority w:val="0"/>
    <w:pPr>
      <w:jc w:val="left"/>
    </w:pPr>
  </w:style>
  <w:style w:type="paragraph" w:styleId="21">
    <w:name w:val="Salutation"/>
    <w:basedOn w:val="1"/>
    <w:next w:val="1"/>
    <w:link w:val="94"/>
    <w:qFormat/>
    <w:uiPriority w:val="0"/>
    <w:pPr>
      <w:tabs>
        <w:tab w:val="left" w:pos="840"/>
      </w:tabs>
      <w:autoSpaceDE w:val="0"/>
      <w:autoSpaceDN w:val="0"/>
      <w:adjustRightInd w:val="0"/>
      <w:jc w:val="left"/>
    </w:pPr>
    <w:rPr>
      <w:kern w:val="0"/>
      <w:sz w:val="20"/>
      <w:szCs w:val="20"/>
    </w:rPr>
  </w:style>
  <w:style w:type="paragraph" w:styleId="22">
    <w:name w:val="Body Text 3"/>
    <w:basedOn w:val="1"/>
    <w:link w:val="95"/>
    <w:qFormat/>
    <w:uiPriority w:val="0"/>
    <w:pPr>
      <w:autoSpaceDE w:val="0"/>
      <w:autoSpaceDN w:val="0"/>
      <w:adjustRightInd w:val="0"/>
      <w:jc w:val="center"/>
    </w:pPr>
    <w:rPr>
      <w:kern w:val="0"/>
      <w:sz w:val="20"/>
      <w:szCs w:val="20"/>
    </w:rPr>
  </w:style>
  <w:style w:type="paragraph" w:styleId="23">
    <w:name w:val="Body Text"/>
    <w:basedOn w:val="1"/>
    <w:next w:val="24"/>
    <w:link w:val="77"/>
    <w:qFormat/>
    <w:uiPriority w:val="0"/>
    <w:pPr>
      <w:spacing w:after="120"/>
    </w:pPr>
    <w:rPr>
      <w:rFonts w:ascii="Tahoma" w:hAnsi="Tahoma"/>
    </w:rPr>
  </w:style>
  <w:style w:type="paragraph" w:styleId="24">
    <w:name w:val="Body Text First Indent"/>
    <w:basedOn w:val="23"/>
    <w:next w:val="1"/>
    <w:link w:val="78"/>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5">
    <w:name w:val="Body Text Indent"/>
    <w:basedOn w:val="1"/>
    <w:link w:val="96"/>
    <w:qFormat/>
    <w:uiPriority w:val="0"/>
    <w:pPr>
      <w:adjustRightInd w:val="0"/>
      <w:spacing w:line="360" w:lineRule="auto"/>
      <w:ind w:firstLine="490"/>
      <w:jc w:val="left"/>
    </w:pPr>
    <w:rPr>
      <w:rFonts w:ascii="宋体" w:hAnsi="宋体"/>
      <w:sz w:val="24"/>
      <w:szCs w:val="20"/>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99"/>
    <w:pPr>
      <w:spacing w:after="120"/>
      <w:ind w:left="1440" w:leftChars="700" w:right="1440" w:rightChars="700"/>
    </w:pPr>
    <w:rPr>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39"/>
    <w:pPr>
      <w:autoSpaceDE w:val="0"/>
      <w:autoSpaceDN w:val="0"/>
      <w:adjustRightInd w:val="0"/>
      <w:ind w:left="1680" w:leftChars="800"/>
      <w:jc w:val="left"/>
    </w:pPr>
    <w:rPr>
      <w:kern w:val="0"/>
      <w:sz w:val="20"/>
      <w:szCs w:val="20"/>
    </w:rPr>
  </w:style>
  <w:style w:type="paragraph" w:styleId="30">
    <w:name w:val="toc 3"/>
    <w:basedOn w:val="1"/>
    <w:next w:val="1"/>
    <w:qFormat/>
    <w:uiPriority w:val="39"/>
    <w:pPr>
      <w:ind w:left="840" w:leftChars="400"/>
    </w:pPr>
  </w:style>
  <w:style w:type="paragraph" w:styleId="31">
    <w:name w:val="Plain Text"/>
    <w:basedOn w:val="1"/>
    <w:link w:val="97"/>
    <w:qFormat/>
    <w:uiPriority w:val="0"/>
    <w:rPr>
      <w:rFonts w:ascii="宋体" w:hAnsi="Courier New"/>
      <w:szCs w:val="20"/>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39"/>
    <w:pPr>
      <w:autoSpaceDE w:val="0"/>
      <w:autoSpaceDN w:val="0"/>
      <w:adjustRightInd w:val="0"/>
      <w:ind w:left="2940" w:leftChars="1400"/>
      <w:jc w:val="left"/>
    </w:pPr>
    <w:rPr>
      <w:kern w:val="0"/>
      <w:sz w:val="20"/>
      <w:szCs w:val="20"/>
    </w:rPr>
  </w:style>
  <w:style w:type="paragraph" w:styleId="34">
    <w:name w:val="Date"/>
    <w:basedOn w:val="1"/>
    <w:next w:val="1"/>
    <w:link w:val="98"/>
    <w:qFormat/>
    <w:uiPriority w:val="99"/>
    <w:pPr>
      <w:spacing w:line="440" w:lineRule="exact"/>
    </w:pPr>
    <w:rPr>
      <w:spacing w:val="12"/>
      <w:sz w:val="24"/>
      <w:szCs w:val="20"/>
    </w:rPr>
  </w:style>
  <w:style w:type="paragraph" w:styleId="35">
    <w:name w:val="Body Text Indent 2"/>
    <w:basedOn w:val="1"/>
    <w:link w:val="99"/>
    <w:qFormat/>
    <w:uiPriority w:val="0"/>
    <w:pPr>
      <w:spacing w:after="120" w:line="480" w:lineRule="auto"/>
      <w:ind w:left="420" w:leftChars="200"/>
    </w:pPr>
  </w:style>
  <w:style w:type="paragraph" w:styleId="36">
    <w:name w:val="endnote text"/>
    <w:basedOn w:val="1"/>
    <w:link w:val="100"/>
    <w:qFormat/>
    <w:uiPriority w:val="0"/>
    <w:pPr>
      <w:spacing w:line="360" w:lineRule="auto"/>
      <w:ind w:firstLine="720" w:firstLineChars="200"/>
    </w:pPr>
    <w:rPr>
      <w:sz w:val="24"/>
    </w:rPr>
  </w:style>
  <w:style w:type="paragraph" w:styleId="37">
    <w:name w:val="Balloon Text"/>
    <w:basedOn w:val="1"/>
    <w:link w:val="101"/>
    <w:qFormat/>
    <w:uiPriority w:val="99"/>
    <w:rPr>
      <w:sz w:val="18"/>
      <w:szCs w:val="18"/>
    </w:rPr>
  </w:style>
  <w:style w:type="paragraph" w:styleId="38">
    <w:name w:val="footer"/>
    <w:basedOn w:val="1"/>
    <w:link w:val="102"/>
    <w:qFormat/>
    <w:uiPriority w:val="0"/>
    <w:pPr>
      <w:tabs>
        <w:tab w:val="center" w:pos="4153"/>
        <w:tab w:val="right" w:pos="8306"/>
      </w:tabs>
      <w:snapToGrid w:val="0"/>
      <w:jc w:val="left"/>
    </w:pPr>
    <w:rPr>
      <w:sz w:val="18"/>
      <w:szCs w:val="18"/>
    </w:rPr>
  </w:style>
  <w:style w:type="paragraph" w:styleId="39">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4"/>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1">
    <w:name w:val="toc 1"/>
    <w:basedOn w:val="1"/>
    <w:next w:val="1"/>
    <w:qFormat/>
    <w:uiPriority w:val="39"/>
    <w:pPr>
      <w:spacing w:line="360" w:lineRule="exact"/>
      <w:ind w:left="718" w:hanging="718" w:hangingChars="342"/>
    </w:pPr>
    <w:rPr>
      <w:rFonts w:ascii="Arial" w:hAnsi="Arial" w:eastAsia="楷体_GB2312" w:cs="Arial"/>
    </w:rPr>
  </w:style>
  <w:style w:type="paragraph" w:styleId="42">
    <w:name w:val="toc 4"/>
    <w:basedOn w:val="1"/>
    <w:next w:val="1"/>
    <w:qFormat/>
    <w:uiPriority w:val="39"/>
    <w:pPr>
      <w:autoSpaceDE w:val="0"/>
      <w:autoSpaceDN w:val="0"/>
      <w:adjustRightInd w:val="0"/>
      <w:ind w:left="1260" w:leftChars="600"/>
      <w:jc w:val="left"/>
    </w:pPr>
    <w:rPr>
      <w:kern w:val="0"/>
      <w:sz w:val="20"/>
      <w:szCs w:val="20"/>
    </w:rPr>
  </w:style>
  <w:style w:type="paragraph" w:styleId="43">
    <w:name w:val="Subtitle"/>
    <w:basedOn w:val="1"/>
    <w:next w:val="1"/>
    <w:link w:val="105"/>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rPr>
      <w:sz w:val="28"/>
    </w:rPr>
  </w:style>
  <w:style w:type="paragraph" w:styleId="46">
    <w:name w:val="footnote text"/>
    <w:basedOn w:val="1"/>
    <w:link w:val="106"/>
    <w:unhideWhenUsed/>
    <w:qFormat/>
    <w:uiPriority w:val="99"/>
    <w:pPr>
      <w:snapToGrid w:val="0"/>
      <w:spacing w:line="360" w:lineRule="auto"/>
      <w:jc w:val="left"/>
    </w:pPr>
    <w:rPr>
      <w:sz w:val="18"/>
      <w:szCs w:val="18"/>
    </w:rPr>
  </w:style>
  <w:style w:type="paragraph" w:styleId="47">
    <w:name w:val="toc 6"/>
    <w:basedOn w:val="1"/>
    <w:next w:val="1"/>
    <w:qFormat/>
    <w:uiPriority w:val="39"/>
    <w:pPr>
      <w:autoSpaceDE w:val="0"/>
      <w:autoSpaceDN w:val="0"/>
      <w:adjustRightInd w:val="0"/>
      <w:ind w:left="2100" w:leftChars="1000"/>
      <w:jc w:val="left"/>
    </w:pPr>
    <w:rPr>
      <w:kern w:val="0"/>
      <w:sz w:val="20"/>
      <w:szCs w:val="20"/>
    </w:rPr>
  </w:style>
  <w:style w:type="paragraph" w:styleId="48">
    <w:name w:val="Body Text Indent 3"/>
    <w:basedOn w:val="1"/>
    <w:link w:val="107"/>
    <w:qFormat/>
    <w:uiPriority w:val="99"/>
    <w:pPr>
      <w:spacing w:after="120"/>
      <w:ind w:left="420" w:leftChars="200"/>
    </w:pPr>
    <w:rPr>
      <w:sz w:val="16"/>
      <w:szCs w:val="16"/>
    </w:rPr>
  </w:style>
  <w:style w:type="paragraph" w:styleId="49">
    <w:name w:val="toc 2"/>
    <w:basedOn w:val="1"/>
    <w:next w:val="1"/>
    <w:qFormat/>
    <w:uiPriority w:val="39"/>
    <w:pPr>
      <w:ind w:left="420" w:leftChars="200"/>
    </w:pPr>
  </w:style>
  <w:style w:type="paragraph" w:styleId="50">
    <w:name w:val="toc 9"/>
    <w:basedOn w:val="1"/>
    <w:next w:val="1"/>
    <w:qFormat/>
    <w:uiPriority w:val="39"/>
    <w:pPr>
      <w:autoSpaceDE w:val="0"/>
      <w:autoSpaceDN w:val="0"/>
      <w:adjustRightInd w:val="0"/>
      <w:ind w:left="3360" w:leftChars="1600"/>
      <w:jc w:val="left"/>
    </w:pPr>
    <w:rPr>
      <w:kern w:val="0"/>
      <w:sz w:val="20"/>
      <w:szCs w:val="20"/>
    </w:rPr>
  </w:style>
  <w:style w:type="paragraph" w:styleId="51">
    <w:name w:val="Body Text 2"/>
    <w:basedOn w:val="1"/>
    <w:link w:val="108"/>
    <w:qFormat/>
    <w:uiPriority w:val="0"/>
    <w:pPr>
      <w:autoSpaceDE w:val="0"/>
      <w:autoSpaceDN w:val="0"/>
      <w:adjustRightInd w:val="0"/>
      <w:spacing w:after="120" w:line="480" w:lineRule="auto"/>
      <w:jc w:val="left"/>
    </w:pPr>
    <w:rPr>
      <w:kern w:val="0"/>
      <w:sz w:val="20"/>
      <w:szCs w:val="20"/>
    </w:rPr>
  </w:style>
  <w:style w:type="paragraph" w:styleId="52">
    <w:name w:val="HTML Preformatted"/>
    <w:basedOn w:val="1"/>
    <w:link w:val="10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3">
    <w:name w:val="Normal (Web)"/>
    <w:basedOn w:val="1"/>
    <w:next w:val="14"/>
    <w:link w:val="110"/>
    <w:qFormat/>
    <w:uiPriority w:val="99"/>
    <w:pPr>
      <w:widowControl/>
      <w:spacing w:before="100" w:beforeAutospacing="1" w:after="100" w:afterAutospacing="1"/>
      <w:jc w:val="left"/>
    </w:pPr>
    <w:rPr>
      <w:rFonts w:ascii="宋体" w:hAnsi="宋体"/>
      <w:color w:val="000000"/>
      <w:kern w:val="0"/>
      <w:sz w:val="24"/>
    </w:rPr>
  </w:style>
  <w:style w:type="paragraph" w:styleId="54">
    <w:name w:val="index 1"/>
    <w:basedOn w:val="1"/>
    <w:next w:val="1"/>
    <w:qFormat/>
    <w:uiPriority w:val="0"/>
    <w:pPr>
      <w:spacing w:line="220" w:lineRule="exact"/>
      <w:jc w:val="center"/>
    </w:pPr>
    <w:rPr>
      <w:rFonts w:ascii="仿宋_GB2312" w:eastAsia="仿宋_GB2312"/>
      <w:szCs w:val="21"/>
    </w:rPr>
  </w:style>
  <w:style w:type="paragraph" w:styleId="55">
    <w:name w:val="Title"/>
    <w:basedOn w:val="1"/>
    <w:link w:val="11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6">
    <w:name w:val="annotation subject"/>
    <w:basedOn w:val="20"/>
    <w:next w:val="20"/>
    <w:link w:val="112"/>
    <w:qFormat/>
    <w:uiPriority w:val="0"/>
    <w:rPr>
      <w:b/>
      <w:bCs/>
    </w:rPr>
  </w:style>
  <w:style w:type="paragraph" w:styleId="57">
    <w:name w:val="Body Text First Indent 2"/>
    <w:basedOn w:val="25"/>
    <w:link w:val="113"/>
    <w:unhideWhenUsed/>
    <w:qFormat/>
    <w:uiPriority w:val="0"/>
    <w:pPr>
      <w:adjustRightInd/>
      <w:spacing w:after="120"/>
      <w:ind w:left="420" w:leftChars="200" w:firstLine="420" w:firstLineChars="200"/>
      <w:jc w:val="both"/>
    </w:pPr>
    <w:rPr>
      <w:szCs w:val="24"/>
    </w:rPr>
  </w:style>
  <w:style w:type="table" w:styleId="59">
    <w:name w:val="Table Grid"/>
    <w:basedOn w:val="5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rFonts w:ascii="仿宋_GB2312" w:eastAsia="仿宋_GB2312"/>
      <w:bCs/>
      <w:sz w:val="32"/>
      <w:szCs w:val="32"/>
    </w:rPr>
  </w:style>
  <w:style w:type="character" w:styleId="62">
    <w:name w:val="page number"/>
    <w:basedOn w:val="60"/>
    <w:qFormat/>
    <w:uiPriority w:val="0"/>
    <w:rPr>
      <w:szCs w:val="20"/>
    </w:rPr>
  </w:style>
  <w:style w:type="character" w:styleId="63">
    <w:name w:val="FollowedHyperlink"/>
    <w:qFormat/>
    <w:uiPriority w:val="99"/>
    <w:rPr>
      <w:rFonts w:ascii="仿宋_GB2312" w:eastAsia="仿宋_GB2312"/>
      <w:b/>
      <w:color w:val="800080"/>
      <w:sz w:val="32"/>
      <w:szCs w:val="32"/>
      <w:u w:val="single"/>
    </w:rPr>
  </w:style>
  <w:style w:type="character" w:styleId="64">
    <w:name w:val="Emphasis"/>
    <w:qFormat/>
    <w:uiPriority w:val="20"/>
    <w:rPr>
      <w:i/>
      <w:iCs/>
    </w:rPr>
  </w:style>
  <w:style w:type="character" w:styleId="65">
    <w:name w:val="line number"/>
    <w:qFormat/>
    <w:uiPriority w:val="0"/>
    <w:rPr>
      <w:rFonts w:ascii="仿宋_GB2312" w:hAnsi="Tahoma" w:eastAsia="仿宋_GB2312"/>
      <w:b/>
      <w:sz w:val="32"/>
      <w:szCs w:val="32"/>
    </w:rPr>
  </w:style>
  <w:style w:type="character" w:styleId="66">
    <w:name w:val="HTML Definition"/>
    <w:unhideWhenUsed/>
    <w:qFormat/>
    <w:uiPriority w:val="99"/>
    <w:rPr>
      <w:szCs w:val="20"/>
    </w:rPr>
  </w:style>
  <w:style w:type="character" w:styleId="67">
    <w:name w:val="HTML Typewriter"/>
    <w:qFormat/>
    <w:uiPriority w:val="0"/>
    <w:rPr>
      <w:rFonts w:ascii="宋体" w:hAnsi="宋体" w:eastAsia="宋体" w:cs="宋体"/>
      <w:sz w:val="24"/>
      <w:szCs w:val="24"/>
    </w:rPr>
  </w:style>
  <w:style w:type="character" w:styleId="68">
    <w:name w:val="HTML Acronym"/>
    <w:unhideWhenUsed/>
    <w:qFormat/>
    <w:uiPriority w:val="99"/>
    <w:rPr>
      <w:szCs w:val="20"/>
    </w:rPr>
  </w:style>
  <w:style w:type="character" w:styleId="69">
    <w:name w:val="HTML Variable"/>
    <w:unhideWhenUsed/>
    <w:qFormat/>
    <w:uiPriority w:val="99"/>
    <w:rPr>
      <w:szCs w:val="20"/>
    </w:rPr>
  </w:style>
  <w:style w:type="character" w:styleId="70">
    <w:name w:val="Hyperlink"/>
    <w:qFormat/>
    <w:uiPriority w:val="99"/>
    <w:rPr>
      <w:rFonts w:ascii="仿宋_GB2312" w:eastAsia="仿宋_GB2312"/>
      <w:color w:val="000000"/>
      <w:sz w:val="20"/>
      <w:szCs w:val="20"/>
      <w:u w:val="none"/>
    </w:rPr>
  </w:style>
  <w:style w:type="character" w:styleId="71">
    <w:name w:val="HTML Code"/>
    <w:unhideWhenUsed/>
    <w:qFormat/>
    <w:uiPriority w:val="99"/>
    <w:rPr>
      <w:rFonts w:hint="eastAsia" w:ascii="微软雅黑" w:hAnsi="微软雅黑" w:eastAsia="微软雅黑" w:cs="微软雅黑"/>
      <w:sz w:val="20"/>
      <w:szCs w:val="20"/>
    </w:rPr>
  </w:style>
  <w:style w:type="character" w:styleId="72">
    <w:name w:val="annotation reference"/>
    <w:qFormat/>
    <w:uiPriority w:val="0"/>
    <w:rPr>
      <w:sz w:val="21"/>
      <w:szCs w:val="21"/>
    </w:rPr>
  </w:style>
  <w:style w:type="character" w:styleId="73">
    <w:name w:val="HTML Cite"/>
    <w:qFormat/>
    <w:uiPriority w:val="0"/>
    <w:rPr>
      <w:color w:val="008000"/>
    </w:rPr>
  </w:style>
  <w:style w:type="character" w:styleId="74">
    <w:name w:val="footnote reference"/>
    <w:qFormat/>
    <w:uiPriority w:val="99"/>
    <w:rPr>
      <w:vertAlign w:val="superscript"/>
    </w:rPr>
  </w:style>
  <w:style w:type="character" w:styleId="75">
    <w:name w:val="HTML Keyboard"/>
    <w:unhideWhenUsed/>
    <w:qFormat/>
    <w:uiPriority w:val="99"/>
    <w:rPr>
      <w:rFonts w:hint="eastAsia" w:ascii="微软雅黑" w:hAnsi="微软雅黑" w:eastAsia="微软雅黑" w:cs="微软雅黑"/>
      <w:sz w:val="20"/>
      <w:szCs w:val="20"/>
    </w:rPr>
  </w:style>
  <w:style w:type="character" w:styleId="76">
    <w:name w:val="HTML Sample"/>
    <w:unhideWhenUsed/>
    <w:qFormat/>
    <w:uiPriority w:val="0"/>
    <w:rPr>
      <w:rFonts w:hint="eastAsia" w:ascii="微软雅黑" w:hAnsi="微软雅黑" w:eastAsia="微软雅黑" w:cs="微软雅黑"/>
      <w:szCs w:val="20"/>
    </w:rPr>
  </w:style>
  <w:style w:type="character" w:customStyle="1" w:styleId="77">
    <w:name w:val="正文文本 Char2"/>
    <w:link w:val="23"/>
    <w:qFormat/>
    <w:uiPriority w:val="0"/>
    <w:rPr>
      <w:rFonts w:ascii="Tahoma" w:hAnsi="Tahoma"/>
      <w:kern w:val="2"/>
      <w:sz w:val="21"/>
      <w:szCs w:val="24"/>
    </w:rPr>
  </w:style>
  <w:style w:type="character" w:customStyle="1" w:styleId="78">
    <w:name w:val="正文首行缩进 Char4"/>
    <w:link w:val="24"/>
    <w:qFormat/>
    <w:uiPriority w:val="0"/>
    <w:rPr>
      <w:rFonts w:ascii="仿宋_GB2312"/>
      <w:b/>
      <w:sz w:val="32"/>
      <w:szCs w:val="32"/>
    </w:rPr>
  </w:style>
  <w:style w:type="character" w:customStyle="1" w:styleId="79">
    <w:name w:val="宏文本 Char3"/>
    <w:link w:val="3"/>
    <w:qFormat/>
    <w:uiPriority w:val="0"/>
    <w:rPr>
      <w:rFonts w:ascii="Courier New" w:hAnsi="Courier New"/>
      <w:kern w:val="2"/>
      <w:sz w:val="24"/>
      <w:szCs w:val="24"/>
      <w:lang w:val="en-US" w:eastAsia="zh-CN" w:bidi="ar-SA"/>
    </w:rPr>
  </w:style>
  <w:style w:type="character" w:customStyle="1" w:styleId="80">
    <w:name w:val="标题 1 Char2"/>
    <w:link w:val="2"/>
    <w:qFormat/>
    <w:uiPriority w:val="0"/>
    <w:rPr>
      <w:rFonts w:ascii="楷体_GB2312" w:hAnsi="Tahoma" w:eastAsia="楷体_GB2312"/>
      <w:b/>
      <w:bCs/>
      <w:kern w:val="2"/>
      <w:sz w:val="21"/>
      <w:szCs w:val="24"/>
    </w:rPr>
  </w:style>
  <w:style w:type="character" w:customStyle="1" w:styleId="81">
    <w:name w:val="标题 2 Char2"/>
    <w:link w:val="4"/>
    <w:qFormat/>
    <w:uiPriority w:val="0"/>
    <w:rPr>
      <w:rFonts w:ascii="Arial" w:hAnsi="Arial" w:eastAsia="黑体"/>
      <w:b/>
      <w:bCs/>
      <w:kern w:val="2"/>
      <w:sz w:val="32"/>
      <w:szCs w:val="32"/>
    </w:rPr>
  </w:style>
  <w:style w:type="character" w:customStyle="1" w:styleId="82">
    <w:name w:val="标题 3 Char2"/>
    <w:link w:val="5"/>
    <w:qFormat/>
    <w:uiPriority w:val="0"/>
    <w:rPr>
      <w:b/>
      <w:bCs/>
      <w:kern w:val="2"/>
      <w:sz w:val="32"/>
      <w:szCs w:val="32"/>
    </w:rPr>
  </w:style>
  <w:style w:type="character" w:customStyle="1" w:styleId="83">
    <w:name w:val="标题 4 Char2"/>
    <w:link w:val="6"/>
    <w:qFormat/>
    <w:uiPriority w:val="0"/>
    <w:rPr>
      <w:rFonts w:ascii="Cambria" w:hAnsi="Cambria"/>
      <w:b/>
      <w:bCs/>
      <w:kern w:val="2"/>
      <w:sz w:val="28"/>
      <w:szCs w:val="28"/>
    </w:rPr>
  </w:style>
  <w:style w:type="character" w:customStyle="1" w:styleId="84">
    <w:name w:val="标题 5 Char1"/>
    <w:link w:val="7"/>
    <w:qFormat/>
    <w:uiPriority w:val="0"/>
    <w:rPr>
      <w:rFonts w:ascii="仿宋_GB2312" w:hAnsi="Tahoma"/>
      <w:b/>
      <w:bCs/>
      <w:kern w:val="2"/>
      <w:sz w:val="28"/>
      <w:szCs w:val="28"/>
    </w:rPr>
  </w:style>
  <w:style w:type="character" w:customStyle="1" w:styleId="85">
    <w:name w:val="标题 6 Char1"/>
    <w:link w:val="8"/>
    <w:qFormat/>
    <w:uiPriority w:val="0"/>
    <w:rPr>
      <w:rFonts w:ascii="Arial" w:hAnsi="Arial" w:eastAsia="黑体"/>
      <w:b/>
      <w:bCs/>
      <w:kern w:val="2"/>
      <w:sz w:val="24"/>
      <w:szCs w:val="24"/>
    </w:rPr>
  </w:style>
  <w:style w:type="character" w:customStyle="1" w:styleId="86">
    <w:name w:val="标题 7 Char1"/>
    <w:link w:val="9"/>
    <w:qFormat/>
    <w:uiPriority w:val="0"/>
    <w:rPr>
      <w:rFonts w:ascii="Arial" w:hAnsi="Arial" w:eastAsia="黑体"/>
      <w:b/>
      <w:sz w:val="21"/>
      <w:szCs w:val="21"/>
    </w:rPr>
  </w:style>
  <w:style w:type="character" w:customStyle="1" w:styleId="87">
    <w:name w:val="标题 8 Char1"/>
    <w:link w:val="10"/>
    <w:qFormat/>
    <w:uiPriority w:val="0"/>
    <w:rPr>
      <w:rFonts w:ascii="Arial" w:hAnsi="Arial" w:eastAsia="黑体"/>
      <w:b/>
      <w:sz w:val="24"/>
      <w:szCs w:val="32"/>
    </w:rPr>
  </w:style>
  <w:style w:type="character" w:customStyle="1" w:styleId="88">
    <w:name w:val="标题 9 Char1"/>
    <w:link w:val="11"/>
    <w:qFormat/>
    <w:uiPriority w:val="0"/>
    <w:rPr>
      <w:rFonts w:ascii="Arial" w:hAnsi="Arial" w:eastAsia="黑体"/>
      <w:b/>
      <w:sz w:val="21"/>
      <w:szCs w:val="32"/>
    </w:rPr>
  </w:style>
  <w:style w:type="character" w:customStyle="1" w:styleId="89">
    <w:name w:val="注释标题 Char3"/>
    <w:link w:val="13"/>
    <w:qFormat/>
    <w:uiPriority w:val="0"/>
    <w:rPr>
      <w:rFonts w:eastAsia="黑体"/>
      <w:kern w:val="2"/>
      <w:sz w:val="28"/>
    </w:rPr>
  </w:style>
  <w:style w:type="character" w:customStyle="1" w:styleId="90">
    <w:name w:val="正文缩进 Char3"/>
    <w:link w:val="16"/>
    <w:qFormat/>
    <w:uiPriority w:val="0"/>
    <w:rPr>
      <w:rFonts w:eastAsia="宋体"/>
      <w:sz w:val="21"/>
      <w:lang w:val="en-US" w:eastAsia="zh-CN" w:bidi="ar-SA"/>
    </w:rPr>
  </w:style>
  <w:style w:type="character" w:customStyle="1" w:styleId="91">
    <w:name w:val="题注 Char2"/>
    <w:link w:val="17"/>
    <w:qFormat/>
    <w:uiPriority w:val="0"/>
    <w:rPr>
      <w:rFonts w:ascii="Arial" w:hAnsi="Arial" w:eastAsia="黑体" w:cs="Arial"/>
    </w:rPr>
  </w:style>
  <w:style w:type="character" w:customStyle="1" w:styleId="92">
    <w:name w:val="文档结构图 Char4"/>
    <w:link w:val="19"/>
    <w:qFormat/>
    <w:uiPriority w:val="0"/>
    <w:rPr>
      <w:kern w:val="2"/>
      <w:sz w:val="21"/>
      <w:szCs w:val="24"/>
      <w:shd w:val="clear" w:color="auto" w:fill="000080"/>
    </w:rPr>
  </w:style>
  <w:style w:type="character" w:customStyle="1" w:styleId="93">
    <w:name w:val="批注文字 Char3"/>
    <w:link w:val="20"/>
    <w:qFormat/>
    <w:uiPriority w:val="0"/>
    <w:rPr>
      <w:kern w:val="2"/>
      <w:sz w:val="21"/>
      <w:szCs w:val="24"/>
    </w:rPr>
  </w:style>
  <w:style w:type="character" w:customStyle="1" w:styleId="94">
    <w:name w:val="称呼 Char2"/>
    <w:link w:val="21"/>
    <w:qFormat/>
    <w:uiPriority w:val="0"/>
    <w:rPr>
      <w:szCs w:val="20"/>
    </w:rPr>
  </w:style>
  <w:style w:type="character" w:customStyle="1" w:styleId="95">
    <w:name w:val="正文文本 3 Char2"/>
    <w:link w:val="22"/>
    <w:qFormat/>
    <w:uiPriority w:val="0"/>
    <w:rPr>
      <w:szCs w:val="20"/>
    </w:rPr>
  </w:style>
  <w:style w:type="character" w:customStyle="1" w:styleId="96">
    <w:name w:val="正文文本缩进 Char2"/>
    <w:link w:val="25"/>
    <w:qFormat/>
    <w:uiPriority w:val="0"/>
    <w:rPr>
      <w:rFonts w:ascii="宋体" w:hAnsi="宋体"/>
      <w:kern w:val="2"/>
      <w:sz w:val="24"/>
    </w:rPr>
  </w:style>
  <w:style w:type="character" w:customStyle="1" w:styleId="97">
    <w:name w:val="纯文本 Char3"/>
    <w:link w:val="31"/>
    <w:qFormat/>
    <w:uiPriority w:val="0"/>
    <w:rPr>
      <w:rFonts w:ascii="宋体" w:hAnsi="Courier New" w:eastAsia="宋体"/>
      <w:kern w:val="2"/>
      <w:sz w:val="21"/>
      <w:lang w:val="en-US" w:eastAsia="zh-CN" w:bidi="ar-SA"/>
    </w:rPr>
  </w:style>
  <w:style w:type="character" w:customStyle="1" w:styleId="98">
    <w:name w:val="日期 Char3"/>
    <w:link w:val="34"/>
    <w:qFormat/>
    <w:uiPriority w:val="99"/>
    <w:rPr>
      <w:spacing w:val="12"/>
      <w:kern w:val="2"/>
      <w:sz w:val="24"/>
    </w:rPr>
  </w:style>
  <w:style w:type="character" w:customStyle="1" w:styleId="99">
    <w:name w:val="正文文本缩进 2 Char3"/>
    <w:link w:val="35"/>
    <w:qFormat/>
    <w:uiPriority w:val="0"/>
    <w:rPr>
      <w:kern w:val="2"/>
      <w:sz w:val="21"/>
      <w:szCs w:val="24"/>
    </w:rPr>
  </w:style>
  <w:style w:type="character" w:customStyle="1" w:styleId="100">
    <w:name w:val="尾注文本 Char"/>
    <w:link w:val="36"/>
    <w:qFormat/>
    <w:uiPriority w:val="0"/>
    <w:rPr>
      <w:kern w:val="2"/>
      <w:sz w:val="24"/>
      <w:szCs w:val="24"/>
    </w:rPr>
  </w:style>
  <w:style w:type="character" w:customStyle="1" w:styleId="101">
    <w:name w:val="批注框文本 Char3"/>
    <w:link w:val="37"/>
    <w:qFormat/>
    <w:uiPriority w:val="99"/>
    <w:rPr>
      <w:kern w:val="2"/>
      <w:sz w:val="18"/>
      <w:szCs w:val="18"/>
    </w:rPr>
  </w:style>
  <w:style w:type="character" w:customStyle="1" w:styleId="102">
    <w:name w:val="页脚 Char3"/>
    <w:link w:val="38"/>
    <w:qFormat/>
    <w:uiPriority w:val="0"/>
    <w:rPr>
      <w:kern w:val="2"/>
      <w:sz w:val="18"/>
      <w:szCs w:val="18"/>
    </w:rPr>
  </w:style>
  <w:style w:type="character" w:customStyle="1" w:styleId="103">
    <w:name w:val="页眉 Char3"/>
    <w:link w:val="39"/>
    <w:qFormat/>
    <w:uiPriority w:val="0"/>
    <w:rPr>
      <w:kern w:val="2"/>
      <w:sz w:val="18"/>
      <w:szCs w:val="18"/>
    </w:rPr>
  </w:style>
  <w:style w:type="character" w:customStyle="1" w:styleId="104">
    <w:name w:val="签名 Char2"/>
    <w:link w:val="40"/>
    <w:qFormat/>
    <w:uiPriority w:val="0"/>
    <w:rPr>
      <w:rFonts w:ascii="Tahoma" w:hAnsi="Tahoma" w:eastAsia="仿宋_GB2312"/>
      <w:sz w:val="24"/>
      <w:szCs w:val="20"/>
    </w:rPr>
  </w:style>
  <w:style w:type="character" w:customStyle="1" w:styleId="105">
    <w:name w:val="副标题 Char3"/>
    <w:link w:val="43"/>
    <w:qFormat/>
    <w:uiPriority w:val="0"/>
    <w:rPr>
      <w:rFonts w:ascii="Cambria" w:hAnsi="Cambria"/>
      <w:b/>
      <w:bCs/>
      <w:kern w:val="28"/>
      <w:sz w:val="32"/>
      <w:szCs w:val="32"/>
    </w:rPr>
  </w:style>
  <w:style w:type="character" w:customStyle="1" w:styleId="106">
    <w:name w:val="脚注文本 Char2"/>
    <w:link w:val="46"/>
    <w:qFormat/>
    <w:uiPriority w:val="99"/>
    <w:rPr>
      <w:kern w:val="2"/>
      <w:sz w:val="18"/>
      <w:szCs w:val="18"/>
    </w:rPr>
  </w:style>
  <w:style w:type="character" w:customStyle="1" w:styleId="107">
    <w:name w:val="正文文本缩进 3 Char3"/>
    <w:link w:val="48"/>
    <w:qFormat/>
    <w:uiPriority w:val="99"/>
    <w:rPr>
      <w:kern w:val="2"/>
      <w:sz w:val="16"/>
      <w:szCs w:val="16"/>
    </w:rPr>
  </w:style>
  <w:style w:type="character" w:customStyle="1" w:styleId="108">
    <w:name w:val="正文文本 2 Char3"/>
    <w:link w:val="51"/>
    <w:qFormat/>
    <w:uiPriority w:val="0"/>
    <w:rPr>
      <w:szCs w:val="20"/>
    </w:rPr>
  </w:style>
  <w:style w:type="character" w:customStyle="1" w:styleId="109">
    <w:name w:val="HTML 预设格式 Char3"/>
    <w:link w:val="52"/>
    <w:qFormat/>
    <w:uiPriority w:val="0"/>
    <w:rPr>
      <w:rFonts w:ascii="微软雅黑" w:hAnsi="微软雅黑" w:eastAsia="微软雅黑"/>
      <w:sz w:val="24"/>
      <w:szCs w:val="24"/>
    </w:rPr>
  </w:style>
  <w:style w:type="character" w:customStyle="1" w:styleId="110">
    <w:name w:val="普通(网站) Char1"/>
    <w:link w:val="53"/>
    <w:qFormat/>
    <w:uiPriority w:val="99"/>
    <w:rPr>
      <w:rFonts w:ascii="宋体" w:hAnsi="宋体"/>
      <w:color w:val="000000"/>
      <w:sz w:val="24"/>
      <w:szCs w:val="24"/>
    </w:rPr>
  </w:style>
  <w:style w:type="character" w:customStyle="1" w:styleId="111">
    <w:name w:val="标题 Char3"/>
    <w:link w:val="55"/>
    <w:qFormat/>
    <w:uiPriority w:val="0"/>
    <w:rPr>
      <w:rFonts w:ascii="Cambria" w:hAnsi="Cambria"/>
      <w:b/>
      <w:bCs/>
      <w:sz w:val="32"/>
      <w:szCs w:val="32"/>
    </w:rPr>
  </w:style>
  <w:style w:type="character" w:customStyle="1" w:styleId="112">
    <w:name w:val="批注主题 Char3"/>
    <w:link w:val="56"/>
    <w:qFormat/>
    <w:uiPriority w:val="0"/>
    <w:rPr>
      <w:b/>
      <w:bCs/>
      <w:kern w:val="2"/>
      <w:sz w:val="21"/>
      <w:szCs w:val="24"/>
    </w:rPr>
  </w:style>
  <w:style w:type="character" w:customStyle="1" w:styleId="113">
    <w:name w:val="正文首行缩进 2 Char4"/>
    <w:link w:val="57"/>
    <w:qFormat/>
    <w:uiPriority w:val="0"/>
    <w:rPr>
      <w:rFonts w:ascii="宋体" w:hAnsi="宋体"/>
      <w:kern w:val="2"/>
      <w:sz w:val="24"/>
      <w:szCs w:val="24"/>
    </w:rPr>
  </w:style>
  <w:style w:type="character" w:customStyle="1" w:styleId="114">
    <w:name w:val="标题 Char"/>
    <w:qFormat/>
    <w:uiPriority w:val="0"/>
    <w:rPr>
      <w:rFonts w:ascii="宋体,Verdana,Arial" w:hAnsi="宋体,Verdana,Arial" w:eastAsia="Cambria"/>
      <w:b/>
      <w:bCs/>
      <w:sz w:val="32"/>
      <w:szCs w:val="32"/>
    </w:rPr>
  </w:style>
  <w:style w:type="character" w:customStyle="1" w:styleId="115">
    <w:name w:val="正文居中 Char Char"/>
    <w:qFormat/>
    <w:uiPriority w:val="0"/>
    <w:rPr>
      <w:kern w:val="2"/>
      <w:sz w:val="21"/>
      <w:szCs w:val="24"/>
    </w:rPr>
  </w:style>
  <w:style w:type="character" w:customStyle="1" w:styleId="116">
    <w:name w:val="样式1 Char"/>
    <w:link w:val="117"/>
    <w:qFormat/>
    <w:uiPriority w:val="0"/>
    <w:rPr>
      <w:rFonts w:ascii="宋体" w:hAnsi="宋体"/>
      <w:kern w:val="2"/>
      <w:sz w:val="21"/>
      <w:szCs w:val="21"/>
    </w:rPr>
  </w:style>
  <w:style w:type="paragraph" w:customStyle="1" w:styleId="117">
    <w:name w:val="样式1"/>
    <w:basedOn w:val="1"/>
    <w:next w:val="6"/>
    <w:link w:val="116"/>
    <w:qFormat/>
    <w:uiPriority w:val="0"/>
    <w:pPr>
      <w:spacing w:line="360" w:lineRule="auto"/>
      <w:ind w:firstLine="420" w:firstLineChars="200"/>
    </w:pPr>
    <w:rPr>
      <w:rFonts w:ascii="宋体" w:hAnsi="宋体"/>
      <w:szCs w:val="21"/>
    </w:rPr>
  </w:style>
  <w:style w:type="character" w:customStyle="1" w:styleId="118">
    <w:name w:val="font21"/>
    <w:qFormat/>
    <w:uiPriority w:val="0"/>
    <w:rPr>
      <w:rFonts w:hint="default" w:ascii="Times New Roman" w:hAnsi="Times New Roman" w:cs="Times New Roman"/>
      <w:color w:val="000000"/>
      <w:sz w:val="20"/>
      <w:szCs w:val="20"/>
      <w:u w:val="none"/>
    </w:rPr>
  </w:style>
  <w:style w:type="character" w:customStyle="1" w:styleId="119">
    <w:name w:val="正文首行缩进 2 Char3"/>
    <w:semiHidden/>
    <w:qFormat/>
    <w:uiPriority w:val="99"/>
  </w:style>
  <w:style w:type="character" w:customStyle="1" w:styleId="120">
    <w:name w:val="正文文本缩进 Char1"/>
    <w:semiHidden/>
    <w:qFormat/>
    <w:uiPriority w:val="99"/>
    <w:rPr>
      <w:kern w:val="2"/>
      <w:sz w:val="21"/>
      <w:szCs w:val="24"/>
    </w:rPr>
  </w:style>
  <w:style w:type="character" w:customStyle="1" w:styleId="121">
    <w:name w:val="正文缩进 字符"/>
    <w:qFormat/>
    <w:uiPriority w:val="0"/>
    <w:rPr>
      <w:rFonts w:eastAsia="宋体"/>
      <w:sz w:val="21"/>
      <w:lang w:val="en-US" w:eastAsia="zh-CN" w:bidi="ar-SA"/>
    </w:rPr>
  </w:style>
  <w:style w:type="character" w:customStyle="1" w:styleId="122">
    <w:name w:val="Char Char Char Char Char Char Char Char Char"/>
    <w:qFormat/>
    <w:uiPriority w:val="0"/>
    <w:rPr>
      <w:rFonts w:ascii="宋体" w:hAnsi="Courier New" w:eastAsia="宋体"/>
      <w:b/>
      <w:sz w:val="21"/>
      <w:szCs w:val="21"/>
      <w:lang w:val="en-US" w:eastAsia="zh-CN" w:bidi="ar-SA"/>
    </w:rPr>
  </w:style>
  <w:style w:type="character" w:customStyle="1" w:styleId="123">
    <w:name w:val="pages"/>
    <w:qFormat/>
    <w:uiPriority w:val="0"/>
    <w:rPr>
      <w:color w:val="999999"/>
      <w:szCs w:val="20"/>
    </w:rPr>
  </w:style>
  <w:style w:type="character" w:customStyle="1" w:styleId="124">
    <w:name w:val="update"/>
    <w:qFormat/>
    <w:uiPriority w:val="0"/>
    <w:rPr>
      <w:szCs w:val="20"/>
    </w:rPr>
  </w:style>
  <w:style w:type="character" w:customStyle="1" w:styleId="125">
    <w:name w:val="Char Char19"/>
    <w:qFormat/>
    <w:uiPriority w:val="0"/>
    <w:rPr>
      <w:rFonts w:ascii="Cambria" w:hAnsi="Cambria" w:eastAsia="仿宋_GB2312"/>
      <w:b/>
      <w:bCs/>
      <w:kern w:val="2"/>
      <w:sz w:val="32"/>
      <w:szCs w:val="32"/>
    </w:rPr>
  </w:style>
  <w:style w:type="character" w:customStyle="1" w:styleId="126">
    <w:name w:val="批注文字 字符"/>
    <w:qFormat/>
    <w:uiPriority w:val="0"/>
    <w:rPr>
      <w:rFonts w:eastAsia="宋体"/>
      <w:kern w:val="2"/>
      <w:sz w:val="36"/>
      <w:szCs w:val="24"/>
      <w:lang w:val="en-US" w:eastAsia="zh-CN" w:bidi="ar-SA"/>
    </w:rPr>
  </w:style>
  <w:style w:type="character" w:customStyle="1" w:styleId="127">
    <w:name w:val="Footer-Even Char"/>
    <w:qFormat/>
    <w:uiPriority w:val="0"/>
    <w:rPr>
      <w:rFonts w:ascii="仿宋_GB2312" w:eastAsia="仿宋_GB2312"/>
      <w:b/>
      <w:sz w:val="18"/>
      <w:szCs w:val="18"/>
    </w:rPr>
  </w:style>
  <w:style w:type="character" w:customStyle="1" w:styleId="128">
    <w:name w:val="fr"/>
    <w:qFormat/>
    <w:uiPriority w:val="0"/>
    <w:rPr>
      <w:szCs w:val="20"/>
    </w:rPr>
  </w:style>
  <w:style w:type="character" w:customStyle="1" w:styleId="129">
    <w:name w:val="style21"/>
    <w:qFormat/>
    <w:uiPriority w:val="0"/>
    <w:rPr>
      <w:rFonts w:ascii="仿宋_GB2312" w:eastAsia="仿宋_GB2312"/>
      <w:b/>
      <w:sz w:val="15"/>
      <w:szCs w:val="15"/>
    </w:rPr>
  </w:style>
  <w:style w:type="character" w:customStyle="1" w:styleId="130">
    <w:name w:val="正文2 Char"/>
    <w:link w:val="131"/>
    <w:qFormat/>
    <w:uiPriority w:val="0"/>
    <w:rPr>
      <w:sz w:val="24"/>
    </w:rPr>
  </w:style>
  <w:style w:type="paragraph" w:customStyle="1" w:styleId="131">
    <w:name w:val="正文2"/>
    <w:basedOn w:val="1"/>
    <w:link w:val="130"/>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2">
    <w:name w:val="doc1"/>
    <w:qFormat/>
    <w:uiPriority w:val="0"/>
    <w:rPr>
      <w:szCs w:val="20"/>
    </w:rPr>
  </w:style>
  <w:style w:type="character" w:customStyle="1" w:styleId="133">
    <w:name w:val="heading 5 Char2"/>
    <w:qFormat/>
    <w:uiPriority w:val="0"/>
    <w:rPr>
      <w:rFonts w:ascii="仿宋_GB2312" w:eastAsia="仿宋_GB2312"/>
      <w:b/>
      <w:bCs/>
      <w:kern w:val="2"/>
      <w:sz w:val="28"/>
      <w:szCs w:val="28"/>
    </w:rPr>
  </w:style>
  <w:style w:type="character" w:customStyle="1" w:styleId="134">
    <w:name w:val="标题 4 Char1"/>
    <w:qFormat/>
    <w:uiPriority w:val="0"/>
    <w:rPr>
      <w:rFonts w:ascii="Cambria" w:hAnsi="Cambria"/>
      <w:b/>
      <w:bCs/>
      <w:kern w:val="2"/>
      <w:sz w:val="28"/>
      <w:szCs w:val="28"/>
    </w:rPr>
  </w:style>
  <w:style w:type="character" w:customStyle="1" w:styleId="135">
    <w:name w:val="pt141"/>
    <w:qFormat/>
    <w:uiPriority w:val="0"/>
    <w:rPr>
      <w:rFonts w:ascii="仿宋_GB2312" w:eastAsia="仿宋_GB2312"/>
      <w:b/>
      <w:color w:val="330066"/>
      <w:spacing w:val="450"/>
      <w:sz w:val="22"/>
      <w:szCs w:val="22"/>
    </w:rPr>
  </w:style>
  <w:style w:type="character" w:customStyle="1" w:styleId="136">
    <w:name w:val="authcode"/>
    <w:qFormat/>
    <w:uiPriority w:val="0"/>
    <w:rPr>
      <w:szCs w:val="20"/>
    </w:rPr>
  </w:style>
  <w:style w:type="character" w:customStyle="1" w:styleId="137">
    <w:name w:val="样式2 Char"/>
    <w:qFormat/>
    <w:uiPriority w:val="0"/>
    <w:rPr>
      <w:rFonts w:ascii="Arial" w:hAnsi="Arial" w:eastAsia="黑体"/>
      <w:b/>
      <w:bCs/>
      <w:sz w:val="36"/>
      <w:szCs w:val="32"/>
    </w:rPr>
  </w:style>
  <w:style w:type="character" w:customStyle="1" w:styleId="138">
    <w:name w:val="题注 Char"/>
    <w:qFormat/>
    <w:uiPriority w:val="0"/>
    <w:rPr>
      <w:rFonts w:ascii="Arial" w:hAnsi="Arial" w:eastAsia="黑体" w:cs="Arial"/>
    </w:rPr>
  </w:style>
  <w:style w:type="character" w:customStyle="1" w:styleId="139">
    <w:name w:val="heading 4 Char1"/>
    <w:qFormat/>
    <w:uiPriority w:val="0"/>
    <w:rPr>
      <w:rFonts w:ascii="Cambria" w:hAnsi="Cambria" w:eastAsia="宋体"/>
      <w:b/>
      <w:bCs/>
      <w:kern w:val="2"/>
      <w:sz w:val="28"/>
      <w:szCs w:val="28"/>
      <w:lang w:val="en-US" w:eastAsia="zh-CN" w:bidi="ar-SA"/>
    </w:rPr>
  </w:style>
  <w:style w:type="character" w:customStyle="1" w:styleId="140">
    <w:name w:val="Heading 2 Hidden Char1 Char"/>
    <w:qFormat/>
    <w:uiPriority w:val="0"/>
    <w:rPr>
      <w:rFonts w:ascii="宋体" w:hAnsi="Times New Roman" w:eastAsia="宋体" w:cs="Times New Roman"/>
      <w:kern w:val="0"/>
      <w:sz w:val="24"/>
      <w:szCs w:val="24"/>
    </w:rPr>
  </w:style>
  <w:style w:type="character" w:customStyle="1" w:styleId="141">
    <w:name w:val="编号正文缩进 Char Char"/>
    <w:qFormat/>
    <w:uiPriority w:val="0"/>
    <w:rPr>
      <w:sz w:val="24"/>
    </w:rPr>
  </w:style>
  <w:style w:type="character" w:customStyle="1" w:styleId="142">
    <w:name w:val="heading 5 Char1"/>
    <w:qFormat/>
    <w:uiPriority w:val="0"/>
    <w:rPr>
      <w:rFonts w:ascii="仿宋_GB2312" w:eastAsia="宋体"/>
      <w:b/>
      <w:bCs/>
      <w:kern w:val="2"/>
      <w:sz w:val="28"/>
      <w:szCs w:val="28"/>
      <w:lang w:val="en-US" w:eastAsia="zh-CN" w:bidi="ar-SA"/>
    </w:rPr>
  </w:style>
  <w:style w:type="character" w:customStyle="1" w:styleId="143">
    <w:name w:val="正文文本 Char Char"/>
    <w:qFormat/>
    <w:uiPriority w:val="0"/>
    <w:rPr>
      <w:rFonts w:ascii="Times New Roman" w:hAnsi="Times New Roman"/>
      <w:kern w:val="2"/>
      <w:sz w:val="21"/>
      <w:szCs w:val="24"/>
    </w:rPr>
  </w:style>
  <w:style w:type="character" w:customStyle="1" w:styleId="144">
    <w:name w:val="Char Char20"/>
    <w:qFormat/>
    <w:uiPriority w:val="0"/>
    <w:rPr>
      <w:rFonts w:ascii="仿宋_GB2312" w:eastAsia="仿宋_GB2312"/>
      <w:b/>
      <w:bCs/>
      <w:kern w:val="44"/>
      <w:sz w:val="44"/>
      <w:szCs w:val="44"/>
    </w:rPr>
  </w:style>
  <w:style w:type="character" w:customStyle="1" w:styleId="145">
    <w:name w:val="段落 Char"/>
    <w:link w:val="146"/>
    <w:qFormat/>
    <w:uiPriority w:val="0"/>
    <w:rPr>
      <w:kern w:val="2"/>
    </w:rPr>
  </w:style>
  <w:style w:type="paragraph" w:customStyle="1" w:styleId="146">
    <w:name w:val="段落"/>
    <w:basedOn w:val="1"/>
    <w:link w:val="145"/>
    <w:qFormat/>
    <w:uiPriority w:val="0"/>
    <w:pPr>
      <w:spacing w:line="360" w:lineRule="auto"/>
      <w:ind w:firstLine="200" w:firstLineChars="200"/>
    </w:pPr>
    <w:rPr>
      <w:sz w:val="20"/>
      <w:szCs w:val="20"/>
    </w:rPr>
  </w:style>
  <w:style w:type="character" w:customStyle="1" w:styleId="147">
    <w:name w:val="批注主题 Char"/>
    <w:qFormat/>
    <w:uiPriority w:val="99"/>
    <w:rPr>
      <w:rFonts w:eastAsia="宋体"/>
      <w:b/>
      <w:bCs/>
      <w:kern w:val="2"/>
      <w:sz w:val="21"/>
      <w:szCs w:val="24"/>
      <w:lang w:val="en-US" w:eastAsia="zh-CN" w:bidi="ar-SA"/>
    </w:rPr>
  </w:style>
  <w:style w:type="character" w:customStyle="1" w:styleId="148">
    <w:name w:val="正文文本 3 Char"/>
    <w:qFormat/>
    <w:uiPriority w:val="0"/>
  </w:style>
  <w:style w:type="character" w:customStyle="1" w:styleId="149">
    <w:name w:val="样式 样式 正文首行缩进 + 首行缩进:  2 字符 + 首行缩进:  2 字符 Char"/>
    <w:link w:val="150"/>
    <w:qFormat/>
    <w:uiPriority w:val="0"/>
    <w:rPr>
      <w:rFonts w:cs="宋体"/>
      <w:kern w:val="2"/>
      <w:sz w:val="24"/>
    </w:rPr>
  </w:style>
  <w:style w:type="paragraph" w:customStyle="1" w:styleId="150">
    <w:name w:val="样式 样式 正文首行缩进 + 首行缩进:  2 字符 + 首行缩进:  2 字符"/>
    <w:basedOn w:val="1"/>
    <w:link w:val="149"/>
    <w:qFormat/>
    <w:uiPriority w:val="0"/>
    <w:pPr>
      <w:spacing w:line="440" w:lineRule="exact"/>
      <w:ind w:firstLine="200" w:firstLineChars="200"/>
    </w:pPr>
    <w:rPr>
      <w:sz w:val="24"/>
      <w:szCs w:val="20"/>
    </w:rPr>
  </w:style>
  <w:style w:type="character" w:customStyle="1" w:styleId="151">
    <w:name w:val="页脚 Char"/>
    <w:qFormat/>
    <w:uiPriority w:val="99"/>
    <w:rPr>
      <w:rFonts w:eastAsia="仿宋_GB2312"/>
      <w:kern w:val="2"/>
      <w:sz w:val="18"/>
      <w:szCs w:val="18"/>
      <w:lang w:val="en-US" w:eastAsia="zh-CN" w:bidi="ar-SA"/>
    </w:rPr>
  </w:style>
  <w:style w:type="character" w:customStyle="1" w:styleId="152">
    <w:name w:val="标题 Char1"/>
    <w:qFormat/>
    <w:uiPriority w:val="0"/>
    <w:rPr>
      <w:rFonts w:ascii="Cambria" w:hAnsi="Cambria" w:cs="Times New Roman"/>
      <w:b/>
      <w:bCs/>
      <w:kern w:val="2"/>
      <w:sz w:val="32"/>
      <w:szCs w:val="32"/>
    </w:rPr>
  </w:style>
  <w:style w:type="character" w:customStyle="1" w:styleId="153">
    <w:name w:val="Char Char18"/>
    <w:qFormat/>
    <w:uiPriority w:val="0"/>
    <w:rPr>
      <w:rFonts w:ascii="仿宋_GB2312" w:eastAsia="仿宋_GB2312"/>
      <w:b/>
      <w:bCs/>
      <w:kern w:val="2"/>
      <w:sz w:val="32"/>
      <w:szCs w:val="32"/>
    </w:rPr>
  </w:style>
  <w:style w:type="character" w:customStyle="1" w:styleId="154">
    <w:name w:val="表格 Char"/>
    <w:qFormat/>
    <w:uiPriority w:val="0"/>
    <w:rPr>
      <w:rFonts w:ascii="Calibri" w:hAnsi="Calibri" w:cs="黑体"/>
      <w:kern w:val="2"/>
      <w:sz w:val="21"/>
      <w:szCs w:val="21"/>
    </w:rPr>
  </w:style>
  <w:style w:type="character" w:customStyle="1" w:styleId="155">
    <w:name w:val="样式 宋体1"/>
    <w:qFormat/>
    <w:uiPriority w:val="0"/>
    <w:rPr>
      <w:rFonts w:ascii="宋体" w:hAnsi="宋体" w:eastAsia="宋体"/>
      <w:sz w:val="24"/>
    </w:rPr>
  </w:style>
  <w:style w:type="character" w:customStyle="1" w:styleId="156">
    <w:name w:val="引用 Char1"/>
    <w:qFormat/>
    <w:uiPriority w:val="99"/>
    <w:rPr>
      <w:rFonts w:ascii="Tahoma" w:hAnsi="Tahoma"/>
      <w:i/>
      <w:iCs/>
      <w:color w:val="000000"/>
      <w:kern w:val="2"/>
      <w:sz w:val="21"/>
      <w:szCs w:val="24"/>
    </w:rPr>
  </w:style>
  <w:style w:type="character" w:customStyle="1" w:styleId="157">
    <w:name w:val="正文缩进 Char1"/>
    <w:qFormat/>
    <w:uiPriority w:val="0"/>
    <w:rPr>
      <w:sz w:val="21"/>
    </w:rPr>
  </w:style>
  <w:style w:type="character" w:customStyle="1" w:styleId="158">
    <w:name w:val="普通(网站) Char"/>
    <w:qFormat/>
    <w:uiPriority w:val="99"/>
    <w:rPr>
      <w:rFonts w:ascii="宋体" w:hAnsi="宋体"/>
      <w:color w:val="000000"/>
      <w:sz w:val="24"/>
      <w:szCs w:val="24"/>
    </w:rPr>
  </w:style>
  <w:style w:type="character" w:customStyle="1" w:styleId="159">
    <w:name w:val="Char Char17"/>
    <w:qFormat/>
    <w:uiPriority w:val="0"/>
    <w:rPr>
      <w:rFonts w:ascii="Cambria" w:hAnsi="Cambria" w:eastAsia="仿宋_GB2312"/>
      <w:b/>
      <w:bCs/>
      <w:kern w:val="2"/>
      <w:sz w:val="28"/>
      <w:szCs w:val="28"/>
    </w:rPr>
  </w:style>
  <w:style w:type="character" w:customStyle="1" w:styleId="160">
    <w:name w:val="文档结构图 Char"/>
    <w:qFormat/>
    <w:uiPriority w:val="99"/>
    <w:rPr>
      <w:rFonts w:eastAsia="宋体"/>
      <w:kern w:val="2"/>
      <w:sz w:val="21"/>
      <w:szCs w:val="24"/>
      <w:lang w:val="en-US" w:eastAsia="zh-CN" w:bidi="ar-SA"/>
    </w:rPr>
  </w:style>
  <w:style w:type="character" w:customStyle="1" w:styleId="161">
    <w:name w:val="表格标题 Char Char"/>
    <w:qFormat/>
    <w:uiPriority w:val="0"/>
    <w:rPr>
      <w:rFonts w:ascii="黑体" w:hAnsi="黑体" w:eastAsia="黑体"/>
      <w:b/>
      <w:color w:val="FFFFFF"/>
      <w:kern w:val="2"/>
      <w:sz w:val="21"/>
      <w:szCs w:val="24"/>
    </w:rPr>
  </w:style>
  <w:style w:type="character" w:customStyle="1" w:styleId="162">
    <w:name w:val="heading 6 Char1"/>
    <w:qFormat/>
    <w:uiPriority w:val="0"/>
    <w:rPr>
      <w:rFonts w:ascii="Arial" w:hAnsi="Arial" w:eastAsia="黑体"/>
      <w:b/>
      <w:kern w:val="2"/>
      <w:sz w:val="24"/>
      <w:szCs w:val="24"/>
      <w:lang w:val="en-US" w:eastAsia="zh-CN" w:bidi="ar-SA"/>
    </w:rPr>
  </w:style>
  <w:style w:type="character" w:customStyle="1" w:styleId="163">
    <w:name w:val="样式2 Char Char"/>
    <w:link w:val="164"/>
    <w:qFormat/>
    <w:uiPriority w:val="0"/>
    <w:rPr>
      <w:rFonts w:ascii="宋体" w:hAnsi="宋体"/>
      <w:b/>
      <w:bCs/>
      <w:kern w:val="2"/>
      <w:sz w:val="28"/>
      <w:szCs w:val="28"/>
    </w:rPr>
  </w:style>
  <w:style w:type="paragraph" w:customStyle="1" w:styleId="164">
    <w:name w:val="样式2"/>
    <w:basedOn w:val="4"/>
    <w:link w:val="163"/>
    <w:qFormat/>
    <w:uiPriority w:val="0"/>
    <w:pPr>
      <w:snapToGrid w:val="0"/>
      <w:spacing w:afterLines="50" w:line="480" w:lineRule="exact"/>
      <w:ind w:firstLine="556"/>
    </w:pPr>
    <w:rPr>
      <w:rFonts w:ascii="宋体" w:hAnsi="宋体" w:eastAsia="宋体"/>
      <w:sz w:val="28"/>
      <w:szCs w:val="28"/>
    </w:rPr>
  </w:style>
  <w:style w:type="character" w:customStyle="1" w:styleId="165">
    <w:name w:val="3级 Char"/>
    <w:link w:val="166"/>
    <w:qFormat/>
    <w:uiPriority w:val="0"/>
    <w:rPr>
      <w:rFonts w:ascii="Calibri" w:hAnsi="Calibri"/>
      <w:b/>
      <w:bCs/>
      <w:sz w:val="28"/>
      <w:szCs w:val="32"/>
    </w:rPr>
  </w:style>
  <w:style w:type="paragraph" w:customStyle="1" w:styleId="166">
    <w:name w:val="3级"/>
    <w:basedOn w:val="5"/>
    <w:next w:val="24"/>
    <w:link w:val="165"/>
    <w:qFormat/>
    <w:uiPriority w:val="0"/>
    <w:pPr>
      <w:spacing w:line="416" w:lineRule="auto"/>
      <w:ind w:right="100" w:rightChars="100"/>
    </w:pPr>
    <w:rPr>
      <w:rFonts w:ascii="Calibri" w:hAnsi="Calibri"/>
      <w:kern w:val="0"/>
      <w:sz w:val="28"/>
    </w:rPr>
  </w:style>
  <w:style w:type="character" w:customStyle="1" w:styleId="167">
    <w:name w:val="正文文本缩进 3 Char"/>
    <w:qFormat/>
    <w:uiPriority w:val="99"/>
    <w:rPr>
      <w:kern w:val="2"/>
      <w:sz w:val="16"/>
      <w:szCs w:val="16"/>
    </w:rPr>
  </w:style>
  <w:style w:type="character" w:customStyle="1" w:styleId="168">
    <w:name w:val="标题 6 字符"/>
    <w:qFormat/>
    <w:uiPriority w:val="0"/>
    <w:rPr>
      <w:rFonts w:ascii="黑体" w:hAnsi="黑体" w:eastAsia="黑体" w:cs="黑体"/>
      <w:b/>
      <w:bCs/>
      <w:kern w:val="2"/>
      <w:sz w:val="24"/>
      <w:szCs w:val="28"/>
    </w:rPr>
  </w:style>
  <w:style w:type="character" w:customStyle="1" w:styleId="169">
    <w:name w:val="Plain Text Char"/>
    <w:qFormat/>
    <w:uiPriority w:val="0"/>
    <w:rPr>
      <w:rFonts w:ascii="宋体" w:hAnsi="Courier New" w:eastAsia="宋体" w:cs="Times New Roman"/>
      <w:sz w:val="21"/>
      <w:szCs w:val="21"/>
    </w:rPr>
  </w:style>
  <w:style w:type="character" w:customStyle="1" w:styleId="170">
    <w:name w:val="日期 Char2"/>
    <w:semiHidden/>
    <w:qFormat/>
    <w:uiPriority w:val="99"/>
    <w:rPr>
      <w:kern w:val="2"/>
      <w:sz w:val="21"/>
      <w:szCs w:val="24"/>
    </w:rPr>
  </w:style>
  <w:style w:type="character" w:customStyle="1" w:styleId="171">
    <w:name w:val="box-header-con"/>
    <w:qFormat/>
    <w:uiPriority w:val="0"/>
  </w:style>
  <w:style w:type="character" w:customStyle="1" w:styleId="172">
    <w:name w:val="批注文字 Char1"/>
    <w:qFormat/>
    <w:uiPriority w:val="0"/>
    <w:rPr>
      <w:kern w:val="2"/>
      <w:sz w:val="21"/>
      <w:szCs w:val="24"/>
    </w:rPr>
  </w:style>
  <w:style w:type="character" w:customStyle="1" w:styleId="173">
    <w:name w:val="Char Char6"/>
    <w:qFormat/>
    <w:uiPriority w:val="0"/>
    <w:rPr>
      <w:rFonts w:ascii="Times New Roman" w:hAnsi="Times New Roman" w:eastAsia="宋体" w:cs="Times New Roman"/>
      <w:szCs w:val="24"/>
    </w:rPr>
  </w:style>
  <w:style w:type="character" w:customStyle="1" w:styleId="174">
    <w:name w:val="样式 样式 四号 首行缩进:  0.74 厘米 行距: 1.5 倍行距 + 宋体 四号 行距: 1.5 倍行距 Char"/>
    <w:link w:val="175"/>
    <w:qFormat/>
    <w:uiPriority w:val="0"/>
    <w:rPr>
      <w:rFonts w:ascii="宋体" w:hAnsi="宋体" w:cs="宋体"/>
      <w:kern w:val="2"/>
      <w:sz w:val="28"/>
    </w:rPr>
  </w:style>
  <w:style w:type="paragraph" w:customStyle="1" w:styleId="175">
    <w:name w:val="样式 样式 四号 首行缩进:  0.74 厘米 行距: 1.5 倍行距 + 宋体 四号 行距: 1.5 倍行距"/>
    <w:basedOn w:val="1"/>
    <w:link w:val="174"/>
    <w:qFormat/>
    <w:uiPriority w:val="0"/>
    <w:pPr>
      <w:spacing w:line="360" w:lineRule="auto"/>
      <w:ind w:firstLine="560" w:firstLineChars="200"/>
    </w:pPr>
    <w:rPr>
      <w:rFonts w:ascii="宋体" w:hAnsi="宋体"/>
      <w:sz w:val="28"/>
      <w:szCs w:val="20"/>
    </w:rPr>
  </w:style>
  <w:style w:type="character" w:customStyle="1" w:styleId="176">
    <w:name w:val="日期 Char1"/>
    <w:qFormat/>
    <w:uiPriority w:val="0"/>
    <w:rPr>
      <w:rFonts w:ascii="Calibri" w:hAnsi="Calibri" w:cs="黑体"/>
      <w:kern w:val="2"/>
      <w:sz w:val="24"/>
      <w:szCs w:val="22"/>
    </w:rPr>
  </w:style>
  <w:style w:type="character" w:customStyle="1" w:styleId="177">
    <w:name w:val="dandyren_title1"/>
    <w:qFormat/>
    <w:uiPriority w:val="0"/>
    <w:rPr>
      <w:rFonts w:ascii="仿宋_GB2312" w:eastAsia="仿宋_GB2312"/>
      <w:b/>
      <w:bCs/>
      <w:color w:val="FF6633"/>
      <w:sz w:val="18"/>
      <w:szCs w:val="18"/>
    </w:rPr>
  </w:style>
  <w:style w:type="character" w:customStyle="1" w:styleId="178">
    <w:name w:val="普通文字1 Char"/>
    <w:qFormat/>
    <w:uiPriority w:val="0"/>
    <w:rPr>
      <w:rFonts w:ascii="宋体" w:hAnsi="Courier New" w:eastAsia="宋体" w:cs="Courier New"/>
      <w:kern w:val="2"/>
      <w:sz w:val="21"/>
      <w:szCs w:val="21"/>
      <w:lang w:val="en-US" w:eastAsia="zh-CN" w:bidi="ar-SA"/>
    </w:rPr>
  </w:style>
  <w:style w:type="character" w:customStyle="1" w:styleId="179">
    <w:name w:val="param_td1"/>
    <w:qFormat/>
    <w:uiPriority w:val="0"/>
    <w:rPr>
      <w:rFonts w:ascii="仿宋_GB2312" w:hAnsi="Tahoma" w:eastAsia="仿宋_GB2312"/>
      <w:b/>
      <w:sz w:val="32"/>
      <w:szCs w:val="32"/>
    </w:rPr>
  </w:style>
  <w:style w:type="character" w:customStyle="1" w:styleId="180">
    <w:name w:val="样式4 Char"/>
    <w:link w:val="181"/>
    <w:qFormat/>
    <w:uiPriority w:val="0"/>
    <w:rPr>
      <w:rFonts w:ascii="Arial" w:hAnsi="Arial" w:eastAsia="黑体"/>
      <w:b/>
      <w:bCs/>
      <w:kern w:val="2"/>
      <w:sz w:val="24"/>
      <w:szCs w:val="28"/>
    </w:rPr>
  </w:style>
  <w:style w:type="paragraph" w:customStyle="1" w:styleId="181">
    <w:name w:val="样式4"/>
    <w:basedOn w:val="182"/>
    <w:next w:val="1"/>
    <w:link w:val="180"/>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2">
    <w:name w:val="4级"/>
    <w:basedOn w:val="6"/>
    <w:next w:val="57"/>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3">
    <w:name w:val="heading 1 Char1"/>
    <w:qFormat/>
    <w:uiPriority w:val="0"/>
    <w:rPr>
      <w:rFonts w:ascii="仿宋_GB2312" w:eastAsia="宋体"/>
      <w:b/>
      <w:bCs/>
      <w:kern w:val="44"/>
      <w:sz w:val="44"/>
      <w:szCs w:val="44"/>
      <w:lang w:val="en-US" w:eastAsia="zh-CN" w:bidi="ar-SA"/>
    </w:rPr>
  </w:style>
  <w:style w:type="character" w:customStyle="1" w:styleId="184">
    <w:name w:val="正文文本缩进 3 Char1"/>
    <w:qFormat/>
    <w:uiPriority w:val="0"/>
    <w:rPr>
      <w:rFonts w:ascii="Calibri" w:hAnsi="Calibri" w:cs="黑体"/>
      <w:kern w:val="2"/>
      <w:sz w:val="16"/>
      <w:szCs w:val="16"/>
    </w:rPr>
  </w:style>
  <w:style w:type="character" w:customStyle="1" w:styleId="185">
    <w:name w:val="宏文本 Char"/>
    <w:qFormat/>
    <w:uiPriority w:val="0"/>
    <w:rPr>
      <w:rFonts w:ascii="Courier New" w:hAnsi="Courier New"/>
      <w:kern w:val="2"/>
      <w:sz w:val="24"/>
      <w:szCs w:val="24"/>
    </w:rPr>
  </w:style>
  <w:style w:type="character" w:customStyle="1" w:styleId="186">
    <w:name w:val="*正文 Char"/>
    <w:link w:val="187"/>
    <w:qFormat/>
    <w:uiPriority w:val="0"/>
    <w:rPr>
      <w:rFonts w:ascii="仿宋_GB2312" w:eastAsia="仿宋_GB2312"/>
      <w:kern w:val="2"/>
      <w:sz w:val="24"/>
      <w:szCs w:val="28"/>
      <w:lang w:val="zh-CN"/>
    </w:rPr>
  </w:style>
  <w:style w:type="paragraph" w:customStyle="1" w:styleId="187">
    <w:name w:val="*正文"/>
    <w:basedOn w:val="1"/>
    <w:link w:val="186"/>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88">
    <w:name w:val="栏目标题 Char Char"/>
    <w:qFormat/>
    <w:uiPriority w:val="0"/>
    <w:rPr>
      <w:rFonts w:ascii="黑体" w:hAnsi="黑体" w:eastAsia="黑体"/>
      <w:b/>
      <w:kern w:val="2"/>
      <w:sz w:val="21"/>
      <w:szCs w:val="24"/>
    </w:rPr>
  </w:style>
  <w:style w:type="character" w:customStyle="1" w:styleId="189">
    <w:name w:val="批注框文本 Char2"/>
    <w:semiHidden/>
    <w:qFormat/>
    <w:uiPriority w:val="99"/>
    <w:rPr>
      <w:kern w:val="2"/>
      <w:sz w:val="18"/>
      <w:szCs w:val="18"/>
    </w:rPr>
  </w:style>
  <w:style w:type="character" w:customStyle="1" w:styleId="190">
    <w:name w:val="heading 5 Char"/>
    <w:qFormat/>
    <w:uiPriority w:val="0"/>
    <w:rPr>
      <w:rFonts w:ascii="Arial" w:hAnsi="Arial" w:eastAsia="黑体"/>
      <w:b/>
      <w:sz w:val="21"/>
      <w:szCs w:val="21"/>
    </w:rPr>
  </w:style>
  <w:style w:type="character" w:customStyle="1" w:styleId="191">
    <w:name w:val="符号正文缩进 Char Char"/>
    <w:qFormat/>
    <w:uiPriority w:val="0"/>
    <w:rPr>
      <w:sz w:val="24"/>
    </w:rPr>
  </w:style>
  <w:style w:type="character" w:customStyle="1" w:styleId="192">
    <w:name w:val="引用 Char"/>
    <w:link w:val="193"/>
    <w:qFormat/>
    <w:uiPriority w:val="29"/>
    <w:rPr>
      <w:rFonts w:ascii="Calibri" w:hAnsi="Calibri"/>
      <w:b/>
      <w:i/>
      <w:iCs/>
      <w:color w:val="000000"/>
      <w:sz w:val="32"/>
      <w:szCs w:val="32"/>
    </w:rPr>
  </w:style>
  <w:style w:type="paragraph" w:customStyle="1" w:styleId="193">
    <w:name w:val="引用1"/>
    <w:basedOn w:val="1"/>
    <w:next w:val="1"/>
    <w:link w:val="192"/>
    <w:qFormat/>
    <w:uiPriority w:val="29"/>
    <w:rPr>
      <w:rFonts w:ascii="Calibri" w:hAnsi="Calibri"/>
      <w:b/>
      <w:i/>
      <w:iCs/>
      <w:color w:val="000000"/>
      <w:kern w:val="0"/>
      <w:sz w:val="32"/>
      <w:szCs w:val="32"/>
    </w:rPr>
  </w:style>
  <w:style w:type="character" w:customStyle="1" w:styleId="194">
    <w:name w:val="Char Char61"/>
    <w:qFormat/>
    <w:uiPriority w:val="0"/>
    <w:rPr>
      <w:rFonts w:ascii="Times New Roman" w:hAnsi="Times New Roman" w:eastAsia="宋体" w:cs="Times New Roman"/>
      <w:szCs w:val="24"/>
    </w:rPr>
  </w:style>
  <w:style w:type="character" w:customStyle="1" w:styleId="195">
    <w:name w:val="正文首行缩进 2 Char1"/>
    <w:qFormat/>
    <w:uiPriority w:val="0"/>
  </w:style>
  <w:style w:type="character" w:customStyle="1" w:styleId="196">
    <w:name w:val="font01"/>
    <w:qFormat/>
    <w:uiPriority w:val="0"/>
    <w:rPr>
      <w:rFonts w:hint="eastAsia" w:ascii="宋体" w:hAnsi="宋体" w:eastAsia="宋体" w:cs="宋体"/>
      <w:color w:val="000000"/>
      <w:sz w:val="22"/>
      <w:szCs w:val="22"/>
      <w:u w:val="none"/>
    </w:rPr>
  </w:style>
  <w:style w:type="character" w:customStyle="1" w:styleId="197">
    <w:name w:val="正文首行缩进 2 Char2"/>
    <w:qFormat/>
    <w:uiPriority w:val="0"/>
    <w:rPr>
      <w:rFonts w:ascii="Calibri" w:hAnsi="Calibri" w:cs="黑体"/>
      <w:kern w:val="2"/>
      <w:sz w:val="21"/>
      <w:szCs w:val="24"/>
    </w:rPr>
  </w:style>
  <w:style w:type="character" w:customStyle="1" w:styleId="198">
    <w:name w:val="样式 正文文本 Char Char Char"/>
    <w:qFormat/>
    <w:uiPriority w:val="0"/>
    <w:rPr>
      <w:rFonts w:ascii="Arial" w:hAnsi="Arial" w:eastAsia="宋体"/>
      <w:color w:val="000000"/>
      <w:kern w:val="2"/>
      <w:sz w:val="21"/>
      <w:lang w:val="en-US" w:eastAsia="zh-CN" w:bidi="ar-SA"/>
    </w:rPr>
  </w:style>
  <w:style w:type="character" w:customStyle="1" w:styleId="199">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0">
    <w:name w:val="HTML 预设格式 Char"/>
    <w:qFormat/>
    <w:uiPriority w:val="0"/>
    <w:rPr>
      <w:rFonts w:ascii="微软雅黑" w:hAnsi="微软雅黑" w:eastAsia="微软雅黑"/>
      <w:sz w:val="24"/>
      <w:szCs w:val="24"/>
    </w:rPr>
  </w:style>
  <w:style w:type="character" w:customStyle="1" w:styleId="201">
    <w:name w:val="投标正文 Char"/>
    <w:link w:val="202"/>
    <w:qFormat/>
    <w:uiPriority w:val="0"/>
    <w:rPr>
      <w:rFonts w:ascii="Calibri" w:hAnsi="Calibri"/>
      <w:sz w:val="24"/>
      <w:szCs w:val="24"/>
    </w:rPr>
  </w:style>
  <w:style w:type="paragraph" w:customStyle="1" w:styleId="202">
    <w:name w:val="投标正文"/>
    <w:basedOn w:val="1"/>
    <w:link w:val="201"/>
    <w:qFormat/>
    <w:uiPriority w:val="0"/>
    <w:pPr>
      <w:spacing w:line="360" w:lineRule="auto"/>
      <w:ind w:left="100" w:firstLine="480" w:firstLineChars="200"/>
    </w:pPr>
    <w:rPr>
      <w:rFonts w:ascii="Calibri" w:hAnsi="Calibri"/>
      <w:kern w:val="0"/>
      <w:sz w:val="24"/>
    </w:rPr>
  </w:style>
  <w:style w:type="character" w:customStyle="1" w:styleId="203">
    <w:name w:val="hover15"/>
    <w:qFormat/>
    <w:uiPriority w:val="0"/>
    <w:rPr>
      <w:szCs w:val="20"/>
      <w:u w:val="single"/>
    </w:rPr>
  </w:style>
  <w:style w:type="character" w:customStyle="1" w:styleId="204">
    <w:name w:val="正文文本 Char"/>
    <w:qFormat/>
    <w:uiPriority w:val="99"/>
    <w:rPr>
      <w:rFonts w:ascii="仿宋_GB2312" w:eastAsia="宋体"/>
      <w:b/>
      <w:kern w:val="2"/>
      <w:sz w:val="21"/>
      <w:szCs w:val="24"/>
      <w:lang w:val="en-US" w:eastAsia="zh-CN" w:bidi="ar-SA"/>
    </w:rPr>
  </w:style>
  <w:style w:type="character" w:customStyle="1" w:styleId="205">
    <w:name w:val="标题 1 Char1"/>
    <w:qFormat/>
    <w:uiPriority w:val="0"/>
    <w:rPr>
      <w:rFonts w:ascii="楷体_GB2312" w:hAnsi="Tahoma" w:eastAsia="楷体_GB2312"/>
      <w:b/>
      <w:bCs/>
      <w:kern w:val="2"/>
      <w:sz w:val="21"/>
      <w:szCs w:val="24"/>
    </w:rPr>
  </w:style>
  <w:style w:type="character" w:customStyle="1" w:styleId="206">
    <w:name w:val="批注文字 Char2"/>
    <w:semiHidden/>
    <w:qFormat/>
    <w:uiPriority w:val="99"/>
    <w:rPr>
      <w:kern w:val="2"/>
      <w:sz w:val="21"/>
      <w:szCs w:val="24"/>
    </w:rPr>
  </w:style>
  <w:style w:type="character" w:customStyle="1" w:styleId="207">
    <w:name w:val="font11"/>
    <w:qFormat/>
    <w:uiPriority w:val="0"/>
    <w:rPr>
      <w:rFonts w:hint="eastAsia" w:ascii="宋体" w:hAnsi="宋体" w:eastAsia="宋体" w:cs="宋体"/>
      <w:color w:val="000000"/>
      <w:sz w:val="20"/>
      <w:szCs w:val="20"/>
      <w:u w:val="none"/>
      <w:vertAlign w:val="superscript"/>
    </w:rPr>
  </w:style>
  <w:style w:type="character" w:customStyle="1" w:styleId="208">
    <w:name w:val="Style2"/>
    <w:qFormat/>
    <w:uiPriority w:val="0"/>
    <w:rPr>
      <w:rFonts w:ascii="Calibri" w:hAnsi="宋体" w:eastAsia="宋体" w:cs="Times New Roman"/>
      <w:sz w:val="22"/>
      <w:szCs w:val="22"/>
      <w:lang w:eastAsia="zh-CN"/>
    </w:rPr>
  </w:style>
  <w:style w:type="character" w:customStyle="1" w:styleId="209">
    <w:name w:val="正文1 Char Char"/>
    <w:link w:val="210"/>
    <w:qFormat/>
    <w:uiPriority w:val="0"/>
    <w:rPr>
      <w:rFonts w:ascii="宋体" w:hAnsi="宋体" w:cs="宋体"/>
      <w:b/>
      <w:sz w:val="21"/>
      <w:szCs w:val="32"/>
    </w:rPr>
  </w:style>
  <w:style w:type="paragraph" w:customStyle="1" w:styleId="210">
    <w:name w:val="正文1"/>
    <w:basedOn w:val="1"/>
    <w:link w:val="209"/>
    <w:qFormat/>
    <w:uiPriority w:val="0"/>
    <w:pPr>
      <w:widowControl/>
      <w:spacing w:line="360" w:lineRule="auto"/>
      <w:ind w:left="360" w:firstLine="420"/>
      <w:jc w:val="left"/>
    </w:pPr>
    <w:rPr>
      <w:rFonts w:ascii="宋体" w:hAnsi="宋体"/>
      <w:b/>
      <w:kern w:val="0"/>
      <w:szCs w:val="32"/>
    </w:rPr>
  </w:style>
  <w:style w:type="character" w:customStyle="1" w:styleId="211">
    <w:name w:val="Style4"/>
    <w:qFormat/>
    <w:uiPriority w:val="0"/>
    <w:rPr>
      <w:rFonts w:ascii="Calibri" w:hAnsi="宋体" w:eastAsia="宋体" w:cs="Times New Roman"/>
      <w:szCs w:val="22"/>
      <w:lang w:eastAsia="zh-CN"/>
    </w:rPr>
  </w:style>
  <w:style w:type="character" w:customStyle="1" w:styleId="212">
    <w:name w:val="正文文本缩进 3 Char2"/>
    <w:semiHidden/>
    <w:qFormat/>
    <w:uiPriority w:val="99"/>
    <w:rPr>
      <w:kern w:val="2"/>
      <w:sz w:val="16"/>
      <w:szCs w:val="16"/>
    </w:rPr>
  </w:style>
  <w:style w:type="character" w:customStyle="1" w:styleId="213">
    <w:name w:val="heading 4 Char"/>
    <w:qFormat/>
    <w:uiPriority w:val="0"/>
    <w:rPr>
      <w:rFonts w:ascii="Arial" w:hAnsi="Arial" w:eastAsia="黑体" w:cs="Times New Roman"/>
      <w:b/>
      <w:sz w:val="21"/>
      <w:szCs w:val="21"/>
    </w:rPr>
  </w:style>
  <w:style w:type="character" w:customStyle="1" w:styleId="214">
    <w:name w:val="heading 2 Char"/>
    <w:qFormat/>
    <w:uiPriority w:val="0"/>
    <w:rPr>
      <w:rFonts w:ascii="Arial" w:hAnsi="Arial" w:eastAsia="黑体" w:cs="Times New Roman"/>
      <w:b/>
      <w:sz w:val="30"/>
      <w:szCs w:val="24"/>
    </w:rPr>
  </w:style>
  <w:style w:type="character" w:customStyle="1" w:styleId="215">
    <w:name w:val="HTML 预设格式 Char2"/>
    <w:semiHidden/>
    <w:qFormat/>
    <w:uiPriority w:val="99"/>
    <w:rPr>
      <w:rFonts w:ascii="Courier New" w:hAnsi="Courier New" w:cs="Courier New"/>
      <w:kern w:val="2"/>
    </w:rPr>
  </w:style>
  <w:style w:type="character" w:customStyle="1" w:styleId="216">
    <w:name w:val="标题样式 Char"/>
    <w:link w:val="217"/>
    <w:qFormat/>
    <w:uiPriority w:val="0"/>
    <w:rPr>
      <w:b/>
    </w:rPr>
  </w:style>
  <w:style w:type="paragraph" w:customStyle="1" w:styleId="217">
    <w:name w:val="标题样式"/>
    <w:basedOn w:val="1"/>
    <w:link w:val="216"/>
    <w:qFormat/>
    <w:uiPriority w:val="0"/>
    <w:pPr>
      <w:spacing w:beforeLines="50" w:afterLines="50"/>
    </w:pPr>
    <w:rPr>
      <w:b/>
      <w:kern w:val="0"/>
      <w:sz w:val="20"/>
      <w:szCs w:val="20"/>
    </w:rPr>
  </w:style>
  <w:style w:type="character" w:customStyle="1" w:styleId="218">
    <w:name w:val="Ò³Ã¼ Char Char1"/>
    <w:qFormat/>
    <w:uiPriority w:val="0"/>
    <w:rPr>
      <w:rFonts w:ascii="仿宋_GB2312" w:eastAsia="宋体"/>
      <w:b/>
      <w:kern w:val="2"/>
      <w:sz w:val="18"/>
      <w:szCs w:val="18"/>
      <w:lang w:val="en-US" w:eastAsia="zh-CN" w:bidi="ar-SA"/>
    </w:rPr>
  </w:style>
  <w:style w:type="character" w:customStyle="1" w:styleId="219">
    <w:name w:val="apple-converted-space"/>
    <w:qFormat/>
    <w:uiPriority w:val="0"/>
  </w:style>
  <w:style w:type="character" w:customStyle="1" w:styleId="220">
    <w:name w:val="表格用 Char Char"/>
    <w:link w:val="221"/>
    <w:qFormat/>
    <w:locked/>
    <w:uiPriority w:val="0"/>
    <w:rPr>
      <w:sz w:val="21"/>
      <w:szCs w:val="24"/>
    </w:rPr>
  </w:style>
  <w:style w:type="paragraph" w:customStyle="1" w:styleId="221">
    <w:name w:val="表格用"/>
    <w:basedOn w:val="1"/>
    <w:link w:val="220"/>
    <w:qFormat/>
    <w:uiPriority w:val="0"/>
    <w:rPr>
      <w:kern w:val="0"/>
    </w:rPr>
  </w:style>
  <w:style w:type="character" w:customStyle="1" w:styleId="222">
    <w:name w:val="标题 2 Char1"/>
    <w:qFormat/>
    <w:uiPriority w:val="0"/>
    <w:rPr>
      <w:rFonts w:ascii="Arial" w:hAnsi="Arial" w:eastAsia="黑体"/>
      <w:b/>
      <w:bCs/>
      <w:kern w:val="2"/>
      <w:sz w:val="32"/>
      <w:szCs w:val="32"/>
    </w:rPr>
  </w:style>
  <w:style w:type="character" w:customStyle="1" w:styleId="223">
    <w:name w:val="count"/>
    <w:qFormat/>
    <w:uiPriority w:val="0"/>
  </w:style>
  <w:style w:type="character" w:customStyle="1" w:styleId="224">
    <w:name w:val="标题1"/>
    <w:qFormat/>
    <w:uiPriority w:val="0"/>
  </w:style>
  <w:style w:type="character" w:customStyle="1" w:styleId="225">
    <w:name w:val="标题 6 Char"/>
    <w:qFormat/>
    <w:uiPriority w:val="0"/>
    <w:rPr>
      <w:rFonts w:ascii="Arial" w:hAnsi="Arial" w:eastAsia="黑体"/>
      <w:b/>
      <w:bCs/>
      <w:kern w:val="2"/>
      <w:sz w:val="24"/>
      <w:szCs w:val="24"/>
    </w:rPr>
  </w:style>
  <w:style w:type="character" w:customStyle="1" w:styleId="226">
    <w:name w:val="heading 1 Char"/>
    <w:qFormat/>
    <w:uiPriority w:val="0"/>
    <w:rPr>
      <w:rFonts w:ascii="Arial" w:hAnsi="Arial" w:eastAsia="黑体"/>
      <w:b/>
      <w:sz w:val="36"/>
      <w:szCs w:val="36"/>
    </w:rPr>
  </w:style>
  <w:style w:type="character" w:customStyle="1" w:styleId="227">
    <w:name w:val="style41"/>
    <w:qFormat/>
    <w:uiPriority w:val="0"/>
    <w:rPr>
      <w:rFonts w:ascii="仿宋_GB2312" w:eastAsia="仿宋_GB2312"/>
      <w:b/>
      <w:color w:val="auto"/>
      <w:sz w:val="32"/>
      <w:szCs w:val="32"/>
    </w:rPr>
  </w:style>
  <w:style w:type="character" w:customStyle="1" w:styleId="228">
    <w:name w:val="正文00 Char"/>
    <w:link w:val="229"/>
    <w:qFormat/>
    <w:uiPriority w:val="0"/>
    <w:rPr>
      <w:rFonts w:ascii="宋体" w:hAnsi="宋体"/>
      <w:kern w:val="2"/>
      <w:sz w:val="24"/>
      <w:szCs w:val="24"/>
    </w:rPr>
  </w:style>
  <w:style w:type="paragraph" w:customStyle="1" w:styleId="229">
    <w:name w:val="正文00"/>
    <w:basedOn w:val="1"/>
    <w:link w:val="228"/>
    <w:qFormat/>
    <w:uiPriority w:val="0"/>
    <w:pPr>
      <w:spacing w:line="360" w:lineRule="auto"/>
      <w:ind w:firstLine="480" w:firstLineChars="200"/>
    </w:pPr>
    <w:rPr>
      <w:rFonts w:ascii="宋体" w:hAnsi="宋体"/>
      <w:sz w:val="24"/>
    </w:rPr>
  </w:style>
  <w:style w:type="character" w:customStyle="1" w:styleId="230">
    <w:name w:val="_正文段落 Char"/>
    <w:link w:val="231"/>
    <w:qFormat/>
    <w:uiPriority w:val="0"/>
    <w:rPr>
      <w:kern w:val="2"/>
      <w:sz w:val="21"/>
      <w:szCs w:val="24"/>
    </w:rPr>
  </w:style>
  <w:style w:type="paragraph" w:customStyle="1" w:styleId="231">
    <w:name w:val="_正文段落"/>
    <w:basedOn w:val="1"/>
    <w:link w:val="230"/>
    <w:qFormat/>
    <w:uiPriority w:val="0"/>
    <w:pPr>
      <w:spacing w:beforeLines="15" w:afterLines="15" w:line="360" w:lineRule="auto"/>
      <w:ind w:firstLine="200" w:firstLineChars="200"/>
    </w:pPr>
  </w:style>
  <w:style w:type="character" w:customStyle="1" w:styleId="232">
    <w:name w:val="图片题注 Char"/>
    <w:link w:val="233"/>
    <w:qFormat/>
    <w:uiPriority w:val="0"/>
    <w:rPr>
      <w:rFonts w:ascii="Calibri Light" w:hAnsi="Calibri Light" w:eastAsia="黑体" w:cs="黑体"/>
      <w:bCs/>
      <w:kern w:val="2"/>
    </w:rPr>
  </w:style>
  <w:style w:type="paragraph" w:customStyle="1" w:styleId="233">
    <w:name w:val="图片题注"/>
    <w:basedOn w:val="17"/>
    <w:link w:val="232"/>
    <w:qFormat/>
    <w:uiPriority w:val="0"/>
    <w:pPr>
      <w:autoSpaceDE/>
      <w:autoSpaceDN/>
      <w:adjustRightInd/>
      <w:spacing w:line="360" w:lineRule="auto"/>
      <w:jc w:val="center"/>
    </w:pPr>
    <w:rPr>
      <w:rFonts w:ascii="Calibri Light" w:hAnsi="Calibri Light"/>
      <w:bCs/>
      <w:kern w:val="2"/>
    </w:rPr>
  </w:style>
  <w:style w:type="character" w:customStyle="1" w:styleId="234">
    <w:name w:val="heading 1 Char2"/>
    <w:qFormat/>
    <w:uiPriority w:val="0"/>
    <w:rPr>
      <w:rFonts w:ascii="仿宋_GB2312" w:eastAsia="仿宋_GB2312"/>
      <w:b/>
      <w:bCs/>
      <w:kern w:val="44"/>
      <w:sz w:val="44"/>
      <w:szCs w:val="44"/>
    </w:rPr>
  </w:style>
  <w:style w:type="character" w:customStyle="1" w:styleId="235">
    <w:name w:val="标题 4 Char"/>
    <w:qFormat/>
    <w:uiPriority w:val="9"/>
    <w:rPr>
      <w:rFonts w:ascii="Arial" w:hAnsi="Arial" w:eastAsia="黑体"/>
      <w:b/>
      <w:bCs/>
      <w:kern w:val="2"/>
      <w:sz w:val="28"/>
      <w:szCs w:val="28"/>
      <w:lang w:val="en-US" w:eastAsia="zh-CN" w:bidi="ar-SA"/>
    </w:rPr>
  </w:style>
  <w:style w:type="character" w:customStyle="1" w:styleId="236">
    <w:name w:val="Title1"/>
    <w:qFormat/>
    <w:uiPriority w:val="0"/>
  </w:style>
  <w:style w:type="character" w:customStyle="1" w:styleId="237">
    <w:name w:val="font31"/>
    <w:qFormat/>
    <w:uiPriority w:val="0"/>
    <w:rPr>
      <w:rFonts w:hint="eastAsia" w:ascii="宋体" w:hAnsi="宋体" w:eastAsia="宋体" w:cs="宋体"/>
      <w:color w:val="000000"/>
      <w:sz w:val="20"/>
      <w:szCs w:val="20"/>
      <w:u w:val="none"/>
    </w:rPr>
  </w:style>
  <w:style w:type="character" w:customStyle="1" w:styleId="238">
    <w:name w:val="正文靠右 Char Char"/>
    <w:qFormat/>
    <w:uiPriority w:val="0"/>
    <w:rPr>
      <w:kern w:val="2"/>
      <w:sz w:val="21"/>
      <w:szCs w:val="24"/>
    </w:rPr>
  </w:style>
  <w:style w:type="character" w:customStyle="1" w:styleId="239">
    <w:name w:val="Footer-Even Char2"/>
    <w:qFormat/>
    <w:uiPriority w:val="0"/>
    <w:rPr>
      <w:rFonts w:ascii="仿宋_GB2312" w:eastAsia="仿宋_GB2312"/>
      <w:b/>
      <w:kern w:val="2"/>
      <w:sz w:val="18"/>
      <w:szCs w:val="18"/>
    </w:rPr>
  </w:style>
  <w:style w:type="character" w:customStyle="1" w:styleId="240">
    <w:name w:val="upload"/>
    <w:qFormat/>
    <w:uiPriority w:val="0"/>
    <w:rPr>
      <w:szCs w:val="20"/>
    </w:rPr>
  </w:style>
  <w:style w:type="character" w:customStyle="1" w:styleId="241">
    <w:name w:val="注释正文"/>
    <w:qFormat/>
    <w:uiPriority w:val="0"/>
    <w:rPr>
      <w:rFonts w:eastAsia="宋体"/>
      <w:sz w:val="28"/>
      <w:u w:val="single"/>
    </w:rPr>
  </w:style>
  <w:style w:type="character" w:customStyle="1" w:styleId="242">
    <w:name w:val="不明显强调1"/>
    <w:qFormat/>
    <w:uiPriority w:val="0"/>
    <w:rPr>
      <w:i/>
      <w:iCs/>
      <w:color w:val="808080"/>
    </w:rPr>
  </w:style>
  <w:style w:type="character" w:customStyle="1" w:styleId="243">
    <w:name w:val="注释正文＋下划线 Char"/>
    <w:link w:val="244"/>
    <w:qFormat/>
    <w:uiPriority w:val="0"/>
    <w:rPr>
      <w:rFonts w:ascii="宋体" w:hAnsi="宋体"/>
      <w:kern w:val="2"/>
      <w:sz w:val="28"/>
      <w:szCs w:val="28"/>
      <w:u w:val="single"/>
    </w:rPr>
  </w:style>
  <w:style w:type="paragraph" w:customStyle="1" w:styleId="244">
    <w:name w:val="注释正文＋下划线"/>
    <w:basedOn w:val="1"/>
    <w:link w:val="243"/>
    <w:qFormat/>
    <w:uiPriority w:val="0"/>
    <w:rPr>
      <w:rFonts w:ascii="宋体" w:hAnsi="宋体"/>
      <w:sz w:val="28"/>
      <w:szCs w:val="28"/>
      <w:u w:val="single"/>
    </w:rPr>
  </w:style>
  <w:style w:type="character" w:customStyle="1" w:styleId="245">
    <w:name w:val="gray6"/>
    <w:qFormat/>
    <w:uiPriority w:val="0"/>
    <w:rPr>
      <w:rFonts w:ascii="仿宋_GB2312" w:hAnsi="Tahoma" w:eastAsia="仿宋_GB2312"/>
      <w:b/>
      <w:sz w:val="32"/>
      <w:szCs w:val="32"/>
    </w:rPr>
  </w:style>
  <w:style w:type="character" w:customStyle="1" w:styleId="246">
    <w:name w:val="font12"/>
    <w:qFormat/>
    <w:uiPriority w:val="0"/>
    <w:rPr>
      <w:rFonts w:hint="eastAsia" w:ascii="宋体" w:hAnsi="宋体" w:eastAsia="宋体" w:cs="宋体"/>
      <w:color w:val="000000"/>
      <w:sz w:val="20"/>
      <w:szCs w:val="20"/>
      <w:u w:val="none"/>
    </w:rPr>
  </w:style>
  <w:style w:type="character" w:customStyle="1" w:styleId="247">
    <w:name w:val="正文缩进 Char"/>
    <w:qFormat/>
    <w:uiPriority w:val="99"/>
    <w:rPr>
      <w:rFonts w:eastAsia="仿宋_GB2312"/>
      <w:sz w:val="21"/>
      <w:lang w:val="en-US" w:eastAsia="zh-CN" w:bidi="ar-SA"/>
    </w:rPr>
  </w:style>
  <w:style w:type="character" w:customStyle="1" w:styleId="248">
    <w:name w:val="ändrad Char"/>
    <w:qFormat/>
    <w:uiPriority w:val="0"/>
    <w:rPr>
      <w:rFonts w:ascii="仿宋_GB2312" w:eastAsia="宋体"/>
      <w:b/>
      <w:kern w:val="2"/>
      <w:sz w:val="21"/>
      <w:szCs w:val="24"/>
      <w:lang w:val="en-US" w:eastAsia="zh-CN" w:bidi="ar-SA"/>
    </w:rPr>
  </w:style>
  <w:style w:type="character" w:customStyle="1" w:styleId="249">
    <w:name w:val="列出段落 Char"/>
    <w:link w:val="250"/>
    <w:qFormat/>
    <w:uiPriority w:val="0"/>
    <w:rPr>
      <w:kern w:val="2"/>
      <w:sz w:val="21"/>
      <w:szCs w:val="24"/>
    </w:rPr>
  </w:style>
  <w:style w:type="paragraph" w:customStyle="1" w:styleId="250">
    <w:name w:val="List Paragraph2"/>
    <w:basedOn w:val="1"/>
    <w:link w:val="249"/>
    <w:qFormat/>
    <w:uiPriority w:val="0"/>
    <w:pPr>
      <w:ind w:firstLine="420" w:firstLineChars="200"/>
    </w:pPr>
  </w:style>
  <w:style w:type="character" w:customStyle="1" w:styleId="251">
    <w:name w:val="legend"/>
    <w:qFormat/>
    <w:uiPriority w:val="0"/>
    <w:rPr>
      <w:rFonts w:ascii="Arial" w:hAnsi="Arial" w:cs="Arial"/>
      <w:b/>
      <w:color w:val="73B304"/>
      <w:sz w:val="16"/>
      <w:szCs w:val="16"/>
      <w:shd w:val="clear" w:color="auto" w:fill="FFFFFF"/>
    </w:rPr>
  </w:style>
  <w:style w:type="character" w:customStyle="1" w:styleId="252">
    <w:name w:val="正文文本 Char1"/>
    <w:qFormat/>
    <w:uiPriority w:val="0"/>
    <w:rPr>
      <w:rFonts w:ascii="Tahoma" w:hAnsi="Tahoma"/>
      <w:kern w:val="2"/>
      <w:sz w:val="21"/>
      <w:szCs w:val="24"/>
    </w:rPr>
  </w:style>
  <w:style w:type="character" w:customStyle="1" w:styleId="253">
    <w:name w:val="标题 8 Char"/>
    <w:qFormat/>
    <w:uiPriority w:val="0"/>
    <w:rPr>
      <w:rFonts w:ascii="Arial" w:hAnsi="Arial" w:eastAsia="黑体"/>
      <w:b/>
      <w:sz w:val="24"/>
      <w:szCs w:val="32"/>
    </w:rPr>
  </w:style>
  <w:style w:type="character" w:customStyle="1" w:styleId="254">
    <w:name w:val="页眉 Char2"/>
    <w:semiHidden/>
    <w:qFormat/>
    <w:uiPriority w:val="99"/>
    <w:rPr>
      <w:kern w:val="2"/>
      <w:sz w:val="18"/>
      <w:szCs w:val="18"/>
    </w:rPr>
  </w:style>
  <w:style w:type="character" w:customStyle="1" w:styleId="255">
    <w:name w:val="签名 Char"/>
    <w:qFormat/>
    <w:uiPriority w:val="0"/>
    <w:rPr>
      <w:rFonts w:ascii="Tahoma" w:hAnsi="Tahoma" w:eastAsia="仿宋_GB2312"/>
      <w:sz w:val="24"/>
    </w:rPr>
  </w:style>
  <w:style w:type="character" w:customStyle="1" w:styleId="256">
    <w:name w:val="样式 正文文本 Char Char"/>
    <w:link w:val="257"/>
    <w:qFormat/>
    <w:uiPriority w:val="0"/>
    <w:rPr>
      <w:rFonts w:ascii="Arial" w:hAnsi="Arial" w:cs="宋体"/>
      <w:color w:val="000000"/>
      <w:kern w:val="2"/>
      <w:sz w:val="21"/>
    </w:rPr>
  </w:style>
  <w:style w:type="paragraph" w:customStyle="1" w:styleId="257">
    <w:name w:val="样式 正文文本"/>
    <w:basedOn w:val="1"/>
    <w:link w:val="256"/>
    <w:qFormat/>
    <w:uiPriority w:val="0"/>
    <w:pPr>
      <w:adjustRightInd w:val="0"/>
      <w:snapToGrid w:val="0"/>
      <w:spacing w:line="400" w:lineRule="exact"/>
      <w:ind w:firstLine="200" w:firstLineChars="200"/>
    </w:pPr>
    <w:rPr>
      <w:rFonts w:ascii="Arial" w:hAnsi="Arial"/>
      <w:color w:val="000000"/>
      <w:szCs w:val="20"/>
    </w:rPr>
  </w:style>
  <w:style w:type="character" w:customStyle="1" w:styleId="258">
    <w:name w:val="style111"/>
    <w:qFormat/>
    <w:uiPriority w:val="0"/>
    <w:rPr>
      <w:sz w:val="27"/>
      <w:szCs w:val="27"/>
    </w:rPr>
  </w:style>
  <w:style w:type="character" w:customStyle="1" w:styleId="259">
    <w:name w:val="明显强调1"/>
    <w:qFormat/>
    <w:uiPriority w:val="0"/>
    <w:rPr>
      <w:b/>
      <w:bCs/>
      <w:i/>
      <w:iCs/>
      <w:color w:val="4F81BD"/>
    </w:rPr>
  </w:style>
  <w:style w:type="character" w:customStyle="1" w:styleId="260">
    <w:name w:val="NormalCharacter"/>
    <w:qFormat/>
    <w:uiPriority w:val="0"/>
  </w:style>
  <w:style w:type="character" w:customStyle="1" w:styleId="261">
    <w:name w:val="页脚 Char2"/>
    <w:semiHidden/>
    <w:qFormat/>
    <w:uiPriority w:val="99"/>
    <w:rPr>
      <w:kern w:val="2"/>
      <w:sz w:val="18"/>
      <w:szCs w:val="18"/>
    </w:rPr>
  </w:style>
  <w:style w:type="character" w:customStyle="1" w:styleId="262">
    <w:name w:val="1.1.1.1.1 Char"/>
    <w:link w:val="263"/>
    <w:qFormat/>
    <w:uiPriority w:val="0"/>
    <w:rPr>
      <w:rFonts w:ascii="Arial" w:hAnsi="Arial" w:eastAsia="黑体"/>
      <w:b/>
      <w:bCs/>
      <w:kern w:val="2"/>
      <w:sz w:val="24"/>
      <w:szCs w:val="28"/>
    </w:rPr>
  </w:style>
  <w:style w:type="paragraph" w:customStyle="1" w:styleId="263">
    <w:name w:val="1.1.1.1.1"/>
    <w:basedOn w:val="264"/>
    <w:next w:val="16"/>
    <w:link w:val="262"/>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4">
    <w:name w:val="样式5"/>
    <w:basedOn w:val="16"/>
    <w:link w:val="265"/>
    <w:qFormat/>
    <w:uiPriority w:val="0"/>
    <w:pPr>
      <w:adjustRightInd/>
      <w:spacing w:line="360" w:lineRule="auto"/>
      <w:ind w:firstLine="200" w:firstLineChars="200"/>
      <w:textAlignment w:val="auto"/>
    </w:pPr>
    <w:rPr>
      <w:rFonts w:ascii="仿宋_GB2312"/>
      <w:b/>
      <w:kern w:val="2"/>
      <w:sz w:val="28"/>
      <w:szCs w:val="21"/>
    </w:rPr>
  </w:style>
  <w:style w:type="character" w:customStyle="1" w:styleId="265">
    <w:name w:val="样式5 Char"/>
    <w:link w:val="264"/>
    <w:qFormat/>
    <w:uiPriority w:val="0"/>
    <w:rPr>
      <w:rFonts w:ascii="仿宋_GB2312"/>
      <w:b/>
      <w:kern w:val="2"/>
      <w:sz w:val="28"/>
      <w:szCs w:val="21"/>
    </w:rPr>
  </w:style>
  <w:style w:type="character" w:customStyle="1" w:styleId="266">
    <w:name w:val="表格标题 Char"/>
    <w:link w:val="267"/>
    <w:qFormat/>
    <w:uiPriority w:val="0"/>
    <w:rPr>
      <w:rFonts w:ascii="黑体" w:hAnsi="黑体" w:eastAsia="黑体"/>
      <w:b/>
      <w:color w:val="FFFFFF"/>
      <w:kern w:val="2"/>
      <w:sz w:val="21"/>
      <w:szCs w:val="24"/>
    </w:rPr>
  </w:style>
  <w:style w:type="paragraph" w:customStyle="1" w:styleId="267">
    <w:name w:val="表格标题"/>
    <w:basedOn w:val="1"/>
    <w:link w:val="266"/>
    <w:qFormat/>
    <w:uiPriority w:val="0"/>
    <w:rPr>
      <w:rFonts w:ascii="黑体" w:hAnsi="黑体" w:eastAsia="黑体"/>
      <w:b/>
      <w:color w:val="FFFFFF"/>
    </w:rPr>
  </w:style>
  <w:style w:type="character" w:customStyle="1" w:styleId="268">
    <w:name w:val="标题 9 Char"/>
    <w:qFormat/>
    <w:uiPriority w:val="0"/>
    <w:rPr>
      <w:rFonts w:ascii="Arial" w:hAnsi="Arial" w:eastAsia="黑体"/>
      <w:b/>
      <w:sz w:val="21"/>
      <w:szCs w:val="32"/>
    </w:rPr>
  </w:style>
  <w:style w:type="character" w:customStyle="1" w:styleId="269">
    <w:name w:val="PI Char"/>
    <w:qFormat/>
    <w:uiPriority w:val="0"/>
    <w:rPr>
      <w:rFonts w:ascii="宋体" w:hAnsi="宋体" w:eastAsia="仿宋_GB2312"/>
      <w:b/>
      <w:sz w:val="24"/>
      <w:szCs w:val="32"/>
    </w:rPr>
  </w:style>
  <w:style w:type="character" w:customStyle="1" w:styleId="270">
    <w:name w:val="Char Char22"/>
    <w:qFormat/>
    <w:uiPriority w:val="0"/>
    <w:rPr>
      <w:rFonts w:ascii="Arial" w:hAnsi="Arial" w:eastAsia="黑体"/>
      <w:b/>
      <w:bCs/>
      <w:kern w:val="44"/>
      <w:sz w:val="30"/>
      <w:szCs w:val="44"/>
      <w:lang w:val="en-US" w:eastAsia="zh-CN" w:bidi="ar-SA"/>
    </w:rPr>
  </w:style>
  <w:style w:type="character" w:customStyle="1" w:styleId="271">
    <w:name w:val="heading 3 Char"/>
    <w:qFormat/>
    <w:uiPriority w:val="0"/>
    <w:rPr>
      <w:rFonts w:ascii="Arial" w:hAnsi="Arial" w:eastAsia="黑体"/>
      <w:b/>
      <w:sz w:val="28"/>
      <w:szCs w:val="24"/>
    </w:rPr>
  </w:style>
  <w:style w:type="character" w:customStyle="1" w:styleId="272">
    <w:name w:val="标题 Char2"/>
    <w:qFormat/>
    <w:uiPriority w:val="10"/>
    <w:rPr>
      <w:rFonts w:ascii="Cambria" w:hAnsi="Cambria" w:cs="Times New Roman"/>
      <w:b/>
      <w:bCs/>
      <w:kern w:val="2"/>
      <w:sz w:val="32"/>
      <w:szCs w:val="32"/>
    </w:rPr>
  </w:style>
  <w:style w:type="character" w:customStyle="1" w:styleId="273">
    <w:name w:val="文档结构图 Char1"/>
    <w:qFormat/>
    <w:uiPriority w:val="0"/>
    <w:rPr>
      <w:kern w:val="2"/>
      <w:sz w:val="21"/>
      <w:szCs w:val="24"/>
      <w:shd w:val="clear" w:color="auto" w:fill="000080"/>
    </w:rPr>
  </w:style>
  <w:style w:type="character" w:customStyle="1" w:styleId="274">
    <w:name w:val="heading 4 Char2"/>
    <w:qFormat/>
    <w:uiPriority w:val="0"/>
    <w:rPr>
      <w:rFonts w:ascii="Cambria" w:hAnsi="Cambria" w:eastAsia="仿宋_GB2312"/>
      <w:b/>
      <w:bCs/>
      <w:kern w:val="2"/>
      <w:sz w:val="28"/>
      <w:szCs w:val="28"/>
    </w:rPr>
  </w:style>
  <w:style w:type="character" w:customStyle="1" w:styleId="275">
    <w:name w:val="Char Char Char"/>
    <w:qFormat/>
    <w:uiPriority w:val="0"/>
    <w:rPr>
      <w:rFonts w:ascii="宋体" w:hAnsi="宋体" w:eastAsia="宋体"/>
      <w:kern w:val="2"/>
      <w:sz w:val="18"/>
      <w:szCs w:val="18"/>
      <w:lang w:val="en-US" w:eastAsia="zh-CN" w:bidi="ar-SA"/>
    </w:rPr>
  </w:style>
  <w:style w:type="character" w:customStyle="1" w:styleId="276">
    <w:name w:val="小标题 Char Char"/>
    <w:qFormat/>
    <w:uiPriority w:val="0"/>
    <w:rPr>
      <w:rFonts w:ascii="黑体" w:hAnsi="黑体" w:eastAsia="黑体"/>
      <w:b/>
      <w:bCs/>
      <w:kern w:val="2"/>
      <w:sz w:val="48"/>
      <w:szCs w:val="48"/>
    </w:rPr>
  </w:style>
  <w:style w:type="character" w:customStyle="1" w:styleId="277">
    <w:name w:val="正文4 Char Char"/>
    <w:link w:val="278"/>
    <w:qFormat/>
    <w:uiPriority w:val="0"/>
    <w:rPr>
      <w:kern w:val="2"/>
    </w:rPr>
  </w:style>
  <w:style w:type="paragraph" w:customStyle="1" w:styleId="278">
    <w:name w:val="正文4"/>
    <w:basedOn w:val="1"/>
    <w:link w:val="277"/>
    <w:qFormat/>
    <w:uiPriority w:val="0"/>
    <w:pPr>
      <w:numPr>
        <w:ilvl w:val="0"/>
        <w:numId w:val="4"/>
      </w:numPr>
      <w:spacing w:before="60" w:after="60" w:line="360" w:lineRule="auto"/>
      <w:ind w:firstLine="0"/>
    </w:pPr>
    <w:rPr>
      <w:sz w:val="20"/>
      <w:szCs w:val="20"/>
    </w:rPr>
  </w:style>
  <w:style w:type="character" w:customStyle="1" w:styleId="279">
    <w:name w:val="Char1"/>
    <w:qFormat/>
    <w:uiPriority w:val="0"/>
    <w:rPr>
      <w:rFonts w:ascii="宋体" w:hAnsi="宋体" w:eastAsia="宋体"/>
      <w:b/>
      <w:kern w:val="2"/>
      <w:sz w:val="24"/>
      <w:szCs w:val="24"/>
      <w:lang w:val="en-US" w:eastAsia="zh-CN" w:bidi="ar-SA"/>
    </w:rPr>
  </w:style>
  <w:style w:type="character" w:customStyle="1" w:styleId="280">
    <w:name w:val="Char Char2"/>
    <w:qFormat/>
    <w:uiPriority w:val="0"/>
    <w:rPr>
      <w:rFonts w:ascii="Arial" w:hAnsi="Arial" w:eastAsia="黑体"/>
      <w:b/>
      <w:bCs/>
      <w:kern w:val="44"/>
      <w:sz w:val="30"/>
      <w:szCs w:val="44"/>
      <w:lang w:val="en-US" w:eastAsia="zh-CN" w:bidi="ar-SA"/>
    </w:rPr>
  </w:style>
  <w:style w:type="character" w:customStyle="1" w:styleId="281">
    <w:name w:val="不明显参考1"/>
    <w:qFormat/>
    <w:uiPriority w:val="0"/>
    <w:rPr>
      <w:smallCaps/>
      <w:color w:val="C0504D"/>
      <w:u w:val="single"/>
    </w:rPr>
  </w:style>
  <w:style w:type="character" w:customStyle="1" w:styleId="282">
    <w:name w:val="password"/>
    <w:qFormat/>
    <w:uiPriority w:val="0"/>
    <w:rPr>
      <w:szCs w:val="20"/>
    </w:rPr>
  </w:style>
  <w:style w:type="character" w:customStyle="1" w:styleId="283">
    <w:name w:val="题注 Char1"/>
    <w:qFormat/>
    <w:uiPriority w:val="0"/>
    <w:rPr>
      <w:rFonts w:ascii="Arial" w:hAnsi="Arial" w:eastAsia="黑体" w:cs="Arial"/>
      <w:kern w:val="2"/>
    </w:rPr>
  </w:style>
  <w:style w:type="character" w:customStyle="1" w:styleId="284">
    <w:name w:val="标题 7 Char"/>
    <w:qFormat/>
    <w:uiPriority w:val="0"/>
    <w:rPr>
      <w:rFonts w:ascii="Arial" w:hAnsi="Arial" w:eastAsia="黑体"/>
      <w:b/>
      <w:sz w:val="21"/>
      <w:szCs w:val="21"/>
    </w:rPr>
  </w:style>
  <w:style w:type="character" w:customStyle="1" w:styleId="285">
    <w:name w:val="强调划线"/>
    <w:qFormat/>
    <w:uiPriority w:val="0"/>
    <w:rPr>
      <w:u w:val="single"/>
    </w:rPr>
  </w:style>
  <w:style w:type="character" w:customStyle="1" w:styleId="286">
    <w:name w:val="正文文本缩进 2 Char1"/>
    <w:qFormat/>
    <w:uiPriority w:val="0"/>
    <w:rPr>
      <w:kern w:val="2"/>
      <w:sz w:val="21"/>
      <w:szCs w:val="24"/>
    </w:rPr>
  </w:style>
  <w:style w:type="character" w:customStyle="1" w:styleId="287">
    <w:name w:val="HTML 预设格式 Char1"/>
    <w:qFormat/>
    <w:uiPriority w:val="99"/>
    <w:rPr>
      <w:rFonts w:ascii="Courier New" w:hAnsi="Courier New" w:cs="Courier New"/>
      <w:kern w:val="2"/>
    </w:rPr>
  </w:style>
  <w:style w:type="character" w:customStyle="1" w:styleId="288">
    <w:name w:val="red"/>
    <w:qFormat/>
    <w:uiPriority w:val="0"/>
    <w:rPr>
      <w:color w:val="FF0000"/>
      <w:szCs w:val="20"/>
    </w:rPr>
  </w:style>
  <w:style w:type="character" w:customStyle="1" w:styleId="289">
    <w:name w:val="签名 Char1"/>
    <w:semiHidden/>
    <w:qFormat/>
    <w:uiPriority w:val="99"/>
    <w:rPr>
      <w:kern w:val="2"/>
      <w:sz w:val="21"/>
      <w:szCs w:val="24"/>
    </w:rPr>
  </w:style>
  <w:style w:type="character" w:customStyle="1" w:styleId="290">
    <w:name w:val="文档结构图 Char2"/>
    <w:semiHidden/>
    <w:qFormat/>
    <w:uiPriority w:val="0"/>
    <w:rPr>
      <w:rFonts w:ascii="Microsoft YaHei UI" w:eastAsia="Microsoft YaHei UI"/>
      <w:sz w:val="18"/>
      <w:szCs w:val="18"/>
    </w:rPr>
  </w:style>
  <w:style w:type="character" w:customStyle="1" w:styleId="291">
    <w:name w:val="111 Char"/>
    <w:link w:val="292"/>
    <w:qFormat/>
    <w:uiPriority w:val="0"/>
    <w:rPr>
      <w:kern w:val="2"/>
    </w:rPr>
  </w:style>
  <w:style w:type="paragraph" w:customStyle="1" w:styleId="292">
    <w:name w:val="111"/>
    <w:basedOn w:val="146"/>
    <w:link w:val="291"/>
    <w:qFormat/>
    <w:uiPriority w:val="0"/>
    <w:pPr>
      <w:numPr>
        <w:ilvl w:val="0"/>
        <w:numId w:val="5"/>
      </w:numPr>
      <w:ind w:firstLine="0" w:firstLineChars="0"/>
    </w:pPr>
  </w:style>
  <w:style w:type="character" w:customStyle="1" w:styleId="293">
    <w:name w:val="页眉 Char1"/>
    <w:qFormat/>
    <w:uiPriority w:val="0"/>
    <w:rPr>
      <w:kern w:val="2"/>
      <w:sz w:val="18"/>
      <w:szCs w:val="18"/>
    </w:rPr>
  </w:style>
  <w:style w:type="character" w:customStyle="1" w:styleId="294">
    <w:name w:val="aaaaaaaaaaaaaa Char Char"/>
    <w:link w:val="295"/>
    <w:qFormat/>
    <w:uiPriority w:val="0"/>
    <w:rPr>
      <w:kern w:val="2"/>
    </w:rPr>
  </w:style>
  <w:style w:type="paragraph" w:customStyle="1" w:styleId="295">
    <w:name w:val="aaaaaaaaaaaaaa"/>
    <w:basedOn w:val="1"/>
    <w:link w:val="294"/>
    <w:qFormat/>
    <w:uiPriority w:val="0"/>
    <w:pPr>
      <w:spacing w:line="360" w:lineRule="auto"/>
      <w:ind w:firstLine="485" w:firstLineChars="202"/>
    </w:pPr>
    <w:rPr>
      <w:sz w:val="20"/>
      <w:szCs w:val="20"/>
    </w:rPr>
  </w:style>
  <w:style w:type="character" w:customStyle="1" w:styleId="296">
    <w:name w:val="页眉注释 Char Char"/>
    <w:qFormat/>
    <w:uiPriority w:val="0"/>
    <w:rPr>
      <w:rFonts w:ascii="华文细黑" w:hAnsi="华文细黑" w:eastAsia="华文细黑"/>
      <w:b/>
      <w:color w:val="FFFFFF"/>
      <w:kern w:val="2"/>
      <w:sz w:val="18"/>
      <w:szCs w:val="18"/>
    </w:rPr>
  </w:style>
  <w:style w:type="character" w:customStyle="1" w:styleId="297">
    <w:name w:val="大标题 Char"/>
    <w:link w:val="298"/>
    <w:qFormat/>
    <w:uiPriority w:val="0"/>
    <w:rPr>
      <w:rFonts w:ascii="黑体" w:hAnsi="黑体" w:eastAsia="黑体"/>
      <w:b/>
      <w:bCs/>
      <w:kern w:val="2"/>
      <w:sz w:val="72"/>
      <w:szCs w:val="72"/>
    </w:rPr>
  </w:style>
  <w:style w:type="paragraph" w:customStyle="1" w:styleId="298">
    <w:name w:val="大标题"/>
    <w:basedOn w:val="1"/>
    <w:link w:val="297"/>
    <w:qFormat/>
    <w:uiPriority w:val="0"/>
    <w:pPr>
      <w:spacing w:line="40" w:lineRule="atLeast"/>
    </w:pPr>
    <w:rPr>
      <w:rFonts w:ascii="黑体" w:hAnsi="黑体" w:eastAsia="黑体"/>
      <w:b/>
      <w:bCs/>
      <w:sz w:val="72"/>
      <w:szCs w:val="72"/>
    </w:rPr>
  </w:style>
  <w:style w:type="character" w:customStyle="1" w:styleId="299">
    <w:name w:val="正文文本 2 Char"/>
    <w:qFormat/>
    <w:uiPriority w:val="0"/>
  </w:style>
  <w:style w:type="character" w:customStyle="1" w:styleId="300">
    <w:name w:val="Ò³Ã¼ Char Char2"/>
    <w:qFormat/>
    <w:uiPriority w:val="0"/>
    <w:rPr>
      <w:rFonts w:ascii="仿宋_GB2312" w:eastAsia="仿宋_GB2312"/>
      <w:b/>
      <w:kern w:val="2"/>
      <w:sz w:val="18"/>
      <w:szCs w:val="18"/>
    </w:rPr>
  </w:style>
  <w:style w:type="character" w:customStyle="1" w:styleId="301">
    <w:name w:val="脚注文本 Char1"/>
    <w:semiHidden/>
    <w:qFormat/>
    <w:uiPriority w:val="99"/>
    <w:rPr>
      <w:kern w:val="2"/>
      <w:sz w:val="18"/>
      <w:szCs w:val="18"/>
    </w:rPr>
  </w:style>
  <w:style w:type="character" w:customStyle="1" w:styleId="302">
    <w:name w:val="标题 2 Char"/>
    <w:qFormat/>
    <w:uiPriority w:val="0"/>
    <w:rPr>
      <w:rFonts w:ascii="Arial" w:hAnsi="Arial" w:eastAsia="黑体"/>
      <w:b/>
      <w:bCs/>
      <w:kern w:val="2"/>
      <w:sz w:val="32"/>
      <w:szCs w:val="32"/>
      <w:lang w:val="en-US" w:eastAsia="zh-CN" w:bidi="ar-SA"/>
    </w:rPr>
  </w:style>
  <w:style w:type="character" w:customStyle="1" w:styleId="303">
    <w:name w:val="样式 标题 3 + 黑体 小四 Char Char"/>
    <w:link w:val="304"/>
    <w:qFormat/>
    <w:uiPriority w:val="0"/>
    <w:rPr>
      <w:rFonts w:ascii="黑体" w:hAnsi="Arial" w:eastAsia="黑体"/>
      <w:bCs/>
      <w:sz w:val="24"/>
      <w:szCs w:val="24"/>
    </w:rPr>
  </w:style>
  <w:style w:type="paragraph" w:customStyle="1" w:styleId="304">
    <w:name w:val="样式 标题 3 + 黑体 小四"/>
    <w:basedOn w:val="5"/>
    <w:link w:val="303"/>
    <w:qFormat/>
    <w:uiPriority w:val="0"/>
    <w:pPr>
      <w:spacing w:line="413" w:lineRule="auto"/>
    </w:pPr>
    <w:rPr>
      <w:rFonts w:ascii="黑体" w:hAnsi="Arial" w:eastAsia="黑体"/>
      <w:b w:val="0"/>
      <w:kern w:val="0"/>
      <w:sz w:val="24"/>
      <w:szCs w:val="24"/>
    </w:rPr>
  </w:style>
  <w:style w:type="character" w:customStyle="1" w:styleId="305">
    <w:name w:val="文档正文 Char"/>
    <w:link w:val="306"/>
    <w:qFormat/>
    <w:locked/>
    <w:uiPriority w:val="0"/>
    <w:rPr>
      <w:sz w:val="24"/>
    </w:rPr>
  </w:style>
  <w:style w:type="paragraph" w:customStyle="1" w:styleId="306">
    <w:name w:val="文档正文"/>
    <w:basedOn w:val="1"/>
    <w:link w:val="305"/>
    <w:qFormat/>
    <w:uiPriority w:val="0"/>
    <w:pPr>
      <w:adjustRightInd w:val="0"/>
      <w:spacing w:line="300" w:lineRule="auto"/>
      <w:ind w:firstLine="567"/>
      <w:textAlignment w:val="baseline"/>
    </w:pPr>
    <w:rPr>
      <w:kern w:val="0"/>
      <w:sz w:val="24"/>
      <w:szCs w:val="20"/>
    </w:rPr>
  </w:style>
  <w:style w:type="character" w:customStyle="1" w:styleId="307">
    <w:name w:val="批注框文本 Char1"/>
    <w:semiHidden/>
    <w:qFormat/>
    <w:locked/>
    <w:uiPriority w:val="99"/>
    <w:rPr>
      <w:rFonts w:hint="eastAsia" w:ascii="Heiti SC Light" w:hAnsi="宋体" w:eastAsia="Heiti SC Light" w:cs="Times New Roman"/>
      <w:sz w:val="18"/>
      <w:szCs w:val="18"/>
    </w:rPr>
  </w:style>
  <w:style w:type="character" w:customStyle="1" w:styleId="308">
    <w:name w:val="PI Char1"/>
    <w:qFormat/>
    <w:uiPriority w:val="0"/>
    <w:rPr>
      <w:rFonts w:ascii="仿宋_GB2312" w:eastAsia="宋体"/>
      <w:b/>
      <w:kern w:val="2"/>
      <w:sz w:val="24"/>
      <w:szCs w:val="24"/>
      <w:lang w:val="en-US" w:eastAsia="zh-CN" w:bidi="ar-SA"/>
    </w:rPr>
  </w:style>
  <w:style w:type="character" w:customStyle="1" w:styleId="309">
    <w:name w:val="正文居中 Char"/>
    <w:link w:val="310"/>
    <w:qFormat/>
    <w:uiPriority w:val="0"/>
    <w:rPr>
      <w:kern w:val="2"/>
      <w:sz w:val="21"/>
      <w:szCs w:val="24"/>
    </w:rPr>
  </w:style>
  <w:style w:type="paragraph" w:customStyle="1" w:styleId="310">
    <w:name w:val="正文居中"/>
    <w:basedOn w:val="1"/>
    <w:link w:val="309"/>
    <w:qFormat/>
    <w:uiPriority w:val="0"/>
    <w:pPr>
      <w:jc w:val="center"/>
    </w:pPr>
  </w:style>
  <w:style w:type="character" w:customStyle="1" w:styleId="311">
    <w:name w:val="Char Char"/>
    <w:qFormat/>
    <w:uiPriority w:val="0"/>
    <w:rPr>
      <w:rFonts w:ascii="宋体" w:hAnsi="Courier New" w:eastAsia="宋体"/>
      <w:kern w:val="2"/>
      <w:sz w:val="21"/>
      <w:lang w:val="en-US" w:eastAsia="zh-CN" w:bidi="ar-SA"/>
    </w:rPr>
  </w:style>
  <w:style w:type="character" w:customStyle="1" w:styleId="312">
    <w:name w:val="正文文本缩进 Char"/>
    <w:qFormat/>
    <w:uiPriority w:val="0"/>
    <w:rPr>
      <w:rFonts w:ascii="宋体" w:hAnsi="宋体"/>
      <w:kern w:val="2"/>
      <w:sz w:val="24"/>
    </w:rPr>
  </w:style>
  <w:style w:type="character" w:customStyle="1" w:styleId="313">
    <w:name w:val="Style1"/>
    <w:qFormat/>
    <w:uiPriority w:val="0"/>
    <w:rPr>
      <w:rFonts w:ascii="Calibri" w:hAnsi="宋体" w:eastAsia="宋体" w:cs="Times New Roman"/>
      <w:sz w:val="22"/>
      <w:szCs w:val="22"/>
      <w:lang w:eastAsia="zh-CN"/>
    </w:rPr>
  </w:style>
  <w:style w:type="character" w:customStyle="1" w:styleId="314">
    <w:name w:val="题注(图注) Char"/>
    <w:qFormat/>
    <w:uiPriority w:val="0"/>
    <w:rPr>
      <w:rFonts w:ascii="Arial Unicode MS" w:hAnsi="Arial Unicode MS" w:eastAsia="宋体" w:cs="宋体"/>
      <w:szCs w:val="20"/>
      <w:lang w:val="en-US" w:eastAsia="zh-CN"/>
    </w:rPr>
  </w:style>
  <w:style w:type="character" w:customStyle="1" w:styleId="315">
    <w:name w:val="注释题目"/>
    <w:qFormat/>
    <w:uiPriority w:val="0"/>
    <w:rPr>
      <w:rFonts w:eastAsia="黑体"/>
      <w:sz w:val="28"/>
      <w:u w:val="none"/>
    </w:rPr>
  </w:style>
  <w:style w:type="character" w:customStyle="1" w:styleId="316">
    <w:name w:val="宏文本 Char2"/>
    <w:semiHidden/>
    <w:qFormat/>
    <w:uiPriority w:val="99"/>
    <w:rPr>
      <w:rFonts w:ascii="Courier New" w:hAnsi="Courier New" w:cs="Courier New"/>
      <w:kern w:val="2"/>
      <w:sz w:val="24"/>
      <w:szCs w:val="24"/>
    </w:rPr>
  </w:style>
  <w:style w:type="character" w:customStyle="1" w:styleId="317">
    <w:name w:val="副标题 Char2"/>
    <w:qFormat/>
    <w:uiPriority w:val="11"/>
    <w:rPr>
      <w:rFonts w:ascii="Cambria" w:hAnsi="Cambria" w:cs="Times New Roman"/>
      <w:b/>
      <w:bCs/>
      <w:kern w:val="28"/>
      <w:sz w:val="32"/>
      <w:szCs w:val="32"/>
    </w:rPr>
  </w:style>
  <w:style w:type="character" w:customStyle="1" w:styleId="318">
    <w:name w:val="zbggmain style9"/>
    <w:qFormat/>
    <w:uiPriority w:val="0"/>
    <w:rPr>
      <w:szCs w:val="20"/>
    </w:rPr>
  </w:style>
  <w:style w:type="character" w:customStyle="1" w:styleId="319">
    <w:name w:val="正文首行缩进 2 Char"/>
    <w:qFormat/>
    <w:uiPriority w:val="0"/>
    <w:rPr>
      <w:rFonts w:ascii="宋体" w:hAnsi="宋体"/>
      <w:kern w:val="2"/>
      <w:sz w:val="24"/>
      <w:szCs w:val="24"/>
    </w:rPr>
  </w:style>
  <w:style w:type="character" w:customStyle="1" w:styleId="320">
    <w:name w:val="批注主题 Char2"/>
    <w:semiHidden/>
    <w:qFormat/>
    <w:uiPriority w:val="99"/>
    <w:rPr>
      <w:b/>
      <w:bCs/>
      <w:kern w:val="2"/>
      <w:sz w:val="21"/>
      <w:szCs w:val="24"/>
    </w:rPr>
  </w:style>
  <w:style w:type="character" w:customStyle="1" w:styleId="321">
    <w:name w:val="纯文本 Char"/>
    <w:qFormat/>
    <w:uiPriority w:val="0"/>
    <w:rPr>
      <w:rFonts w:ascii="仿宋_GB2312" w:hAnsi="Wingdings" w:eastAsia="仿宋_GB2312"/>
      <w:sz w:val="21"/>
      <w:szCs w:val="21"/>
      <w:lang w:val="en-US" w:eastAsia="zh-CN" w:bidi="ar-SA"/>
    </w:rPr>
  </w:style>
  <w:style w:type="character" w:customStyle="1" w:styleId="322">
    <w:name w:val="表正文 Char2"/>
    <w:qFormat/>
    <w:uiPriority w:val="0"/>
    <w:rPr>
      <w:rFonts w:ascii="Times New Roman" w:hAnsi="Times New Roman" w:eastAsia="宋体" w:cs="Times New Roman"/>
      <w:szCs w:val="24"/>
    </w:rPr>
  </w:style>
  <w:style w:type="character" w:customStyle="1" w:styleId="323">
    <w:name w:val="正文首行缩进 Char3"/>
    <w:semiHidden/>
    <w:qFormat/>
    <w:uiPriority w:val="99"/>
    <w:rPr>
      <w:lang w:val="en-US" w:eastAsia="zh-CN" w:bidi="ar-SA"/>
    </w:rPr>
  </w:style>
  <w:style w:type="character" w:customStyle="1" w:styleId="324">
    <w:name w:val="标题 1 Char"/>
    <w:qFormat/>
    <w:uiPriority w:val="0"/>
    <w:rPr>
      <w:rFonts w:eastAsia="宋体"/>
      <w:b/>
      <w:bCs/>
      <w:kern w:val="44"/>
      <w:sz w:val="44"/>
      <w:szCs w:val="44"/>
      <w:lang w:val="en-US" w:eastAsia="zh-CN" w:bidi="ar-SA"/>
    </w:rPr>
  </w:style>
  <w:style w:type="character" w:customStyle="1" w:styleId="325">
    <w:name w:val="纯文本 Char2"/>
    <w:semiHidden/>
    <w:qFormat/>
    <w:uiPriority w:val="99"/>
    <w:rPr>
      <w:rFonts w:ascii="宋体" w:hAnsi="Courier New" w:cs="Courier New"/>
      <w:kern w:val="2"/>
      <w:sz w:val="21"/>
      <w:szCs w:val="21"/>
    </w:rPr>
  </w:style>
  <w:style w:type="character" w:customStyle="1" w:styleId="326">
    <w:name w:val="文档结构图 Char3"/>
    <w:semiHidden/>
    <w:qFormat/>
    <w:uiPriority w:val="99"/>
    <w:rPr>
      <w:rFonts w:ascii="宋体"/>
      <w:kern w:val="2"/>
      <w:sz w:val="18"/>
      <w:szCs w:val="18"/>
    </w:rPr>
  </w:style>
  <w:style w:type="character" w:customStyle="1" w:styleId="327">
    <w:name w:val="日期 Char"/>
    <w:qFormat/>
    <w:uiPriority w:val="99"/>
    <w:rPr>
      <w:spacing w:val="12"/>
      <w:kern w:val="2"/>
      <w:sz w:val="24"/>
    </w:rPr>
  </w:style>
  <w:style w:type="character" w:customStyle="1" w:styleId="328">
    <w:name w:val="正文缩进 Char2"/>
    <w:qFormat/>
    <w:uiPriority w:val="0"/>
    <w:rPr>
      <w:rFonts w:ascii="Tahoma" w:hAnsi="Tahoma" w:eastAsia="宋体"/>
      <w:b/>
      <w:bCs/>
      <w:kern w:val="2"/>
      <w:sz w:val="24"/>
      <w:szCs w:val="24"/>
      <w:lang w:val="en-US" w:eastAsia="zh-CN" w:bidi="ar-SA"/>
    </w:rPr>
  </w:style>
  <w:style w:type="character" w:customStyle="1" w:styleId="329">
    <w:name w:val="副标题 Char"/>
    <w:qFormat/>
    <w:uiPriority w:val="0"/>
    <w:rPr>
      <w:rFonts w:ascii="Cambria" w:hAnsi="Cambria"/>
      <w:b/>
      <w:bCs/>
      <w:kern w:val="28"/>
      <w:sz w:val="32"/>
      <w:szCs w:val="32"/>
    </w:rPr>
  </w:style>
  <w:style w:type="character" w:customStyle="1" w:styleId="330">
    <w:name w:val="正文靠右 Char"/>
    <w:link w:val="331"/>
    <w:qFormat/>
    <w:uiPriority w:val="0"/>
    <w:rPr>
      <w:kern w:val="2"/>
      <w:sz w:val="21"/>
      <w:szCs w:val="24"/>
    </w:rPr>
  </w:style>
  <w:style w:type="paragraph" w:customStyle="1" w:styleId="331">
    <w:name w:val="正文靠右"/>
    <w:basedOn w:val="1"/>
    <w:link w:val="330"/>
    <w:qFormat/>
    <w:uiPriority w:val="0"/>
    <w:pPr>
      <w:jc w:val="right"/>
    </w:pPr>
  </w:style>
  <w:style w:type="character" w:customStyle="1" w:styleId="332">
    <w:name w:val="p91"/>
    <w:qFormat/>
    <w:uiPriority w:val="0"/>
    <w:rPr>
      <w:rFonts w:hint="eastAsia" w:ascii="宋体" w:hAnsi="宋体" w:eastAsia="宋体"/>
      <w:spacing w:val="360"/>
      <w:sz w:val="18"/>
      <w:szCs w:val="18"/>
    </w:rPr>
  </w:style>
  <w:style w:type="character" w:customStyle="1" w:styleId="333">
    <w:name w:val="size31"/>
    <w:qFormat/>
    <w:uiPriority w:val="0"/>
    <w:rPr>
      <w:rFonts w:hint="default" w:ascii="Arial" w:hAnsi="Arial" w:cs="Arial"/>
      <w:color w:val="2D2D2D"/>
      <w:spacing w:val="285"/>
      <w:sz w:val="18"/>
      <w:szCs w:val="18"/>
    </w:rPr>
  </w:style>
  <w:style w:type="character" w:customStyle="1" w:styleId="334">
    <w:name w:val="2级 Char"/>
    <w:link w:val="335"/>
    <w:qFormat/>
    <w:uiPriority w:val="0"/>
    <w:rPr>
      <w:rFonts w:ascii="Cambria" w:hAnsi="Cambria"/>
      <w:b/>
      <w:bCs/>
      <w:sz w:val="28"/>
      <w:szCs w:val="32"/>
    </w:rPr>
  </w:style>
  <w:style w:type="paragraph" w:customStyle="1" w:styleId="335">
    <w:name w:val="2级"/>
    <w:basedOn w:val="4"/>
    <w:next w:val="57"/>
    <w:link w:val="334"/>
    <w:qFormat/>
    <w:uiPriority w:val="0"/>
    <w:pPr>
      <w:spacing w:line="416" w:lineRule="auto"/>
    </w:pPr>
    <w:rPr>
      <w:rFonts w:ascii="Cambria" w:hAnsi="Cambria" w:eastAsia="宋体"/>
      <w:kern w:val="0"/>
      <w:sz w:val="28"/>
    </w:rPr>
  </w:style>
  <w:style w:type="character" w:customStyle="1" w:styleId="336">
    <w:name w:val="页眉注释 Char"/>
    <w:link w:val="337"/>
    <w:qFormat/>
    <w:uiPriority w:val="0"/>
    <w:rPr>
      <w:rFonts w:ascii="华文细黑" w:hAnsi="华文细黑" w:eastAsia="华文细黑"/>
      <w:b/>
      <w:color w:val="FFFFFF"/>
      <w:kern w:val="2"/>
      <w:sz w:val="18"/>
      <w:szCs w:val="18"/>
    </w:rPr>
  </w:style>
  <w:style w:type="paragraph" w:customStyle="1" w:styleId="337">
    <w:name w:val="页眉注释"/>
    <w:basedOn w:val="1"/>
    <w:link w:val="336"/>
    <w:qFormat/>
    <w:uiPriority w:val="0"/>
    <w:pPr>
      <w:spacing w:line="0" w:lineRule="atLeast"/>
      <w:jc w:val="center"/>
    </w:pPr>
    <w:rPr>
      <w:rFonts w:ascii="华文细黑" w:hAnsi="华文细黑" w:eastAsia="华文细黑"/>
      <w:b/>
      <w:color w:val="FFFFFF"/>
      <w:sz w:val="18"/>
      <w:szCs w:val="18"/>
    </w:rPr>
  </w:style>
  <w:style w:type="character" w:customStyle="1" w:styleId="338">
    <w:name w:val="正文（首行缩进2字符） Char"/>
    <w:link w:val="339"/>
    <w:qFormat/>
    <w:uiPriority w:val="0"/>
    <w:rPr>
      <w:kern w:val="2"/>
      <w:sz w:val="22"/>
      <w:szCs w:val="24"/>
    </w:rPr>
  </w:style>
  <w:style w:type="paragraph" w:customStyle="1" w:styleId="339">
    <w:name w:val="正文（首行缩进2字符）"/>
    <w:basedOn w:val="1"/>
    <w:link w:val="338"/>
    <w:qFormat/>
    <w:uiPriority w:val="0"/>
    <w:pPr>
      <w:jc w:val="center"/>
    </w:pPr>
    <w:rPr>
      <w:sz w:val="22"/>
    </w:rPr>
  </w:style>
  <w:style w:type="character" w:customStyle="1" w:styleId="340">
    <w:name w:val="正文文本 2 Char1"/>
    <w:qFormat/>
    <w:uiPriority w:val="0"/>
    <w:rPr>
      <w:rFonts w:ascii="Calibri" w:hAnsi="Calibri" w:cs="黑体"/>
      <w:kern w:val="2"/>
      <w:sz w:val="24"/>
      <w:szCs w:val="22"/>
    </w:rPr>
  </w:style>
  <w:style w:type="character" w:customStyle="1" w:styleId="341">
    <w:name w:val="脚注文本 Char"/>
    <w:qFormat/>
    <w:uiPriority w:val="99"/>
    <w:rPr>
      <w:kern w:val="2"/>
      <w:sz w:val="18"/>
      <w:szCs w:val="18"/>
    </w:rPr>
  </w:style>
  <w:style w:type="character" w:customStyle="1" w:styleId="342">
    <w:name w:val="宏文本 Char1"/>
    <w:semiHidden/>
    <w:qFormat/>
    <w:uiPriority w:val="99"/>
    <w:rPr>
      <w:rFonts w:ascii="Courier New" w:hAnsi="Courier New" w:cs="Courier New"/>
      <w:kern w:val="2"/>
      <w:sz w:val="24"/>
      <w:szCs w:val="24"/>
    </w:rPr>
  </w:style>
  <w:style w:type="character" w:customStyle="1" w:styleId="343">
    <w:name w:val="标书标题 3 Char Char Char"/>
    <w:link w:val="344"/>
    <w:qFormat/>
    <w:uiPriority w:val="0"/>
    <w:rPr>
      <w:rFonts w:ascii="Arial" w:hAnsi="Arial" w:eastAsia="仿宋_GB2312" w:cs="Times New Roman"/>
      <w:b/>
      <w:kern w:val="2"/>
      <w:sz w:val="24"/>
      <w:szCs w:val="32"/>
    </w:rPr>
  </w:style>
  <w:style w:type="paragraph" w:customStyle="1" w:styleId="344">
    <w:name w:val="标书标题 3 Char"/>
    <w:basedOn w:val="1"/>
    <w:link w:val="343"/>
    <w:qFormat/>
    <w:uiPriority w:val="0"/>
    <w:pPr>
      <w:tabs>
        <w:tab w:val="left" w:pos="720"/>
      </w:tabs>
      <w:spacing w:line="360" w:lineRule="auto"/>
      <w:outlineLvl w:val="2"/>
    </w:pPr>
    <w:rPr>
      <w:rFonts w:ascii="Arial" w:hAnsi="Arial" w:eastAsia="仿宋_GB2312"/>
      <w:b/>
      <w:sz w:val="24"/>
      <w:szCs w:val="32"/>
    </w:rPr>
  </w:style>
  <w:style w:type="character" w:customStyle="1" w:styleId="345">
    <w:name w:val="heading 2 Char2"/>
    <w:qFormat/>
    <w:uiPriority w:val="0"/>
    <w:rPr>
      <w:rFonts w:ascii="Cambria" w:hAnsi="Cambria" w:eastAsia="仿宋_GB2312"/>
      <w:b/>
      <w:bCs/>
      <w:kern w:val="2"/>
      <w:sz w:val="32"/>
      <w:szCs w:val="32"/>
    </w:rPr>
  </w:style>
  <w:style w:type="character" w:customStyle="1" w:styleId="346">
    <w:name w:val="me04"/>
    <w:qFormat/>
    <w:uiPriority w:val="0"/>
    <w:rPr>
      <w:rFonts w:ascii="仿宋_GB2312" w:hAnsi="Tahoma" w:eastAsia="仿宋_GB2312"/>
      <w:b/>
      <w:sz w:val="32"/>
      <w:szCs w:val="32"/>
    </w:rPr>
  </w:style>
  <w:style w:type="character" w:customStyle="1" w:styleId="347">
    <w:name w:val="注释标题 Char2"/>
    <w:semiHidden/>
    <w:qFormat/>
    <w:uiPriority w:val="99"/>
    <w:rPr>
      <w:kern w:val="2"/>
      <w:sz w:val="21"/>
      <w:szCs w:val="24"/>
    </w:rPr>
  </w:style>
  <w:style w:type="character" w:customStyle="1" w:styleId="348">
    <w:name w:val="正文文本缩进 2 Char"/>
    <w:qFormat/>
    <w:uiPriority w:val="0"/>
    <w:rPr>
      <w:kern w:val="2"/>
      <w:sz w:val="21"/>
      <w:szCs w:val="24"/>
    </w:rPr>
  </w:style>
  <w:style w:type="character" w:customStyle="1" w:styleId="349">
    <w:name w:val="font161"/>
    <w:qFormat/>
    <w:uiPriority w:val="0"/>
    <w:rPr>
      <w:b/>
      <w:bCs/>
      <w:sz w:val="32"/>
      <w:szCs w:val="32"/>
    </w:rPr>
  </w:style>
  <w:style w:type="character" w:customStyle="1" w:styleId="350">
    <w:name w:val="Char Char16"/>
    <w:qFormat/>
    <w:uiPriority w:val="0"/>
    <w:rPr>
      <w:rFonts w:ascii="仿宋_GB2312" w:eastAsia="仿宋_GB2312"/>
      <w:b/>
      <w:bCs/>
      <w:kern w:val="2"/>
      <w:sz w:val="28"/>
      <w:szCs w:val="28"/>
    </w:rPr>
  </w:style>
  <w:style w:type="character" w:customStyle="1" w:styleId="351">
    <w:name w:val="编号正文缩进 Char"/>
    <w:link w:val="352"/>
    <w:qFormat/>
    <w:uiPriority w:val="0"/>
    <w:rPr>
      <w:sz w:val="24"/>
    </w:rPr>
  </w:style>
  <w:style w:type="paragraph" w:customStyle="1" w:styleId="352">
    <w:name w:val="编号正文缩进"/>
    <w:basedOn w:val="16"/>
    <w:link w:val="351"/>
    <w:qFormat/>
    <w:uiPriority w:val="0"/>
    <w:pPr>
      <w:numPr>
        <w:ilvl w:val="0"/>
        <w:numId w:val="6"/>
      </w:numPr>
      <w:spacing w:line="400" w:lineRule="atLeast"/>
    </w:pPr>
    <w:rPr>
      <w:sz w:val="24"/>
    </w:rPr>
  </w:style>
  <w:style w:type="character" w:customStyle="1" w:styleId="353">
    <w:name w:val="smalltxt1"/>
    <w:qFormat/>
    <w:uiPriority w:val="0"/>
    <w:rPr>
      <w:rFonts w:hint="default" w:ascii="ˎ̥" w:hAnsi="ˎ̥" w:eastAsia="仿宋_GB2312"/>
      <w:b/>
      <w:sz w:val="24"/>
      <w:szCs w:val="24"/>
    </w:rPr>
  </w:style>
  <w:style w:type="character" w:customStyle="1" w:styleId="354">
    <w:name w:val="注释标题 Char"/>
    <w:qFormat/>
    <w:uiPriority w:val="0"/>
    <w:rPr>
      <w:rFonts w:eastAsia="黑体"/>
      <w:kern w:val="2"/>
      <w:sz w:val="28"/>
    </w:rPr>
  </w:style>
  <w:style w:type="character" w:customStyle="1" w:styleId="355">
    <w:name w:val="批注文字 Char"/>
    <w:qFormat/>
    <w:uiPriority w:val="0"/>
    <w:rPr>
      <w:rFonts w:eastAsia="宋体"/>
      <w:kern w:val="2"/>
      <w:sz w:val="21"/>
      <w:szCs w:val="24"/>
      <w:lang w:val="en-US" w:eastAsia="zh-CN" w:bidi="ar-SA"/>
    </w:rPr>
  </w:style>
  <w:style w:type="character" w:customStyle="1" w:styleId="356">
    <w:name w:val="正文文本 3 Char1"/>
    <w:semiHidden/>
    <w:qFormat/>
    <w:uiPriority w:val="99"/>
    <w:rPr>
      <w:kern w:val="2"/>
      <w:sz w:val="16"/>
      <w:szCs w:val="16"/>
    </w:rPr>
  </w:style>
  <w:style w:type="character" w:customStyle="1" w:styleId="357">
    <w:name w:val="headline-content"/>
    <w:qFormat/>
    <w:uiPriority w:val="0"/>
  </w:style>
  <w:style w:type="character" w:customStyle="1" w:styleId="358">
    <w:name w:val="op-map-singlepoint-info-right1"/>
    <w:qFormat/>
    <w:uiPriority w:val="0"/>
    <w:rPr>
      <w:szCs w:val="20"/>
    </w:rPr>
  </w:style>
  <w:style w:type="character" w:customStyle="1" w:styleId="359">
    <w:name w:val="正文首行缩进 Char1"/>
    <w:qFormat/>
    <w:uiPriority w:val="0"/>
    <w:rPr>
      <w:rFonts w:ascii="Tahoma" w:hAnsi="Tahoma"/>
      <w:kern w:val="2"/>
      <w:sz w:val="21"/>
      <w:szCs w:val="24"/>
    </w:rPr>
  </w:style>
  <w:style w:type="character" w:customStyle="1" w:styleId="360">
    <w:name w:val="med1"/>
    <w:qFormat/>
    <w:uiPriority w:val="0"/>
  </w:style>
  <w:style w:type="character" w:customStyle="1" w:styleId="361">
    <w:name w:val="样式 宋体"/>
    <w:qFormat/>
    <w:uiPriority w:val="0"/>
    <w:rPr>
      <w:rFonts w:ascii="宋体" w:hAnsi="宋体" w:eastAsia="宋体"/>
      <w:b/>
      <w:sz w:val="24"/>
      <w:szCs w:val="24"/>
    </w:rPr>
  </w:style>
  <w:style w:type="character" w:customStyle="1" w:styleId="362">
    <w:name w:val="目录标题 Char Char"/>
    <w:qFormat/>
    <w:uiPriority w:val="0"/>
    <w:rPr>
      <w:rFonts w:eastAsia="黑体"/>
      <w:b/>
      <w:bCs/>
      <w:kern w:val="2"/>
      <w:sz w:val="44"/>
      <w:szCs w:val="44"/>
    </w:rPr>
  </w:style>
  <w:style w:type="character" w:customStyle="1" w:styleId="363">
    <w:name w:val="标题 3 Char"/>
    <w:qFormat/>
    <w:uiPriority w:val="0"/>
    <w:rPr>
      <w:rFonts w:ascii="黑体" w:hAnsi="宋体" w:eastAsia="黑体"/>
      <w:bCs/>
      <w:kern w:val="2"/>
      <w:sz w:val="28"/>
      <w:szCs w:val="28"/>
      <w:lang w:val="en-US" w:eastAsia="zh-CN" w:bidi="ar-SA"/>
    </w:rPr>
  </w:style>
  <w:style w:type="character" w:customStyle="1" w:styleId="364">
    <w:name w:val="apple-style-span"/>
    <w:qFormat/>
    <w:uiPriority w:val="0"/>
  </w:style>
  <w:style w:type="character" w:styleId="365">
    <w:name w:val="Placeholder Text"/>
    <w:semiHidden/>
    <w:qFormat/>
    <w:uiPriority w:val="99"/>
    <w:rPr>
      <w:color w:val="808080"/>
    </w:rPr>
  </w:style>
  <w:style w:type="character" w:customStyle="1" w:styleId="366">
    <w:name w:val="Char Char201"/>
    <w:qFormat/>
    <w:uiPriority w:val="0"/>
    <w:rPr>
      <w:rFonts w:ascii="Cambria" w:hAnsi="Cambria" w:eastAsia="宋体" w:cs="Times New Roman"/>
      <w:b/>
      <w:bCs/>
      <w:sz w:val="32"/>
      <w:szCs w:val="32"/>
    </w:rPr>
  </w:style>
  <w:style w:type="character" w:customStyle="1" w:styleId="367">
    <w:name w:val="Char Char111"/>
    <w:qFormat/>
    <w:uiPriority w:val="0"/>
    <w:rPr>
      <w:rFonts w:ascii="Times New Roman" w:hAnsi="Times New Roman" w:eastAsia="宋体" w:cs="Times New Roman"/>
      <w:sz w:val="18"/>
      <w:szCs w:val="18"/>
    </w:rPr>
  </w:style>
  <w:style w:type="character" w:customStyle="1" w:styleId="368">
    <w:name w:val="称呼 Char1"/>
    <w:semiHidden/>
    <w:qFormat/>
    <w:uiPriority w:val="99"/>
    <w:rPr>
      <w:kern w:val="2"/>
      <w:sz w:val="21"/>
      <w:szCs w:val="24"/>
    </w:rPr>
  </w:style>
  <w:style w:type="character" w:customStyle="1" w:styleId="369">
    <w:name w:val="heading 3 Char1"/>
    <w:qFormat/>
    <w:uiPriority w:val="0"/>
    <w:rPr>
      <w:rFonts w:ascii="仿宋_GB2312" w:eastAsia="宋体"/>
      <w:b/>
      <w:bCs/>
      <w:kern w:val="2"/>
      <w:sz w:val="32"/>
      <w:szCs w:val="32"/>
      <w:lang w:val="en-US" w:eastAsia="zh-CN" w:bidi="ar-SA"/>
    </w:rPr>
  </w:style>
  <w:style w:type="character" w:customStyle="1" w:styleId="370">
    <w:name w:val="页脚 Char1"/>
    <w:qFormat/>
    <w:uiPriority w:val="0"/>
    <w:rPr>
      <w:kern w:val="2"/>
      <w:sz w:val="18"/>
      <w:szCs w:val="18"/>
    </w:rPr>
  </w:style>
  <w:style w:type="character" w:customStyle="1" w:styleId="371">
    <w:name w:val="PI Char2"/>
    <w:qFormat/>
    <w:uiPriority w:val="0"/>
    <w:rPr>
      <w:rFonts w:ascii="仿宋_GB2312" w:eastAsia="仿宋_GB2312"/>
      <w:b/>
      <w:kern w:val="2"/>
      <w:sz w:val="24"/>
      <w:szCs w:val="24"/>
    </w:rPr>
  </w:style>
  <w:style w:type="character" w:customStyle="1" w:styleId="372">
    <w:name w:val="heading 2 Char1"/>
    <w:qFormat/>
    <w:uiPriority w:val="0"/>
    <w:rPr>
      <w:rFonts w:ascii="Cambria" w:hAnsi="Cambria" w:eastAsia="宋体"/>
      <w:b/>
      <w:bCs/>
      <w:kern w:val="2"/>
      <w:sz w:val="32"/>
      <w:szCs w:val="32"/>
      <w:lang w:val="en-US" w:eastAsia="zh-CN" w:bidi="ar-SA"/>
    </w:rPr>
  </w:style>
  <w:style w:type="character" w:customStyle="1" w:styleId="373">
    <w:name w:val="标题 3 Char1"/>
    <w:qFormat/>
    <w:uiPriority w:val="0"/>
    <w:rPr>
      <w:b/>
      <w:bCs/>
      <w:kern w:val="2"/>
      <w:sz w:val="32"/>
      <w:szCs w:val="32"/>
    </w:rPr>
  </w:style>
  <w:style w:type="character" w:customStyle="1" w:styleId="374">
    <w:name w:val="heading 9 Char1"/>
    <w:qFormat/>
    <w:uiPriority w:val="0"/>
    <w:rPr>
      <w:rFonts w:ascii="Arial" w:hAnsi="Arial" w:eastAsia="黑体"/>
      <w:b/>
      <w:sz w:val="21"/>
      <w:szCs w:val="32"/>
      <w:lang w:val="en-US" w:eastAsia="zh-CN" w:bidi="ar-SA"/>
    </w:rPr>
  </w:style>
  <w:style w:type="character" w:customStyle="1" w:styleId="375">
    <w:name w:val="doc"/>
    <w:qFormat/>
    <w:uiPriority w:val="0"/>
    <w:rPr>
      <w:szCs w:val="20"/>
    </w:rPr>
  </w:style>
  <w:style w:type="character" w:customStyle="1" w:styleId="376">
    <w:name w:val="heading 7 Char1"/>
    <w:qFormat/>
    <w:uiPriority w:val="0"/>
    <w:rPr>
      <w:rFonts w:ascii="Arial" w:hAnsi="Arial" w:eastAsia="黑体"/>
      <w:b/>
      <w:sz w:val="21"/>
      <w:szCs w:val="21"/>
      <w:lang w:val="en-US" w:eastAsia="zh-CN" w:bidi="ar-SA"/>
    </w:rPr>
  </w:style>
  <w:style w:type="character" w:customStyle="1" w:styleId="377">
    <w:name w:val="批注主题 Char1"/>
    <w:qFormat/>
    <w:uiPriority w:val="0"/>
    <w:rPr>
      <w:b/>
      <w:bCs/>
      <w:kern w:val="2"/>
      <w:sz w:val="21"/>
      <w:szCs w:val="24"/>
    </w:rPr>
  </w:style>
  <w:style w:type="character" w:customStyle="1" w:styleId="378">
    <w:name w:val="明显引用 Char1"/>
    <w:qFormat/>
    <w:uiPriority w:val="99"/>
    <w:rPr>
      <w:rFonts w:ascii="Tahoma" w:hAnsi="Tahoma"/>
      <w:b/>
      <w:bCs/>
      <w:i/>
      <w:iCs/>
      <w:color w:val="4F81BD"/>
      <w:kern w:val="2"/>
      <w:sz w:val="21"/>
      <w:szCs w:val="24"/>
    </w:rPr>
  </w:style>
  <w:style w:type="character" w:customStyle="1" w:styleId="379">
    <w:name w:val="正文文本 字符"/>
    <w:qFormat/>
    <w:uiPriority w:val="0"/>
    <w:rPr>
      <w:rFonts w:eastAsia="Cambria"/>
      <w:kern w:val="2"/>
      <w:sz w:val="21"/>
      <w:szCs w:val="24"/>
      <w:lang w:val="en-US" w:eastAsia="zh-CN" w:bidi="ar-SA"/>
    </w:rPr>
  </w:style>
  <w:style w:type="character" w:customStyle="1" w:styleId="380">
    <w:name w:val="Char Char1"/>
    <w:qFormat/>
    <w:uiPriority w:val="0"/>
    <w:rPr>
      <w:rFonts w:ascii="宋体" w:hAnsi="Courier New" w:eastAsia="宋体"/>
      <w:kern w:val="2"/>
      <w:sz w:val="21"/>
      <w:lang w:val="en-US" w:eastAsia="zh-CN" w:bidi="ar-SA"/>
    </w:rPr>
  </w:style>
  <w:style w:type="character" w:customStyle="1" w:styleId="381">
    <w:name w:val="Char Char Char1"/>
    <w:qFormat/>
    <w:uiPriority w:val="0"/>
    <w:rPr>
      <w:rFonts w:ascii="宋体" w:hAnsi="Courier New" w:eastAsia="仿宋_GB2312"/>
      <w:b/>
      <w:sz w:val="21"/>
      <w:szCs w:val="21"/>
    </w:rPr>
  </w:style>
  <w:style w:type="character" w:customStyle="1" w:styleId="382">
    <w:name w:val="正文文本 2 Char2"/>
    <w:semiHidden/>
    <w:qFormat/>
    <w:uiPriority w:val="99"/>
    <w:rPr>
      <w:kern w:val="2"/>
      <w:sz w:val="21"/>
      <w:szCs w:val="24"/>
    </w:rPr>
  </w:style>
  <w:style w:type="character" w:customStyle="1" w:styleId="383">
    <w:name w:val="正文文本缩进 2 Char2"/>
    <w:semiHidden/>
    <w:qFormat/>
    <w:uiPriority w:val="99"/>
    <w:rPr>
      <w:kern w:val="2"/>
      <w:sz w:val="21"/>
      <w:szCs w:val="24"/>
    </w:rPr>
  </w:style>
  <w:style w:type="character" w:customStyle="1" w:styleId="384">
    <w:name w:val="Texte Char Char"/>
    <w:qFormat/>
    <w:uiPriority w:val="0"/>
    <w:rPr>
      <w:rFonts w:ascii="宋体" w:hAnsi="Courier New" w:eastAsia="宋体"/>
      <w:b/>
      <w:sz w:val="21"/>
      <w:szCs w:val="21"/>
      <w:lang w:val="en-US" w:eastAsia="zh-CN" w:bidi="ar-SA"/>
    </w:rPr>
  </w:style>
  <w:style w:type="character" w:customStyle="1" w:styleId="385">
    <w:name w:val="无间隔 Char"/>
    <w:link w:val="386"/>
    <w:qFormat/>
    <w:uiPriority w:val="0"/>
    <w:rPr>
      <w:sz w:val="22"/>
      <w:szCs w:val="22"/>
      <w:lang w:val="en-US" w:eastAsia="zh-CN" w:bidi="ar-SA"/>
    </w:rPr>
  </w:style>
  <w:style w:type="paragraph" w:customStyle="1" w:styleId="386">
    <w:name w:val="无间隔1"/>
    <w:link w:val="385"/>
    <w:qFormat/>
    <w:uiPriority w:val="0"/>
    <w:rPr>
      <w:rFonts w:ascii="Times New Roman" w:hAnsi="Times New Roman" w:eastAsia="宋体" w:cs="Times New Roman"/>
      <w:sz w:val="22"/>
      <w:szCs w:val="22"/>
      <w:lang w:val="en-US" w:eastAsia="zh-CN" w:bidi="ar-SA"/>
    </w:rPr>
  </w:style>
  <w:style w:type="character" w:customStyle="1" w:styleId="387">
    <w:name w:val="明显引用 Char"/>
    <w:link w:val="388"/>
    <w:qFormat/>
    <w:uiPriority w:val="0"/>
    <w:rPr>
      <w:rFonts w:ascii="Calibri" w:hAnsi="Calibri"/>
      <w:b/>
      <w:bCs/>
      <w:i/>
      <w:iCs/>
      <w:color w:val="4F81BD"/>
      <w:sz w:val="32"/>
      <w:szCs w:val="32"/>
    </w:rPr>
  </w:style>
  <w:style w:type="paragraph" w:customStyle="1" w:styleId="388">
    <w:name w:val="明显引用1"/>
    <w:basedOn w:val="1"/>
    <w:next w:val="1"/>
    <w:link w:val="387"/>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89">
    <w:name w:val="小标题 Char"/>
    <w:link w:val="390"/>
    <w:qFormat/>
    <w:uiPriority w:val="0"/>
    <w:rPr>
      <w:rFonts w:eastAsia="黑体"/>
    </w:rPr>
  </w:style>
  <w:style w:type="paragraph" w:customStyle="1" w:styleId="390">
    <w:name w:val="小标题"/>
    <w:basedOn w:val="1"/>
    <w:link w:val="389"/>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1">
    <w:name w:val="Style5"/>
    <w:qFormat/>
    <w:uiPriority w:val="0"/>
    <w:rPr>
      <w:rFonts w:ascii="Calibri" w:hAnsi="宋体" w:eastAsia="宋体" w:cs="Times New Roman"/>
      <w:sz w:val="22"/>
      <w:szCs w:val="22"/>
      <w:lang w:eastAsia="zh-CN"/>
    </w:rPr>
  </w:style>
  <w:style w:type="character" w:customStyle="1" w:styleId="392">
    <w:name w:val="Style3"/>
    <w:qFormat/>
    <w:uiPriority w:val="0"/>
    <w:rPr>
      <w:rFonts w:ascii="Calibri" w:hAnsi="宋体" w:eastAsia="宋体" w:cs="Times New Roman"/>
      <w:szCs w:val="22"/>
      <w:lang w:eastAsia="zh-CN"/>
    </w:rPr>
  </w:style>
  <w:style w:type="character" w:customStyle="1" w:styleId="393">
    <w:name w:val="页眉 Char"/>
    <w:qFormat/>
    <w:uiPriority w:val="99"/>
    <w:rPr>
      <w:rFonts w:eastAsia="仿宋_GB2312"/>
      <w:kern w:val="2"/>
      <w:sz w:val="18"/>
      <w:szCs w:val="18"/>
      <w:lang w:val="en-US" w:eastAsia="zh-CN" w:bidi="ar-SA"/>
    </w:rPr>
  </w:style>
  <w:style w:type="character" w:customStyle="1" w:styleId="394">
    <w:name w:val="栏目标题 Char"/>
    <w:link w:val="395"/>
    <w:qFormat/>
    <w:uiPriority w:val="0"/>
    <w:rPr>
      <w:rFonts w:ascii="黑体" w:hAnsi="黑体" w:eastAsia="黑体"/>
      <w:b/>
      <w:kern w:val="2"/>
      <w:sz w:val="21"/>
      <w:szCs w:val="24"/>
    </w:rPr>
  </w:style>
  <w:style w:type="paragraph" w:customStyle="1" w:styleId="395">
    <w:name w:val="栏目标题"/>
    <w:basedOn w:val="1"/>
    <w:link w:val="394"/>
    <w:qFormat/>
    <w:uiPriority w:val="0"/>
    <w:pPr>
      <w:jc w:val="center"/>
    </w:pPr>
    <w:rPr>
      <w:rFonts w:ascii="黑体" w:hAnsi="黑体" w:eastAsia="黑体"/>
      <w:b/>
    </w:rPr>
  </w:style>
  <w:style w:type="character" w:customStyle="1" w:styleId="396">
    <w:name w:val="Ò³Ã¼ Char Char"/>
    <w:qFormat/>
    <w:uiPriority w:val="0"/>
    <w:rPr>
      <w:rFonts w:ascii="仿宋_GB2312" w:eastAsia="仿宋_GB2312"/>
      <w:b/>
      <w:sz w:val="18"/>
      <w:szCs w:val="18"/>
    </w:rPr>
  </w:style>
  <w:style w:type="character" w:customStyle="1" w:styleId="397">
    <w:name w:val="input"/>
    <w:qFormat/>
    <w:uiPriority w:val="0"/>
    <w:rPr>
      <w:szCs w:val="20"/>
    </w:rPr>
  </w:style>
  <w:style w:type="character" w:customStyle="1" w:styleId="398">
    <w:name w:val="red1"/>
    <w:qFormat/>
    <w:uiPriority w:val="0"/>
    <w:rPr>
      <w:color w:val="FF0000"/>
      <w:szCs w:val="20"/>
    </w:rPr>
  </w:style>
  <w:style w:type="character" w:customStyle="1" w:styleId="399">
    <w:name w:val="目录标题 Char"/>
    <w:link w:val="400"/>
    <w:qFormat/>
    <w:uiPriority w:val="0"/>
    <w:rPr>
      <w:rFonts w:eastAsia="黑体"/>
      <w:b/>
      <w:bCs/>
      <w:kern w:val="2"/>
      <w:sz w:val="44"/>
      <w:szCs w:val="44"/>
    </w:rPr>
  </w:style>
  <w:style w:type="paragraph" w:customStyle="1" w:styleId="400">
    <w:name w:val="目录标题1"/>
    <w:basedOn w:val="1"/>
    <w:link w:val="399"/>
    <w:qFormat/>
    <w:uiPriority w:val="0"/>
    <w:pPr>
      <w:jc w:val="center"/>
    </w:pPr>
    <w:rPr>
      <w:rFonts w:eastAsia="黑体"/>
      <w:b/>
      <w:bCs/>
      <w:sz w:val="44"/>
      <w:szCs w:val="44"/>
    </w:rPr>
  </w:style>
  <w:style w:type="character" w:customStyle="1" w:styleId="401">
    <w:name w:val="正文缩进 Char1 Char"/>
    <w:qFormat/>
    <w:uiPriority w:val="0"/>
    <w:rPr>
      <w:rFonts w:ascii="仿宋_GB2312" w:eastAsia="宋体"/>
      <w:b/>
      <w:sz w:val="21"/>
      <w:szCs w:val="32"/>
      <w:lang w:val="en-US" w:eastAsia="zh-CN" w:bidi="ar-SA"/>
    </w:rPr>
  </w:style>
  <w:style w:type="character" w:customStyle="1" w:styleId="402">
    <w:name w:val="内容文本 Char"/>
    <w:link w:val="403"/>
    <w:qFormat/>
    <w:uiPriority w:val="0"/>
    <w:rPr>
      <w:rFonts w:ascii="宋体" w:hAnsi="宋体"/>
      <w:sz w:val="24"/>
      <w:szCs w:val="24"/>
      <w:lang w:eastAsia="en-US" w:bidi="en-US"/>
    </w:rPr>
  </w:style>
  <w:style w:type="paragraph" w:customStyle="1" w:styleId="403">
    <w:name w:val="内容文本"/>
    <w:basedOn w:val="250"/>
    <w:link w:val="402"/>
    <w:qFormat/>
    <w:uiPriority w:val="0"/>
    <w:pPr>
      <w:spacing w:line="360" w:lineRule="auto"/>
      <w:ind w:firstLine="200"/>
      <w:contextualSpacing/>
      <w:jc w:val="left"/>
    </w:pPr>
    <w:rPr>
      <w:rFonts w:ascii="宋体" w:hAnsi="宋体"/>
      <w:kern w:val="0"/>
      <w:sz w:val="24"/>
      <w:lang w:eastAsia="en-US" w:bidi="en-US"/>
    </w:rPr>
  </w:style>
  <w:style w:type="character" w:customStyle="1" w:styleId="404">
    <w:name w:val="哈哈正文 Char"/>
    <w:link w:val="405"/>
    <w:qFormat/>
    <w:uiPriority w:val="0"/>
    <w:rPr>
      <w:rFonts w:ascii="宋体" w:hAnsi="宋体" w:cs="宋体"/>
      <w:kern w:val="2"/>
      <w:sz w:val="24"/>
    </w:rPr>
  </w:style>
  <w:style w:type="paragraph" w:customStyle="1" w:styleId="405">
    <w:name w:val="哈哈正文"/>
    <w:basedOn w:val="1"/>
    <w:link w:val="404"/>
    <w:qFormat/>
    <w:uiPriority w:val="0"/>
    <w:pPr>
      <w:spacing w:line="360" w:lineRule="auto"/>
      <w:ind w:firstLine="200" w:firstLineChars="200"/>
    </w:pPr>
    <w:rPr>
      <w:rFonts w:ascii="宋体" w:hAnsi="宋体"/>
      <w:sz w:val="24"/>
      <w:szCs w:val="20"/>
    </w:rPr>
  </w:style>
  <w:style w:type="character" w:customStyle="1" w:styleId="406">
    <w:name w:val="书籍标题1"/>
    <w:qFormat/>
    <w:uiPriority w:val="0"/>
    <w:rPr>
      <w:b/>
      <w:bCs/>
      <w:smallCaps/>
      <w:spacing w:val="5"/>
    </w:rPr>
  </w:style>
  <w:style w:type="character" w:customStyle="1" w:styleId="407">
    <w:name w:val="Char Char21"/>
    <w:qFormat/>
    <w:uiPriority w:val="0"/>
    <w:rPr>
      <w:rFonts w:ascii="Times New Roman" w:hAnsi="Times New Roman" w:eastAsia="宋体" w:cs="Times New Roman"/>
      <w:b/>
      <w:bCs/>
      <w:kern w:val="44"/>
      <w:sz w:val="44"/>
      <w:szCs w:val="44"/>
    </w:rPr>
  </w:style>
  <w:style w:type="character" w:customStyle="1" w:styleId="408">
    <w:name w:val="大标题 Char Char"/>
    <w:qFormat/>
    <w:uiPriority w:val="0"/>
    <w:rPr>
      <w:rFonts w:ascii="黑体" w:hAnsi="黑体" w:eastAsia="黑体"/>
      <w:b/>
      <w:bCs/>
      <w:kern w:val="2"/>
      <w:sz w:val="72"/>
      <w:szCs w:val="72"/>
    </w:rPr>
  </w:style>
  <w:style w:type="character" w:customStyle="1" w:styleId="409">
    <w:name w:val="正文首行缩进 Char2"/>
    <w:qFormat/>
    <w:uiPriority w:val="0"/>
    <w:rPr>
      <w:rFonts w:ascii="仿宋_GB2312"/>
      <w:b/>
      <w:sz w:val="32"/>
      <w:szCs w:val="32"/>
    </w:rPr>
  </w:style>
  <w:style w:type="character" w:customStyle="1" w:styleId="410">
    <w:name w:val="blue1"/>
    <w:qFormat/>
    <w:uiPriority w:val="0"/>
    <w:rPr>
      <w:rFonts w:ascii="仿宋_GB2312" w:hAnsi="Tahoma" w:eastAsia="仿宋_GB2312"/>
      <w:b/>
      <w:sz w:val="32"/>
      <w:szCs w:val="32"/>
    </w:rPr>
  </w:style>
  <w:style w:type="character" w:customStyle="1" w:styleId="411">
    <w:name w:val="注释正文＋下划线 Char Char"/>
    <w:qFormat/>
    <w:uiPriority w:val="0"/>
    <w:rPr>
      <w:rFonts w:ascii="宋体" w:hAnsi="宋体"/>
      <w:kern w:val="2"/>
      <w:sz w:val="28"/>
      <w:szCs w:val="28"/>
      <w:u w:val="single"/>
    </w:rPr>
  </w:style>
  <w:style w:type="character" w:customStyle="1" w:styleId="412">
    <w:name w:val="Footer-Even Char1"/>
    <w:qFormat/>
    <w:uiPriority w:val="0"/>
    <w:rPr>
      <w:rFonts w:ascii="仿宋_GB2312" w:eastAsia="宋体"/>
      <w:b/>
      <w:kern w:val="2"/>
      <w:sz w:val="18"/>
      <w:szCs w:val="18"/>
      <w:lang w:val="en-US" w:eastAsia="zh-CN" w:bidi="ar-SA"/>
    </w:rPr>
  </w:style>
  <w:style w:type="character" w:customStyle="1" w:styleId="413">
    <w:name w:val="Char Char15"/>
    <w:qFormat/>
    <w:uiPriority w:val="0"/>
    <w:rPr>
      <w:rFonts w:ascii="Arial" w:hAnsi="Arial" w:eastAsia="黑体"/>
      <w:b/>
      <w:sz w:val="24"/>
      <w:szCs w:val="24"/>
    </w:rPr>
  </w:style>
  <w:style w:type="character" w:customStyle="1" w:styleId="414">
    <w:name w:val="heading 3 Char2"/>
    <w:qFormat/>
    <w:uiPriority w:val="0"/>
    <w:rPr>
      <w:rFonts w:ascii="仿宋_GB2312" w:eastAsia="仿宋_GB2312"/>
      <w:b/>
      <w:bCs/>
      <w:kern w:val="2"/>
      <w:sz w:val="32"/>
      <w:szCs w:val="32"/>
    </w:rPr>
  </w:style>
  <w:style w:type="character" w:customStyle="1" w:styleId="415">
    <w:name w:val="hui"/>
    <w:qFormat/>
    <w:uiPriority w:val="0"/>
    <w:rPr>
      <w:rFonts w:ascii="仿宋_GB2312" w:hAnsi="Tahoma" w:eastAsia="仿宋_GB2312"/>
      <w:b/>
      <w:sz w:val="32"/>
      <w:szCs w:val="32"/>
    </w:rPr>
  </w:style>
  <w:style w:type="character" w:customStyle="1" w:styleId="416">
    <w:name w:val="A3"/>
    <w:qFormat/>
    <w:uiPriority w:val="0"/>
    <w:rPr>
      <w:rFonts w:ascii="ZapfDingbatsNr2EFOP-Regular" w:eastAsia="ZapfDingbatsNr2EFOP-Regular" w:cs="ZapfDingbatsNr2EFOP-Regular"/>
      <w:color w:val="211D1E"/>
      <w:sz w:val="14"/>
      <w:szCs w:val="14"/>
    </w:rPr>
  </w:style>
  <w:style w:type="character" w:customStyle="1" w:styleId="417">
    <w:name w:val="hover30"/>
    <w:qFormat/>
    <w:uiPriority w:val="0"/>
    <w:rPr>
      <w:szCs w:val="20"/>
    </w:rPr>
  </w:style>
  <w:style w:type="character" w:customStyle="1" w:styleId="418">
    <w:name w:val="符号正文缩进 Char"/>
    <w:link w:val="419"/>
    <w:qFormat/>
    <w:uiPriority w:val="0"/>
    <w:rPr>
      <w:sz w:val="24"/>
    </w:rPr>
  </w:style>
  <w:style w:type="paragraph" w:customStyle="1" w:styleId="419">
    <w:name w:val="符号正文缩进"/>
    <w:basedOn w:val="16"/>
    <w:link w:val="418"/>
    <w:qFormat/>
    <w:uiPriority w:val="0"/>
    <w:pPr>
      <w:numPr>
        <w:ilvl w:val="0"/>
        <w:numId w:val="7"/>
      </w:numPr>
      <w:spacing w:line="400" w:lineRule="atLeast"/>
    </w:pPr>
    <w:rPr>
      <w:sz w:val="24"/>
    </w:rPr>
  </w:style>
  <w:style w:type="character" w:customStyle="1" w:styleId="420">
    <w:name w:val="num"/>
    <w:qFormat/>
    <w:uiPriority w:val="0"/>
    <w:rPr>
      <w:b/>
      <w:color w:val="FF7800"/>
      <w:szCs w:val="20"/>
    </w:rPr>
  </w:style>
  <w:style w:type="character" w:customStyle="1" w:styleId="421">
    <w:name w:val="正文首行缩进 Char"/>
    <w:qFormat/>
    <w:uiPriority w:val="0"/>
    <w:rPr>
      <w:rFonts w:ascii="仿宋_GB2312" w:eastAsia="宋体"/>
      <w:b/>
      <w:kern w:val="2"/>
      <w:sz w:val="21"/>
      <w:szCs w:val="24"/>
      <w:lang w:val="en-US" w:eastAsia="zh-CN" w:bidi="ar-SA"/>
    </w:rPr>
  </w:style>
  <w:style w:type="character" w:customStyle="1" w:styleId="422">
    <w:name w:val="Table Text Char Char"/>
    <w:link w:val="423"/>
    <w:qFormat/>
    <w:uiPriority w:val="0"/>
    <w:rPr>
      <w:sz w:val="24"/>
    </w:rPr>
  </w:style>
  <w:style w:type="paragraph" w:customStyle="1" w:styleId="423">
    <w:name w:val="Table Text"/>
    <w:basedOn w:val="1"/>
    <w:link w:val="422"/>
    <w:qFormat/>
    <w:uiPriority w:val="0"/>
    <w:pPr>
      <w:widowControl/>
      <w:autoSpaceDE w:val="0"/>
      <w:autoSpaceDN w:val="0"/>
      <w:adjustRightInd w:val="0"/>
      <w:spacing w:before="60" w:after="60"/>
      <w:jc w:val="left"/>
    </w:pPr>
    <w:rPr>
      <w:kern w:val="0"/>
      <w:sz w:val="24"/>
      <w:szCs w:val="20"/>
    </w:rPr>
  </w:style>
  <w:style w:type="character" w:customStyle="1" w:styleId="424">
    <w:name w:val="Char Char211"/>
    <w:qFormat/>
    <w:uiPriority w:val="0"/>
    <w:rPr>
      <w:rFonts w:ascii="Times New Roman" w:hAnsi="Times New Roman" w:eastAsia="宋体" w:cs="Times New Roman"/>
      <w:b/>
      <w:bCs/>
      <w:kern w:val="44"/>
      <w:sz w:val="44"/>
      <w:szCs w:val="44"/>
    </w:rPr>
  </w:style>
  <w:style w:type="character" w:customStyle="1" w:styleId="425">
    <w:name w:val="Char Char11"/>
    <w:qFormat/>
    <w:uiPriority w:val="0"/>
    <w:rPr>
      <w:rFonts w:ascii="Times New Roman" w:hAnsi="Times New Roman" w:eastAsia="宋体" w:cs="Times New Roman"/>
      <w:sz w:val="18"/>
      <w:szCs w:val="18"/>
    </w:rPr>
  </w:style>
  <w:style w:type="character" w:customStyle="1" w:styleId="426">
    <w:name w:val="表格题注 Char"/>
    <w:link w:val="427"/>
    <w:qFormat/>
    <w:uiPriority w:val="0"/>
    <w:rPr>
      <w:rFonts w:ascii="Calibri Light" w:hAnsi="Calibri Light" w:eastAsia="黑体" w:cs="黑体"/>
      <w:bCs/>
      <w:kern w:val="2"/>
      <w:sz w:val="21"/>
      <w:szCs w:val="21"/>
    </w:rPr>
  </w:style>
  <w:style w:type="paragraph" w:customStyle="1" w:styleId="427">
    <w:name w:val="表格题注"/>
    <w:basedOn w:val="17"/>
    <w:link w:val="426"/>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8">
    <w:name w:val="明显参考1"/>
    <w:qFormat/>
    <w:uiPriority w:val="0"/>
    <w:rPr>
      <w:b/>
      <w:bCs/>
      <w:smallCaps/>
      <w:color w:val="C0504D"/>
      <w:spacing w:val="5"/>
      <w:u w:val="single"/>
    </w:rPr>
  </w:style>
  <w:style w:type="character" w:customStyle="1" w:styleId="429">
    <w:name w:val="副标题 Char1"/>
    <w:qFormat/>
    <w:uiPriority w:val="11"/>
    <w:rPr>
      <w:rFonts w:ascii="Cambria" w:hAnsi="Cambria" w:cs="Times New Roman"/>
      <w:b/>
      <w:bCs/>
      <w:kern w:val="28"/>
      <w:sz w:val="32"/>
      <w:szCs w:val="32"/>
    </w:rPr>
  </w:style>
  <w:style w:type="character" w:customStyle="1" w:styleId="430">
    <w:name w:val="称呼 Char"/>
    <w:qFormat/>
    <w:uiPriority w:val="0"/>
  </w:style>
  <w:style w:type="character" w:customStyle="1" w:styleId="431">
    <w:name w:val="heading 8 Char1"/>
    <w:qFormat/>
    <w:uiPriority w:val="0"/>
    <w:rPr>
      <w:rFonts w:ascii="Arial" w:hAnsi="Arial" w:eastAsia="黑体"/>
      <w:b/>
      <w:sz w:val="24"/>
      <w:szCs w:val="32"/>
      <w:lang w:val="en-US" w:eastAsia="zh-CN" w:bidi="ar-SA"/>
    </w:rPr>
  </w:style>
  <w:style w:type="character" w:customStyle="1" w:styleId="432">
    <w:name w:val="release-day"/>
    <w:qFormat/>
    <w:uiPriority w:val="0"/>
    <w:rPr>
      <w:szCs w:val="20"/>
      <w:bdr w:val="single" w:color="BDEBB0" w:sz="4" w:space="0"/>
      <w:shd w:val="clear" w:color="auto" w:fill="F5FFF1"/>
    </w:rPr>
  </w:style>
  <w:style w:type="character" w:customStyle="1" w:styleId="433">
    <w:name w:val="纯文本 Char1"/>
    <w:qFormat/>
    <w:uiPriority w:val="0"/>
    <w:rPr>
      <w:rFonts w:ascii="宋体" w:hAnsi="Courier New"/>
      <w:kern w:val="2"/>
      <w:sz w:val="21"/>
    </w:rPr>
  </w:style>
  <w:style w:type="character" w:customStyle="1" w:styleId="434">
    <w:name w:val="批注框文本 Char"/>
    <w:qFormat/>
    <w:uiPriority w:val="99"/>
    <w:rPr>
      <w:kern w:val="2"/>
      <w:sz w:val="18"/>
      <w:szCs w:val="18"/>
    </w:rPr>
  </w:style>
  <w:style w:type="character" w:customStyle="1" w:styleId="435">
    <w:name w:val="表格 Char Char"/>
    <w:link w:val="436"/>
    <w:qFormat/>
    <w:uiPriority w:val="0"/>
    <w:rPr>
      <w:rFonts w:ascii="宋体" w:hAnsi="宋体"/>
      <w:b/>
      <w:sz w:val="32"/>
      <w:szCs w:val="32"/>
    </w:rPr>
  </w:style>
  <w:style w:type="paragraph" w:customStyle="1" w:styleId="436">
    <w:name w:val="表格"/>
    <w:basedOn w:val="1"/>
    <w:link w:val="435"/>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7">
    <w:name w:val="列出段落 Char1"/>
    <w:qFormat/>
    <w:uiPriority w:val="0"/>
    <w:rPr>
      <w:kern w:val="2"/>
      <w:sz w:val="21"/>
    </w:rPr>
  </w:style>
  <w:style w:type="character" w:customStyle="1" w:styleId="438">
    <w:name w:val="标题 5 Char"/>
    <w:qFormat/>
    <w:uiPriority w:val="0"/>
    <w:rPr>
      <w:rFonts w:ascii="仿宋_GB2312" w:hAnsi="Tahoma"/>
      <w:b/>
      <w:bCs/>
      <w:kern w:val="2"/>
      <w:sz w:val="28"/>
      <w:szCs w:val="28"/>
    </w:rPr>
  </w:style>
  <w:style w:type="character" w:customStyle="1" w:styleId="439">
    <w:name w:val="A6"/>
    <w:qFormat/>
    <w:uiPriority w:val="0"/>
    <w:rPr>
      <w:rFonts w:cs="Helvetica Neue"/>
      <w:color w:val="3E667A"/>
      <w:sz w:val="14"/>
      <w:szCs w:val="14"/>
    </w:rPr>
  </w:style>
  <w:style w:type="character" w:customStyle="1" w:styleId="440">
    <w:name w:val="注释标题 Char1"/>
    <w:qFormat/>
    <w:uiPriority w:val="0"/>
    <w:rPr>
      <w:kern w:val="2"/>
      <w:sz w:val="21"/>
      <w:szCs w:val="24"/>
    </w:rPr>
  </w:style>
  <w:style w:type="paragraph" w:customStyle="1" w:styleId="441">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3">
    <w:name w:val="样式 标题 4正文四级标题 + 宋体 小五 行距: 固定值 12 磅1"/>
    <w:basedOn w:val="1"/>
    <w:qFormat/>
    <w:uiPriority w:val="0"/>
    <w:pPr>
      <w:tabs>
        <w:tab w:val="left" w:pos="2580"/>
      </w:tabs>
      <w:ind w:left="2580" w:hanging="420"/>
    </w:pPr>
    <w:rPr>
      <w:sz w:val="20"/>
    </w:rPr>
  </w:style>
  <w:style w:type="paragraph" w:customStyle="1" w:styleId="444">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44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6">
    <w:name w:val="Char12"/>
    <w:basedOn w:val="1"/>
    <w:qFormat/>
    <w:uiPriority w:val="0"/>
    <w:rPr>
      <w:rFonts w:ascii="Tahoma" w:hAnsi="Tahoma"/>
      <w:sz w:val="24"/>
      <w:szCs w:val="20"/>
    </w:rPr>
  </w:style>
  <w:style w:type="paragraph" w:customStyle="1" w:styleId="447">
    <w:name w:val="Revision1"/>
    <w:qFormat/>
    <w:uiPriority w:val="99"/>
    <w:rPr>
      <w:rFonts w:ascii="Times New Roman" w:hAnsi="Times New Roman" w:eastAsia="宋体" w:cs="Times New Roman"/>
      <w:kern w:val="2"/>
      <w:sz w:val="21"/>
      <w:szCs w:val="24"/>
      <w:lang w:val="en-US" w:eastAsia="zh-CN" w:bidi="ar-SA"/>
    </w:rPr>
  </w:style>
  <w:style w:type="paragraph" w:customStyle="1" w:styleId="44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49">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1">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2">
    <w:name w:val="Char Char Char2"/>
    <w:basedOn w:val="1"/>
    <w:next w:val="1"/>
    <w:qFormat/>
    <w:uiPriority w:val="0"/>
    <w:pPr>
      <w:shd w:val="clear" w:color="auto" w:fill="000080"/>
    </w:pPr>
    <w:rPr>
      <w:rFonts w:ascii="Tahoma" w:hAnsi="Tahoma"/>
      <w:sz w:val="24"/>
    </w:rPr>
  </w:style>
  <w:style w:type="paragraph" w:customStyle="1" w:styleId="453">
    <w:name w:val="表格正文"/>
    <w:basedOn w:val="16"/>
    <w:qFormat/>
    <w:uiPriority w:val="0"/>
    <w:pPr>
      <w:adjustRightInd/>
      <w:spacing w:beforeLines="30" w:afterLines="20" w:line="360" w:lineRule="auto"/>
      <w:ind w:firstLine="0"/>
      <w:textAlignment w:val="auto"/>
    </w:pPr>
    <w:rPr>
      <w:rFonts w:ascii="Arial" w:hAnsi="Arial"/>
      <w:kern w:val="2"/>
      <w:szCs w:val="21"/>
    </w:rPr>
  </w:style>
  <w:style w:type="paragraph" w:customStyle="1" w:styleId="454">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45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6">
    <w:name w:val="标题 2P"/>
    <w:basedOn w:val="4"/>
    <w:next w:val="16"/>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7">
    <w:name w:val="样式_5"/>
    <w:basedOn w:val="7"/>
    <w:qFormat/>
    <w:uiPriority w:val="0"/>
    <w:pPr>
      <w:keepNext w:val="0"/>
      <w:adjustRightInd w:val="0"/>
      <w:spacing w:line="376" w:lineRule="auto"/>
      <w:textAlignment w:val="baseline"/>
    </w:pPr>
    <w:rPr>
      <w:rFonts w:ascii="宋体" w:hAnsi="宋体"/>
      <w:kern w:val="0"/>
      <w:sz w:val="18"/>
      <w:szCs w:val="18"/>
    </w:rPr>
  </w:style>
  <w:style w:type="paragraph" w:customStyle="1" w:styleId="458">
    <w:name w:val="正文（首行缩进）"/>
    <w:basedOn w:val="25"/>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59">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6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1">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3">
    <w:name w:val="1"/>
    <w:basedOn w:val="1"/>
    <w:qFormat/>
    <w:uiPriority w:val="0"/>
  </w:style>
  <w:style w:type="paragraph" w:customStyle="1" w:styleId="46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5">
    <w:name w:val="标题2"/>
    <w:basedOn w:val="4"/>
    <w:qFormat/>
    <w:uiPriority w:val="0"/>
    <w:pPr>
      <w:numPr>
        <w:ilvl w:val="1"/>
        <w:numId w:val="8"/>
      </w:numPr>
      <w:spacing w:before="240" w:after="240" w:line="360" w:lineRule="auto"/>
    </w:pPr>
    <w:rPr>
      <w:rFonts w:ascii="Times New Roman" w:hAnsi="Times New Roman"/>
      <w:sz w:val="36"/>
    </w:rPr>
  </w:style>
  <w:style w:type="paragraph" w:customStyle="1" w:styleId="466">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7">
    <w:name w:val="TOC 标题1"/>
    <w:basedOn w:val="2"/>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0">
    <w:name w:val="二级条标题"/>
    <w:basedOn w:val="471"/>
    <w:next w:val="1"/>
    <w:qFormat/>
    <w:uiPriority w:val="0"/>
    <w:pPr>
      <w:numPr>
        <w:ilvl w:val="3"/>
      </w:numPr>
      <w:tabs>
        <w:tab w:val="left" w:pos="360"/>
      </w:tabs>
      <w:outlineLvl w:val="3"/>
    </w:pPr>
  </w:style>
  <w:style w:type="paragraph" w:customStyle="1" w:styleId="471">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2">
    <w:name w:val="subtitle 2"/>
    <w:basedOn w:val="1"/>
    <w:qFormat/>
    <w:uiPriority w:val="0"/>
    <w:pPr>
      <w:spacing w:before="240" w:after="240" w:line="312" w:lineRule="atLeast"/>
    </w:pPr>
    <w:rPr>
      <w:rFonts w:eastAsia="黑体"/>
      <w:snapToGrid w:val="0"/>
      <w:kern w:val="0"/>
      <w:sz w:val="24"/>
      <w:szCs w:val="20"/>
    </w:rPr>
  </w:style>
  <w:style w:type="paragraph" w:customStyle="1" w:styleId="473">
    <w:name w:val="Char Char1 Char"/>
    <w:basedOn w:val="1"/>
    <w:qFormat/>
    <w:uiPriority w:val="0"/>
    <w:pPr>
      <w:spacing w:line="360" w:lineRule="auto"/>
    </w:pPr>
    <w:rPr>
      <w:sz w:val="24"/>
    </w:rPr>
  </w:style>
  <w:style w:type="paragraph" w:customStyle="1" w:styleId="47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5">
    <w:name w:val="Blockquote"/>
    <w:basedOn w:val="1"/>
    <w:qFormat/>
    <w:uiPriority w:val="0"/>
    <w:pPr>
      <w:autoSpaceDE w:val="0"/>
      <w:autoSpaceDN w:val="0"/>
      <w:spacing w:before="100" w:after="100"/>
      <w:ind w:left="360" w:right="360"/>
      <w:jc w:val="left"/>
    </w:pPr>
    <w:rPr>
      <w:szCs w:val="20"/>
    </w:rPr>
  </w:style>
  <w:style w:type="paragraph" w:customStyle="1" w:styleId="476">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7">
    <w:name w:val="Char Char Char Char Char Char Char Char Char Char Char Char Char"/>
    <w:basedOn w:val="1"/>
    <w:qFormat/>
    <w:uiPriority w:val="0"/>
  </w:style>
  <w:style w:type="paragraph" w:customStyle="1" w:styleId="478">
    <w:name w:val="列出段落3"/>
    <w:basedOn w:val="1"/>
    <w:qFormat/>
    <w:uiPriority w:val="0"/>
    <w:pPr>
      <w:spacing w:line="360" w:lineRule="auto"/>
      <w:ind w:firstLine="420" w:firstLineChars="200"/>
    </w:pPr>
    <w:rPr>
      <w:rFonts w:ascii="Calibri" w:hAnsi="Calibri"/>
      <w:sz w:val="24"/>
      <w:szCs w:val="22"/>
    </w:rPr>
  </w:style>
  <w:style w:type="paragraph" w:customStyle="1" w:styleId="479">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0">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1">
    <w:name w:val="表格文字"/>
    <w:basedOn w:val="1"/>
    <w:qFormat/>
    <w:uiPriority w:val="0"/>
    <w:pPr>
      <w:spacing w:line="420" w:lineRule="atLeast"/>
      <w:jc w:val="left"/>
    </w:pPr>
    <w:rPr>
      <w:szCs w:val="20"/>
    </w:rPr>
  </w:style>
  <w:style w:type="paragraph" w:customStyle="1" w:styleId="482">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6">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88">
    <w:name w:val="Char Char Char Char3"/>
    <w:basedOn w:val="19"/>
    <w:qFormat/>
    <w:uiPriority w:val="0"/>
    <w:rPr>
      <w:rFonts w:ascii="Cambria" w:hAnsi="Cambria" w:eastAsia="仿宋_GB2312" w:cs="新宋体"/>
      <w:sz w:val="24"/>
    </w:rPr>
  </w:style>
  <w:style w:type="paragraph" w:customStyle="1" w:styleId="489">
    <w:name w:val="默认段落字体 Para Char Char Char Char Char Char Char Char Char1 Char Char Char Char Char Char Char"/>
    <w:basedOn w:val="19"/>
    <w:qFormat/>
    <w:uiPriority w:val="0"/>
    <w:rPr>
      <w:rFonts w:ascii="Tahoma" w:hAnsi="Tahoma"/>
      <w:sz w:val="24"/>
    </w:rPr>
  </w:style>
  <w:style w:type="paragraph" w:customStyle="1" w:styleId="49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491">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3">
    <w:name w:val="章标题"/>
    <w:next w:val="1"/>
    <w:qFormat/>
    <w:uiPriority w:val="0"/>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49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7">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498">
    <w:name w:val="编号1"/>
    <w:basedOn w:val="1"/>
    <w:qFormat/>
    <w:uiPriority w:val="0"/>
    <w:pPr>
      <w:spacing w:line="360" w:lineRule="auto"/>
      <w:jc w:val="left"/>
    </w:pPr>
    <w:rPr>
      <w:sz w:val="24"/>
    </w:rPr>
  </w:style>
  <w:style w:type="paragraph" w:customStyle="1" w:styleId="499">
    <w:name w:val="列表段落1"/>
    <w:basedOn w:val="1"/>
    <w:qFormat/>
    <w:uiPriority w:val="99"/>
    <w:pPr>
      <w:spacing w:before="120" w:after="120"/>
      <w:ind w:firstLine="420"/>
    </w:pPr>
    <w:rPr>
      <w:rFonts w:ascii="宋体" w:hAnsi="宋体" w:eastAsia="仿宋"/>
      <w:sz w:val="24"/>
    </w:rPr>
  </w:style>
  <w:style w:type="paragraph" w:customStyle="1" w:styleId="500">
    <w:name w:val="Char Char Char Char11"/>
    <w:basedOn w:val="19"/>
    <w:qFormat/>
    <w:uiPriority w:val="0"/>
    <w:rPr>
      <w:rFonts w:ascii="Tahoma" w:hAnsi="Tahoma"/>
      <w:sz w:val="24"/>
    </w:rPr>
  </w:style>
  <w:style w:type="paragraph" w:customStyle="1" w:styleId="501">
    <w:name w:val="三级条标题"/>
    <w:basedOn w:val="470"/>
    <w:next w:val="1"/>
    <w:qFormat/>
    <w:uiPriority w:val="0"/>
    <w:pPr>
      <w:numPr>
        <w:ilvl w:val="4"/>
      </w:numPr>
      <w:outlineLvl w:val="4"/>
    </w:pPr>
  </w:style>
  <w:style w:type="paragraph" w:customStyle="1" w:styleId="502">
    <w:name w:val="_Style 11"/>
    <w:basedOn w:val="1"/>
    <w:qFormat/>
    <w:uiPriority w:val="0"/>
    <w:pPr>
      <w:tabs>
        <w:tab w:val="left" w:pos="360"/>
      </w:tabs>
    </w:pPr>
    <w:rPr>
      <w:szCs w:val="22"/>
    </w:rPr>
  </w:style>
  <w:style w:type="paragraph" w:customStyle="1" w:styleId="50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4">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6">
    <w:name w:val="样式 首行缩进:  2 字符1"/>
    <w:basedOn w:val="1"/>
    <w:qFormat/>
    <w:uiPriority w:val="0"/>
    <w:pPr>
      <w:spacing w:line="360" w:lineRule="auto"/>
      <w:ind w:firstLine="540" w:firstLineChars="225"/>
    </w:pPr>
    <w:rPr>
      <w:sz w:val="24"/>
      <w:szCs w:val="20"/>
    </w:rPr>
  </w:style>
  <w:style w:type="paragraph" w:customStyle="1" w:styleId="507">
    <w:name w:val="样式 四号 行距: 1.5 倍行距"/>
    <w:basedOn w:val="1"/>
    <w:qFormat/>
    <w:uiPriority w:val="0"/>
    <w:pPr>
      <w:spacing w:line="312" w:lineRule="auto"/>
      <w:ind w:firstLine="202" w:firstLineChars="202"/>
    </w:pPr>
    <w:rPr>
      <w:rFonts w:cs="宋体"/>
      <w:sz w:val="24"/>
      <w:szCs w:val="20"/>
    </w:rPr>
  </w:style>
  <w:style w:type="paragraph" w:customStyle="1" w:styleId="508">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0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0">
    <w:name w:val="Char Char Char Char Char Char"/>
    <w:basedOn w:val="1"/>
    <w:qFormat/>
    <w:uiPriority w:val="0"/>
    <w:rPr>
      <w:rFonts w:ascii="Tahoma" w:hAnsi="Tahoma"/>
      <w:sz w:val="24"/>
      <w:szCs w:val="20"/>
    </w:rPr>
  </w:style>
  <w:style w:type="paragraph" w:customStyle="1" w:styleId="511">
    <w:name w:val="Normal Indent1"/>
    <w:basedOn w:val="1"/>
    <w:qFormat/>
    <w:uiPriority w:val="0"/>
    <w:pPr>
      <w:ind w:firstLine="420" w:firstLineChars="200"/>
    </w:pPr>
  </w:style>
  <w:style w:type="paragraph" w:customStyle="1" w:styleId="512">
    <w:name w:val="Char11"/>
    <w:basedOn w:val="1"/>
    <w:qFormat/>
    <w:uiPriority w:val="0"/>
    <w:rPr>
      <w:rFonts w:ascii="Tahoma" w:hAnsi="Tahoma"/>
      <w:sz w:val="24"/>
      <w:szCs w:val="20"/>
    </w:rPr>
  </w:style>
  <w:style w:type="paragraph" w:customStyle="1" w:styleId="513">
    <w:name w:val="Char"/>
    <w:basedOn w:val="1"/>
    <w:qFormat/>
    <w:uiPriority w:val="0"/>
    <w:pPr>
      <w:widowControl/>
      <w:spacing w:line="400" w:lineRule="exact"/>
      <w:jc w:val="center"/>
    </w:pPr>
    <w:rPr>
      <w:rFonts w:ascii="Verdana" w:hAnsi="Verdana"/>
      <w:kern w:val="0"/>
      <w:szCs w:val="20"/>
      <w:lang w:eastAsia="en-US"/>
    </w:rPr>
  </w:style>
  <w:style w:type="paragraph" w:customStyle="1" w:styleId="514">
    <w:name w:val="正文－恩普"/>
    <w:basedOn w:val="16"/>
    <w:qFormat/>
    <w:uiPriority w:val="0"/>
    <w:pPr>
      <w:adjustRightInd/>
      <w:spacing w:line="360" w:lineRule="auto"/>
      <w:ind w:firstLine="200" w:firstLineChars="200"/>
      <w:textAlignment w:val="auto"/>
    </w:pPr>
    <w:rPr>
      <w:rFonts w:ascii="仿宋_GB2312"/>
      <w:b/>
      <w:kern w:val="2"/>
      <w:sz w:val="24"/>
      <w:szCs w:val="24"/>
    </w:rPr>
  </w:style>
  <w:style w:type="paragraph" w:customStyle="1" w:styleId="515">
    <w:name w:val="正文 首行缩进:  2 字符 Char"/>
    <w:basedOn w:val="1"/>
    <w:qFormat/>
    <w:uiPriority w:val="0"/>
    <w:pPr>
      <w:spacing w:line="360" w:lineRule="auto"/>
      <w:ind w:firstLine="480"/>
    </w:pPr>
    <w:rPr>
      <w:rFonts w:cs="宋体"/>
      <w:sz w:val="24"/>
      <w:szCs w:val="20"/>
    </w:rPr>
  </w:style>
  <w:style w:type="paragraph" w:customStyle="1" w:styleId="51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7">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8">
    <w:name w:val="纯文本1"/>
    <w:basedOn w:val="1"/>
    <w:qFormat/>
    <w:uiPriority w:val="0"/>
    <w:pPr>
      <w:adjustRightInd w:val="0"/>
      <w:textAlignment w:val="baseline"/>
    </w:pPr>
    <w:rPr>
      <w:rFonts w:ascii="宋体" w:hAnsi="Courier New" w:eastAsia="楷体_GB2312"/>
      <w:sz w:val="26"/>
      <w:szCs w:val="20"/>
    </w:rPr>
  </w:style>
  <w:style w:type="paragraph" w:customStyle="1" w:styleId="519">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0">
    <w:name w:val="Char Char Char Char1"/>
    <w:basedOn w:val="1"/>
    <w:qFormat/>
    <w:uiPriority w:val="0"/>
    <w:rPr>
      <w:szCs w:val="20"/>
    </w:rPr>
  </w:style>
  <w:style w:type="paragraph" w:customStyle="1" w:styleId="521">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3">
    <w:name w:val="Pa5"/>
    <w:basedOn w:val="524"/>
    <w:next w:val="524"/>
    <w:qFormat/>
    <w:uiPriority w:val="0"/>
    <w:pPr>
      <w:spacing w:after="60" w:line="161" w:lineRule="atLeast"/>
    </w:pPr>
    <w:rPr>
      <w:rFonts w:ascii="Univers LT Std 57 Cn" w:hAnsi="Univers LT Std 57 Cn" w:cs="Times New Roman"/>
      <w:color w:val="auto"/>
    </w:rPr>
  </w:style>
  <w:style w:type="paragraph" w:customStyle="1" w:styleId="5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5">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6">
    <w:name w:val="正文字缩2字"/>
    <w:basedOn w:val="1"/>
    <w:qFormat/>
    <w:uiPriority w:val="0"/>
    <w:pPr>
      <w:spacing w:before="60" w:after="60" w:line="360" w:lineRule="auto"/>
      <w:ind w:left="200" w:leftChars="200" w:firstLine="200" w:firstLineChars="200"/>
    </w:pPr>
    <w:rPr>
      <w:sz w:val="24"/>
    </w:rPr>
  </w:style>
  <w:style w:type="paragraph" w:customStyle="1" w:styleId="527">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28">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0">
    <w:name w:val="图表脚注"/>
    <w:next w:val="531"/>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33">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534">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35">
    <w:name w:val="1级"/>
    <w:basedOn w:val="2"/>
    <w:next w:val="57"/>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6">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7">
    <w:name w:val="H 4"/>
    <w:basedOn w:val="6"/>
    <w:next w:val="1"/>
    <w:qFormat/>
    <w:uiPriority w:val="0"/>
    <w:pPr>
      <w:spacing w:before="120" w:after="120" w:line="240" w:lineRule="auto"/>
    </w:pPr>
    <w:rPr>
      <w:rFonts w:ascii="宋体" w:hAnsi="宋体"/>
      <w:szCs w:val="24"/>
      <w:lang w:val="zh-CN"/>
    </w:rPr>
  </w:style>
  <w:style w:type="paragraph" w:customStyle="1" w:styleId="538">
    <w:name w:val="列出段落5"/>
    <w:basedOn w:val="1"/>
    <w:qFormat/>
    <w:uiPriority w:val="0"/>
    <w:pPr>
      <w:ind w:firstLine="420" w:firstLineChars="200"/>
    </w:pPr>
  </w:style>
  <w:style w:type="paragraph" w:customStyle="1" w:styleId="539">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540">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5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2">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4">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5">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6">
    <w:name w:val="默认段落字体 Para Char Char Char Char"/>
    <w:basedOn w:val="1"/>
    <w:qFormat/>
    <w:uiPriority w:val="0"/>
    <w:rPr>
      <w:sz w:val="20"/>
    </w:rPr>
  </w:style>
  <w:style w:type="paragraph" w:customStyle="1" w:styleId="547">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48">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549">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1">
    <w:name w:val="表格文字加粗"/>
    <w:basedOn w:val="481"/>
    <w:qFormat/>
    <w:uiPriority w:val="0"/>
    <w:pPr>
      <w:spacing w:line="240" w:lineRule="auto"/>
    </w:pPr>
    <w:rPr>
      <w:rFonts w:ascii="宋体" w:hAnsi="宋体" w:cs="宋体"/>
      <w:b/>
      <w:bCs/>
      <w:sz w:val="18"/>
      <w:szCs w:val="18"/>
    </w:rPr>
  </w:style>
  <w:style w:type="paragraph" w:customStyle="1" w:styleId="5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5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5">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6">
    <w:name w:val="样式 标题 4 + 非加粗"/>
    <w:basedOn w:val="6"/>
    <w:qFormat/>
    <w:uiPriority w:val="0"/>
    <w:pPr>
      <w:keepNext w:val="0"/>
      <w:tabs>
        <w:tab w:val="left" w:pos="0"/>
      </w:tabs>
      <w:adjustRightInd w:val="0"/>
      <w:textAlignment w:val="baseline"/>
    </w:pPr>
    <w:rPr>
      <w:rFonts w:ascii="Arial" w:hAnsi="Arial" w:eastAsia="黑体"/>
      <w:sz w:val="24"/>
      <w:szCs w:val="20"/>
    </w:rPr>
  </w:style>
  <w:style w:type="paragraph" w:customStyle="1" w:styleId="557">
    <w:name w:val="blockquote"/>
    <w:basedOn w:val="1"/>
    <w:qFormat/>
    <w:uiPriority w:val="0"/>
    <w:pPr>
      <w:widowControl/>
      <w:spacing w:before="100" w:beforeAutospacing="1" w:after="100" w:afterAutospacing="1"/>
      <w:jc w:val="left"/>
    </w:pPr>
    <w:rPr>
      <w:rFonts w:ascii="宋体" w:hAnsi="宋体"/>
    </w:rPr>
  </w:style>
  <w:style w:type="paragraph" w:customStyle="1" w:styleId="558">
    <w:name w:val="Char1 Char Char Char Char1"/>
    <w:basedOn w:val="19"/>
    <w:qFormat/>
    <w:uiPriority w:val="0"/>
    <w:rPr>
      <w:rFonts w:ascii="Tahoma" w:hAnsi="Tahoma" w:cs="Tahoma"/>
      <w:kern w:val="0"/>
      <w:sz w:val="18"/>
    </w:rPr>
  </w:style>
  <w:style w:type="paragraph" w:customStyle="1" w:styleId="559">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0">
    <w:name w:val="缩正文"/>
    <w:basedOn w:val="57"/>
    <w:qFormat/>
    <w:uiPriority w:val="0"/>
    <w:pPr>
      <w:spacing w:line="240" w:lineRule="auto"/>
      <w:ind w:left="2268" w:leftChars="0" w:firstLine="0" w:firstLineChars="0"/>
    </w:pPr>
    <w:rPr>
      <w:rFonts w:ascii="Times New Roman" w:hAnsi="Times New Roman"/>
      <w:sz w:val="21"/>
      <w:szCs w:val="20"/>
    </w:rPr>
  </w:style>
  <w:style w:type="paragraph" w:customStyle="1" w:styleId="561">
    <w:name w:val="Table Paragraph"/>
    <w:basedOn w:val="1"/>
    <w:qFormat/>
    <w:uiPriority w:val="1"/>
    <w:pPr>
      <w:autoSpaceDE w:val="0"/>
      <w:autoSpaceDN w:val="0"/>
      <w:adjustRightInd w:val="0"/>
      <w:jc w:val="left"/>
    </w:pPr>
    <w:rPr>
      <w:kern w:val="0"/>
      <w:sz w:val="24"/>
    </w:rPr>
  </w:style>
  <w:style w:type="paragraph" w:customStyle="1" w:styleId="562">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3">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4">
    <w:name w:val="NICMAN Body Text"/>
    <w:basedOn w:val="1"/>
    <w:next w:val="23"/>
    <w:qFormat/>
    <w:uiPriority w:val="0"/>
    <w:pPr>
      <w:autoSpaceDE w:val="0"/>
      <w:autoSpaceDN w:val="0"/>
      <w:adjustRightInd w:val="0"/>
      <w:spacing w:after="120"/>
      <w:jc w:val="left"/>
    </w:pPr>
    <w:rPr>
      <w:kern w:val="0"/>
      <w:sz w:val="20"/>
      <w:szCs w:val="20"/>
    </w:rPr>
  </w:style>
  <w:style w:type="paragraph" w:customStyle="1" w:styleId="565">
    <w:name w:val="Char Char Char Char12"/>
    <w:basedOn w:val="1"/>
    <w:qFormat/>
    <w:uiPriority w:val="0"/>
    <w:rPr>
      <w:rFonts w:ascii="Tahoma" w:hAnsi="Tahoma"/>
      <w:sz w:val="24"/>
      <w:szCs w:val="20"/>
    </w:rPr>
  </w:style>
  <w:style w:type="paragraph" w:customStyle="1" w:styleId="566">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7">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8">
    <w:name w:val="纯文本11"/>
    <w:basedOn w:val="1"/>
    <w:qFormat/>
    <w:uiPriority w:val="0"/>
    <w:pPr>
      <w:adjustRightInd w:val="0"/>
      <w:textAlignment w:val="baseline"/>
    </w:pPr>
    <w:rPr>
      <w:rFonts w:ascii="宋体" w:hAnsi="Courier New" w:eastAsia="楷体_GB2312"/>
      <w:sz w:val="26"/>
      <w:szCs w:val="20"/>
    </w:rPr>
  </w:style>
  <w:style w:type="paragraph" w:customStyle="1" w:styleId="569">
    <w:name w:val="编号，小四"/>
    <w:basedOn w:val="1"/>
    <w:qFormat/>
    <w:uiPriority w:val="0"/>
    <w:pPr>
      <w:numPr>
        <w:ilvl w:val="0"/>
        <w:numId w:val="12"/>
      </w:numPr>
      <w:spacing w:line="360" w:lineRule="auto"/>
    </w:pPr>
    <w:rPr>
      <w:rFonts w:ascii="Arial" w:hAnsi="Arial" w:cs="宋体"/>
      <w:sz w:val="24"/>
      <w:szCs w:val="20"/>
    </w:rPr>
  </w:style>
  <w:style w:type="paragraph" w:customStyle="1" w:styleId="57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1">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2">
    <w:name w:val="单位"/>
    <w:basedOn w:val="1"/>
    <w:qFormat/>
    <w:uiPriority w:val="0"/>
    <w:pPr>
      <w:adjustRightInd w:val="0"/>
      <w:jc w:val="center"/>
      <w:textAlignment w:val="baseline"/>
    </w:pPr>
    <w:rPr>
      <w:rFonts w:ascii="宋体"/>
      <w:b/>
      <w:kern w:val="0"/>
      <w:sz w:val="32"/>
      <w:szCs w:val="20"/>
    </w:rPr>
  </w:style>
  <w:style w:type="paragraph" w:customStyle="1" w:styleId="573">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4">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6">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78">
    <w:name w:val="标题 4P"/>
    <w:basedOn w:val="6"/>
    <w:next w:val="16"/>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7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0">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81">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3">
    <w:name w:val="_Style 33"/>
    <w:basedOn w:val="1"/>
    <w:qFormat/>
    <w:uiPriority w:val="0"/>
  </w:style>
  <w:style w:type="paragraph" w:customStyle="1" w:styleId="584">
    <w:name w:val="方案"/>
    <w:basedOn w:val="1"/>
    <w:qFormat/>
    <w:uiPriority w:val="0"/>
    <w:pPr>
      <w:jc w:val="right"/>
    </w:pPr>
    <w:rPr>
      <w:rFonts w:eastAsia="黑体"/>
      <w:b/>
      <w:sz w:val="52"/>
    </w:rPr>
  </w:style>
  <w:style w:type="paragraph" w:customStyle="1" w:styleId="585">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6">
    <w:name w:val="样式 标题 5正文四级标题 + 宋体 小五 行距: 固定值 12 磅1"/>
    <w:basedOn w:val="7"/>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7">
    <w:name w:val="列出段落1"/>
    <w:basedOn w:val="1"/>
    <w:qFormat/>
    <w:uiPriority w:val="0"/>
    <w:pPr>
      <w:ind w:firstLine="420" w:firstLineChars="200"/>
    </w:pPr>
    <w:rPr>
      <w:szCs w:val="20"/>
    </w:rPr>
  </w:style>
  <w:style w:type="paragraph" w:customStyle="1" w:styleId="588">
    <w:name w:val="招标文件－标准正文"/>
    <w:basedOn w:val="31"/>
    <w:qFormat/>
    <w:uiPriority w:val="0"/>
    <w:pPr>
      <w:spacing w:line="360" w:lineRule="auto"/>
    </w:pPr>
    <w:rPr>
      <w:rFonts w:ascii="Times New Roman" w:hAnsi="Times New Roman" w:cs="宋体"/>
      <w:color w:val="000000"/>
      <w:sz w:val="24"/>
    </w:rPr>
  </w:style>
  <w:style w:type="paragraph" w:customStyle="1" w:styleId="58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0">
    <w:name w:val="图表1"/>
    <w:basedOn w:val="1"/>
    <w:qFormat/>
    <w:uiPriority w:val="0"/>
    <w:pPr>
      <w:jc w:val="center"/>
    </w:pPr>
    <w:rPr>
      <w:sz w:val="20"/>
    </w:rPr>
  </w:style>
  <w:style w:type="paragraph" w:customStyle="1" w:styleId="591">
    <w:name w:val="CM106"/>
    <w:basedOn w:val="524"/>
    <w:next w:val="524"/>
    <w:qFormat/>
    <w:uiPriority w:val="0"/>
    <w:rPr>
      <w:rFonts w:cs="Times New Roman"/>
      <w:color w:val="auto"/>
    </w:rPr>
  </w:style>
  <w:style w:type="paragraph" w:customStyle="1" w:styleId="592">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3">
    <w:name w:val="Char Char3"/>
    <w:basedOn w:val="1"/>
    <w:qFormat/>
    <w:uiPriority w:val="0"/>
    <w:rPr>
      <w:rFonts w:ascii="仿宋_GB2312" w:eastAsia="仿宋_GB2312"/>
      <w:b/>
      <w:sz w:val="32"/>
      <w:szCs w:val="32"/>
    </w:rPr>
  </w:style>
  <w:style w:type="paragraph" w:customStyle="1" w:styleId="59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6">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7">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9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9">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0">
    <w:name w:val="Char3"/>
    <w:basedOn w:val="1"/>
    <w:qFormat/>
    <w:uiPriority w:val="0"/>
    <w:rPr>
      <w:rFonts w:ascii="Tahoma" w:hAnsi="Tahoma"/>
      <w:sz w:val="24"/>
      <w:szCs w:val="20"/>
    </w:rPr>
  </w:style>
  <w:style w:type="paragraph" w:customStyle="1" w:styleId="601">
    <w:name w:val="编号正文"/>
    <w:basedOn w:val="23"/>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2">
    <w:name w:val="正文文字表格居中"/>
    <w:basedOn w:val="1"/>
    <w:next w:val="5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3">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4">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7">
    <w:name w:val="列出段落4"/>
    <w:basedOn w:val="1"/>
    <w:qFormat/>
    <w:uiPriority w:val="0"/>
    <w:pPr>
      <w:ind w:firstLine="420" w:firstLineChars="200"/>
    </w:pPr>
  </w:style>
  <w:style w:type="paragraph" w:customStyle="1" w:styleId="60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9">
    <w:name w:val="修订1"/>
    <w:qFormat/>
    <w:uiPriority w:val="0"/>
    <w:rPr>
      <w:rFonts w:ascii="Times New Roman" w:hAnsi="Times New Roman" w:eastAsia="宋体" w:cs="Times New Roman"/>
      <w:kern w:val="2"/>
      <w:sz w:val="21"/>
      <w:szCs w:val="24"/>
      <w:lang w:val="en-US" w:eastAsia="zh-CN" w:bidi="ar-SA"/>
    </w:rPr>
  </w:style>
  <w:style w:type="paragraph" w:customStyle="1" w:styleId="610">
    <w:name w:val="文字"/>
    <w:basedOn w:val="1"/>
    <w:qFormat/>
    <w:uiPriority w:val="0"/>
    <w:pPr>
      <w:tabs>
        <w:tab w:val="left" w:pos="8520"/>
      </w:tabs>
      <w:spacing w:line="312" w:lineRule="auto"/>
      <w:ind w:right="-210" w:firstLine="556"/>
    </w:pPr>
    <w:rPr>
      <w:rFonts w:ascii="宋体"/>
      <w:sz w:val="28"/>
      <w:szCs w:val="20"/>
    </w:rPr>
  </w:style>
  <w:style w:type="paragraph" w:customStyle="1" w:styleId="611">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2">
    <w:name w:val="默认段落字体 Para Char Char Char Char Char Char Char Char Char1 Char Char Char Char"/>
    <w:basedOn w:val="1"/>
    <w:qFormat/>
    <w:uiPriority w:val="0"/>
    <w:rPr>
      <w:rFonts w:ascii="Tahoma" w:hAnsi="Tahoma"/>
      <w:sz w:val="24"/>
      <w:szCs w:val="20"/>
    </w:rPr>
  </w:style>
  <w:style w:type="paragraph" w:customStyle="1" w:styleId="613">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4">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5">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6">
    <w:name w:val="List Paragraph1"/>
    <w:basedOn w:val="1"/>
    <w:qFormat/>
    <w:uiPriority w:val="0"/>
    <w:pPr>
      <w:spacing w:line="360" w:lineRule="auto"/>
      <w:ind w:firstLine="420" w:firstLineChars="200"/>
    </w:pPr>
    <w:rPr>
      <w:rFonts w:ascii="Calibri" w:hAnsi="Calibri"/>
      <w:sz w:val="24"/>
      <w:szCs w:val="22"/>
    </w:rPr>
  </w:style>
  <w:style w:type="paragraph" w:customStyle="1" w:styleId="617">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18">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19">
    <w:name w:val="百姓X"/>
    <w:basedOn w:val="1"/>
    <w:qFormat/>
    <w:uiPriority w:val="0"/>
    <w:pPr>
      <w:spacing w:before="120" w:after="120" w:line="360" w:lineRule="auto"/>
      <w:ind w:firstLine="540"/>
    </w:pPr>
    <w:rPr>
      <w:rFonts w:ascii="宋体" w:hAnsi="宋体"/>
      <w:sz w:val="24"/>
      <w:szCs w:val="28"/>
    </w:rPr>
  </w:style>
  <w:style w:type="paragraph" w:customStyle="1" w:styleId="620">
    <w:name w:val="【注意】"/>
    <w:basedOn w:val="1"/>
    <w:next w:val="1"/>
    <w:qFormat/>
    <w:uiPriority w:val="0"/>
    <w:pPr>
      <w:spacing w:before="120" w:after="120"/>
      <w:jc w:val="left"/>
    </w:pPr>
    <w:rPr>
      <w:rFonts w:ascii="宋体" w:hAnsi="Arial"/>
      <w:szCs w:val="20"/>
    </w:rPr>
  </w:style>
  <w:style w:type="paragraph" w:customStyle="1" w:styleId="621">
    <w:name w:val="_Style 25"/>
    <w:basedOn w:val="1"/>
    <w:qFormat/>
    <w:uiPriority w:val="0"/>
  </w:style>
  <w:style w:type="paragraph" w:customStyle="1" w:styleId="622">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3">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4">
    <w:name w:val="标题 3H"/>
    <w:basedOn w:val="5"/>
    <w:next w:val="16"/>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5">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6">
    <w:name w:val="内文正文"/>
    <w:basedOn w:val="31"/>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7">
    <w:name w:val="五级条标题"/>
    <w:basedOn w:val="628"/>
    <w:next w:val="1"/>
    <w:qFormat/>
    <w:uiPriority w:val="0"/>
    <w:pPr>
      <w:numPr>
        <w:ilvl w:val="6"/>
      </w:numPr>
      <w:tabs>
        <w:tab w:val="left" w:pos="360"/>
      </w:tabs>
      <w:outlineLvl w:val="6"/>
    </w:pPr>
  </w:style>
  <w:style w:type="paragraph" w:customStyle="1" w:styleId="628">
    <w:name w:val="四级条标题"/>
    <w:basedOn w:val="501"/>
    <w:next w:val="1"/>
    <w:qFormat/>
    <w:uiPriority w:val="0"/>
    <w:pPr>
      <w:numPr>
        <w:ilvl w:val="5"/>
      </w:numPr>
      <w:outlineLvl w:val="5"/>
    </w:pPr>
  </w:style>
  <w:style w:type="paragraph" w:customStyle="1" w:styleId="629">
    <w:name w:val="Char Char Char Char Char Char Char Char Char Char Char Char Char1"/>
    <w:basedOn w:val="1"/>
    <w:qFormat/>
    <w:uiPriority w:val="0"/>
    <w:rPr>
      <w:rFonts w:ascii="Tahoma" w:hAnsi="Tahoma"/>
      <w:sz w:val="24"/>
      <w:szCs w:val="20"/>
    </w:rPr>
  </w:style>
  <w:style w:type="paragraph" w:customStyle="1" w:styleId="630">
    <w:name w:val="目录"/>
    <w:basedOn w:val="41"/>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1">
    <w:name w:val="[Normal]"/>
    <w:qFormat/>
    <w:uiPriority w:val="0"/>
    <w:rPr>
      <w:rFonts w:ascii="宋体" w:hAnsi="宋体" w:eastAsia="宋体" w:cs="Times New Roman"/>
      <w:sz w:val="24"/>
      <w:szCs w:val="22"/>
      <w:lang w:val="zh-CN" w:eastAsia="zh-CN" w:bidi="ar-SA"/>
    </w:rPr>
  </w:style>
  <w:style w:type="paragraph" w:customStyle="1" w:styleId="63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4">
    <w:name w:val="样式 四号 首行缩进:  1 厘米"/>
    <w:basedOn w:val="1"/>
    <w:qFormat/>
    <w:uiPriority w:val="0"/>
    <w:pPr>
      <w:spacing w:line="440" w:lineRule="exact"/>
      <w:ind w:firstLine="567"/>
    </w:pPr>
    <w:rPr>
      <w:rFonts w:cs="宋体"/>
      <w:sz w:val="28"/>
      <w:szCs w:val="20"/>
    </w:rPr>
  </w:style>
  <w:style w:type="paragraph" w:customStyle="1" w:styleId="635">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6">
    <w:name w:val="保留正文"/>
    <w:basedOn w:val="23"/>
    <w:qFormat/>
    <w:uiPriority w:val="0"/>
    <w:pPr>
      <w:keepNext/>
      <w:spacing w:after="160"/>
    </w:pPr>
    <w:rPr>
      <w:rFonts w:ascii="仿宋_GB2312"/>
      <w:b/>
    </w:rPr>
  </w:style>
  <w:style w:type="paragraph" w:customStyle="1" w:styleId="637">
    <w:name w:val="列出段落6"/>
    <w:basedOn w:val="1"/>
    <w:qFormat/>
    <w:uiPriority w:val="0"/>
    <w:pPr>
      <w:ind w:firstLine="420" w:firstLineChars="200"/>
    </w:pPr>
  </w:style>
  <w:style w:type="paragraph" w:customStyle="1" w:styleId="638">
    <w:name w:val="正文缩进2"/>
    <w:basedOn w:val="1"/>
    <w:qFormat/>
    <w:uiPriority w:val="0"/>
    <w:pPr>
      <w:ind w:firstLine="420"/>
    </w:pPr>
    <w:rPr>
      <w:szCs w:val="20"/>
    </w:rPr>
  </w:style>
  <w:style w:type="paragraph" w:customStyle="1" w:styleId="639">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0">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简单回函地址"/>
    <w:basedOn w:val="1"/>
    <w:qFormat/>
    <w:uiPriority w:val="0"/>
  </w:style>
  <w:style w:type="paragraph" w:customStyle="1" w:styleId="642">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3">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4">
    <w:name w:val="Char1 Char Char Char Char"/>
    <w:basedOn w:val="19"/>
    <w:qFormat/>
    <w:uiPriority w:val="0"/>
    <w:rPr>
      <w:rFonts w:ascii="Tahoma" w:hAnsi="Tahoma" w:cs="Tahoma"/>
      <w:kern w:val="0"/>
      <w:sz w:val="18"/>
    </w:rPr>
  </w:style>
  <w:style w:type="paragraph" w:customStyle="1" w:styleId="6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6">
    <w:name w:val="标题3"/>
    <w:basedOn w:val="5"/>
    <w:qFormat/>
    <w:uiPriority w:val="0"/>
    <w:pPr>
      <w:numPr>
        <w:ilvl w:val="2"/>
        <w:numId w:val="8"/>
      </w:numPr>
      <w:spacing w:line="416" w:lineRule="auto"/>
      <w:jc w:val="left"/>
    </w:pPr>
    <w:rPr>
      <w:rFonts w:eastAsia="黑体" w:cs="Arial"/>
    </w:rPr>
  </w:style>
  <w:style w:type="paragraph" w:customStyle="1" w:styleId="647">
    <w:name w:val="Char Char Char Char Char Char Char1"/>
    <w:basedOn w:val="1"/>
    <w:qFormat/>
    <w:uiPriority w:val="0"/>
    <w:pPr>
      <w:widowControl/>
      <w:spacing w:after="160" w:line="240" w:lineRule="exact"/>
      <w:jc w:val="left"/>
    </w:pPr>
    <w:rPr>
      <w:szCs w:val="20"/>
    </w:rPr>
  </w:style>
  <w:style w:type="paragraph" w:customStyle="1" w:styleId="64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49">
    <w:name w:val="Char Char Char Char Char Char Char Char Char1 Char"/>
    <w:basedOn w:val="1"/>
    <w:qFormat/>
    <w:uiPriority w:val="0"/>
  </w:style>
  <w:style w:type="paragraph" w:customStyle="1" w:styleId="650">
    <w:name w:val="正文内容"/>
    <w:basedOn w:val="1"/>
    <w:qFormat/>
    <w:uiPriority w:val="0"/>
    <w:pPr>
      <w:spacing w:line="360" w:lineRule="auto"/>
      <w:ind w:firstLine="480"/>
    </w:pPr>
    <w:rPr>
      <w:rFonts w:ascii="宋体" w:hAnsi="宋体"/>
      <w:sz w:val="24"/>
      <w:szCs w:val="20"/>
    </w:rPr>
  </w:style>
  <w:style w:type="paragraph" w:customStyle="1" w:styleId="65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52">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4">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5">
    <w:name w:val="正文常用"/>
    <w:basedOn w:val="1"/>
    <w:qFormat/>
    <w:uiPriority w:val="0"/>
    <w:pPr>
      <w:spacing w:line="360" w:lineRule="auto"/>
      <w:ind w:firstLine="420"/>
    </w:pPr>
    <w:rPr>
      <w:rFonts w:ascii="宋体" w:hAnsi="宋体"/>
      <w:color w:val="000000"/>
      <w:sz w:val="24"/>
      <w:szCs w:val="21"/>
    </w:rPr>
  </w:style>
  <w:style w:type="paragraph" w:customStyle="1" w:styleId="656">
    <w:name w:val="默认段落字体 Para Char"/>
    <w:basedOn w:val="1"/>
    <w:qFormat/>
    <w:uiPriority w:val="0"/>
    <w:pPr>
      <w:spacing w:beforeLines="50" w:afterLines="50"/>
    </w:pPr>
    <w:rPr>
      <w:rFonts w:ascii="Tahoma" w:hAnsi="Tahoma"/>
      <w:sz w:val="24"/>
      <w:szCs w:val="20"/>
    </w:rPr>
  </w:style>
  <w:style w:type="paragraph" w:customStyle="1" w:styleId="657">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8">
    <w:name w:val="样式 标题 3 + 黑色 段前: 5 磅 段后: 5 磅 行距: 1.5 倍行距"/>
    <w:basedOn w:val="1"/>
    <w:qFormat/>
    <w:uiPriority w:val="0"/>
    <w:pPr>
      <w:ind w:left="855" w:hanging="855"/>
    </w:pPr>
    <w:rPr>
      <w:sz w:val="24"/>
      <w:szCs w:val="20"/>
    </w:rPr>
  </w:style>
  <w:style w:type="paragraph" w:customStyle="1" w:styleId="6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0">
    <w:name w:val="项目符1"/>
    <w:basedOn w:val="1"/>
    <w:next w:val="1"/>
    <w:qFormat/>
    <w:uiPriority w:val="0"/>
    <w:pPr>
      <w:numPr>
        <w:ilvl w:val="0"/>
        <w:numId w:val="15"/>
      </w:numPr>
      <w:spacing w:before="60" w:line="360" w:lineRule="auto"/>
    </w:pPr>
    <w:rPr>
      <w:spacing w:val="6"/>
      <w:szCs w:val="20"/>
    </w:rPr>
  </w:style>
  <w:style w:type="paragraph" w:customStyle="1" w:styleId="66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2">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3">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4">
    <w:name w:val="样式_4"/>
    <w:basedOn w:val="6"/>
    <w:next w:val="6"/>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5">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66">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7">
    <w:name w:val="列出段落2"/>
    <w:basedOn w:val="1"/>
    <w:qFormat/>
    <w:uiPriority w:val="0"/>
    <w:pPr>
      <w:spacing w:line="360" w:lineRule="auto"/>
      <w:ind w:firstLine="420" w:firstLineChars="200"/>
    </w:pPr>
    <w:rPr>
      <w:rFonts w:ascii="Calibri" w:hAnsi="Calibri"/>
      <w:sz w:val="24"/>
      <w:szCs w:val="22"/>
    </w:rPr>
  </w:style>
  <w:style w:type="paragraph" w:customStyle="1" w:styleId="668">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0">
    <w:name w:val="样式 标题 2 +"/>
    <w:basedOn w:val="4"/>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1">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2">
    <w:name w:val="List Paragraph"/>
    <w:basedOn w:val="1"/>
    <w:qFormat/>
    <w:uiPriority w:val="0"/>
    <w:pPr>
      <w:ind w:firstLine="420" w:firstLineChars="200"/>
    </w:pPr>
    <w:rPr>
      <w:rFonts w:ascii="Calibri" w:hAnsi="Calibri"/>
      <w:szCs w:val="22"/>
    </w:rPr>
  </w:style>
  <w:style w:type="paragraph" w:customStyle="1" w:styleId="673">
    <w:name w:val="1 Char"/>
    <w:basedOn w:val="16"/>
    <w:qFormat/>
    <w:uiPriority w:val="0"/>
    <w:pPr>
      <w:adjustRightInd/>
      <w:spacing w:line="360" w:lineRule="auto"/>
      <w:ind w:firstLine="200" w:firstLineChars="200"/>
      <w:textAlignment w:val="auto"/>
    </w:pPr>
    <w:rPr>
      <w:rFonts w:ascii="仿宋_GB2312"/>
      <w:b/>
      <w:kern w:val="2"/>
      <w:szCs w:val="32"/>
    </w:rPr>
  </w:style>
  <w:style w:type="paragraph" w:customStyle="1" w:styleId="674">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5">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6">
    <w:name w:val="T4"/>
    <w:basedOn w:val="1"/>
    <w:qFormat/>
    <w:uiPriority w:val="0"/>
    <w:pPr>
      <w:adjustRightInd w:val="0"/>
      <w:spacing w:line="360" w:lineRule="atLeast"/>
    </w:pPr>
    <w:rPr>
      <w:rFonts w:ascii="宋体"/>
      <w:kern w:val="0"/>
      <w:sz w:val="22"/>
      <w:szCs w:val="20"/>
    </w:rPr>
  </w:style>
  <w:style w:type="paragraph" w:customStyle="1" w:styleId="67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8">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7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0">
    <w:name w:val="Char1 Char Char Char"/>
    <w:basedOn w:val="1"/>
    <w:qFormat/>
    <w:uiPriority w:val="0"/>
    <w:rPr>
      <w:szCs w:val="20"/>
    </w:rPr>
  </w:style>
  <w:style w:type="paragraph" w:customStyle="1" w:styleId="681">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3">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6">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7">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8">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8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0">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1">
    <w:name w:val="样式6"/>
    <w:basedOn w:val="17"/>
    <w:qFormat/>
    <w:uiPriority w:val="0"/>
    <w:pPr>
      <w:keepNext/>
      <w:autoSpaceDE/>
      <w:autoSpaceDN/>
      <w:adjustRightInd/>
      <w:jc w:val="center"/>
    </w:pPr>
    <w:rPr>
      <w:rFonts w:ascii="宋体" w:hAnsi="宋体" w:eastAsia="宋体"/>
      <w:kern w:val="2"/>
    </w:rPr>
  </w:style>
  <w:style w:type="paragraph" w:customStyle="1" w:styleId="692">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3">
    <w:name w:val="Char Char Char Char Char Char Char Char Char Char Char Char Char Char"/>
    <w:basedOn w:val="1"/>
    <w:qFormat/>
    <w:uiPriority w:val="0"/>
    <w:pPr>
      <w:widowControl/>
      <w:spacing w:after="160" w:line="240" w:lineRule="exact"/>
      <w:jc w:val="left"/>
    </w:pPr>
    <w:rPr>
      <w:bCs/>
    </w:rPr>
  </w:style>
  <w:style w:type="paragraph" w:customStyle="1" w:styleId="694">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5">
    <w:name w:val="样式 正文缩进 + 首行缩进:  2 字符"/>
    <w:basedOn w:val="16"/>
    <w:qFormat/>
    <w:uiPriority w:val="0"/>
    <w:pPr>
      <w:adjustRightInd/>
      <w:spacing w:line="360" w:lineRule="auto"/>
      <w:ind w:firstLine="200" w:firstLineChars="200"/>
      <w:textAlignment w:val="auto"/>
    </w:pPr>
    <w:rPr>
      <w:rFonts w:cs="宋体"/>
      <w:kern w:val="2"/>
      <w:sz w:val="24"/>
    </w:rPr>
  </w:style>
  <w:style w:type="paragraph" w:customStyle="1" w:styleId="696">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7">
    <w:name w:val="Char Char Char Char2"/>
    <w:basedOn w:val="19"/>
    <w:qFormat/>
    <w:uiPriority w:val="0"/>
    <w:pPr>
      <w:spacing w:line="360" w:lineRule="auto"/>
    </w:pPr>
    <w:rPr>
      <w:rFonts w:ascii="Tahoma" w:hAnsi="Tahoma"/>
      <w:sz w:val="24"/>
    </w:rPr>
  </w:style>
  <w:style w:type="paragraph" w:customStyle="1" w:styleId="69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699">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3">
    <w:name w:val="正文段"/>
    <w:basedOn w:val="1"/>
    <w:qFormat/>
    <w:uiPriority w:val="0"/>
    <w:pPr>
      <w:widowControl/>
      <w:snapToGrid w:val="0"/>
      <w:spacing w:afterLines="50"/>
      <w:ind w:firstLine="200" w:firstLineChars="200"/>
    </w:pPr>
    <w:rPr>
      <w:kern w:val="0"/>
      <w:sz w:val="24"/>
      <w:szCs w:val="20"/>
    </w:rPr>
  </w:style>
  <w:style w:type="paragraph" w:customStyle="1" w:styleId="704">
    <w:name w:val="Bulleted List"/>
    <w:basedOn w:val="1"/>
    <w:qFormat/>
    <w:uiPriority w:val="0"/>
    <w:pPr>
      <w:numPr>
        <w:ilvl w:val="1"/>
        <w:numId w:val="16"/>
      </w:numPr>
      <w:tabs>
        <w:tab w:val="left" w:pos="420"/>
      </w:tabs>
    </w:pPr>
  </w:style>
  <w:style w:type="paragraph" w:customStyle="1" w:styleId="70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6">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8">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09">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710">
    <w:name w:val="哈哈表格"/>
    <w:basedOn w:val="1"/>
    <w:qFormat/>
    <w:uiPriority w:val="0"/>
    <w:pPr>
      <w:spacing w:line="360" w:lineRule="auto"/>
    </w:pPr>
    <w:rPr>
      <w:rFonts w:ascii="宋体" w:hAnsi="宋体" w:cs="宋体"/>
      <w:sz w:val="24"/>
      <w:szCs w:val="20"/>
    </w:rPr>
  </w:style>
  <w:style w:type="paragraph" w:customStyle="1" w:styleId="71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2">
    <w:name w:val="普通 (Web)"/>
    <w:basedOn w:val="1"/>
    <w:qFormat/>
    <w:uiPriority w:val="0"/>
    <w:pPr>
      <w:widowControl/>
      <w:spacing w:before="100" w:after="100"/>
      <w:jc w:val="left"/>
    </w:pPr>
    <w:rPr>
      <w:rFonts w:ascii="宋体" w:hAnsi="宋体"/>
      <w:kern w:val="0"/>
      <w:sz w:val="24"/>
    </w:rPr>
  </w:style>
  <w:style w:type="table" w:customStyle="1" w:styleId="713">
    <w:name w:val="网格表 5 深色 - 着色 21"/>
    <w:basedOn w:val="5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4">
    <w:name w:val="清单表 4 - 着色 11"/>
    <w:basedOn w:val="58"/>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5">
    <w:name w:val="网格表 4 - 着色 51"/>
    <w:basedOn w:val="58"/>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6">
    <w:name w:val="网格型浅色2"/>
    <w:basedOn w:val="58"/>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7">
    <w:name w:val="网格型浅色1"/>
    <w:basedOn w:val="58"/>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8">
    <w:name w:val="浅色网格 - 强调文字颜色 11"/>
    <w:basedOn w:val="58"/>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9">
    <w:name w:val="清单表 3 - 着色 11"/>
    <w:basedOn w:val="58"/>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0">
    <w:name w:val="网格表 4 - 着色 31"/>
    <w:basedOn w:val="58"/>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1">
    <w:name w:val="中等深浅底纹 2 - 强调文字颜色 11"/>
    <w:basedOn w:val="58"/>
    <w:qFormat/>
    <w:uiPriority w:val="64"/>
    <w:rPr>
      <w:rFonts w:ascii="Calibri" w:hAnsi="Calibri"/>
      <w:kern w:val="2"/>
      <w:sz w:val="21"/>
      <w:szCs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2">
    <w:name w:val="网格表 4 - 着色 11"/>
    <w:basedOn w:val="58"/>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3">
    <w:name w:val="清单表 3 - 着色 31"/>
    <w:basedOn w:val="58"/>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4">
    <w:name w:val="浅色列表 - 强调文字颜色 51"/>
    <w:basedOn w:val="58"/>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5">
    <w:name w:val="浅色列表 - 强调文字颜色 11"/>
    <w:basedOn w:val="58"/>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6">
    <w:name w:val="浅色底纹1"/>
    <w:basedOn w:val="58"/>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7">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8">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29">
    <w:name w:val="_Style 7"/>
    <w:basedOn w:val="23"/>
    <w:next w:val="24"/>
    <w:qFormat/>
    <w:uiPriority w:val="0"/>
    <w:pPr>
      <w:ind w:firstLine="420" w:firstLineChars="100"/>
    </w:pPr>
    <w:rPr>
      <w:rFonts w:ascii="Calibri" w:hAnsi="Calibri"/>
    </w:rPr>
  </w:style>
  <w:style w:type="character" w:customStyle="1" w:styleId="730">
    <w:name w:val="fontstyle11"/>
    <w:basedOn w:val="60"/>
    <w:qFormat/>
    <w:uiPriority w:val="0"/>
    <w:rPr>
      <w:rFonts w:ascii="仿宋" w:hAnsi="仿宋" w:eastAsia="仿宋" w:cs="仿宋"/>
      <w:color w:val="000000"/>
      <w:sz w:val="32"/>
      <w:szCs w:val="32"/>
    </w:rPr>
  </w:style>
  <w:style w:type="paragraph" w:customStyle="1" w:styleId="731">
    <w:name w:val="样式 样式3 + 非加粗"/>
    <w:basedOn w:val="1"/>
    <w:qFormat/>
    <w:uiPriority w:val="0"/>
    <w:pPr>
      <w:adjustRightInd w:val="0"/>
      <w:snapToGrid w:val="0"/>
      <w:spacing w:line="300" w:lineRule="auto"/>
    </w:pPr>
    <w:rPr>
      <w:rFonts w:ascii="宋体" w:hAnsi="宋体"/>
      <w:b/>
      <w:bCs/>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59</Pages>
  <Words>15031</Words>
  <Characters>15834</Characters>
  <Lines>285</Lines>
  <Paragraphs>80</Paragraphs>
  <TotalTime>32</TotalTime>
  <ScaleCrop>false</ScaleCrop>
  <LinksUpToDate>false</LinksUpToDate>
  <CharactersWithSpaces>16128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2021-03-01T18:43:00Z</dcterms:created>
  <dc:creator>can</dc:creator>
  <cp:lastModifiedBy>w®</cp:lastModifiedBy>
  <cp:lastPrinted>2019-08-06T16:39:00Z</cp:lastPrinted>
  <dcterms:modified xsi:type="dcterms:W3CDTF">2025-06-06T01:57:43Z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9C42399107BE42CC8181376122BFDDDB</vt:lpwstr>
  </property>
  <property fmtid="{D5CDD505-2E9C-101B-9397-08002B2CF9AE}" pid="4" name="KSOTemplateDocerSaveRecord">
    <vt:lpwstr>eyJoZGlkIjoiN2YzNjBkOTgyNWQ1YTMxYzM3MzMwNWFiODNmOWIzYWMiLCJ1c2VySWQiOiI5MzM4NjQ2MTUifQ==</vt:lpwstr>
  </property>
</Properties>
</file>