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line="500" w:lineRule="exact"/>
        <w:ind w:firstLine="480"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采购内容及预算：</w:t>
      </w:r>
    </w:p>
    <w:p>
      <w:pPr>
        <w:pStyle w:val="10"/>
        <w:keepNext w:val="0"/>
        <w:keepLines w:val="0"/>
        <w:pageBreakBefore w:val="0"/>
        <w:kinsoku/>
        <w:wordWrap/>
        <w:overflowPunct/>
        <w:topLinePunct w:val="0"/>
        <w:autoSpaceDE/>
        <w:autoSpaceDN/>
        <w:bidi w:val="0"/>
        <w:spacing w:beforeAutospacing="0" w:after="0" w:afterLines="0" w:line="500" w:lineRule="exact"/>
        <w:ind w:firstLine="420"/>
        <w:textAlignment w:val="auto"/>
        <w:rPr>
          <w:rFonts w:hint="eastAsia" w:asciiTheme="majorEastAsia" w:hAnsiTheme="majorEastAsia" w:eastAsiaTheme="majorEastAsia" w:cstheme="majorEastAsia"/>
          <w:color w:val="auto"/>
          <w:kern w:val="2"/>
          <w:sz w:val="24"/>
          <w:szCs w:val="24"/>
        </w:rPr>
      </w:pPr>
      <w:r>
        <w:rPr>
          <w:rFonts w:hint="eastAsia" w:asciiTheme="majorEastAsia" w:hAnsiTheme="majorEastAsia" w:eastAsiaTheme="majorEastAsia" w:cstheme="majorEastAsia"/>
          <w:color w:val="auto"/>
          <w:kern w:val="2"/>
          <w:sz w:val="24"/>
          <w:szCs w:val="24"/>
        </w:rPr>
        <w:t>采购内容：白蚁防治服务，共一个标项。</w:t>
      </w:r>
    </w:p>
    <w:p>
      <w:pPr>
        <w:pStyle w:val="10"/>
        <w:keepNext w:val="0"/>
        <w:keepLines w:val="0"/>
        <w:pageBreakBefore w:val="0"/>
        <w:kinsoku/>
        <w:wordWrap/>
        <w:overflowPunct/>
        <w:topLinePunct w:val="0"/>
        <w:autoSpaceDE/>
        <w:autoSpaceDN/>
        <w:bidi w:val="0"/>
        <w:spacing w:beforeAutospacing="0" w:after="0" w:afterLines="0" w:line="500" w:lineRule="exact"/>
        <w:ind w:firstLine="420"/>
        <w:textAlignment w:val="auto"/>
        <w:rPr>
          <w:rFonts w:hint="eastAsia" w:asciiTheme="majorEastAsia" w:hAnsiTheme="majorEastAsia" w:eastAsiaTheme="majorEastAsia" w:cstheme="majorEastAsia"/>
          <w:color w:val="auto"/>
          <w:kern w:val="2"/>
          <w:sz w:val="24"/>
          <w:szCs w:val="24"/>
        </w:rPr>
      </w:pPr>
      <w:r>
        <w:rPr>
          <w:rFonts w:hint="eastAsia" w:asciiTheme="majorEastAsia" w:hAnsiTheme="majorEastAsia" w:eastAsiaTheme="majorEastAsia" w:cstheme="majorEastAsia"/>
          <w:color w:val="auto"/>
          <w:kern w:val="2"/>
          <w:sz w:val="24"/>
          <w:szCs w:val="24"/>
        </w:rPr>
        <w:t>预算金额：</w:t>
      </w:r>
      <w:r>
        <w:rPr>
          <w:rFonts w:hint="eastAsia" w:asciiTheme="majorEastAsia" w:hAnsiTheme="majorEastAsia" w:eastAsiaTheme="majorEastAsia" w:cstheme="majorEastAsia"/>
          <w:color w:val="auto"/>
          <w:kern w:val="2"/>
          <w:sz w:val="24"/>
          <w:szCs w:val="24"/>
          <w:lang w:val="en-US" w:eastAsia="zh-CN"/>
        </w:rPr>
        <w:t>80.8万元</w:t>
      </w:r>
      <w:r>
        <w:rPr>
          <w:rFonts w:hint="eastAsia" w:asciiTheme="majorEastAsia" w:hAnsiTheme="majorEastAsia" w:eastAsiaTheme="majorEastAsia" w:cstheme="majorEastAsia"/>
          <w:color w:val="auto"/>
          <w:kern w:val="2"/>
          <w:sz w:val="24"/>
          <w:szCs w:val="24"/>
        </w:rPr>
        <w:t>。</w:t>
      </w:r>
    </w:p>
    <w:p>
      <w:pPr>
        <w:keepNext w:val="0"/>
        <w:keepLines w:val="0"/>
        <w:pageBreakBefore w:val="0"/>
        <w:kinsoku/>
        <w:wordWrap/>
        <w:overflowPunct/>
        <w:topLinePunct w:val="0"/>
        <w:autoSpaceDE/>
        <w:autoSpaceDN/>
        <w:bidi w:val="0"/>
        <w:snapToGrid w:val="0"/>
        <w:spacing w:beforeAutospacing="0" w:line="500" w:lineRule="exact"/>
        <w:ind w:firstLine="480" w:firstLineChars="200"/>
        <w:textAlignment w:val="auto"/>
        <w:rPr>
          <w:rFonts w:hint="eastAsia" w:asciiTheme="majorEastAsia" w:hAnsiTheme="majorEastAsia" w:eastAsiaTheme="majorEastAsia" w:cstheme="majorEastAsia"/>
          <w:b/>
          <w:sz w:val="24"/>
          <w:szCs w:val="24"/>
          <w:lang w:val="en-US" w:eastAsia="zh-CN"/>
        </w:rPr>
      </w:pPr>
      <w:bookmarkStart w:id="0" w:name="_Toc481247036"/>
      <w:bookmarkStart w:id="1" w:name="_Toc481247033"/>
      <w:r>
        <w:rPr>
          <w:rFonts w:hint="eastAsia" w:asciiTheme="majorEastAsia" w:hAnsiTheme="majorEastAsia" w:eastAsiaTheme="majorEastAsia" w:cstheme="majorEastAsia"/>
          <w:b/>
          <w:sz w:val="24"/>
          <w:szCs w:val="24"/>
          <w:lang w:eastAsia="zh-CN"/>
        </w:rPr>
        <w:t>采购方式：</w:t>
      </w:r>
      <w:r>
        <w:rPr>
          <w:rFonts w:hint="eastAsia" w:asciiTheme="majorEastAsia" w:hAnsiTheme="majorEastAsia" w:eastAsiaTheme="majorEastAsia" w:cstheme="majorEastAsia"/>
          <w:kern w:val="2"/>
          <w:sz w:val="24"/>
          <w:szCs w:val="24"/>
          <w:lang w:val="en-US" w:eastAsia="zh-CN" w:bidi="ar-SA"/>
        </w:rPr>
        <w:t>公开招标</w:t>
      </w:r>
    </w:p>
    <w:p>
      <w:pPr>
        <w:keepNext w:val="0"/>
        <w:keepLines w:val="0"/>
        <w:pageBreakBefore w:val="0"/>
        <w:kinsoku/>
        <w:wordWrap/>
        <w:overflowPunct/>
        <w:topLinePunct w:val="0"/>
        <w:autoSpaceDE/>
        <w:autoSpaceDN/>
        <w:bidi w:val="0"/>
        <w:snapToGrid w:val="0"/>
        <w:spacing w:beforeAutospacing="0" w:line="500" w:lineRule="exact"/>
        <w:ind w:firstLine="480"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服务期限</w:t>
      </w:r>
    </w:p>
    <w:bookmarkEnd w:id="0"/>
    <w:bookmarkEnd w:id="1"/>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20</w:t>
      </w:r>
      <w:r>
        <w:rPr>
          <w:rFonts w:hint="eastAsia" w:asciiTheme="majorEastAsia" w:hAnsiTheme="majorEastAsia" w:eastAsiaTheme="majorEastAsia" w:cstheme="majorEastAsia"/>
          <w:color w:val="auto"/>
          <w:sz w:val="24"/>
          <w:szCs w:val="24"/>
          <w:lang w:val="en-US" w:eastAsia="zh-CN"/>
        </w:rPr>
        <w:t>25</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10</w:t>
      </w:r>
      <w:r>
        <w:rPr>
          <w:rFonts w:hint="eastAsia" w:asciiTheme="majorEastAsia" w:hAnsiTheme="majorEastAsia" w:eastAsiaTheme="majorEastAsia" w:cstheme="majorEastAsia"/>
          <w:color w:val="auto"/>
          <w:sz w:val="24"/>
          <w:szCs w:val="24"/>
        </w:rPr>
        <w:t>月1日至202</w:t>
      </w: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9</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30</w:t>
      </w:r>
      <w:r>
        <w:rPr>
          <w:rFonts w:hint="eastAsia" w:asciiTheme="majorEastAsia" w:hAnsiTheme="majorEastAsia" w:eastAsiaTheme="majorEastAsia" w:cstheme="majorEastAsia"/>
          <w:color w:val="auto"/>
          <w:sz w:val="24"/>
          <w:szCs w:val="24"/>
        </w:rPr>
        <w:t>日。</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服务内容</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sz w:val="24"/>
          <w:szCs w:val="24"/>
        </w:rPr>
        <w:t>本项目白蚁防治服务，具体包括新建房屋白蚁预防施工（安装监测装置）、</w:t>
      </w:r>
      <w:r>
        <w:rPr>
          <w:rFonts w:hint="eastAsia" w:asciiTheme="majorEastAsia" w:hAnsiTheme="majorEastAsia" w:eastAsiaTheme="majorEastAsia" w:cstheme="majorEastAsia"/>
          <w:color w:val="auto"/>
          <w:sz w:val="24"/>
          <w:szCs w:val="24"/>
          <w:lang w:eastAsia="zh-CN"/>
        </w:rPr>
        <w:t>传统</w:t>
      </w:r>
      <w:r>
        <w:rPr>
          <w:rFonts w:hint="eastAsia" w:asciiTheme="majorEastAsia" w:hAnsiTheme="majorEastAsia" w:eastAsiaTheme="majorEastAsia" w:cstheme="majorEastAsia"/>
          <w:color w:val="auto"/>
          <w:sz w:val="24"/>
          <w:szCs w:val="24"/>
        </w:rPr>
        <w:t>村落</w:t>
      </w:r>
      <w:r>
        <w:rPr>
          <w:rFonts w:hint="eastAsia" w:asciiTheme="majorEastAsia" w:hAnsiTheme="majorEastAsia" w:eastAsiaTheme="majorEastAsia" w:cstheme="majorEastAsia"/>
          <w:sz w:val="24"/>
          <w:szCs w:val="24"/>
        </w:rPr>
        <w:t>、历史街区等白蚁监测控制、老旧房屋蚁害治理、监测装置检查维护</w:t>
      </w:r>
      <w:r>
        <w:rPr>
          <w:rFonts w:hint="eastAsia" w:asciiTheme="majorEastAsia" w:hAnsiTheme="majorEastAsia" w:eastAsiaTheme="majorEastAsia" w:cstheme="majorEastAsia"/>
          <w:color w:val="auto"/>
          <w:sz w:val="24"/>
          <w:szCs w:val="24"/>
        </w:rPr>
        <w:t>。此外，服务内容还包含：</w:t>
      </w:r>
    </w:p>
    <w:p>
      <w:pPr>
        <w:keepNext w:val="0"/>
        <w:keepLines w:val="0"/>
        <w:pageBreakBefore w:val="0"/>
        <w:kinsoku/>
        <w:wordWrap/>
        <w:overflowPunct/>
        <w:topLinePunct w:val="0"/>
        <w:autoSpaceDE/>
        <w:autoSpaceDN/>
        <w:bidi w:val="0"/>
        <w:spacing w:line="500" w:lineRule="exact"/>
        <w:ind w:firstLine="48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（1）应急性或上级交办的白蚁防治事件处理和其他工作（绿色通道）。</w:t>
      </w:r>
    </w:p>
    <w:p>
      <w:pPr>
        <w:keepNext w:val="0"/>
        <w:keepLines w:val="0"/>
        <w:pageBreakBefore w:val="0"/>
        <w:kinsoku/>
        <w:wordWrap/>
        <w:overflowPunct/>
        <w:topLinePunct w:val="0"/>
        <w:autoSpaceDE/>
        <w:autoSpaceDN/>
        <w:bidi w:val="0"/>
        <w:spacing w:line="500" w:lineRule="exact"/>
        <w:ind w:firstLine="48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（2）白蚁防治业务受理登记、数据统计工作等。</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采购内容及最高限价</w:t>
      </w:r>
    </w:p>
    <w:tbl>
      <w:tblPr>
        <w:tblStyle w:val="8"/>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5196"/>
        <w:gridCol w:w="1539"/>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53" w:type="dxa"/>
            <w:noWrap w:val="0"/>
            <w:vAlign w:val="center"/>
          </w:tcPr>
          <w:p>
            <w:pPr>
              <w:keepNext w:val="0"/>
              <w:keepLines w:val="0"/>
              <w:pageBreakBefore w:val="0"/>
              <w:kinsoku/>
              <w:wordWrap/>
              <w:overflowPunct/>
              <w:topLinePunct w:val="0"/>
              <w:autoSpaceDE/>
              <w:autoSpaceDN/>
              <w:bidi w:val="0"/>
              <w:snapToGrid w:val="0"/>
              <w:spacing w:beforeAutospacing="0" w:line="50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序号</w:t>
            </w:r>
          </w:p>
        </w:tc>
        <w:tc>
          <w:tcPr>
            <w:tcW w:w="5196" w:type="dxa"/>
            <w:noWrap w:val="0"/>
            <w:vAlign w:val="center"/>
          </w:tcPr>
          <w:p>
            <w:pPr>
              <w:keepNext w:val="0"/>
              <w:keepLines w:val="0"/>
              <w:pageBreakBefore w:val="0"/>
              <w:kinsoku/>
              <w:wordWrap/>
              <w:overflowPunct/>
              <w:topLinePunct w:val="0"/>
              <w:autoSpaceDE/>
              <w:autoSpaceDN/>
              <w:bidi w:val="0"/>
              <w:snapToGrid w:val="0"/>
              <w:spacing w:beforeAutospacing="0" w:line="500" w:lineRule="exact"/>
              <w:ind w:firstLine="420" w:firstLineChars="200"/>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采购内容</w:t>
            </w:r>
          </w:p>
        </w:tc>
        <w:tc>
          <w:tcPr>
            <w:tcW w:w="1539" w:type="dxa"/>
            <w:noWrap w:val="0"/>
            <w:vAlign w:val="center"/>
          </w:tcPr>
          <w:p>
            <w:pPr>
              <w:keepNext w:val="0"/>
              <w:keepLines w:val="0"/>
              <w:pageBreakBefore w:val="0"/>
              <w:kinsoku/>
              <w:wordWrap/>
              <w:overflowPunct/>
              <w:topLinePunct w:val="0"/>
              <w:autoSpaceDE/>
              <w:autoSpaceDN/>
              <w:bidi w:val="0"/>
              <w:snapToGrid w:val="0"/>
              <w:spacing w:beforeAutospacing="0" w:line="50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数量</w:t>
            </w:r>
          </w:p>
        </w:tc>
        <w:tc>
          <w:tcPr>
            <w:tcW w:w="1734" w:type="dxa"/>
            <w:noWrap w:val="0"/>
            <w:vAlign w:val="center"/>
          </w:tcPr>
          <w:p>
            <w:pPr>
              <w:keepNext w:val="0"/>
              <w:keepLines w:val="0"/>
              <w:pageBreakBefore w:val="0"/>
              <w:kinsoku/>
              <w:wordWrap/>
              <w:overflowPunct/>
              <w:topLinePunct w:val="0"/>
              <w:autoSpaceDE/>
              <w:autoSpaceDN/>
              <w:bidi w:val="0"/>
              <w:snapToGrid w:val="0"/>
              <w:spacing w:beforeAutospacing="0" w:line="50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单价的最高限价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3" w:type="dxa"/>
            <w:noWrap w:val="0"/>
            <w:vAlign w:val="center"/>
          </w:tcPr>
          <w:p>
            <w:pPr>
              <w:keepNext w:val="0"/>
              <w:keepLines w:val="0"/>
              <w:pageBreakBefore w:val="0"/>
              <w:kinsoku/>
              <w:wordWrap/>
              <w:overflowPunct/>
              <w:topLinePunct w:val="0"/>
              <w:autoSpaceDE/>
              <w:autoSpaceDN/>
              <w:bidi w:val="0"/>
              <w:snapToGrid w:val="0"/>
              <w:spacing w:beforeAutospacing="0" w:line="500" w:lineRule="exact"/>
              <w:jc w:val="center"/>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1</w:t>
            </w:r>
          </w:p>
        </w:tc>
        <w:tc>
          <w:tcPr>
            <w:tcW w:w="519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line="500" w:lineRule="exact"/>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新建房屋白蚁预防</w:t>
            </w:r>
            <w:r>
              <w:rPr>
                <w:rFonts w:hint="eastAsia" w:asciiTheme="majorEastAsia" w:hAnsiTheme="majorEastAsia" w:eastAsiaTheme="majorEastAsia" w:cstheme="majorEastAsia"/>
                <w:color w:val="auto"/>
                <w:sz w:val="21"/>
                <w:szCs w:val="21"/>
                <w:lang w:eastAsia="zh-CN"/>
              </w:rPr>
              <w:t>、传统</w:t>
            </w:r>
            <w:r>
              <w:rPr>
                <w:rFonts w:hint="eastAsia" w:asciiTheme="majorEastAsia" w:hAnsiTheme="majorEastAsia" w:eastAsiaTheme="majorEastAsia" w:cstheme="majorEastAsia"/>
                <w:color w:val="auto"/>
                <w:sz w:val="21"/>
                <w:szCs w:val="21"/>
                <w:lang w:val="en-US" w:eastAsia="zh-CN"/>
              </w:rPr>
              <w:t>村落</w:t>
            </w:r>
            <w:r>
              <w:rPr>
                <w:rFonts w:hint="eastAsia" w:asciiTheme="majorEastAsia" w:hAnsiTheme="majorEastAsia" w:eastAsiaTheme="majorEastAsia" w:cstheme="majorEastAsia"/>
                <w:color w:val="auto"/>
                <w:sz w:val="21"/>
                <w:szCs w:val="21"/>
                <w:lang w:eastAsia="zh-CN"/>
              </w:rPr>
              <w:t>、历史街区</w:t>
            </w:r>
            <w:r>
              <w:rPr>
                <w:rFonts w:hint="eastAsia" w:asciiTheme="majorEastAsia" w:hAnsiTheme="majorEastAsia" w:eastAsiaTheme="majorEastAsia" w:cstheme="majorEastAsia"/>
                <w:color w:val="auto"/>
                <w:sz w:val="21"/>
                <w:szCs w:val="21"/>
                <w:lang w:val="en-US" w:eastAsia="zh-CN"/>
              </w:rPr>
              <w:t>等</w:t>
            </w:r>
            <w:r>
              <w:rPr>
                <w:rFonts w:hint="eastAsia" w:asciiTheme="majorEastAsia" w:hAnsiTheme="majorEastAsia" w:eastAsiaTheme="majorEastAsia" w:cstheme="majorEastAsia"/>
                <w:color w:val="auto"/>
                <w:sz w:val="21"/>
                <w:szCs w:val="21"/>
                <w:lang w:eastAsia="zh-CN"/>
              </w:rPr>
              <w:t>白蚁监测控制</w:t>
            </w:r>
          </w:p>
        </w:tc>
        <w:tc>
          <w:tcPr>
            <w:tcW w:w="1539" w:type="dxa"/>
            <w:noWrap w:val="0"/>
            <w:vAlign w:val="center"/>
          </w:tcPr>
          <w:p>
            <w:pPr>
              <w:keepNext w:val="0"/>
              <w:keepLines w:val="0"/>
              <w:pageBreakBefore w:val="0"/>
              <w:kinsoku/>
              <w:wordWrap/>
              <w:overflowPunct/>
              <w:topLinePunct w:val="0"/>
              <w:autoSpaceDE/>
              <w:autoSpaceDN/>
              <w:bidi w:val="0"/>
              <w:snapToGrid w:val="0"/>
              <w:spacing w:beforeAutospacing="0" w:line="50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4000</w:t>
            </w:r>
            <w:r>
              <w:rPr>
                <w:rFonts w:hint="eastAsia" w:asciiTheme="majorEastAsia" w:hAnsiTheme="majorEastAsia" w:eastAsiaTheme="majorEastAsia" w:cstheme="majorEastAsia"/>
                <w:color w:val="auto"/>
                <w:sz w:val="21"/>
                <w:szCs w:val="21"/>
              </w:rPr>
              <w:t>套</w:t>
            </w:r>
          </w:p>
        </w:tc>
        <w:tc>
          <w:tcPr>
            <w:tcW w:w="1734" w:type="dxa"/>
            <w:noWrap w:val="0"/>
            <w:vAlign w:val="center"/>
          </w:tcPr>
          <w:p>
            <w:pPr>
              <w:keepNext w:val="0"/>
              <w:keepLines w:val="0"/>
              <w:pageBreakBefore w:val="0"/>
              <w:kinsoku/>
              <w:wordWrap/>
              <w:overflowPunct/>
              <w:topLinePunct w:val="0"/>
              <w:autoSpaceDE/>
              <w:autoSpaceDN/>
              <w:bidi w:val="0"/>
              <w:snapToGrid w:val="0"/>
              <w:spacing w:beforeAutospacing="0" w:line="50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45</w:t>
            </w:r>
            <w:r>
              <w:rPr>
                <w:rFonts w:hint="eastAsia" w:asciiTheme="majorEastAsia" w:hAnsiTheme="majorEastAsia" w:eastAsiaTheme="majorEastAsia" w:cstheme="majorEastAsia"/>
                <w:color w:val="auto"/>
                <w:sz w:val="21"/>
                <w:szCs w:val="21"/>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3" w:type="dxa"/>
            <w:noWrap w:val="0"/>
            <w:vAlign w:val="center"/>
          </w:tcPr>
          <w:p>
            <w:pPr>
              <w:keepNext w:val="0"/>
              <w:keepLines w:val="0"/>
              <w:pageBreakBefore w:val="0"/>
              <w:kinsoku/>
              <w:wordWrap/>
              <w:overflowPunct/>
              <w:topLinePunct w:val="0"/>
              <w:autoSpaceDE/>
              <w:autoSpaceDN/>
              <w:bidi w:val="0"/>
              <w:snapToGrid w:val="0"/>
              <w:spacing w:beforeAutospacing="0" w:line="500" w:lineRule="exact"/>
              <w:jc w:val="center"/>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2</w:t>
            </w:r>
          </w:p>
        </w:tc>
        <w:tc>
          <w:tcPr>
            <w:tcW w:w="5196" w:type="dxa"/>
            <w:noWrap w:val="0"/>
            <w:vAlign w:val="center"/>
          </w:tcPr>
          <w:p>
            <w:pPr>
              <w:keepNext w:val="0"/>
              <w:keepLines w:val="0"/>
              <w:pageBreakBefore w:val="0"/>
              <w:kinsoku/>
              <w:wordWrap/>
              <w:overflowPunct/>
              <w:topLinePunct w:val="0"/>
              <w:autoSpaceDE/>
              <w:autoSpaceDN/>
              <w:bidi w:val="0"/>
              <w:snapToGrid w:val="0"/>
              <w:spacing w:beforeAutospacing="0" w:line="500" w:lineRule="exact"/>
              <w:ind w:firstLine="420" w:firstLineChars="200"/>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老旧房屋蚁害治理</w:t>
            </w:r>
          </w:p>
        </w:tc>
        <w:tc>
          <w:tcPr>
            <w:tcW w:w="1539" w:type="dxa"/>
            <w:noWrap w:val="0"/>
            <w:vAlign w:val="center"/>
          </w:tcPr>
          <w:p>
            <w:pPr>
              <w:keepNext w:val="0"/>
              <w:keepLines w:val="0"/>
              <w:pageBreakBefore w:val="0"/>
              <w:kinsoku/>
              <w:wordWrap/>
              <w:overflowPunct/>
              <w:topLinePunct w:val="0"/>
              <w:autoSpaceDE/>
              <w:autoSpaceDN/>
              <w:bidi w:val="0"/>
              <w:snapToGrid w:val="0"/>
              <w:spacing w:beforeAutospacing="0" w:line="50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1100</w:t>
            </w:r>
            <w:r>
              <w:rPr>
                <w:rFonts w:hint="eastAsia" w:asciiTheme="majorEastAsia" w:hAnsiTheme="majorEastAsia" w:eastAsiaTheme="majorEastAsia" w:cstheme="majorEastAsia"/>
                <w:color w:val="auto"/>
                <w:sz w:val="21"/>
                <w:szCs w:val="21"/>
              </w:rPr>
              <w:t>户</w:t>
            </w:r>
          </w:p>
        </w:tc>
        <w:tc>
          <w:tcPr>
            <w:tcW w:w="1734" w:type="dxa"/>
            <w:noWrap w:val="0"/>
            <w:vAlign w:val="center"/>
          </w:tcPr>
          <w:p>
            <w:pPr>
              <w:keepNext w:val="0"/>
              <w:keepLines w:val="0"/>
              <w:pageBreakBefore w:val="0"/>
              <w:kinsoku/>
              <w:wordWrap/>
              <w:overflowPunct/>
              <w:topLinePunct w:val="0"/>
              <w:autoSpaceDE/>
              <w:autoSpaceDN/>
              <w:bidi w:val="0"/>
              <w:snapToGrid w:val="0"/>
              <w:spacing w:beforeAutospacing="0" w:line="500" w:lineRule="exact"/>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320</w:t>
            </w:r>
            <w:r>
              <w:rPr>
                <w:rFonts w:hint="eastAsia" w:asciiTheme="majorEastAsia" w:hAnsiTheme="majorEastAsia" w:eastAsiaTheme="majorEastAsia" w:cstheme="majorEastAsia"/>
                <w:color w:val="auto"/>
                <w:sz w:val="21"/>
                <w:szCs w:val="21"/>
              </w:rPr>
              <w:t>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3" w:type="dxa"/>
            <w:noWrap w:val="0"/>
            <w:vAlign w:val="center"/>
          </w:tcPr>
          <w:p>
            <w:pPr>
              <w:keepNext w:val="0"/>
              <w:keepLines w:val="0"/>
              <w:pageBreakBefore w:val="0"/>
              <w:kinsoku/>
              <w:wordWrap/>
              <w:overflowPunct/>
              <w:topLinePunct w:val="0"/>
              <w:autoSpaceDE/>
              <w:autoSpaceDN/>
              <w:bidi w:val="0"/>
              <w:snapToGrid w:val="0"/>
              <w:spacing w:beforeAutospacing="0" w:line="500" w:lineRule="exact"/>
              <w:jc w:val="center"/>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3</w:t>
            </w:r>
          </w:p>
        </w:tc>
        <w:tc>
          <w:tcPr>
            <w:tcW w:w="5196" w:type="dxa"/>
            <w:noWrap w:val="0"/>
            <w:vAlign w:val="center"/>
          </w:tcPr>
          <w:p>
            <w:pPr>
              <w:keepNext w:val="0"/>
              <w:keepLines w:val="0"/>
              <w:pageBreakBefore w:val="0"/>
              <w:kinsoku/>
              <w:wordWrap/>
              <w:overflowPunct/>
              <w:topLinePunct w:val="0"/>
              <w:autoSpaceDE/>
              <w:autoSpaceDN/>
              <w:bidi w:val="0"/>
              <w:snapToGrid w:val="0"/>
              <w:spacing w:beforeAutospacing="0" w:line="500" w:lineRule="exact"/>
              <w:ind w:firstLine="420" w:firstLineChars="200"/>
              <w:jc w:val="center"/>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监测装置检查维护</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line="500" w:lineRule="exact"/>
              <w:jc w:val="center"/>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b w:val="0"/>
                <w:bCs w:val="0"/>
                <w:color w:val="auto"/>
                <w:sz w:val="21"/>
                <w:szCs w:val="21"/>
                <w:lang w:val="en-US" w:eastAsia="zh-CN"/>
              </w:rPr>
              <w:t>46000</w:t>
            </w:r>
            <w:r>
              <w:rPr>
                <w:rFonts w:hint="eastAsia" w:asciiTheme="majorEastAsia" w:hAnsiTheme="majorEastAsia" w:eastAsiaTheme="majorEastAsia" w:cstheme="majorEastAsia"/>
                <w:b w:val="0"/>
                <w:bCs w:val="0"/>
                <w:color w:val="auto"/>
                <w:sz w:val="21"/>
                <w:szCs w:val="21"/>
              </w:rPr>
              <w:t>套</w:t>
            </w:r>
            <w:r>
              <w:rPr>
                <w:rFonts w:hint="eastAsia" w:asciiTheme="majorEastAsia" w:hAnsiTheme="majorEastAsia" w:eastAsiaTheme="majorEastAsia" w:cstheme="majorEastAsia"/>
                <w:b w:val="0"/>
                <w:bCs w:val="0"/>
                <w:color w:val="auto"/>
                <w:sz w:val="21"/>
                <w:szCs w:val="21"/>
                <w:lang w:eastAsia="zh-CN"/>
              </w:rPr>
              <w:t>（次）</w:t>
            </w:r>
          </w:p>
        </w:tc>
        <w:tc>
          <w:tcPr>
            <w:tcW w:w="1734" w:type="dxa"/>
            <w:noWrap w:val="0"/>
            <w:vAlign w:val="center"/>
          </w:tcPr>
          <w:p>
            <w:pPr>
              <w:keepNext w:val="0"/>
              <w:keepLines w:val="0"/>
              <w:pageBreakBefore w:val="0"/>
              <w:kinsoku/>
              <w:wordWrap/>
              <w:overflowPunct/>
              <w:topLinePunct w:val="0"/>
              <w:autoSpaceDE/>
              <w:autoSpaceDN/>
              <w:bidi w:val="0"/>
              <w:snapToGrid w:val="0"/>
              <w:spacing w:beforeAutospacing="0" w:line="500" w:lineRule="exact"/>
              <w:jc w:val="center"/>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6</w:t>
            </w:r>
            <w:r>
              <w:rPr>
                <w:rFonts w:hint="eastAsia" w:asciiTheme="majorEastAsia" w:hAnsiTheme="majorEastAsia" w:eastAsiaTheme="majorEastAsia" w:cstheme="majorEastAsia"/>
                <w:color w:val="auto"/>
                <w:sz w:val="21"/>
                <w:szCs w:val="21"/>
              </w:rPr>
              <w:t>元/套</w:t>
            </w:r>
            <w:r>
              <w:rPr>
                <w:rFonts w:hint="eastAsia" w:asciiTheme="majorEastAsia" w:hAnsiTheme="majorEastAsia" w:eastAsiaTheme="majorEastAsia" w:cstheme="majorEastAsia"/>
                <w:color w:val="auto"/>
                <w:sz w:val="21"/>
                <w:szCs w:val="21"/>
                <w:lang w:eastAsia="zh-CN"/>
              </w:rPr>
              <w:t>（次）</w:t>
            </w:r>
          </w:p>
        </w:tc>
      </w:tr>
    </w:tbl>
    <w:p>
      <w:pPr>
        <w:keepNext w:val="0"/>
        <w:keepLines w:val="0"/>
        <w:pageBreakBefore w:val="0"/>
        <w:kinsoku/>
        <w:wordWrap/>
        <w:overflowPunct/>
        <w:topLinePunct w:val="0"/>
        <w:autoSpaceDE/>
        <w:autoSpaceDN/>
        <w:bidi w:val="0"/>
        <w:snapToGrid w:val="0"/>
        <w:spacing w:beforeAutospacing="0" w:line="500" w:lineRule="exact"/>
        <w:jc w:val="left"/>
        <w:textAlignment w:val="auto"/>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rPr>
        <w:t>注：以上数量</w:t>
      </w:r>
      <w:r>
        <w:rPr>
          <w:rFonts w:hint="eastAsia" w:asciiTheme="majorEastAsia" w:hAnsiTheme="majorEastAsia" w:eastAsiaTheme="majorEastAsia" w:cstheme="majorEastAsia"/>
          <w:b/>
          <w:bCs/>
          <w:color w:val="auto"/>
          <w:sz w:val="24"/>
          <w:szCs w:val="24"/>
          <w:lang w:eastAsia="zh-CN"/>
        </w:rPr>
        <w:t>非准确数</w:t>
      </w:r>
      <w:r>
        <w:rPr>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b/>
          <w:bCs/>
          <w:color w:val="auto"/>
          <w:sz w:val="24"/>
          <w:szCs w:val="24"/>
          <w:lang w:eastAsia="zh-CN"/>
        </w:rPr>
        <w:t>结算按实际业务量，预算内优先保障旧房蚁害治理。</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防治服务技术依据</w:t>
      </w:r>
    </w:p>
    <w:p>
      <w:pPr>
        <w:keepNext w:val="0"/>
        <w:keepLines w:val="0"/>
        <w:pageBreakBefore w:val="0"/>
        <w:kinsoku/>
        <w:wordWrap/>
        <w:overflowPunct/>
        <w:topLinePunct w:val="0"/>
        <w:autoSpaceDE/>
        <w:autoSpaceDN/>
        <w:bidi w:val="0"/>
        <w:spacing w:line="500" w:lineRule="exact"/>
        <w:ind w:firstLine="48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1、DB 33/T 1108-2018《房屋白蚁监测控制系统应用技术规程》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JGJ/T245-2024《房屋白蚁防治技术标准》</w:t>
      </w:r>
      <w:r>
        <w:rPr>
          <w:rFonts w:hint="eastAsia" w:asciiTheme="majorEastAsia" w:hAnsiTheme="majorEastAsia" w:eastAsiaTheme="majorEastAsia" w:cstheme="majorEastAsia"/>
          <w:sz w:val="24"/>
          <w:szCs w:val="24"/>
        </w:rPr>
        <w:t>。主要技术指标为：</w:t>
      </w:r>
    </w:p>
    <w:p>
      <w:pPr>
        <w:keepNext w:val="0"/>
        <w:keepLines w:val="0"/>
        <w:pageBreakBefore w:val="0"/>
        <w:kinsoku/>
        <w:wordWrap/>
        <w:overflowPunct/>
        <w:topLinePunct w:val="0"/>
        <w:autoSpaceDE/>
        <w:autoSpaceDN/>
        <w:bidi w:val="0"/>
        <w:spacing w:line="500" w:lineRule="exact"/>
        <w:ind w:firstLine="48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（1）监测装置安装间距，房屋四周为 5 米，特殊情况</w:t>
      </w:r>
      <w:r>
        <w:rPr>
          <w:rFonts w:hint="eastAsia" w:asciiTheme="majorEastAsia" w:hAnsiTheme="majorEastAsia" w:eastAsiaTheme="majorEastAsia" w:cstheme="majorEastAsia"/>
          <w:sz w:val="24"/>
          <w:szCs w:val="24"/>
          <w:lang w:eastAsia="zh-CN"/>
        </w:rPr>
        <w:t>协商</w:t>
      </w:r>
      <w:r>
        <w:rPr>
          <w:rFonts w:hint="eastAsia" w:asciiTheme="majorEastAsia" w:hAnsiTheme="majorEastAsia" w:eastAsiaTheme="majorEastAsia" w:cstheme="majorEastAsia"/>
          <w:sz w:val="24"/>
          <w:szCs w:val="24"/>
        </w:rPr>
        <w:t>确定；</w:t>
      </w:r>
    </w:p>
    <w:p>
      <w:pPr>
        <w:keepNext w:val="0"/>
        <w:keepLines w:val="0"/>
        <w:pageBreakBefore w:val="0"/>
        <w:kinsoku/>
        <w:wordWrap/>
        <w:overflowPunct/>
        <w:topLinePunct w:val="0"/>
        <w:autoSpaceDE/>
        <w:autoSpaceDN/>
        <w:bidi w:val="0"/>
        <w:spacing w:line="500" w:lineRule="exact"/>
        <w:ind w:left="420" w:leftChars="200" w:firstLine="64" w:firstLineChars="27"/>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（2）监测装置维护周期：每年</w:t>
      </w:r>
      <w:r>
        <w:rPr>
          <w:rFonts w:hint="eastAsia" w:asciiTheme="majorEastAsia" w:hAnsiTheme="majorEastAsia" w:eastAsiaTheme="majorEastAsia" w:cstheme="majorEastAsia"/>
          <w:color w:val="auto"/>
          <w:sz w:val="24"/>
          <w:szCs w:val="24"/>
          <w:lang w:eastAsia="zh-CN"/>
        </w:rPr>
        <w:t>不少于</w:t>
      </w:r>
      <w:r>
        <w:rPr>
          <w:rFonts w:hint="eastAsia" w:asciiTheme="majorEastAsia" w:hAnsiTheme="majorEastAsia" w:eastAsiaTheme="majorEastAsia" w:cstheme="majorEastAsia"/>
          <w:color w:val="auto"/>
          <w:sz w:val="24"/>
          <w:szCs w:val="24"/>
        </w:rPr>
        <w:t>1 次</w:t>
      </w:r>
      <w:r>
        <w:rPr>
          <w:rFonts w:hint="eastAsia" w:asciiTheme="majorEastAsia" w:hAnsiTheme="majorEastAsia" w:eastAsiaTheme="majorEastAsia" w:cstheme="majorEastAsia"/>
          <w:color w:val="auto"/>
          <w:sz w:val="24"/>
          <w:szCs w:val="24"/>
          <w:lang w:eastAsia="zh-CN"/>
        </w:rPr>
        <w:t>，乳白蚁危害区每年不少于</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lang w:eastAsia="zh-CN"/>
        </w:rPr>
        <w:t>次，</w:t>
      </w:r>
    </w:p>
    <w:p>
      <w:pPr>
        <w:keepNext w:val="0"/>
        <w:keepLines w:val="0"/>
        <w:pageBreakBefore w:val="0"/>
        <w:kinsoku/>
        <w:wordWrap/>
        <w:overflowPunct/>
        <w:topLinePunct w:val="0"/>
        <w:autoSpaceDE/>
        <w:autoSpaceDN/>
        <w:bidi w:val="0"/>
        <w:spacing w:line="5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在白蚁活动盛期进行，一般应于每年</w:t>
      </w:r>
      <w:r>
        <w:rPr>
          <w:rFonts w:hint="eastAsia" w:asciiTheme="majorEastAsia" w:hAnsiTheme="majorEastAsia" w:eastAsiaTheme="majorEastAsia" w:cstheme="majorEastAsia"/>
          <w:color w:val="auto"/>
          <w:sz w:val="24"/>
          <w:szCs w:val="24"/>
          <w:lang w:val="en-US" w:eastAsia="zh-CN"/>
        </w:rPr>
        <w:t>3-9月完成。发现白蚁危害的，应按照上述技术规程进行跟踪治理。其他</w:t>
      </w:r>
      <w:r>
        <w:rPr>
          <w:rFonts w:hint="eastAsia" w:asciiTheme="majorEastAsia" w:hAnsiTheme="majorEastAsia" w:eastAsiaTheme="majorEastAsia" w:cstheme="majorEastAsia"/>
          <w:color w:val="auto"/>
          <w:sz w:val="24"/>
          <w:szCs w:val="24"/>
        </w:rPr>
        <w:t>特殊情况协商确定；</w:t>
      </w:r>
    </w:p>
    <w:p>
      <w:pPr>
        <w:keepNext w:val="0"/>
        <w:keepLines w:val="0"/>
        <w:pageBreakBefore w:val="0"/>
        <w:kinsoku/>
        <w:wordWrap/>
        <w:overflowPunct/>
        <w:topLinePunct w:val="0"/>
        <w:autoSpaceDE/>
        <w:autoSpaceDN/>
        <w:bidi w:val="0"/>
        <w:spacing w:line="500" w:lineRule="exact"/>
        <w:ind w:firstLine="48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（3）新建房屋白蚁预防应编制施工方案，由采购人核定后方可实施。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2、采购人有关白蚁防治服务或施工的规章制度、考核办法等。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Theme="majorEastAsia" w:hAnsiTheme="majorEastAsia" w:eastAsiaTheme="majorEastAsia" w:cstheme="majorEastAsia"/>
          <w:b/>
          <w:kern w:val="2"/>
          <w:sz w:val="24"/>
          <w:szCs w:val="24"/>
          <w:lang w:val="en-US" w:eastAsia="zh-CN" w:bidi="ar-SA"/>
        </w:rPr>
      </w:pPr>
      <w:r>
        <w:rPr>
          <w:rFonts w:hint="eastAsia" w:asciiTheme="majorEastAsia" w:hAnsiTheme="majorEastAsia" w:eastAsiaTheme="majorEastAsia" w:cstheme="majorEastAsia"/>
          <w:b/>
          <w:kern w:val="2"/>
          <w:sz w:val="24"/>
          <w:szCs w:val="24"/>
          <w:lang w:val="en-US" w:eastAsia="zh-CN" w:bidi="ar-SA"/>
        </w:rPr>
        <w:t>本项目的资格要求：</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（1）依法登记注册的企业法人、经济组织；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left"/>
        <w:textAlignment w:val="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（2）配备有相应专业技能的工作人员不少于4人，不含退休返聘人员（提供社保缴纳证明）。其中项目负责人1 人，须经过白蚁防治专业培训，具有生物、药物检测、建筑工程等相关专业中级以上技术职称，专职负责本项目工作，月均出勤22天以上（可兼任）。现场施工人员4人及以上，应经过白蚁防治职业技能培训与考核鉴定，持有职业资格证书；资料员1名，负责资料登录和业务受理（可兼任）。</w:t>
      </w:r>
      <w:r>
        <w:rPr>
          <w:rFonts w:hint="eastAsia" w:ascii="宋体" w:hAnsi="宋体" w:eastAsia="宋体" w:cs="宋体"/>
          <w:color w:val="auto"/>
          <w:sz w:val="24"/>
          <w:szCs w:val="24"/>
          <w:highlight w:val="none"/>
          <w:lang w:val="en-US" w:eastAsia="zh-CN"/>
        </w:rPr>
        <w:t>在业务量大或白蚁活动高峰期时，可无条件按照采购人要求增配工作人员。</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left"/>
        <w:textAlignment w:val="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3）非海宁市登记注册的供应商获取预中标资格后，应当在中标（成交）公示后15个工作日内固定在海宁市内服务团队，将工作人员安排到位，否则视为放弃中标（成交）资格，由排名次之的中标（成交）候选供应商替补，以此类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lef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（4）本项目不接受联合体投标，不允许分包和转包。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left"/>
        <w:textAlignment w:val="auto"/>
        <w:rPr>
          <w:rFonts w:hint="eastAsia" w:asciiTheme="majorEastAsia" w:hAnsiTheme="majorEastAsia" w:eastAsiaTheme="majorEastAsia" w:cstheme="majorEastAsia"/>
          <w:b/>
          <w:kern w:val="2"/>
          <w:sz w:val="24"/>
          <w:szCs w:val="24"/>
          <w:lang w:val="en-US" w:eastAsia="zh-CN" w:bidi="ar-SA"/>
        </w:rPr>
      </w:pPr>
      <w:r>
        <w:rPr>
          <w:rFonts w:hint="eastAsia" w:asciiTheme="majorEastAsia" w:hAnsiTheme="majorEastAsia" w:eastAsiaTheme="majorEastAsia" w:cstheme="majorEastAsia"/>
          <w:b/>
          <w:kern w:val="2"/>
          <w:sz w:val="24"/>
          <w:szCs w:val="24"/>
          <w:lang w:val="en-US" w:eastAsia="zh-CN" w:bidi="ar-SA"/>
        </w:rPr>
        <w:t>本项目的设备和药物要求</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left="0" w:firstLine="420"/>
        <w:jc w:val="lef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用</w:t>
      </w:r>
      <w:r>
        <w:rPr>
          <w:rFonts w:hint="eastAsia" w:asciiTheme="majorEastAsia" w:hAnsiTheme="majorEastAsia" w:eastAsiaTheme="majorEastAsia" w:cstheme="majorEastAsia"/>
          <w:color w:val="auto"/>
          <w:kern w:val="2"/>
          <w:sz w:val="24"/>
          <w:szCs w:val="24"/>
          <w:lang w:val="en-US" w:eastAsia="zh-CN" w:bidi="ar-SA"/>
        </w:rPr>
        <w:t>于白蚁防治业务工作的</w:t>
      </w:r>
      <w:bookmarkStart w:id="2" w:name="_GoBack"/>
      <w:r>
        <w:rPr>
          <w:rFonts w:hint="eastAsia" w:asciiTheme="majorEastAsia" w:hAnsiTheme="majorEastAsia" w:eastAsiaTheme="majorEastAsia" w:cstheme="majorEastAsia"/>
          <w:b w:val="0"/>
          <w:bCs w:val="0"/>
          <w:color w:val="auto"/>
          <w:kern w:val="2"/>
          <w:sz w:val="24"/>
          <w:szCs w:val="24"/>
          <w:lang w:val="en-US" w:eastAsia="zh-CN" w:bidi="ar-SA"/>
        </w:rPr>
        <w:t>专用汽车不少于1辆</w:t>
      </w:r>
      <w:bookmarkEnd w:id="2"/>
      <w:r>
        <w:rPr>
          <w:rFonts w:hint="eastAsia" w:asciiTheme="majorEastAsia" w:hAnsiTheme="majorEastAsia" w:eastAsiaTheme="majorEastAsia" w:cstheme="majorEastAsia"/>
          <w:b/>
          <w:bCs/>
          <w:color w:val="auto"/>
          <w:kern w:val="2"/>
          <w:sz w:val="24"/>
          <w:szCs w:val="24"/>
          <w:lang w:val="en-US" w:eastAsia="zh-CN" w:bidi="ar-SA"/>
        </w:rPr>
        <w:t>。</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420" w:firstLineChars="0"/>
        <w:jc w:val="lef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监测装置应优先选用经全国白蚁防治中心核查审定的最新公布的白蚁防治用品信息目录内或推荐产品，具有合格证明。要求智能型监测装置，产品外壳规格不小于10cm*10cm*14cm，供应商需配备相应的智能监测装置管理系统并落实好网络安全主体责任，针对网络与数据安全检测到的问题，应在网信等相关部门要求的时间内进行整改，采购人不支付费用。采购人可通过该系统查看监测装置布控区位、实时状态、监测数据等。监测装置产品应在技术商务文件中响应，中标后未经采购人许可不得变更产品。为便于监测装置后期维护中定位查找，中标单位无偿提供1台智能监测装置巡检仪给采购人。</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80" w:firstLineChars="200"/>
        <w:jc w:val="lef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3.投入本项目的白蚁防治药物须取得“农药三证”，登记使用对象为“白蚁”，对环境友好。用于房屋白蚁防治药物，宜选用非趋避性药物。</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工作质量及考核</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（一）工作质量及考核要求</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新建房屋白蚁预防施工质量及考核要求</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①成交供应商工作职责：收到新建预防档案后及时协调联系建设单位 ，跟踪工程进度，3 个工作日内现场勘察工地，编制初步施工方案，由项目负责人审核后，经采购人核定后，按照施工方案进行白蚁预防施工，接受建设单位现场监管，规范填写相关表格。工程完工后，按规定移交完整的项目档案。</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②考核验收按照DB 33/T 1108-2018《房屋白蚁监测控制系统应用技术规程》、</w:t>
      </w:r>
      <w:r>
        <w:rPr>
          <w:rFonts w:hint="eastAsia" w:asciiTheme="majorEastAsia" w:hAnsiTheme="majorEastAsia" w:eastAsiaTheme="majorEastAsia" w:cstheme="majorEastAsia"/>
          <w:sz w:val="24"/>
          <w:szCs w:val="24"/>
          <w:lang w:val="en-US" w:eastAsia="zh-CN"/>
        </w:rPr>
        <w:t>JGJ/T245-2024《房屋白蚁防治技术标准》、</w:t>
      </w:r>
      <w:r>
        <w:rPr>
          <w:rFonts w:hint="eastAsia" w:asciiTheme="majorEastAsia" w:hAnsiTheme="majorEastAsia" w:eastAsiaTheme="majorEastAsia" w:cstheme="majorEastAsia"/>
          <w:sz w:val="24"/>
          <w:szCs w:val="24"/>
          <w:lang w:eastAsia="zh-CN"/>
        </w:rPr>
        <w:t>中心白蚁防治服务质量考核办法等</w:t>
      </w:r>
      <w:r>
        <w:rPr>
          <w:rFonts w:hint="eastAsia" w:asciiTheme="majorEastAsia" w:hAnsiTheme="majorEastAsia" w:eastAsiaTheme="majorEastAsia" w:cstheme="majorEastAsia"/>
          <w:sz w:val="24"/>
          <w:szCs w:val="24"/>
        </w:rPr>
        <w:t>相关规章制度、白蚁预防施工方案</w:t>
      </w:r>
      <w:r>
        <w:rPr>
          <w:rFonts w:hint="eastAsia" w:asciiTheme="majorEastAsia" w:hAnsiTheme="majorEastAsia" w:eastAsiaTheme="majorEastAsia" w:cstheme="majorEastAsia"/>
          <w:color w:val="auto"/>
          <w:sz w:val="24"/>
          <w:szCs w:val="24"/>
          <w:lang w:eastAsia="zh-CN"/>
        </w:rPr>
        <w:t>、白蚁防治服务规范措施</w:t>
      </w:r>
      <w:r>
        <w:rPr>
          <w:rFonts w:hint="eastAsia" w:asciiTheme="majorEastAsia" w:hAnsiTheme="majorEastAsia" w:eastAsiaTheme="majorEastAsia" w:cstheme="majorEastAsia"/>
          <w:sz w:val="24"/>
          <w:szCs w:val="24"/>
          <w:lang w:eastAsia="zh-CN"/>
        </w:rPr>
        <w:t>一览表</w:t>
      </w:r>
      <w:r>
        <w:rPr>
          <w:rFonts w:hint="eastAsia" w:asciiTheme="majorEastAsia" w:hAnsiTheme="majorEastAsia" w:eastAsiaTheme="majorEastAsia" w:cstheme="majorEastAsia"/>
          <w:sz w:val="24"/>
          <w:szCs w:val="24"/>
        </w:rPr>
        <w:t>等要求进行工作质量检查考核。</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③白蚁预防施工项目完工后，按白蚁预防施工方案逐个项目验收。</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④造成预防工程漏防的，成交供应商应及时上报采购人，并根据实际情况及时采取补防措施。如果是成交供应商联系协调不到位造成漏防并无法补防的，该项目施工费不结算外，将按该项目的施工总费用进行</w:t>
      </w:r>
      <w:r>
        <w:rPr>
          <w:rFonts w:hint="eastAsia" w:asciiTheme="majorEastAsia" w:hAnsiTheme="majorEastAsia" w:eastAsiaTheme="majorEastAsia" w:cstheme="majorEastAsia"/>
          <w:sz w:val="24"/>
          <w:szCs w:val="24"/>
          <w:lang w:eastAsia="zh-CN"/>
        </w:rPr>
        <w:t>扣罚</w:t>
      </w:r>
      <w:r>
        <w:rPr>
          <w:rFonts w:hint="eastAsia" w:asciiTheme="majorEastAsia" w:hAnsiTheme="majorEastAsia" w:eastAsiaTheme="majorEastAsia" w:cstheme="majorEastAsia"/>
          <w:sz w:val="24"/>
          <w:szCs w:val="24"/>
        </w:rPr>
        <w:t>；如果是非成交供应商责任造成漏防无法补防的，在费用结算时扣除漏防工程费用。</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老旧房屋蚁害治理工作质量及考核要求</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①老旧房屋蚁害治理业务登记受理后须在5个工作日内完成服务。</w:t>
      </w:r>
    </w:p>
    <w:p>
      <w:pPr>
        <w:keepNext w:val="0"/>
        <w:keepLines w:val="0"/>
        <w:pageBreakBefore w:val="0"/>
        <w:numPr>
          <w:ilvl w:val="0"/>
          <w:numId w:val="0"/>
        </w:numPr>
        <w:kinsoku/>
        <w:wordWrap/>
        <w:overflowPunct/>
        <w:topLinePunct w:val="0"/>
        <w:autoSpaceDE/>
        <w:autoSpaceDN/>
        <w:bidi w:val="0"/>
        <w:snapToGrid w:val="0"/>
        <w:spacing w:beforeAutospacing="0" w:line="500" w:lineRule="exact"/>
        <w:ind w:firstLine="420"/>
        <w:jc w:val="lef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②传统村落、历史街区白蚁防治按照专项技术方案要求编制具体施工方案，由项目负责人审核，经采购人核定后，按照施工方案进行施工，按采购人技术方案要求做好维护检查、记录和资料移交。</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③</w:t>
      </w:r>
      <w:r>
        <w:rPr>
          <w:rFonts w:hint="eastAsia" w:asciiTheme="majorEastAsia" w:hAnsiTheme="majorEastAsia" w:eastAsiaTheme="majorEastAsia" w:cstheme="majorEastAsia"/>
          <w:sz w:val="24"/>
          <w:szCs w:val="24"/>
        </w:rPr>
        <w:t>由上级部门交办、紧急督办等需开通绿色通道的，须在白蚁灭治业务登记受理后2个工作日内完成。</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lang w:eastAsia="zh-CN"/>
        </w:rPr>
        <w:t>④</w:t>
      </w:r>
      <w:r>
        <w:rPr>
          <w:rFonts w:hint="eastAsia" w:asciiTheme="majorEastAsia" w:hAnsiTheme="majorEastAsia" w:eastAsiaTheme="majorEastAsia" w:cstheme="majorEastAsia"/>
          <w:b w:val="0"/>
          <w:bCs w:val="0"/>
          <w:color w:val="auto"/>
          <w:sz w:val="24"/>
          <w:szCs w:val="24"/>
        </w:rPr>
        <w:t>老旧房屋白蚁治理</w:t>
      </w:r>
      <w:r>
        <w:rPr>
          <w:rFonts w:hint="eastAsia" w:asciiTheme="majorEastAsia" w:hAnsiTheme="majorEastAsia" w:eastAsiaTheme="majorEastAsia" w:cstheme="majorEastAsia"/>
          <w:b w:val="0"/>
          <w:bCs w:val="0"/>
          <w:color w:val="auto"/>
          <w:sz w:val="24"/>
          <w:szCs w:val="24"/>
          <w:lang w:eastAsia="zh-CN"/>
        </w:rPr>
        <w:t>当年度复治</w:t>
      </w:r>
      <w:r>
        <w:rPr>
          <w:rFonts w:hint="eastAsia" w:asciiTheme="majorEastAsia" w:hAnsiTheme="majorEastAsia" w:eastAsiaTheme="majorEastAsia" w:cstheme="majorEastAsia"/>
          <w:b w:val="0"/>
          <w:bCs w:val="0"/>
          <w:color w:val="auto"/>
          <w:sz w:val="24"/>
          <w:szCs w:val="24"/>
          <w:lang w:val="en-US" w:eastAsia="zh-CN"/>
        </w:rPr>
        <w:t>3次及以上的户数或第二年复治的户数</w:t>
      </w:r>
      <w:r>
        <w:rPr>
          <w:rFonts w:hint="eastAsia" w:asciiTheme="majorEastAsia" w:hAnsiTheme="majorEastAsia" w:eastAsiaTheme="majorEastAsia" w:cstheme="majorEastAsia"/>
          <w:b w:val="0"/>
          <w:bCs w:val="0"/>
          <w:color w:val="auto"/>
          <w:sz w:val="24"/>
          <w:szCs w:val="24"/>
        </w:rPr>
        <w:t>应低于10%。</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⑤</w:t>
      </w:r>
      <w:r>
        <w:rPr>
          <w:rFonts w:hint="eastAsia" w:asciiTheme="majorEastAsia" w:hAnsiTheme="majorEastAsia" w:eastAsiaTheme="majorEastAsia" w:cstheme="majorEastAsia"/>
          <w:sz w:val="24"/>
          <w:szCs w:val="24"/>
        </w:rPr>
        <w:t>不得向服务对象收取白蚁治理费用。</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监测装置检查维护工作质量及考核要求</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根据DB 33/T 1108-2018《房屋白蚁监测控制系统应用技术规程》、</w:t>
      </w:r>
      <w:r>
        <w:rPr>
          <w:rFonts w:hint="eastAsia" w:asciiTheme="majorEastAsia" w:hAnsiTheme="majorEastAsia" w:eastAsiaTheme="majorEastAsia" w:cstheme="majorEastAsia"/>
          <w:sz w:val="24"/>
          <w:szCs w:val="24"/>
          <w:lang w:val="en-US" w:eastAsia="zh-CN"/>
        </w:rPr>
        <w:t>JGJ/T245-2024《房屋白蚁防治技术标准》、</w:t>
      </w:r>
      <w:r>
        <w:rPr>
          <w:rFonts w:hint="eastAsia" w:asciiTheme="majorEastAsia" w:hAnsiTheme="majorEastAsia" w:eastAsiaTheme="majorEastAsia" w:cstheme="majorEastAsia"/>
          <w:sz w:val="24"/>
          <w:szCs w:val="24"/>
        </w:rPr>
        <w:t>采购人相关规章制度执行。</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资料记录填报和移交</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成交供应商在进行白蚁防治相关服务工作时，按照采购人要求及时做好现场服务施工资料记录，做到详实规范，同时将白蚁防治服务时照片资料及时传至采购人。</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每周</w:t>
      </w:r>
      <w:r>
        <w:rPr>
          <w:rFonts w:hint="eastAsia" w:asciiTheme="majorEastAsia" w:hAnsiTheme="majorEastAsia" w:eastAsiaTheme="majorEastAsia" w:cstheme="majorEastAsia"/>
          <w:color w:val="auto"/>
          <w:sz w:val="24"/>
          <w:szCs w:val="24"/>
        </w:rPr>
        <w:t>上报各服务项目施工量</w:t>
      </w:r>
      <w:r>
        <w:rPr>
          <w:rFonts w:hint="eastAsia" w:asciiTheme="majorEastAsia" w:hAnsiTheme="majorEastAsia" w:eastAsiaTheme="majorEastAsia" w:cstheme="majorEastAsia"/>
          <w:color w:val="auto"/>
          <w:sz w:val="24"/>
          <w:szCs w:val="24"/>
          <w:lang w:eastAsia="zh-CN"/>
        </w:rPr>
        <w:t>，并</w:t>
      </w:r>
      <w:r>
        <w:rPr>
          <w:rFonts w:hint="eastAsia" w:asciiTheme="majorEastAsia" w:hAnsiTheme="majorEastAsia" w:eastAsiaTheme="majorEastAsia" w:cstheme="majorEastAsia"/>
          <w:b w:val="0"/>
          <w:bCs w:val="0"/>
          <w:color w:val="auto"/>
          <w:sz w:val="24"/>
          <w:szCs w:val="24"/>
        </w:rPr>
        <w:t>于每月</w:t>
      </w:r>
      <w:r>
        <w:rPr>
          <w:rFonts w:hint="eastAsia" w:asciiTheme="majorEastAsia" w:hAnsiTheme="majorEastAsia" w:eastAsiaTheme="majorEastAsia" w:cstheme="majorEastAsia"/>
          <w:b w:val="0"/>
          <w:bCs w:val="0"/>
          <w:color w:val="auto"/>
          <w:sz w:val="24"/>
          <w:szCs w:val="24"/>
          <w:lang w:val="en-US" w:eastAsia="zh-CN"/>
        </w:rPr>
        <w:t>5</w:t>
      </w:r>
      <w:r>
        <w:rPr>
          <w:rFonts w:hint="eastAsia" w:asciiTheme="majorEastAsia" w:hAnsiTheme="majorEastAsia" w:eastAsiaTheme="majorEastAsia" w:cstheme="majorEastAsia"/>
          <w:b w:val="0"/>
          <w:bCs w:val="0"/>
          <w:color w:val="auto"/>
          <w:sz w:val="24"/>
          <w:szCs w:val="24"/>
        </w:rPr>
        <w:t>号将上</w:t>
      </w:r>
      <w:r>
        <w:rPr>
          <w:rFonts w:hint="eastAsia" w:asciiTheme="majorEastAsia" w:hAnsiTheme="majorEastAsia" w:eastAsiaTheme="majorEastAsia" w:cstheme="majorEastAsia"/>
          <w:color w:val="auto"/>
          <w:sz w:val="24"/>
          <w:szCs w:val="24"/>
        </w:rPr>
        <w:t>月完工项目的相关记录纸质资料移交至采购人。</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（二）考核方式</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现场检查、</w:t>
      </w:r>
      <w:r>
        <w:rPr>
          <w:rFonts w:hint="eastAsia" w:asciiTheme="majorEastAsia" w:hAnsiTheme="majorEastAsia" w:eastAsiaTheme="majorEastAsia" w:cstheme="majorEastAsia"/>
          <w:sz w:val="24"/>
          <w:szCs w:val="24"/>
          <w:lang w:eastAsia="zh-CN"/>
        </w:rPr>
        <w:t>抽样</w:t>
      </w:r>
      <w:r>
        <w:rPr>
          <w:rFonts w:hint="eastAsia" w:asciiTheme="majorEastAsia" w:hAnsiTheme="majorEastAsia" w:eastAsiaTheme="majorEastAsia" w:cstheme="majorEastAsia"/>
          <w:sz w:val="24"/>
          <w:szCs w:val="24"/>
          <w:lang w:val="en-US" w:eastAsia="zh-CN"/>
        </w:rPr>
        <w:t>检测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电话回访</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综合考核</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（三）安全生产要求</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严格遵守农药使用和环境保护法律、法规的有关规定，认真落实各项施工安全措施。不发生药物渗漏、环境污染、人畜中毒等安全生产事故。</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安全生产事故责任由成交供应商全部自负。</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（四）作风效能</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（1）现场施工人员着统一印有“白蚁防治”明显标识的工作服，佩戴统一制作的工作证开展白蚁防治相关服务。</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（2）按照要求保证服务质量和工作效能，做到文明、及时、主动服务。</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（3）进行白蚁防治服务时不得向服务对象收取任何费用。</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（五）违约责任</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 成交供应商未能按“施工技术依据、工作质量及考核要求”完成白蚁防治服务，或成交供应商工作失误，造成客户不满意或投诉的，将根据情节的轻重，分别处以300-50000元的</w:t>
      </w:r>
      <w:r>
        <w:rPr>
          <w:rFonts w:hint="eastAsia" w:asciiTheme="majorEastAsia" w:hAnsiTheme="majorEastAsia" w:eastAsiaTheme="majorEastAsia" w:cstheme="majorEastAsia"/>
          <w:sz w:val="24"/>
          <w:szCs w:val="24"/>
          <w:lang w:eastAsia="zh-CN"/>
        </w:rPr>
        <w:t>扣罚：</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）由于成交供应商工作失误，造成客户不满意或投诉的，每次</w:t>
      </w:r>
      <w:r>
        <w:rPr>
          <w:rFonts w:hint="eastAsia" w:asciiTheme="majorEastAsia" w:hAnsiTheme="majorEastAsia" w:eastAsiaTheme="majorEastAsia" w:cstheme="majorEastAsia"/>
          <w:sz w:val="24"/>
          <w:szCs w:val="24"/>
          <w:lang w:eastAsia="zh-CN"/>
        </w:rPr>
        <w:t>扣罚</w:t>
      </w:r>
      <w:r>
        <w:rPr>
          <w:rFonts w:hint="eastAsia" w:asciiTheme="majorEastAsia" w:hAnsiTheme="majorEastAsia" w:eastAsiaTheme="majorEastAsia" w:cstheme="majorEastAsia"/>
          <w:sz w:val="24"/>
          <w:szCs w:val="24"/>
        </w:rPr>
        <w:t>2000元。</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）由于成交供应商工作失误，造成客户投诉或发生较大责任事故，而导致采购人受上级部门问责或处分的，</w:t>
      </w:r>
      <w:r>
        <w:rPr>
          <w:rFonts w:hint="eastAsia" w:asciiTheme="majorEastAsia" w:hAnsiTheme="majorEastAsia" w:eastAsiaTheme="majorEastAsia" w:cstheme="majorEastAsia"/>
          <w:sz w:val="24"/>
          <w:szCs w:val="24"/>
          <w:lang w:eastAsia="zh-CN"/>
        </w:rPr>
        <w:t>扣罚</w:t>
      </w:r>
      <w:r>
        <w:rPr>
          <w:rFonts w:hint="eastAsia" w:asciiTheme="majorEastAsia" w:hAnsiTheme="majorEastAsia" w:eastAsiaTheme="majorEastAsia" w:cstheme="majorEastAsia"/>
          <w:sz w:val="24"/>
          <w:szCs w:val="24"/>
        </w:rPr>
        <w:t>50000元，并中止合同。</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default"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w:t>
      </w: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rPr>
        <w:t>）旧房蚁害治理</w:t>
      </w:r>
      <w:r>
        <w:rPr>
          <w:rFonts w:hint="eastAsia" w:asciiTheme="majorEastAsia" w:hAnsiTheme="majorEastAsia" w:eastAsiaTheme="majorEastAsia" w:cstheme="majorEastAsia"/>
          <w:b w:val="0"/>
          <w:bCs w:val="0"/>
          <w:color w:val="auto"/>
          <w:sz w:val="24"/>
          <w:szCs w:val="24"/>
          <w:lang w:eastAsia="zh-CN"/>
        </w:rPr>
        <w:t>当年度复治</w:t>
      </w:r>
      <w:r>
        <w:rPr>
          <w:rFonts w:hint="eastAsia" w:asciiTheme="majorEastAsia" w:hAnsiTheme="majorEastAsia" w:eastAsiaTheme="majorEastAsia" w:cstheme="majorEastAsia"/>
          <w:b w:val="0"/>
          <w:bCs w:val="0"/>
          <w:color w:val="auto"/>
          <w:sz w:val="24"/>
          <w:szCs w:val="24"/>
          <w:lang w:val="en-US" w:eastAsia="zh-CN"/>
        </w:rPr>
        <w:t>3次及以上的户数或第二年复治的比例高于10%后，</w:t>
      </w:r>
      <w:r>
        <w:rPr>
          <w:rFonts w:hint="eastAsia" w:asciiTheme="majorEastAsia" w:hAnsiTheme="majorEastAsia" w:eastAsiaTheme="majorEastAsia" w:cstheme="majorEastAsia"/>
          <w:b w:val="0"/>
          <w:bCs w:val="0"/>
          <w:color w:val="auto"/>
          <w:sz w:val="24"/>
          <w:szCs w:val="24"/>
        </w:rPr>
        <w:t>每户</w:t>
      </w:r>
      <w:r>
        <w:rPr>
          <w:rFonts w:hint="eastAsia" w:asciiTheme="majorEastAsia" w:hAnsiTheme="majorEastAsia" w:eastAsiaTheme="majorEastAsia" w:cstheme="majorEastAsia"/>
          <w:b w:val="0"/>
          <w:bCs w:val="0"/>
          <w:color w:val="auto"/>
          <w:sz w:val="24"/>
          <w:szCs w:val="24"/>
          <w:lang w:eastAsia="zh-CN"/>
        </w:rPr>
        <w:t>扣罚</w:t>
      </w:r>
      <w:r>
        <w:rPr>
          <w:rFonts w:hint="eastAsia" w:asciiTheme="majorEastAsia" w:hAnsiTheme="majorEastAsia" w:eastAsiaTheme="majorEastAsia" w:cstheme="majorEastAsia"/>
          <w:b w:val="0"/>
          <w:bCs w:val="0"/>
          <w:color w:val="auto"/>
          <w:sz w:val="24"/>
          <w:szCs w:val="24"/>
        </w:rPr>
        <w:t>300元；</w:t>
      </w:r>
      <w:r>
        <w:rPr>
          <w:rFonts w:hint="eastAsia" w:asciiTheme="majorEastAsia" w:hAnsiTheme="majorEastAsia" w:eastAsiaTheme="majorEastAsia" w:cstheme="majorEastAsia"/>
          <w:b w:val="0"/>
          <w:bCs w:val="0"/>
          <w:color w:val="auto"/>
          <w:sz w:val="24"/>
          <w:szCs w:val="24"/>
          <w:lang w:eastAsia="zh-CN"/>
        </w:rPr>
        <w:t>当年度复治</w:t>
      </w:r>
      <w:r>
        <w:rPr>
          <w:rFonts w:hint="eastAsia" w:asciiTheme="majorEastAsia" w:hAnsiTheme="majorEastAsia" w:eastAsiaTheme="majorEastAsia" w:cstheme="majorEastAsia"/>
          <w:b w:val="0"/>
          <w:bCs w:val="0"/>
          <w:color w:val="auto"/>
          <w:sz w:val="24"/>
          <w:szCs w:val="24"/>
          <w:lang w:val="en-US" w:eastAsia="zh-CN"/>
        </w:rPr>
        <w:t>3次以上的户数或第二年复治的比例</w:t>
      </w:r>
      <w:r>
        <w:rPr>
          <w:rFonts w:hint="eastAsia" w:asciiTheme="majorEastAsia" w:hAnsiTheme="majorEastAsia" w:eastAsiaTheme="majorEastAsia" w:cstheme="majorEastAsia"/>
          <w:b w:val="0"/>
          <w:bCs w:val="0"/>
          <w:color w:val="auto"/>
          <w:sz w:val="24"/>
          <w:szCs w:val="24"/>
        </w:rPr>
        <w:t>高于50%</w:t>
      </w:r>
      <w:r>
        <w:rPr>
          <w:rFonts w:hint="eastAsia" w:asciiTheme="majorEastAsia" w:hAnsiTheme="majorEastAsia" w:eastAsiaTheme="majorEastAsia" w:cstheme="majorEastAsia"/>
          <w:b w:val="0"/>
          <w:bCs w:val="0"/>
          <w:color w:val="auto"/>
          <w:sz w:val="24"/>
          <w:szCs w:val="24"/>
          <w:lang w:eastAsia="zh-CN"/>
        </w:rPr>
        <w:t>的</w:t>
      </w:r>
      <w:r>
        <w:rPr>
          <w:rFonts w:hint="eastAsia" w:asciiTheme="majorEastAsia" w:hAnsiTheme="majorEastAsia" w:eastAsiaTheme="majorEastAsia" w:cstheme="majorEastAsia"/>
          <w:b w:val="0"/>
          <w:bCs w:val="0"/>
          <w:color w:val="auto"/>
          <w:sz w:val="24"/>
          <w:szCs w:val="24"/>
        </w:rPr>
        <w:t>，</w:t>
      </w:r>
      <w:r>
        <w:rPr>
          <w:rFonts w:hint="eastAsia" w:asciiTheme="majorEastAsia" w:hAnsiTheme="majorEastAsia" w:eastAsiaTheme="majorEastAsia" w:cstheme="majorEastAsia"/>
          <w:b w:val="0"/>
          <w:bCs w:val="0"/>
          <w:color w:val="auto"/>
          <w:sz w:val="24"/>
          <w:szCs w:val="24"/>
          <w:lang w:eastAsia="zh-CN"/>
        </w:rPr>
        <w:t>罚款</w:t>
      </w:r>
      <w:r>
        <w:rPr>
          <w:rFonts w:hint="eastAsia" w:asciiTheme="majorEastAsia" w:hAnsiTheme="majorEastAsia" w:eastAsiaTheme="majorEastAsia" w:cstheme="majorEastAsia"/>
          <w:b w:val="0"/>
          <w:bCs w:val="0"/>
          <w:color w:val="auto"/>
          <w:sz w:val="24"/>
          <w:szCs w:val="24"/>
          <w:lang w:val="en-US" w:eastAsia="zh-CN"/>
        </w:rPr>
        <w:t>50000元，并中止合同</w:t>
      </w:r>
      <w:r>
        <w:rPr>
          <w:rFonts w:hint="eastAsia" w:asciiTheme="majorEastAsia" w:hAnsiTheme="majorEastAsia" w:eastAsiaTheme="majorEastAsia" w:cstheme="majorEastAsia"/>
          <w:b w:val="0"/>
          <w:bCs w:val="0"/>
          <w:color w:val="auto"/>
          <w:sz w:val="24"/>
          <w:szCs w:val="24"/>
        </w:rPr>
        <w:t>。</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 成交供应商违反以下规定之一的，采购人有权利终止合同。</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（1）发现投标时提供虚假投标文件资料的。</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（2）成交供应商未按规定要求配备人员、设备的。</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（3）伪造或虚假填报施工和药物进出库记录。</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（4）对工作质量检查考核中存在问题，采购人书面通知责令限期整改，而成交供应商十五个工作日内达不到整改要求的。</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）由于成交供应商工作失误，造成客户投诉或发生较大责任事故，导致采购人受上级部门问责或处分的。</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）进行白蚁防治服务时以各种名义向服务对象收取费用的。</w:t>
      </w:r>
    </w:p>
    <w:p>
      <w:pPr>
        <w:keepNext w:val="0"/>
        <w:keepLines w:val="0"/>
        <w:pageBreakBefore w:val="0"/>
        <w:kinsoku/>
        <w:wordWrap/>
        <w:overflowPunct/>
        <w:topLinePunct w:val="0"/>
        <w:autoSpaceDE/>
        <w:autoSpaceDN/>
        <w:bidi w:val="0"/>
        <w:snapToGrid w:val="0"/>
        <w:spacing w:beforeAutospacing="0" w:line="500" w:lineRule="exact"/>
        <w:ind w:firstLine="480" w:firstLineChars="200"/>
        <w:jc w:val="left"/>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评审标准</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各供应商的综合得分为报价得分和</w:t>
      </w:r>
      <w:r>
        <w:rPr>
          <w:rFonts w:hint="eastAsia" w:asciiTheme="majorEastAsia" w:hAnsiTheme="majorEastAsia" w:eastAsiaTheme="majorEastAsia" w:cstheme="majorEastAsia"/>
          <w:color w:val="auto"/>
          <w:sz w:val="24"/>
          <w:szCs w:val="24"/>
          <w:lang w:eastAsia="zh-CN"/>
        </w:rPr>
        <w:t>商务技术</w:t>
      </w:r>
      <w:r>
        <w:rPr>
          <w:rFonts w:hint="eastAsia" w:asciiTheme="majorEastAsia" w:hAnsiTheme="majorEastAsia" w:eastAsiaTheme="majorEastAsia" w:cstheme="majorEastAsia"/>
          <w:color w:val="auto"/>
          <w:sz w:val="24"/>
          <w:szCs w:val="24"/>
        </w:rPr>
        <w:t>分之和，总分为100分，其中：报价分</w:t>
      </w:r>
      <w:r>
        <w:rPr>
          <w:rFonts w:hint="eastAsia" w:asciiTheme="majorEastAsia" w:hAnsiTheme="majorEastAsia" w:eastAsiaTheme="majorEastAsia" w:cstheme="majorEastAsia"/>
          <w:color w:val="auto"/>
          <w:sz w:val="24"/>
          <w:szCs w:val="24"/>
          <w:lang w:val="en-US" w:eastAsia="zh-CN"/>
        </w:rPr>
        <w:t>20</w:t>
      </w:r>
      <w:r>
        <w:rPr>
          <w:rFonts w:hint="eastAsia" w:asciiTheme="majorEastAsia" w:hAnsiTheme="majorEastAsia" w:eastAsiaTheme="majorEastAsia" w:cstheme="majorEastAsia"/>
          <w:color w:val="auto"/>
          <w:sz w:val="24"/>
          <w:szCs w:val="24"/>
        </w:rPr>
        <w:t>分，</w:t>
      </w:r>
      <w:r>
        <w:rPr>
          <w:rFonts w:hint="eastAsia" w:asciiTheme="majorEastAsia" w:hAnsiTheme="majorEastAsia" w:eastAsiaTheme="majorEastAsia" w:cstheme="majorEastAsia"/>
          <w:color w:val="auto"/>
          <w:sz w:val="24"/>
          <w:szCs w:val="24"/>
          <w:lang w:eastAsia="zh-CN"/>
        </w:rPr>
        <w:t>商务技术</w:t>
      </w:r>
      <w:r>
        <w:rPr>
          <w:rFonts w:hint="eastAsia" w:asciiTheme="majorEastAsia" w:hAnsiTheme="majorEastAsia" w:eastAsiaTheme="majorEastAsia" w:cstheme="majorEastAsia"/>
          <w:color w:val="auto"/>
          <w:sz w:val="24"/>
          <w:szCs w:val="24"/>
        </w:rPr>
        <w:t>分</w:t>
      </w:r>
      <w:r>
        <w:rPr>
          <w:rFonts w:hint="eastAsia" w:asciiTheme="majorEastAsia" w:hAnsiTheme="majorEastAsia" w:eastAsiaTheme="majorEastAsia" w:cstheme="majorEastAsia"/>
          <w:color w:val="auto"/>
          <w:sz w:val="24"/>
          <w:szCs w:val="24"/>
          <w:lang w:val="en-US" w:eastAsia="zh-CN"/>
        </w:rPr>
        <w:t>80</w:t>
      </w:r>
      <w:r>
        <w:rPr>
          <w:rFonts w:hint="eastAsia" w:asciiTheme="majorEastAsia" w:hAnsiTheme="majorEastAsia" w:eastAsiaTheme="majorEastAsia" w:cstheme="majorEastAsia"/>
          <w:color w:val="auto"/>
          <w:sz w:val="24"/>
          <w:szCs w:val="24"/>
        </w:rPr>
        <w:t>分。</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各供应商的</w:t>
      </w:r>
      <w:r>
        <w:rPr>
          <w:rFonts w:hint="eastAsia" w:asciiTheme="majorEastAsia" w:hAnsiTheme="majorEastAsia" w:eastAsiaTheme="majorEastAsia" w:cstheme="majorEastAsia"/>
          <w:sz w:val="24"/>
          <w:szCs w:val="24"/>
          <w:lang w:eastAsia="zh-CN"/>
        </w:rPr>
        <w:t>商务技术</w:t>
      </w:r>
      <w:r>
        <w:rPr>
          <w:rFonts w:hint="eastAsia" w:asciiTheme="majorEastAsia" w:hAnsiTheme="majorEastAsia" w:eastAsiaTheme="majorEastAsia" w:cstheme="majorEastAsia"/>
          <w:sz w:val="24"/>
          <w:szCs w:val="24"/>
        </w:rPr>
        <w:t>分为磋商小组各成员评分的平均值；各供应商的报价分得分按低价优先法计算。</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12</w:t>
      </w:r>
      <w:r>
        <w:rPr>
          <w:rFonts w:hint="eastAsia" w:asciiTheme="majorEastAsia" w:hAnsiTheme="majorEastAsia" w:eastAsiaTheme="majorEastAsia" w:cstheme="majorEastAsia"/>
          <w:sz w:val="24"/>
          <w:szCs w:val="24"/>
        </w:rPr>
        <w:t>.2.1报价分（0～</w:t>
      </w:r>
      <w:r>
        <w:rPr>
          <w:rFonts w:hint="eastAsia" w:asciiTheme="majorEastAsia" w:hAnsiTheme="majorEastAsia" w:eastAsiaTheme="majorEastAsia" w:cstheme="majorEastAsia"/>
          <w:sz w:val="24"/>
          <w:szCs w:val="24"/>
          <w:lang w:val="en-US" w:eastAsia="zh-CN"/>
        </w:rPr>
        <w:t>20</w:t>
      </w:r>
      <w:r>
        <w:rPr>
          <w:rFonts w:hint="eastAsia" w:asciiTheme="majorEastAsia" w:hAnsiTheme="majorEastAsia" w:eastAsiaTheme="majorEastAsia" w:cstheme="majorEastAsia"/>
          <w:sz w:val="24"/>
          <w:szCs w:val="24"/>
        </w:rPr>
        <w:t>分）：</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12</w:t>
      </w:r>
      <w:r>
        <w:rPr>
          <w:rFonts w:hint="eastAsia" w:asciiTheme="majorEastAsia" w:hAnsiTheme="majorEastAsia" w:eastAsiaTheme="majorEastAsia" w:cstheme="majorEastAsia"/>
          <w:sz w:val="24"/>
          <w:szCs w:val="24"/>
        </w:rPr>
        <w:t>.2.1.1报价分采用低价优先法准则，即满足</w:t>
      </w:r>
      <w:r>
        <w:rPr>
          <w:rFonts w:hint="eastAsia" w:asciiTheme="majorEastAsia" w:hAnsiTheme="majorEastAsia" w:eastAsiaTheme="majorEastAsia" w:cstheme="majorEastAsia"/>
          <w:sz w:val="24"/>
          <w:szCs w:val="24"/>
          <w:lang w:eastAsia="zh-CN"/>
        </w:rPr>
        <w:t>采购文件</w:t>
      </w:r>
      <w:r>
        <w:rPr>
          <w:rFonts w:hint="eastAsia" w:asciiTheme="majorEastAsia" w:hAnsiTheme="majorEastAsia" w:eastAsiaTheme="majorEastAsia" w:cstheme="majorEastAsia"/>
          <w:sz w:val="24"/>
          <w:szCs w:val="24"/>
        </w:rPr>
        <w:t>要求且价格最低的报价为评标基准价。</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12</w:t>
      </w:r>
      <w:r>
        <w:rPr>
          <w:rFonts w:hint="eastAsia" w:asciiTheme="majorEastAsia" w:hAnsiTheme="majorEastAsia" w:eastAsiaTheme="majorEastAsia" w:cstheme="majorEastAsia"/>
          <w:sz w:val="24"/>
          <w:szCs w:val="24"/>
        </w:rPr>
        <w:t xml:space="preserve">.2.1.2报价得分按下列公式计算：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rPr>
        <w:t>报价分=（评标基准</w:t>
      </w:r>
      <w:r>
        <w:rPr>
          <w:rFonts w:hint="eastAsia" w:asciiTheme="majorEastAsia" w:hAnsiTheme="majorEastAsia" w:eastAsiaTheme="majorEastAsia" w:cstheme="majorEastAsia"/>
          <w:sz w:val="24"/>
          <w:szCs w:val="24"/>
          <w:highlight w:val="none"/>
        </w:rPr>
        <w:t>价 / 报价）×</w:t>
      </w:r>
      <w:r>
        <w:rPr>
          <w:rFonts w:hint="eastAsia" w:asciiTheme="majorEastAsia" w:hAnsiTheme="majorEastAsia" w:eastAsiaTheme="majorEastAsia" w:cstheme="majorEastAsia"/>
          <w:sz w:val="24"/>
          <w:szCs w:val="24"/>
          <w:highlight w:val="none"/>
          <w:lang w:val="en-US" w:eastAsia="zh-CN"/>
        </w:rPr>
        <w:t>20</w:t>
      </w:r>
      <w:r>
        <w:rPr>
          <w:rFonts w:hint="eastAsia" w:asciiTheme="majorEastAsia" w:hAnsiTheme="majorEastAsia" w:eastAsiaTheme="majorEastAsia" w:cstheme="majorEastAsia"/>
          <w:sz w:val="24"/>
          <w:szCs w:val="24"/>
          <w:highlight w:val="none"/>
        </w:rPr>
        <w:t>%×100</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w:t>
      </w:r>
      <w:r>
        <w:rPr>
          <w:rFonts w:hint="eastAsia" w:asciiTheme="majorEastAsia" w:hAnsiTheme="majorEastAsia" w:eastAsiaTheme="majorEastAsia" w:cstheme="majorEastAsia"/>
          <w:color w:val="auto"/>
          <w:sz w:val="24"/>
          <w:szCs w:val="24"/>
          <w:highlight w:val="none"/>
        </w:rPr>
        <w:t>.2.2</w:t>
      </w:r>
      <w:r>
        <w:rPr>
          <w:rFonts w:hint="eastAsia" w:asciiTheme="majorEastAsia" w:hAnsiTheme="majorEastAsia" w:eastAsiaTheme="majorEastAsia" w:cstheme="majorEastAsia"/>
          <w:color w:val="auto"/>
          <w:sz w:val="24"/>
          <w:szCs w:val="24"/>
          <w:highlight w:val="none"/>
          <w:lang w:eastAsia="zh-CN"/>
        </w:rPr>
        <w:t>商务技术</w:t>
      </w:r>
      <w:r>
        <w:rPr>
          <w:rFonts w:hint="eastAsia" w:asciiTheme="majorEastAsia" w:hAnsiTheme="majorEastAsia" w:eastAsiaTheme="majorEastAsia" w:cstheme="majorEastAsia"/>
          <w:color w:val="auto"/>
          <w:sz w:val="24"/>
          <w:szCs w:val="24"/>
          <w:highlight w:val="none"/>
        </w:rPr>
        <w:t>分（0～</w:t>
      </w:r>
      <w:r>
        <w:rPr>
          <w:rFonts w:hint="eastAsia" w:asciiTheme="majorEastAsia" w:hAnsiTheme="majorEastAsia" w:eastAsiaTheme="majorEastAsia" w:cstheme="majorEastAsia"/>
          <w:color w:val="auto"/>
          <w:sz w:val="24"/>
          <w:szCs w:val="24"/>
          <w:highlight w:val="none"/>
          <w:lang w:val="en-US" w:eastAsia="zh-CN"/>
        </w:rPr>
        <w:t>80</w:t>
      </w:r>
      <w:r>
        <w:rPr>
          <w:rFonts w:hint="eastAsia" w:asciiTheme="majorEastAsia" w:hAnsiTheme="majorEastAsia" w:eastAsiaTheme="majorEastAsia" w:cstheme="majorEastAsia"/>
          <w:color w:val="auto"/>
          <w:sz w:val="24"/>
          <w:szCs w:val="24"/>
          <w:highlight w:val="none"/>
        </w:rPr>
        <w:t>分）：</w:t>
      </w:r>
    </w:p>
    <w:tbl>
      <w:tblPr>
        <w:tblStyle w:val="8"/>
        <w:tblW w:w="9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6"/>
        <w:gridCol w:w="593"/>
        <w:gridCol w:w="1096"/>
        <w:gridCol w:w="1061"/>
        <w:gridCol w:w="710"/>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96" w:type="dxa"/>
            <w:noWrap w:val="0"/>
            <w:vAlign w:val="center"/>
          </w:tcPr>
          <w:p>
            <w:pPr>
              <w:adjustRightInd w:val="0"/>
              <w:ind w:right="63" w:rightChars="30"/>
              <w:jc w:val="center"/>
              <w:rPr>
                <w:rFonts w:hint="eastAsia" w:ascii="宋体" w:hAnsi="宋体" w:eastAsia="宋体" w:cs="宋体"/>
                <w:szCs w:val="21"/>
              </w:rPr>
            </w:pPr>
            <w:r>
              <w:rPr>
                <w:rFonts w:hint="eastAsia" w:ascii="宋体" w:hAnsi="宋体" w:eastAsia="宋体" w:cs="宋体"/>
                <w:szCs w:val="21"/>
              </w:rPr>
              <w:t>序号</w:t>
            </w:r>
          </w:p>
        </w:tc>
        <w:tc>
          <w:tcPr>
            <w:tcW w:w="593" w:type="dxa"/>
            <w:noWrap w:val="0"/>
            <w:vAlign w:val="center"/>
          </w:tcPr>
          <w:p>
            <w:pPr>
              <w:adjustRightInd w:val="0"/>
              <w:ind w:left="63" w:leftChars="30" w:right="63" w:rightChars="30"/>
              <w:jc w:val="center"/>
              <w:rPr>
                <w:rFonts w:hint="eastAsia" w:ascii="宋体" w:hAnsi="宋体" w:eastAsia="宋体" w:cs="宋体"/>
                <w:szCs w:val="21"/>
              </w:rPr>
            </w:pPr>
            <w:r>
              <w:rPr>
                <w:rFonts w:hint="eastAsia" w:ascii="宋体" w:hAnsi="宋体" w:eastAsia="宋体" w:cs="宋体"/>
                <w:szCs w:val="21"/>
              </w:rPr>
              <w:t>评分类型</w:t>
            </w:r>
          </w:p>
        </w:tc>
        <w:tc>
          <w:tcPr>
            <w:tcW w:w="2157" w:type="dxa"/>
            <w:gridSpan w:val="2"/>
            <w:noWrap w:val="0"/>
            <w:vAlign w:val="center"/>
          </w:tcPr>
          <w:p>
            <w:pPr>
              <w:adjustRightInd w:val="0"/>
              <w:ind w:left="63" w:leftChars="30" w:right="63" w:rightChars="30"/>
              <w:jc w:val="center"/>
              <w:rPr>
                <w:rFonts w:hint="eastAsia" w:ascii="宋体" w:hAnsi="宋体" w:eastAsia="宋体" w:cs="宋体"/>
                <w:szCs w:val="21"/>
              </w:rPr>
            </w:pPr>
            <w:r>
              <w:rPr>
                <w:rFonts w:hint="eastAsia" w:ascii="宋体" w:hAnsi="宋体" w:eastAsia="宋体" w:cs="宋体"/>
                <w:szCs w:val="21"/>
              </w:rPr>
              <w:t>评分项目</w:t>
            </w:r>
          </w:p>
        </w:tc>
        <w:tc>
          <w:tcPr>
            <w:tcW w:w="710" w:type="dxa"/>
            <w:noWrap w:val="0"/>
            <w:vAlign w:val="center"/>
          </w:tcPr>
          <w:p>
            <w:pPr>
              <w:adjustRightInd w:val="0"/>
              <w:ind w:left="63" w:leftChars="30" w:right="63" w:rightChars="30"/>
              <w:jc w:val="center"/>
              <w:rPr>
                <w:rFonts w:hint="eastAsia" w:ascii="宋体" w:hAnsi="宋体" w:eastAsia="宋体" w:cs="宋体"/>
                <w:szCs w:val="21"/>
              </w:rPr>
            </w:pPr>
            <w:r>
              <w:rPr>
                <w:rFonts w:hint="eastAsia" w:ascii="宋体" w:hAnsi="宋体" w:eastAsia="宋体" w:cs="宋体"/>
                <w:szCs w:val="21"/>
              </w:rPr>
              <w:t>分值（分）</w:t>
            </w:r>
          </w:p>
        </w:tc>
        <w:tc>
          <w:tcPr>
            <w:tcW w:w="5562" w:type="dxa"/>
            <w:noWrap w:val="0"/>
            <w:vAlign w:val="center"/>
          </w:tcPr>
          <w:p>
            <w:pPr>
              <w:adjustRightInd w:val="0"/>
              <w:ind w:left="63" w:leftChars="30" w:right="-178" w:rightChars="-85"/>
              <w:jc w:val="center"/>
              <w:rPr>
                <w:rFonts w:hint="eastAsia" w:ascii="宋体" w:hAnsi="宋体" w:eastAsia="宋体" w:cs="宋体"/>
                <w:szCs w:val="21"/>
              </w:rPr>
            </w:pPr>
            <w:r>
              <w:rPr>
                <w:rFonts w:hint="eastAsia" w:ascii="宋体" w:hAnsi="宋体" w:eastAsia="宋体" w:cs="宋体"/>
                <w:szCs w:val="21"/>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96" w:type="dxa"/>
            <w:noWrap w:val="0"/>
            <w:vAlign w:val="center"/>
          </w:tcPr>
          <w:p>
            <w:pPr>
              <w:jc w:val="center"/>
              <w:rPr>
                <w:rFonts w:ascii="宋体" w:hAnsi="宋体" w:eastAsia="宋体" w:cs="宋体"/>
                <w:szCs w:val="21"/>
              </w:rPr>
            </w:pPr>
            <w:r>
              <w:rPr>
                <w:rFonts w:hint="eastAsia" w:ascii="宋体" w:hAnsi="宋体" w:eastAsia="宋体" w:cs="宋体"/>
                <w:szCs w:val="21"/>
              </w:rPr>
              <w:t>1</w:t>
            </w:r>
          </w:p>
        </w:tc>
        <w:tc>
          <w:tcPr>
            <w:tcW w:w="593" w:type="dxa"/>
            <w:noWrap w:val="0"/>
            <w:vAlign w:val="center"/>
          </w:tcPr>
          <w:p>
            <w:pPr>
              <w:jc w:val="center"/>
              <w:rPr>
                <w:rFonts w:hint="eastAsia" w:ascii="宋体" w:hAnsi="宋体" w:eastAsia="宋体" w:cs="宋体"/>
                <w:szCs w:val="21"/>
              </w:rPr>
            </w:pPr>
            <w:r>
              <w:rPr>
                <w:rFonts w:hint="eastAsia" w:ascii="宋体" w:hAnsi="宋体" w:eastAsia="宋体" w:cs="宋体"/>
                <w:szCs w:val="21"/>
              </w:rPr>
              <w:t>商务</w:t>
            </w:r>
          </w:p>
        </w:tc>
        <w:tc>
          <w:tcPr>
            <w:tcW w:w="2157" w:type="dxa"/>
            <w:gridSpan w:val="2"/>
            <w:noWrap w:val="0"/>
            <w:vAlign w:val="center"/>
          </w:tcPr>
          <w:p>
            <w:pPr>
              <w:jc w:val="center"/>
              <w:rPr>
                <w:rFonts w:hint="eastAsia" w:ascii="宋体" w:hAnsi="宋体" w:eastAsia="宋体" w:cs="宋体"/>
                <w:szCs w:val="21"/>
              </w:rPr>
            </w:pPr>
            <w:r>
              <w:rPr>
                <w:rFonts w:hint="eastAsia" w:ascii="宋体" w:hAnsi="宋体" w:eastAsia="宋体" w:cs="Arial"/>
                <w:szCs w:val="21"/>
              </w:rPr>
              <w:t>企业实力</w:t>
            </w:r>
          </w:p>
        </w:tc>
        <w:tc>
          <w:tcPr>
            <w:tcW w:w="710" w:type="dxa"/>
            <w:noWrap w:val="0"/>
            <w:vAlign w:val="center"/>
          </w:tcPr>
          <w:p>
            <w:pPr>
              <w:jc w:val="center"/>
              <w:rPr>
                <w:rFonts w:hint="eastAsia" w:ascii="宋体" w:hAnsi="宋体" w:eastAsia="宋体" w:cs="宋体"/>
                <w:strike/>
                <w:szCs w:val="21"/>
              </w:rPr>
            </w:pPr>
            <w:r>
              <w:rPr>
                <w:rFonts w:hint="eastAsia" w:ascii="宋体" w:hAnsi="宋体" w:eastAsia="宋体" w:cs="宋体"/>
                <w:szCs w:val="21"/>
              </w:rPr>
              <w:t>5</w:t>
            </w:r>
          </w:p>
        </w:tc>
        <w:tc>
          <w:tcPr>
            <w:tcW w:w="5562" w:type="dxa"/>
            <w:noWrap w:val="0"/>
            <w:vAlign w:val="center"/>
          </w:tcPr>
          <w:p>
            <w:pPr>
              <w:jc w:val="left"/>
              <w:rPr>
                <w:rFonts w:hint="eastAsia" w:ascii="宋体" w:hAnsi="宋体" w:eastAsia="宋体" w:cs="宋体"/>
                <w:strike/>
                <w:szCs w:val="21"/>
              </w:rPr>
            </w:pPr>
            <w:r>
              <w:rPr>
                <w:rFonts w:hint="eastAsia" w:ascii="宋体" w:hAnsi="宋体" w:eastAsia="宋体" w:cs="宋体"/>
                <w:szCs w:val="21"/>
              </w:rPr>
              <w:t>根据投标人的资信等级、荣誉证书、资质认证等酌情评分。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96" w:type="dxa"/>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2</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商务</w:t>
            </w:r>
          </w:p>
        </w:tc>
        <w:tc>
          <w:tcPr>
            <w:tcW w:w="2157" w:type="dxa"/>
            <w:gridSpan w:val="2"/>
            <w:noWrap w:val="0"/>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诚信度</w:t>
            </w:r>
          </w:p>
        </w:tc>
        <w:tc>
          <w:tcPr>
            <w:tcW w:w="710" w:type="dxa"/>
            <w:noWrap w:val="0"/>
            <w:vAlign w:val="center"/>
          </w:tcPr>
          <w:p>
            <w:pPr>
              <w:widowControl/>
              <w:spacing w:line="300" w:lineRule="exact"/>
              <w:jc w:val="center"/>
              <w:textAlignment w:val="center"/>
              <w:rPr>
                <w:rFonts w:hint="eastAsia" w:ascii="宋体" w:hAnsi="宋体" w:eastAsia="宋体" w:cs="宋体"/>
                <w:szCs w:val="21"/>
              </w:rPr>
            </w:pPr>
            <w:r>
              <w:rPr>
                <w:rFonts w:hint="eastAsia" w:ascii="宋体" w:hAnsi="宋体" w:eastAsia="宋体" w:cs="宋体"/>
                <w:szCs w:val="21"/>
              </w:rPr>
              <w:t>2</w:t>
            </w:r>
          </w:p>
        </w:tc>
        <w:tc>
          <w:tcPr>
            <w:tcW w:w="5562" w:type="dxa"/>
            <w:noWrap w:val="0"/>
            <w:vAlign w:val="center"/>
          </w:tcPr>
          <w:p>
            <w:pPr>
              <w:spacing w:line="300" w:lineRule="exact"/>
              <w:rPr>
                <w:rFonts w:hint="eastAsia" w:ascii="宋体" w:hAnsi="宋体" w:eastAsia="宋体" w:cs="宋体"/>
                <w:szCs w:val="21"/>
              </w:rPr>
            </w:pPr>
            <w:r>
              <w:rPr>
                <w:rFonts w:hint="eastAsia" w:ascii="宋体" w:hAnsi="宋体" w:eastAsia="宋体" w:cs="宋体"/>
                <w:szCs w:val="21"/>
              </w:rPr>
              <w:t>根据投标人在投标截止时间止前三年是否经营异常或在政府采购专项检查、合同履约验收过程中的诚信情况酌情评分。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9" w:hRule="atLeast"/>
          <w:jc w:val="center"/>
        </w:trPr>
        <w:tc>
          <w:tcPr>
            <w:tcW w:w="496" w:type="dxa"/>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3</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商务</w:t>
            </w:r>
          </w:p>
        </w:tc>
        <w:tc>
          <w:tcPr>
            <w:tcW w:w="2157"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同类项目合同</w:t>
            </w:r>
          </w:p>
        </w:tc>
        <w:tc>
          <w:tcPr>
            <w:tcW w:w="710" w:type="dxa"/>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3</w:t>
            </w:r>
          </w:p>
        </w:tc>
        <w:tc>
          <w:tcPr>
            <w:tcW w:w="5562" w:type="dxa"/>
            <w:noWrap w:val="0"/>
            <w:vAlign w:val="center"/>
          </w:tcPr>
          <w:p>
            <w:pPr>
              <w:adjustRightInd w:val="0"/>
              <w:ind w:left="63" w:leftChars="30" w:right="63" w:rightChars="30"/>
              <w:jc w:val="left"/>
              <w:rPr>
                <w:rFonts w:hint="eastAsia" w:ascii="宋体" w:hAnsi="宋体" w:eastAsia="宋体" w:cs="宋体"/>
                <w:szCs w:val="21"/>
              </w:rPr>
            </w:pPr>
            <w:r>
              <w:rPr>
                <w:rFonts w:hint="eastAsia" w:ascii="宋体" w:hAnsi="宋体" w:eastAsia="宋体" w:cs="宋体"/>
                <w:szCs w:val="21"/>
              </w:rPr>
              <w:t>根据投标人提供的202</w:t>
            </w:r>
            <w:r>
              <w:rPr>
                <w:rFonts w:hint="eastAsia" w:ascii="宋体" w:hAnsi="宋体" w:cs="宋体"/>
                <w:szCs w:val="21"/>
                <w:lang w:val="en-US" w:eastAsia="zh-CN"/>
              </w:rPr>
              <w:t>2</w:t>
            </w:r>
            <w:r>
              <w:rPr>
                <w:rFonts w:hint="eastAsia" w:ascii="宋体" w:hAnsi="宋体" w:eastAsia="宋体" w:cs="宋体"/>
                <w:szCs w:val="21"/>
              </w:rPr>
              <w:t>年1月1日以来（以合同签订日期为准）同类项目合同进行评分，</w:t>
            </w:r>
            <w:r>
              <w:rPr>
                <w:rFonts w:hint="eastAsia" w:ascii="宋体" w:hAnsi="宋体" w:eastAsia="宋体" w:cs="宋体"/>
                <w:color w:val="auto"/>
                <w:szCs w:val="21"/>
              </w:rPr>
              <w:t>1个</w:t>
            </w:r>
            <w:r>
              <w:rPr>
                <w:rFonts w:hint="eastAsia" w:ascii="宋体" w:hAnsi="宋体" w:eastAsia="宋体" w:cs="宋体"/>
                <w:color w:val="auto"/>
                <w:szCs w:val="21"/>
                <w:lang w:val="en-US" w:eastAsia="zh-CN"/>
              </w:rPr>
              <w:t>合同</w:t>
            </w:r>
            <w:r>
              <w:rPr>
                <w:rFonts w:hint="eastAsia" w:ascii="宋体" w:hAnsi="宋体" w:eastAsia="宋体" w:cs="宋体"/>
                <w:color w:val="auto"/>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96" w:type="dxa"/>
            <w:noWrap w:val="0"/>
            <w:vAlign w:val="center"/>
          </w:tcPr>
          <w:p>
            <w:pPr>
              <w:adjustRightInd w:val="0"/>
              <w:ind w:left="63" w:leftChars="30" w:right="63" w:rightChars="30"/>
              <w:jc w:val="center"/>
              <w:rPr>
                <w:rFonts w:hint="eastAsia" w:ascii="宋体" w:hAnsi="宋体" w:eastAsia="宋体" w:cs="宋体"/>
                <w:szCs w:val="21"/>
              </w:rPr>
            </w:pPr>
            <w:r>
              <w:rPr>
                <w:rFonts w:hint="eastAsia" w:ascii="宋体" w:hAnsi="宋体" w:eastAsia="宋体" w:cs="宋体"/>
                <w:szCs w:val="21"/>
              </w:rPr>
              <w:t>4</w:t>
            </w:r>
          </w:p>
        </w:tc>
        <w:tc>
          <w:tcPr>
            <w:tcW w:w="593" w:type="dxa"/>
            <w:noWrap w:val="0"/>
            <w:vAlign w:val="center"/>
          </w:tcPr>
          <w:p>
            <w:pPr>
              <w:adjustRightInd w:val="0"/>
              <w:ind w:left="63" w:leftChars="30" w:right="63" w:rightChars="30"/>
              <w:jc w:val="center"/>
              <w:rPr>
                <w:rFonts w:hint="eastAsia" w:ascii="宋体" w:hAnsi="宋体" w:eastAsia="宋体" w:cs="宋体"/>
                <w:szCs w:val="21"/>
              </w:rPr>
            </w:pPr>
            <w:r>
              <w:rPr>
                <w:rFonts w:hint="eastAsia" w:ascii="宋体" w:hAnsi="宋体" w:eastAsia="宋体" w:cs="宋体"/>
                <w:szCs w:val="21"/>
              </w:rPr>
              <w:t>技术</w:t>
            </w:r>
          </w:p>
        </w:tc>
        <w:tc>
          <w:tcPr>
            <w:tcW w:w="2157" w:type="dxa"/>
            <w:gridSpan w:val="2"/>
            <w:noWrap w:val="0"/>
            <w:vAlign w:val="center"/>
          </w:tcPr>
          <w:p>
            <w:pPr>
              <w:adjustRightInd w:val="0"/>
              <w:ind w:left="63" w:leftChars="30" w:right="63" w:rightChars="30"/>
              <w:jc w:val="center"/>
              <w:rPr>
                <w:rFonts w:hint="eastAsia" w:ascii="宋体" w:hAnsi="宋体" w:eastAsia="宋体" w:cs="宋体"/>
                <w:szCs w:val="21"/>
              </w:rPr>
            </w:pPr>
            <w:r>
              <w:rPr>
                <w:rFonts w:hint="eastAsia" w:ascii="宋体" w:hAnsi="宋体" w:eastAsia="宋体" w:cs="宋体"/>
                <w:szCs w:val="21"/>
              </w:rPr>
              <w:t>项目的理解</w:t>
            </w:r>
          </w:p>
        </w:tc>
        <w:tc>
          <w:tcPr>
            <w:tcW w:w="710" w:type="dxa"/>
            <w:noWrap w:val="0"/>
            <w:vAlign w:val="center"/>
          </w:tcPr>
          <w:p>
            <w:pPr>
              <w:adjustRightInd w:val="0"/>
              <w:ind w:left="63" w:leftChars="30" w:right="63" w:rightChars="30"/>
              <w:jc w:val="center"/>
              <w:rPr>
                <w:rFonts w:hint="eastAsia" w:ascii="宋体" w:hAnsi="宋体" w:eastAsia="宋体" w:cs="宋体"/>
                <w:szCs w:val="21"/>
              </w:rPr>
            </w:pPr>
            <w:r>
              <w:rPr>
                <w:rFonts w:hint="eastAsia" w:ascii="宋体" w:hAnsi="宋体" w:eastAsia="宋体" w:cs="宋体"/>
                <w:szCs w:val="21"/>
              </w:rPr>
              <w:t>5</w:t>
            </w:r>
          </w:p>
        </w:tc>
        <w:tc>
          <w:tcPr>
            <w:tcW w:w="5562" w:type="dxa"/>
            <w:noWrap w:val="0"/>
            <w:vAlign w:val="center"/>
          </w:tcPr>
          <w:p>
            <w:pPr>
              <w:adjustRightInd w:val="0"/>
              <w:ind w:left="63" w:leftChars="30" w:right="63" w:rightChars="30"/>
              <w:jc w:val="left"/>
              <w:rPr>
                <w:rFonts w:hint="eastAsia" w:ascii="宋体" w:hAnsi="宋体" w:eastAsia="宋体" w:cs="宋体"/>
                <w:szCs w:val="21"/>
              </w:rPr>
            </w:pPr>
            <w:r>
              <w:rPr>
                <w:rFonts w:hint="eastAsia" w:ascii="宋体" w:hAnsi="宋体" w:eastAsia="宋体" w:cs="宋体"/>
                <w:szCs w:val="21"/>
              </w:rPr>
              <w:t>根据投标人对</w:t>
            </w:r>
            <w:r>
              <w:rPr>
                <w:rFonts w:hint="eastAsia" w:ascii="宋体" w:hAnsi="宋体" w:eastAsia="宋体" w:cs="宋体"/>
                <w:bCs/>
                <w:kern w:val="0"/>
                <w:szCs w:val="21"/>
              </w:rPr>
              <w:t>项目背景的认识、</w:t>
            </w:r>
            <w:r>
              <w:rPr>
                <w:rFonts w:hint="eastAsia" w:eastAsia="宋体"/>
                <w:szCs w:val="21"/>
              </w:rPr>
              <w:t>需求的了解程度</w:t>
            </w:r>
            <w:r>
              <w:rPr>
                <w:rFonts w:hint="eastAsia"/>
                <w:szCs w:val="21"/>
              </w:rPr>
              <w:t>及</w:t>
            </w:r>
            <w:r>
              <w:rPr>
                <w:rFonts w:hint="eastAsia" w:ascii="宋体" w:hAnsi="宋体" w:eastAsia="宋体" w:cs="宋体"/>
                <w:bCs/>
                <w:kern w:val="0"/>
                <w:szCs w:val="21"/>
              </w:rPr>
              <w:t>服务内容的理解等酌情评分</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96" w:type="dxa"/>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5.1</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技术</w:t>
            </w:r>
          </w:p>
        </w:tc>
        <w:tc>
          <w:tcPr>
            <w:tcW w:w="1096"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项目方案</w:t>
            </w:r>
          </w:p>
        </w:tc>
        <w:tc>
          <w:tcPr>
            <w:tcW w:w="1061" w:type="dxa"/>
            <w:noWrap w:val="0"/>
            <w:vAlign w:val="center"/>
          </w:tcPr>
          <w:p>
            <w:pPr>
              <w:widowControl/>
              <w:spacing w:line="300" w:lineRule="exact"/>
              <w:jc w:val="center"/>
              <w:rPr>
                <w:rFonts w:hint="eastAsia" w:ascii="宋体" w:hAnsi="宋体" w:eastAsia="宋体" w:cs="宋体"/>
                <w:szCs w:val="21"/>
              </w:rPr>
            </w:pPr>
            <w:r>
              <w:rPr>
                <w:rFonts w:hint="eastAsia" w:eastAsia="宋体"/>
              </w:rPr>
              <w:t>施工技术方案</w:t>
            </w:r>
          </w:p>
        </w:tc>
        <w:tc>
          <w:tcPr>
            <w:tcW w:w="710" w:type="dxa"/>
            <w:noWrap w:val="0"/>
            <w:vAlign w:val="center"/>
          </w:tcPr>
          <w:p>
            <w:pPr>
              <w:widowControl/>
              <w:spacing w:line="300" w:lineRule="exact"/>
              <w:jc w:val="center"/>
              <w:textAlignment w:val="center"/>
              <w:rPr>
                <w:rFonts w:hint="eastAsia" w:ascii="宋体" w:hAnsi="宋体" w:eastAsia="宋体" w:cs="宋体"/>
                <w:szCs w:val="21"/>
              </w:rPr>
            </w:pPr>
            <w:r>
              <w:rPr>
                <w:rFonts w:hint="eastAsia" w:ascii="宋体" w:hAnsi="宋体" w:eastAsia="宋体" w:cs="宋体"/>
                <w:szCs w:val="21"/>
              </w:rPr>
              <w:t>5</w:t>
            </w:r>
          </w:p>
        </w:tc>
        <w:tc>
          <w:tcPr>
            <w:tcW w:w="5562" w:type="dxa"/>
            <w:noWrap w:val="0"/>
            <w:vAlign w:val="center"/>
          </w:tcPr>
          <w:p>
            <w:pPr>
              <w:rPr>
                <w:rFonts w:hint="eastAsia" w:ascii="宋体" w:hAnsi="宋体" w:eastAsia="宋体" w:cs="宋体"/>
                <w:color w:val="auto"/>
                <w:szCs w:val="21"/>
              </w:rPr>
            </w:pPr>
            <w:r>
              <w:rPr>
                <w:rFonts w:hint="eastAsia" w:eastAsia="宋体"/>
                <w:color w:val="auto"/>
                <w:szCs w:val="21"/>
              </w:rPr>
              <w:t>根据投标人对</w:t>
            </w:r>
            <w:r>
              <w:rPr>
                <w:rFonts w:hint="eastAsia" w:ascii="宋体" w:hAnsi="宋体" w:eastAsia="宋体" w:cs="宋体"/>
                <w:color w:val="auto"/>
                <w:szCs w:val="21"/>
              </w:rPr>
              <w:t>新建房屋白蚁预防施工（安装监测装置）、老旧房屋蚁害治理、监测装置检查维护</w:t>
            </w:r>
            <w:r>
              <w:rPr>
                <w:rFonts w:hint="eastAsia" w:ascii="宋体" w:hAnsi="宋体" w:cs="宋体"/>
                <w:color w:val="auto"/>
                <w:szCs w:val="21"/>
                <w:lang w:eastAsia="zh-CN"/>
              </w:rPr>
              <w:t>、一村三名综合治理</w:t>
            </w:r>
            <w:r>
              <w:rPr>
                <w:rFonts w:hint="eastAsia" w:ascii="宋体" w:hAnsi="宋体" w:eastAsia="宋体" w:cs="宋体"/>
                <w:color w:val="auto"/>
                <w:szCs w:val="21"/>
              </w:rPr>
              <w:t>的</w:t>
            </w:r>
            <w:r>
              <w:rPr>
                <w:rFonts w:hint="eastAsia"/>
                <w:color w:val="auto"/>
              </w:rPr>
              <w:t>施工技术方案</w:t>
            </w:r>
            <w:r>
              <w:rPr>
                <w:rFonts w:hint="eastAsia"/>
                <w:szCs w:val="21"/>
              </w:rPr>
              <w:t>符合规范及强制性标准、可行性、合理性</w:t>
            </w:r>
            <w:r>
              <w:rPr>
                <w:rFonts w:hint="eastAsia"/>
                <w:szCs w:val="21"/>
                <w:lang w:eastAsia="zh-CN"/>
              </w:rPr>
              <w:t>程度</w:t>
            </w:r>
            <w:r>
              <w:rPr>
                <w:rFonts w:hint="eastAsia" w:eastAsia="宋体"/>
                <w:color w:val="auto"/>
                <w:szCs w:val="21"/>
              </w:rPr>
              <w:t>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96" w:type="dxa"/>
            <w:noWrap w:val="0"/>
            <w:vAlign w:val="center"/>
          </w:tcPr>
          <w:p>
            <w:pPr>
              <w:widowControl/>
              <w:jc w:val="center"/>
              <w:textAlignment w:val="center"/>
              <w:rPr>
                <w:rFonts w:hint="eastAsia" w:ascii="宋体" w:hAnsi="宋体" w:eastAsia="宋体" w:cs="宋体"/>
                <w:szCs w:val="21"/>
              </w:rPr>
            </w:pPr>
            <w:r>
              <w:rPr>
                <w:rFonts w:hint="eastAsia" w:ascii="宋体" w:hAnsi="宋体" w:cs="宋体"/>
                <w:szCs w:val="21"/>
              </w:rPr>
              <w:t>5.2</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技术</w:t>
            </w:r>
          </w:p>
        </w:tc>
        <w:tc>
          <w:tcPr>
            <w:tcW w:w="1096" w:type="dxa"/>
            <w:vMerge w:val="continue"/>
            <w:noWrap w:val="0"/>
            <w:vAlign w:val="center"/>
          </w:tcPr>
          <w:p>
            <w:pPr>
              <w:jc w:val="center"/>
              <w:rPr>
                <w:rFonts w:hint="eastAsia" w:ascii="宋体" w:hAnsi="宋体" w:eastAsia="宋体" w:cs="宋体"/>
                <w:szCs w:val="21"/>
              </w:rPr>
            </w:pPr>
          </w:p>
        </w:tc>
        <w:tc>
          <w:tcPr>
            <w:tcW w:w="1061" w:type="dxa"/>
            <w:noWrap w:val="0"/>
            <w:vAlign w:val="center"/>
          </w:tcPr>
          <w:p>
            <w:pPr>
              <w:jc w:val="center"/>
              <w:rPr>
                <w:rFonts w:ascii="宋体" w:hAnsi="宋体" w:eastAsia="宋体" w:cs="宋体"/>
                <w:szCs w:val="21"/>
              </w:rPr>
            </w:pPr>
            <w:r>
              <w:rPr>
                <w:rFonts w:hint="eastAsia" w:ascii="宋体" w:hAnsi="宋体" w:eastAsia="宋体" w:cs="宋体"/>
                <w:szCs w:val="21"/>
              </w:rPr>
              <w:t>项目统筹</w:t>
            </w:r>
          </w:p>
        </w:tc>
        <w:tc>
          <w:tcPr>
            <w:tcW w:w="710" w:type="dxa"/>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5</w:t>
            </w:r>
          </w:p>
        </w:tc>
        <w:tc>
          <w:tcPr>
            <w:tcW w:w="5562"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根据投标人的组织措施、项目进度计划、各项服务的时间进程、人员安排、职责明确情况等酌情评分。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96" w:type="dxa"/>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5.</w:t>
            </w:r>
            <w:r>
              <w:rPr>
                <w:rFonts w:hint="eastAsia" w:ascii="宋体" w:hAnsi="宋体" w:cs="宋体"/>
                <w:szCs w:val="21"/>
              </w:rPr>
              <w:t>3</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技术</w:t>
            </w:r>
          </w:p>
        </w:tc>
        <w:tc>
          <w:tcPr>
            <w:tcW w:w="1096" w:type="dxa"/>
            <w:vMerge w:val="continue"/>
            <w:noWrap w:val="0"/>
            <w:vAlign w:val="center"/>
          </w:tcPr>
          <w:p>
            <w:pPr>
              <w:jc w:val="center"/>
              <w:rPr>
                <w:rFonts w:hint="eastAsia" w:ascii="宋体" w:hAnsi="宋体" w:eastAsia="宋体" w:cs="宋体"/>
                <w:szCs w:val="21"/>
              </w:rPr>
            </w:pPr>
          </w:p>
        </w:tc>
        <w:tc>
          <w:tcPr>
            <w:tcW w:w="1061" w:type="dxa"/>
            <w:noWrap w:val="0"/>
            <w:vAlign w:val="center"/>
          </w:tcPr>
          <w:p>
            <w:pPr>
              <w:jc w:val="center"/>
              <w:rPr>
                <w:rFonts w:eastAsia="宋体"/>
                <w:szCs w:val="21"/>
              </w:rPr>
            </w:pPr>
            <w:r>
              <w:rPr>
                <w:rFonts w:hint="eastAsia" w:ascii="宋体" w:hAnsi="宋体" w:eastAsia="宋体" w:cs="宋体"/>
                <w:szCs w:val="21"/>
              </w:rPr>
              <w:t>质量控制</w:t>
            </w:r>
          </w:p>
        </w:tc>
        <w:tc>
          <w:tcPr>
            <w:tcW w:w="710" w:type="dxa"/>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5</w:t>
            </w:r>
          </w:p>
        </w:tc>
        <w:tc>
          <w:tcPr>
            <w:tcW w:w="5562" w:type="dxa"/>
            <w:noWrap w:val="0"/>
            <w:vAlign w:val="center"/>
          </w:tcPr>
          <w:p>
            <w:pPr>
              <w:rPr>
                <w:rFonts w:hint="eastAsia" w:eastAsia="宋体"/>
                <w:szCs w:val="21"/>
              </w:rPr>
            </w:pPr>
            <w:r>
              <w:rPr>
                <w:rFonts w:hint="eastAsia" w:ascii="宋体" w:hAnsi="宋体" w:eastAsia="宋体" w:cs="宋体"/>
                <w:szCs w:val="21"/>
              </w:rPr>
              <w:t>根据投标人的</w:t>
            </w:r>
            <w:r>
              <w:rPr>
                <w:rFonts w:hint="eastAsia"/>
                <w:szCs w:val="21"/>
              </w:rPr>
              <w:t>质量</w:t>
            </w:r>
            <w:r>
              <w:rPr>
                <w:rFonts w:hint="eastAsia" w:eastAsia="宋体"/>
                <w:szCs w:val="21"/>
              </w:rPr>
              <w:t>保障</w:t>
            </w:r>
            <w:r>
              <w:rPr>
                <w:rFonts w:hint="eastAsia"/>
                <w:szCs w:val="21"/>
              </w:rPr>
              <w:t>制度及保障措施，</w:t>
            </w:r>
            <w:r>
              <w:rPr>
                <w:rFonts w:hint="eastAsia"/>
                <w:szCs w:val="21"/>
                <w:lang w:eastAsia="zh-CN"/>
              </w:rPr>
              <w:t>限时工期保障，符合相关行业标准，</w:t>
            </w:r>
            <w:r>
              <w:rPr>
                <w:rFonts w:hint="eastAsia"/>
                <w:bCs/>
                <w:szCs w:val="21"/>
              </w:rPr>
              <w:t>质保期限内白蚁危害率控制措施</w:t>
            </w:r>
            <w:r>
              <w:rPr>
                <w:rFonts w:hint="eastAsia"/>
                <w:bCs/>
                <w:szCs w:val="21"/>
                <w:lang w:eastAsia="zh-CN"/>
              </w:rPr>
              <w:t>及可实现程度</w:t>
            </w:r>
            <w:r>
              <w:rPr>
                <w:rFonts w:hint="eastAsia"/>
                <w:szCs w:val="21"/>
              </w:rPr>
              <w:t>等酌情评分；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96"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szCs w:val="21"/>
              </w:rPr>
              <w:t>5.4</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技术</w:t>
            </w:r>
          </w:p>
        </w:tc>
        <w:tc>
          <w:tcPr>
            <w:tcW w:w="1096" w:type="dxa"/>
            <w:vMerge w:val="continue"/>
            <w:noWrap w:val="0"/>
            <w:vAlign w:val="center"/>
          </w:tcPr>
          <w:p>
            <w:pPr>
              <w:jc w:val="center"/>
              <w:rPr>
                <w:rFonts w:hint="eastAsia" w:ascii="宋体" w:hAnsi="宋体" w:eastAsia="宋体" w:cs="宋体"/>
                <w:szCs w:val="21"/>
              </w:rPr>
            </w:pPr>
          </w:p>
        </w:tc>
        <w:tc>
          <w:tcPr>
            <w:tcW w:w="1061" w:type="dxa"/>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rPr>
              <w:t>安全保障</w:t>
            </w:r>
            <w:r>
              <w:rPr>
                <w:rFonts w:hint="eastAsia" w:ascii="宋体" w:hAnsi="宋体" w:cs="宋体"/>
                <w:szCs w:val="21"/>
                <w:lang w:eastAsia="zh-CN"/>
              </w:rPr>
              <w:t>措施</w:t>
            </w:r>
          </w:p>
        </w:tc>
        <w:tc>
          <w:tcPr>
            <w:tcW w:w="710" w:type="dxa"/>
            <w:noWrap w:val="0"/>
            <w:vAlign w:val="center"/>
          </w:tcPr>
          <w:p>
            <w:pPr>
              <w:widowControl/>
              <w:jc w:val="center"/>
              <w:textAlignment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562" w:type="dxa"/>
            <w:noWrap w:val="0"/>
            <w:vAlign w:val="center"/>
          </w:tcPr>
          <w:p>
            <w:pPr>
              <w:rPr>
                <w:rFonts w:hint="eastAsia" w:ascii="宋体" w:hAnsi="宋体" w:eastAsia="宋体" w:cs="宋体"/>
                <w:szCs w:val="21"/>
              </w:rPr>
            </w:pPr>
            <w:r>
              <w:rPr>
                <w:rFonts w:hint="eastAsia" w:ascii="宋体" w:hAnsi="宋体" w:eastAsia="宋体" w:cs="宋体"/>
                <w:szCs w:val="21"/>
              </w:rPr>
              <w:t>根据投标人的安全生产制度及保障措施，突发事件的处置及上报、应急预案等酌情评分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96"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5.5</w:t>
            </w:r>
          </w:p>
        </w:tc>
        <w:tc>
          <w:tcPr>
            <w:tcW w:w="593" w:type="dxa"/>
            <w:noWrap w:val="0"/>
            <w:vAlign w:val="center"/>
          </w:tcPr>
          <w:p>
            <w:pPr>
              <w:widowControl/>
              <w:spacing w:line="240" w:lineRule="exact"/>
              <w:jc w:val="center"/>
              <w:rPr>
                <w:rFonts w:hint="eastAsia" w:ascii="宋体" w:hAnsi="宋体" w:eastAsia="宋体" w:cs="宋体"/>
                <w:szCs w:val="21"/>
                <w:lang w:eastAsia="zh-CN"/>
              </w:rPr>
            </w:pPr>
            <w:r>
              <w:rPr>
                <w:rFonts w:hint="eastAsia" w:ascii="宋体" w:hAnsi="宋体" w:cs="宋体"/>
                <w:szCs w:val="21"/>
                <w:lang w:eastAsia="zh-CN"/>
              </w:rPr>
              <w:t>技术</w:t>
            </w:r>
          </w:p>
        </w:tc>
        <w:tc>
          <w:tcPr>
            <w:tcW w:w="1096" w:type="dxa"/>
            <w:vMerge w:val="continue"/>
            <w:noWrap w:val="0"/>
            <w:vAlign w:val="center"/>
          </w:tcPr>
          <w:p>
            <w:pPr>
              <w:jc w:val="center"/>
              <w:rPr>
                <w:rFonts w:hint="eastAsia" w:ascii="宋体" w:hAnsi="宋体" w:eastAsia="宋体" w:cs="宋体"/>
                <w:szCs w:val="21"/>
              </w:rPr>
            </w:pPr>
          </w:p>
        </w:tc>
        <w:tc>
          <w:tcPr>
            <w:tcW w:w="1061" w:type="dxa"/>
            <w:noWrap w:val="0"/>
            <w:vAlign w:val="center"/>
          </w:tcPr>
          <w:p>
            <w:pPr>
              <w:jc w:val="center"/>
              <w:rPr>
                <w:rFonts w:hint="eastAsia" w:ascii="宋体" w:hAnsi="宋体" w:eastAsia="宋体" w:cs="宋体"/>
                <w:szCs w:val="21"/>
                <w:lang w:eastAsia="zh-CN"/>
              </w:rPr>
            </w:pPr>
            <w:r>
              <w:rPr>
                <w:rFonts w:hint="eastAsia" w:ascii="宋体" w:hAnsi="宋体" w:cs="宋体"/>
                <w:szCs w:val="21"/>
                <w:lang w:eastAsia="zh-CN"/>
              </w:rPr>
              <w:t>安全保障配备</w:t>
            </w:r>
          </w:p>
        </w:tc>
        <w:tc>
          <w:tcPr>
            <w:tcW w:w="710" w:type="dxa"/>
            <w:noWrap w:val="0"/>
            <w:vAlign w:val="center"/>
          </w:tcPr>
          <w:p>
            <w:pPr>
              <w:widowControl/>
              <w:jc w:val="center"/>
              <w:textAlignment w:val="center"/>
              <w:rPr>
                <w:rFonts w:hint="default" w:ascii="宋体" w:hAnsi="宋体" w:cs="宋体"/>
                <w:szCs w:val="21"/>
                <w:lang w:val="en-US" w:eastAsia="zh-CN"/>
              </w:rPr>
            </w:pPr>
            <w:r>
              <w:rPr>
                <w:rFonts w:hint="eastAsia" w:ascii="宋体" w:hAnsi="宋体" w:cs="宋体"/>
                <w:szCs w:val="21"/>
                <w:lang w:val="en-US" w:eastAsia="zh-CN"/>
              </w:rPr>
              <w:t>3</w:t>
            </w:r>
          </w:p>
        </w:tc>
        <w:tc>
          <w:tcPr>
            <w:tcW w:w="5562" w:type="dxa"/>
            <w:noWrap w:val="0"/>
            <w:vAlign w:val="center"/>
          </w:tcPr>
          <w:p>
            <w:pPr>
              <w:rPr>
                <w:rFonts w:hint="eastAsia" w:ascii="宋体" w:hAnsi="宋体" w:eastAsia="宋体" w:cs="宋体"/>
                <w:szCs w:val="21"/>
              </w:rPr>
            </w:pPr>
            <w:r>
              <w:rPr>
                <w:rFonts w:hint="eastAsia" w:ascii="宋体" w:hAnsi="宋体" w:eastAsia="宋体" w:cs="宋体"/>
                <w:b w:val="0"/>
                <w:bCs w:val="0"/>
                <w:color w:val="auto"/>
                <w:spacing w:val="0"/>
                <w:kern w:val="0"/>
                <w:sz w:val="21"/>
                <w:szCs w:val="21"/>
                <w:highlight w:val="none"/>
                <w:lang w:val="zh-CN"/>
              </w:rPr>
              <w:t>根据投标保障安全的施工装备配备、药剂使用管理等情况酌情评分（</w:t>
            </w:r>
            <w:r>
              <w:rPr>
                <w:rFonts w:hint="eastAsia" w:ascii="宋体" w:hAnsi="宋体" w:eastAsia="宋体" w:cs="宋体"/>
                <w:b w:val="0"/>
                <w:bCs w:val="0"/>
                <w:color w:val="auto"/>
                <w:spacing w:val="0"/>
                <w:kern w:val="0"/>
                <w:sz w:val="21"/>
                <w:szCs w:val="21"/>
                <w:highlight w:val="none"/>
                <w:lang w:val="en-US" w:eastAsia="zh-CN"/>
              </w:rPr>
              <w:t>3分</w:t>
            </w:r>
            <w:r>
              <w:rPr>
                <w:rFonts w:hint="eastAsia" w:ascii="宋体" w:hAnsi="宋体" w:eastAsia="宋体" w:cs="宋体"/>
                <w:b w:val="0"/>
                <w:bCs w:val="0"/>
                <w:color w:val="auto"/>
                <w:spacing w:val="0"/>
                <w:kern w:val="0"/>
                <w:sz w:val="21"/>
                <w:szCs w:val="21"/>
                <w:highlight w:val="none"/>
                <w:lang w:val="zh-CN"/>
              </w:rPr>
              <w:t>）</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6" w:hRule="atLeast"/>
          <w:jc w:val="center"/>
        </w:trPr>
        <w:tc>
          <w:tcPr>
            <w:tcW w:w="496"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5.6</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技术</w:t>
            </w:r>
          </w:p>
        </w:tc>
        <w:tc>
          <w:tcPr>
            <w:tcW w:w="1096" w:type="dxa"/>
            <w:vMerge w:val="continue"/>
            <w:noWrap w:val="0"/>
            <w:vAlign w:val="center"/>
          </w:tcPr>
          <w:p>
            <w:pPr>
              <w:jc w:val="center"/>
              <w:rPr>
                <w:rFonts w:hint="eastAsia" w:ascii="宋体" w:hAnsi="宋体" w:eastAsia="宋体" w:cs="宋体"/>
                <w:szCs w:val="21"/>
              </w:rPr>
            </w:pPr>
          </w:p>
        </w:tc>
        <w:tc>
          <w:tcPr>
            <w:tcW w:w="1061" w:type="dxa"/>
            <w:noWrap w:val="0"/>
            <w:vAlign w:val="center"/>
          </w:tcPr>
          <w:p>
            <w:pPr>
              <w:widowControl/>
              <w:spacing w:line="300" w:lineRule="exact"/>
              <w:jc w:val="center"/>
              <w:rPr>
                <w:rFonts w:ascii="宋体" w:hAnsi="宋体" w:eastAsia="宋体" w:cs="宋体"/>
                <w:szCs w:val="21"/>
              </w:rPr>
            </w:pPr>
            <w:r>
              <w:rPr>
                <w:rFonts w:hint="eastAsia" w:ascii="宋体" w:hAnsi="宋体" w:eastAsia="宋体" w:cs="宋体"/>
                <w:szCs w:val="21"/>
              </w:rPr>
              <w:t>合理化建议</w:t>
            </w:r>
          </w:p>
        </w:tc>
        <w:tc>
          <w:tcPr>
            <w:tcW w:w="710" w:type="dxa"/>
            <w:noWrap w:val="0"/>
            <w:vAlign w:val="center"/>
          </w:tcPr>
          <w:p>
            <w:pPr>
              <w:widowControl/>
              <w:spacing w:line="300" w:lineRule="exact"/>
              <w:jc w:val="center"/>
              <w:textAlignment w:val="center"/>
              <w:rPr>
                <w:rFonts w:ascii="宋体" w:hAnsi="宋体" w:eastAsia="宋体" w:cs="宋体"/>
                <w:szCs w:val="21"/>
              </w:rPr>
            </w:pPr>
            <w:r>
              <w:rPr>
                <w:rFonts w:hint="eastAsia" w:ascii="宋体" w:hAnsi="宋体" w:eastAsia="宋体" w:cs="宋体"/>
                <w:szCs w:val="21"/>
              </w:rPr>
              <w:t>2</w:t>
            </w:r>
          </w:p>
        </w:tc>
        <w:tc>
          <w:tcPr>
            <w:tcW w:w="5562" w:type="dxa"/>
            <w:noWrap w:val="0"/>
            <w:vAlign w:val="center"/>
          </w:tcPr>
          <w:p>
            <w:pPr>
              <w:rPr>
                <w:rFonts w:hint="eastAsia" w:ascii="宋体" w:hAnsi="宋体" w:eastAsia="宋体" w:cs="宋体"/>
                <w:szCs w:val="21"/>
              </w:rPr>
            </w:pPr>
            <w:r>
              <w:rPr>
                <w:rFonts w:hint="eastAsia" w:eastAsia="宋体"/>
                <w:szCs w:val="21"/>
              </w:rPr>
              <w:t>根据投标人对本项目的</w:t>
            </w:r>
            <w:r>
              <w:rPr>
                <w:rFonts w:hint="eastAsia"/>
              </w:rPr>
              <w:t>合理化建议</w:t>
            </w:r>
            <w:r>
              <w:rPr>
                <w:rFonts w:hint="eastAsia" w:eastAsia="宋体"/>
                <w:szCs w:val="21"/>
              </w:rPr>
              <w:t>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jc w:val="center"/>
        </w:trPr>
        <w:tc>
          <w:tcPr>
            <w:tcW w:w="496"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szCs w:val="21"/>
              </w:rPr>
              <w:t>6.1</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技术</w:t>
            </w:r>
          </w:p>
        </w:tc>
        <w:tc>
          <w:tcPr>
            <w:tcW w:w="1096" w:type="dxa"/>
            <w:vMerge w:val="restart"/>
            <w:noWrap w:val="0"/>
            <w:vAlign w:val="center"/>
          </w:tcPr>
          <w:p>
            <w:pPr>
              <w:jc w:val="center"/>
              <w:rPr>
                <w:rFonts w:hint="eastAsia" w:ascii="宋体" w:hAnsi="宋体" w:eastAsia="宋体" w:cs="宋体"/>
                <w:szCs w:val="21"/>
              </w:rPr>
            </w:pPr>
            <w:r>
              <w:rPr>
                <w:rFonts w:hint="eastAsia" w:ascii="宋体" w:hAnsi="宋体"/>
                <w:szCs w:val="21"/>
              </w:rPr>
              <w:t>药物设备</w:t>
            </w:r>
          </w:p>
        </w:tc>
        <w:tc>
          <w:tcPr>
            <w:tcW w:w="1061" w:type="dxa"/>
            <w:noWrap w:val="0"/>
            <w:vAlign w:val="center"/>
          </w:tcPr>
          <w:p>
            <w:pPr>
              <w:jc w:val="center"/>
              <w:rPr>
                <w:rFonts w:hint="eastAsia" w:ascii="宋体" w:hAnsi="宋体" w:eastAsia="宋体" w:cs="宋体"/>
                <w:szCs w:val="21"/>
              </w:rPr>
            </w:pPr>
            <w:r>
              <w:rPr>
                <w:rFonts w:hint="eastAsia" w:ascii="宋体" w:hAnsi="宋体"/>
                <w:szCs w:val="21"/>
              </w:rPr>
              <w:t>仪器设备</w:t>
            </w:r>
          </w:p>
        </w:tc>
        <w:tc>
          <w:tcPr>
            <w:tcW w:w="710" w:type="dxa"/>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5</w:t>
            </w:r>
          </w:p>
        </w:tc>
        <w:tc>
          <w:tcPr>
            <w:tcW w:w="5562" w:type="dxa"/>
            <w:noWrap w:val="0"/>
            <w:vAlign w:val="center"/>
          </w:tcPr>
          <w:p>
            <w:pPr>
              <w:rPr>
                <w:rFonts w:hint="eastAsia"/>
                <w:szCs w:val="21"/>
              </w:rPr>
            </w:pPr>
            <w:r>
              <w:rPr>
                <w:rFonts w:hint="eastAsia" w:ascii="宋体" w:hAnsi="宋体"/>
                <w:szCs w:val="21"/>
              </w:rPr>
              <w:t>根据拟投入本项目</w:t>
            </w:r>
            <w:r>
              <w:rPr>
                <w:rFonts w:hint="eastAsia" w:ascii="宋体" w:hAnsi="宋体"/>
                <w:szCs w:val="21"/>
                <w:lang w:eastAsia="zh-CN"/>
              </w:rPr>
              <w:t>的白蚁防治、灭治车辆及专业器械配备等酌情评分</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jc w:val="center"/>
        </w:trPr>
        <w:tc>
          <w:tcPr>
            <w:tcW w:w="496"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szCs w:val="21"/>
              </w:rPr>
              <w:t>6.2</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技术</w:t>
            </w:r>
          </w:p>
        </w:tc>
        <w:tc>
          <w:tcPr>
            <w:tcW w:w="1096" w:type="dxa"/>
            <w:vMerge w:val="continue"/>
            <w:noWrap w:val="0"/>
            <w:vAlign w:val="center"/>
          </w:tcPr>
          <w:p>
            <w:pPr>
              <w:jc w:val="center"/>
              <w:rPr>
                <w:rFonts w:hint="eastAsia" w:ascii="宋体" w:hAnsi="宋体" w:eastAsia="宋体" w:cs="宋体"/>
                <w:szCs w:val="21"/>
              </w:rPr>
            </w:pPr>
          </w:p>
        </w:tc>
        <w:tc>
          <w:tcPr>
            <w:tcW w:w="1061" w:type="dxa"/>
            <w:noWrap w:val="0"/>
            <w:vAlign w:val="center"/>
          </w:tcPr>
          <w:p>
            <w:pPr>
              <w:jc w:val="center"/>
              <w:rPr>
                <w:rFonts w:hint="default" w:ascii="宋体" w:hAnsi="宋体" w:eastAsia="宋体" w:cs="宋体"/>
                <w:szCs w:val="21"/>
                <w:lang w:val="en-US" w:eastAsia="zh-CN"/>
              </w:rPr>
            </w:pPr>
            <w:r>
              <w:rPr>
                <w:rFonts w:hint="eastAsia" w:ascii="宋体" w:hAnsi="宋体"/>
                <w:szCs w:val="21"/>
              </w:rPr>
              <w:t>监测装置</w:t>
            </w:r>
            <w:r>
              <w:rPr>
                <w:rFonts w:hint="eastAsia" w:ascii="宋体" w:hAnsi="宋体"/>
                <w:szCs w:val="21"/>
                <w:lang w:eastAsia="zh-CN"/>
              </w:rPr>
              <w:t>符合程度</w:t>
            </w:r>
          </w:p>
        </w:tc>
        <w:tc>
          <w:tcPr>
            <w:tcW w:w="710"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5562" w:type="dxa"/>
            <w:noWrap w:val="0"/>
            <w:vAlign w:val="center"/>
          </w:tcPr>
          <w:p>
            <w:pPr>
              <w:pageBreakBefore w:val="0"/>
              <w:kinsoku/>
              <w:wordWrap/>
              <w:overflowPunct/>
              <w:topLinePunct w:val="0"/>
              <w:autoSpaceDE/>
              <w:autoSpaceDN/>
              <w:bidi w:val="0"/>
              <w:spacing w:line="280" w:lineRule="exact"/>
              <w:rPr>
                <w:rFonts w:hint="eastAsia"/>
                <w:szCs w:val="21"/>
              </w:rPr>
            </w:pPr>
            <w:r>
              <w:rPr>
                <w:rFonts w:hint="eastAsia" w:ascii="宋体" w:hAnsi="宋体" w:eastAsia="宋体" w:cs="宋体"/>
                <w:bCs/>
                <w:snapToGrid w:val="0"/>
                <w:color w:val="auto"/>
                <w:spacing w:val="0"/>
                <w:kern w:val="0"/>
                <w:sz w:val="21"/>
                <w:szCs w:val="21"/>
                <w:highlight w:val="none"/>
                <w:lang w:val="en-US" w:eastAsia="zh-CN"/>
              </w:rPr>
              <w:t>根据投标人配置白蚁监测装置产品列入全国白蚁防治中心最新一期白蚁防治用品信息调研推荐目录的得2分，否则不得分。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jc w:val="center"/>
        </w:trPr>
        <w:tc>
          <w:tcPr>
            <w:tcW w:w="496"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6.3</w:t>
            </w:r>
          </w:p>
        </w:tc>
        <w:tc>
          <w:tcPr>
            <w:tcW w:w="593" w:type="dxa"/>
            <w:noWrap w:val="0"/>
            <w:vAlign w:val="center"/>
          </w:tcPr>
          <w:p>
            <w:pPr>
              <w:widowControl/>
              <w:spacing w:line="240" w:lineRule="exact"/>
              <w:jc w:val="center"/>
              <w:rPr>
                <w:rFonts w:hint="eastAsia" w:ascii="宋体" w:hAnsi="宋体" w:eastAsia="宋体" w:cs="宋体"/>
                <w:szCs w:val="21"/>
                <w:lang w:eastAsia="zh-CN"/>
              </w:rPr>
            </w:pPr>
            <w:r>
              <w:rPr>
                <w:rFonts w:hint="eastAsia" w:ascii="宋体" w:hAnsi="宋体" w:cs="宋体"/>
                <w:szCs w:val="21"/>
                <w:lang w:eastAsia="zh-CN"/>
              </w:rPr>
              <w:t>技术</w:t>
            </w:r>
          </w:p>
        </w:tc>
        <w:tc>
          <w:tcPr>
            <w:tcW w:w="1096" w:type="dxa"/>
            <w:vMerge w:val="continue"/>
            <w:noWrap w:val="0"/>
            <w:vAlign w:val="center"/>
          </w:tcPr>
          <w:p>
            <w:pPr>
              <w:jc w:val="center"/>
              <w:rPr>
                <w:rFonts w:hint="eastAsia" w:ascii="宋体" w:hAnsi="宋体" w:eastAsia="宋体" w:cs="宋体"/>
                <w:szCs w:val="21"/>
              </w:rPr>
            </w:pPr>
          </w:p>
        </w:tc>
        <w:tc>
          <w:tcPr>
            <w:tcW w:w="1061" w:type="dxa"/>
            <w:noWrap w:val="0"/>
            <w:vAlign w:val="center"/>
          </w:tcPr>
          <w:p>
            <w:pPr>
              <w:jc w:val="center"/>
              <w:rPr>
                <w:rFonts w:hint="eastAsia" w:ascii="宋体" w:hAnsi="宋体"/>
                <w:szCs w:val="21"/>
                <w:lang w:eastAsia="zh-CN"/>
              </w:rPr>
            </w:pPr>
            <w:r>
              <w:rPr>
                <w:rFonts w:hint="eastAsia" w:ascii="宋体" w:hAnsi="宋体"/>
                <w:szCs w:val="21"/>
                <w:lang w:eastAsia="zh-CN"/>
              </w:rPr>
              <w:t>监测装置</w:t>
            </w:r>
          </w:p>
          <w:p>
            <w:pPr>
              <w:jc w:val="center"/>
              <w:rPr>
                <w:rFonts w:hint="eastAsia" w:ascii="宋体" w:hAnsi="宋体" w:eastAsia="宋体"/>
                <w:szCs w:val="21"/>
                <w:lang w:eastAsia="zh-CN"/>
              </w:rPr>
            </w:pPr>
            <w:r>
              <w:rPr>
                <w:rFonts w:hint="eastAsia" w:ascii="宋体" w:hAnsi="宋体"/>
                <w:szCs w:val="21"/>
                <w:lang w:eastAsia="zh-CN"/>
              </w:rPr>
              <w:t>性能</w:t>
            </w:r>
          </w:p>
        </w:tc>
        <w:tc>
          <w:tcPr>
            <w:tcW w:w="710"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5562" w:type="dxa"/>
            <w:noWrap w:val="0"/>
            <w:vAlign w:val="center"/>
          </w:tcPr>
          <w:p>
            <w:pPr>
              <w:rPr>
                <w:rFonts w:hint="eastAsia" w:ascii="宋体" w:hAnsi="宋体"/>
                <w:szCs w:val="21"/>
              </w:rPr>
            </w:pPr>
            <w:r>
              <w:rPr>
                <w:rFonts w:hint="eastAsia" w:eastAsia="宋体"/>
                <w:bCs/>
                <w:szCs w:val="21"/>
                <w:highlight w:val="none"/>
                <w:lang w:eastAsia="zh-CN"/>
              </w:rPr>
              <w:t>根据投标人配置白蚁监测装置的</w:t>
            </w:r>
            <w:r>
              <w:rPr>
                <w:rFonts w:hint="eastAsia" w:eastAsia="宋体"/>
                <w:bCs/>
                <w:szCs w:val="21"/>
                <w:highlight w:val="none"/>
                <w:lang w:val="en-US" w:eastAsia="zh-CN"/>
              </w:rPr>
              <w:t>规格、性能参数等酌情评分。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jc w:val="center"/>
        </w:trPr>
        <w:tc>
          <w:tcPr>
            <w:tcW w:w="496"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6.4</w:t>
            </w:r>
          </w:p>
        </w:tc>
        <w:tc>
          <w:tcPr>
            <w:tcW w:w="593" w:type="dxa"/>
            <w:noWrap w:val="0"/>
            <w:vAlign w:val="center"/>
          </w:tcPr>
          <w:p>
            <w:pPr>
              <w:widowControl/>
              <w:spacing w:line="240" w:lineRule="exact"/>
              <w:jc w:val="center"/>
              <w:rPr>
                <w:rFonts w:hint="eastAsia" w:ascii="宋体" w:hAnsi="宋体" w:eastAsia="宋体" w:cs="宋体"/>
                <w:szCs w:val="21"/>
                <w:lang w:eastAsia="zh-CN"/>
              </w:rPr>
            </w:pPr>
            <w:r>
              <w:rPr>
                <w:rFonts w:hint="eastAsia" w:ascii="宋体" w:hAnsi="宋体" w:cs="宋体"/>
                <w:szCs w:val="21"/>
                <w:lang w:eastAsia="zh-CN"/>
              </w:rPr>
              <w:t>技术</w:t>
            </w:r>
          </w:p>
        </w:tc>
        <w:tc>
          <w:tcPr>
            <w:tcW w:w="1096" w:type="dxa"/>
            <w:vMerge w:val="continue"/>
            <w:noWrap w:val="0"/>
            <w:vAlign w:val="center"/>
          </w:tcPr>
          <w:p>
            <w:pPr>
              <w:jc w:val="center"/>
              <w:rPr>
                <w:rFonts w:hint="eastAsia" w:ascii="宋体" w:hAnsi="宋体" w:eastAsia="宋体" w:cs="宋体"/>
                <w:szCs w:val="21"/>
              </w:rPr>
            </w:pPr>
          </w:p>
        </w:tc>
        <w:tc>
          <w:tcPr>
            <w:tcW w:w="1061"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药物</w:t>
            </w:r>
          </w:p>
        </w:tc>
        <w:tc>
          <w:tcPr>
            <w:tcW w:w="710"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5562" w:type="dxa"/>
            <w:noWrap w:val="0"/>
            <w:vAlign w:val="center"/>
          </w:tcPr>
          <w:p>
            <w:pPr>
              <w:rPr>
                <w:rFonts w:hint="eastAsia" w:ascii="宋体" w:hAnsi="宋体" w:eastAsia="宋体"/>
                <w:szCs w:val="21"/>
                <w:lang w:eastAsia="zh-CN"/>
              </w:rPr>
            </w:pPr>
            <w:r>
              <w:rPr>
                <w:rFonts w:hint="eastAsia" w:ascii="宋体" w:hAnsi="宋体"/>
                <w:szCs w:val="21"/>
                <w:lang w:eastAsia="zh-CN"/>
              </w:rPr>
              <w:t>根据投标人使用白蚁防治药剂类型、品牌、性能等酌情评分。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jc w:val="center"/>
        </w:trPr>
        <w:tc>
          <w:tcPr>
            <w:tcW w:w="496"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szCs w:val="21"/>
              </w:rPr>
              <w:t>6.3</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技术</w:t>
            </w:r>
          </w:p>
        </w:tc>
        <w:tc>
          <w:tcPr>
            <w:tcW w:w="1096" w:type="dxa"/>
            <w:vMerge w:val="continue"/>
            <w:noWrap w:val="0"/>
            <w:vAlign w:val="center"/>
          </w:tcPr>
          <w:p>
            <w:pPr>
              <w:jc w:val="center"/>
              <w:rPr>
                <w:rFonts w:hint="eastAsia" w:ascii="宋体" w:hAnsi="宋体" w:eastAsia="宋体" w:cs="宋体"/>
                <w:szCs w:val="21"/>
              </w:rPr>
            </w:pPr>
          </w:p>
        </w:tc>
        <w:tc>
          <w:tcPr>
            <w:tcW w:w="1061" w:type="dxa"/>
            <w:noWrap w:val="0"/>
            <w:vAlign w:val="center"/>
          </w:tcPr>
          <w:p>
            <w:pPr>
              <w:jc w:val="center"/>
              <w:rPr>
                <w:rFonts w:hint="eastAsia" w:ascii="宋体" w:hAnsi="宋体" w:eastAsia="宋体"/>
                <w:szCs w:val="21"/>
              </w:rPr>
            </w:pPr>
            <w:r>
              <w:rPr>
                <w:rFonts w:hint="eastAsia" w:ascii="宋体" w:hAnsi="宋体"/>
                <w:szCs w:val="21"/>
              </w:rPr>
              <w:t>数智化平台</w:t>
            </w:r>
          </w:p>
        </w:tc>
        <w:tc>
          <w:tcPr>
            <w:tcW w:w="710"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szCs w:val="21"/>
              </w:rPr>
              <w:t>3</w:t>
            </w:r>
          </w:p>
        </w:tc>
        <w:tc>
          <w:tcPr>
            <w:tcW w:w="5562" w:type="dxa"/>
            <w:noWrap w:val="0"/>
            <w:vAlign w:val="center"/>
          </w:tcPr>
          <w:p>
            <w:pPr>
              <w:rPr>
                <w:rFonts w:hint="eastAsia" w:ascii="宋体" w:hAnsi="宋体" w:eastAsia="宋体"/>
                <w:szCs w:val="21"/>
              </w:rPr>
            </w:pPr>
            <w:r>
              <w:rPr>
                <w:rFonts w:hint="eastAsia" w:ascii="宋体" w:hAnsi="宋体"/>
                <w:szCs w:val="21"/>
              </w:rPr>
              <w:t>根据拟投入本项目的智能监测装置配套管理软件（系统平台）</w:t>
            </w:r>
            <w:r>
              <w:rPr>
                <w:rFonts w:hint="eastAsia" w:ascii="宋体" w:hAnsi="宋体"/>
                <w:szCs w:val="21"/>
                <w:lang w:eastAsia="zh-CN"/>
              </w:rPr>
              <w:t>，</w:t>
            </w:r>
            <w:r>
              <w:rPr>
                <w:rFonts w:hint="eastAsia" w:ascii="宋体" w:hAnsi="宋体"/>
                <w:szCs w:val="21"/>
              </w:rPr>
              <w:t>对监测装置安装、检查维护数据的数智化管理功能等酌情评分。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8" w:hRule="atLeast"/>
          <w:jc w:val="center"/>
        </w:trPr>
        <w:tc>
          <w:tcPr>
            <w:tcW w:w="496"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szCs w:val="21"/>
              </w:rPr>
              <w:t>7.1</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技术</w:t>
            </w:r>
          </w:p>
        </w:tc>
        <w:tc>
          <w:tcPr>
            <w:tcW w:w="1096"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项目团队</w:t>
            </w:r>
          </w:p>
        </w:tc>
        <w:tc>
          <w:tcPr>
            <w:tcW w:w="1061" w:type="dxa"/>
            <w:noWrap w:val="0"/>
            <w:vAlign w:val="center"/>
          </w:tcPr>
          <w:p>
            <w:pPr>
              <w:jc w:val="center"/>
              <w:rPr>
                <w:rFonts w:hint="eastAsia" w:ascii="宋体" w:hAnsi="宋体" w:eastAsia="宋体" w:cs="宋体"/>
                <w:szCs w:val="21"/>
              </w:rPr>
            </w:pPr>
            <w:r>
              <w:rPr>
                <w:rFonts w:hint="eastAsia"/>
              </w:rPr>
              <w:t>项目负责人</w:t>
            </w:r>
          </w:p>
        </w:tc>
        <w:tc>
          <w:tcPr>
            <w:tcW w:w="710" w:type="dxa"/>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5</w:t>
            </w:r>
          </w:p>
        </w:tc>
        <w:tc>
          <w:tcPr>
            <w:tcW w:w="5562" w:type="dxa"/>
            <w:noWrap w:val="0"/>
            <w:vAlign w:val="center"/>
          </w:tcPr>
          <w:p>
            <w:pPr>
              <w:rPr>
                <w:rFonts w:hint="eastAsia" w:ascii="宋体" w:hAnsi="宋体" w:eastAsia="宋体" w:cs="宋体"/>
                <w:szCs w:val="21"/>
              </w:rPr>
            </w:pPr>
            <w:r>
              <w:rPr>
                <w:rFonts w:hint="eastAsia" w:eastAsia="宋体"/>
              </w:rPr>
              <w:t>根据拟投入本项目的项目负责人资格等级、职称、所获证书、工作履历证明等酌情评分。（</w:t>
            </w:r>
            <w:r>
              <w:rPr>
                <w:rFonts w:hint="eastAsia" w:ascii="宋体" w:hAnsi="宋体"/>
              </w:rPr>
              <w:t>须提供相关证书扫描件加盖单位电子公章及近3个月内的社保证明，未提供不得分</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3" w:hRule="atLeast"/>
          <w:jc w:val="center"/>
        </w:trPr>
        <w:tc>
          <w:tcPr>
            <w:tcW w:w="496"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szCs w:val="21"/>
              </w:rPr>
              <w:t>7.2</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技术</w:t>
            </w:r>
          </w:p>
        </w:tc>
        <w:tc>
          <w:tcPr>
            <w:tcW w:w="1096" w:type="dxa"/>
            <w:vMerge w:val="continue"/>
            <w:noWrap w:val="0"/>
            <w:vAlign w:val="center"/>
          </w:tcPr>
          <w:p>
            <w:pPr>
              <w:jc w:val="center"/>
              <w:rPr>
                <w:rFonts w:hint="eastAsia" w:ascii="宋体" w:hAnsi="宋体" w:eastAsia="宋体" w:cs="宋体"/>
                <w:szCs w:val="21"/>
              </w:rPr>
            </w:pPr>
          </w:p>
        </w:tc>
        <w:tc>
          <w:tcPr>
            <w:tcW w:w="1061" w:type="dxa"/>
            <w:noWrap w:val="0"/>
            <w:vAlign w:val="center"/>
          </w:tcPr>
          <w:p>
            <w:pPr>
              <w:jc w:val="center"/>
              <w:rPr>
                <w:rFonts w:hint="eastAsia" w:eastAsia="宋体"/>
              </w:rPr>
            </w:pPr>
            <w:r>
              <w:rPr>
                <w:rFonts w:hint="eastAsia"/>
              </w:rPr>
              <w:t>技术支持</w:t>
            </w:r>
          </w:p>
        </w:tc>
        <w:tc>
          <w:tcPr>
            <w:tcW w:w="710"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w:t>
            </w:r>
          </w:p>
        </w:tc>
        <w:tc>
          <w:tcPr>
            <w:tcW w:w="5562" w:type="dxa"/>
            <w:noWrap w:val="0"/>
            <w:vAlign w:val="center"/>
          </w:tcPr>
          <w:p>
            <w:pPr>
              <w:rPr>
                <w:rFonts w:eastAsia="宋体"/>
              </w:rPr>
            </w:pPr>
            <w:r>
              <w:rPr>
                <w:rFonts w:hint="eastAsia" w:eastAsia="宋体"/>
              </w:rPr>
              <w:t>根据投标人重点难点项目的技术支持人员情况（项目负责人和施工人员除外）酌情评分。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96"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szCs w:val="21"/>
              </w:rPr>
              <w:t>7.3</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技术</w:t>
            </w:r>
          </w:p>
        </w:tc>
        <w:tc>
          <w:tcPr>
            <w:tcW w:w="1096" w:type="dxa"/>
            <w:vMerge w:val="continue"/>
            <w:noWrap w:val="0"/>
            <w:vAlign w:val="center"/>
          </w:tcPr>
          <w:p>
            <w:pPr>
              <w:jc w:val="center"/>
              <w:rPr>
                <w:rFonts w:hint="eastAsia" w:ascii="宋体" w:hAnsi="宋体" w:eastAsia="宋体" w:cs="宋体"/>
                <w:szCs w:val="21"/>
              </w:rPr>
            </w:pPr>
          </w:p>
        </w:tc>
        <w:tc>
          <w:tcPr>
            <w:tcW w:w="1061" w:type="dxa"/>
            <w:noWrap w:val="0"/>
            <w:vAlign w:val="center"/>
          </w:tcPr>
          <w:p>
            <w:pPr>
              <w:jc w:val="center"/>
              <w:rPr>
                <w:rFonts w:hint="eastAsia" w:ascii="宋体" w:hAnsi="宋体" w:eastAsia="宋体" w:cs="宋体"/>
                <w:szCs w:val="21"/>
              </w:rPr>
            </w:pPr>
            <w:r>
              <w:rPr>
                <w:rFonts w:hint="eastAsia" w:eastAsia="宋体"/>
              </w:rPr>
              <w:t>施工人员</w:t>
            </w:r>
          </w:p>
        </w:tc>
        <w:tc>
          <w:tcPr>
            <w:tcW w:w="710" w:type="dxa"/>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5</w:t>
            </w:r>
          </w:p>
        </w:tc>
        <w:tc>
          <w:tcPr>
            <w:tcW w:w="5562" w:type="dxa"/>
            <w:noWrap w:val="0"/>
            <w:vAlign w:val="center"/>
          </w:tcPr>
          <w:p>
            <w:pPr>
              <w:rPr>
                <w:rFonts w:hint="eastAsia" w:ascii="宋体" w:hAnsi="宋体" w:eastAsia="宋体" w:cs="宋体"/>
                <w:szCs w:val="21"/>
              </w:rPr>
            </w:pPr>
            <w:r>
              <w:rPr>
                <w:rFonts w:hint="eastAsia" w:ascii="宋体" w:hAnsi="宋体" w:eastAsia="宋体" w:cs="宋体"/>
                <w:szCs w:val="21"/>
              </w:rPr>
              <w:t>根据拟投入本项目的施工专职人员数量、职称、</w:t>
            </w:r>
            <w:r>
              <w:rPr>
                <w:rFonts w:hint="eastAsia" w:eastAsia="宋体"/>
              </w:rPr>
              <w:t>所获证书、工作履历证明等</w:t>
            </w:r>
            <w:r>
              <w:rPr>
                <w:rFonts w:hint="eastAsia" w:ascii="宋体" w:hAnsi="宋体" w:eastAsia="宋体" w:cs="宋体"/>
                <w:szCs w:val="21"/>
              </w:rPr>
              <w:t>酌情评分。（</w:t>
            </w:r>
            <w:r>
              <w:rPr>
                <w:rFonts w:hint="eastAsia" w:ascii="宋体" w:hAnsi="宋体"/>
              </w:rPr>
              <w:t>须提供相关证书扫描件加盖单位电子公章及近3个月内的社保证明，未提供不得分</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96"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szCs w:val="21"/>
              </w:rPr>
              <w:t>8.1</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商务</w:t>
            </w:r>
          </w:p>
        </w:tc>
        <w:tc>
          <w:tcPr>
            <w:tcW w:w="1096"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服务承诺</w:t>
            </w:r>
          </w:p>
        </w:tc>
        <w:tc>
          <w:tcPr>
            <w:tcW w:w="1061" w:type="dxa"/>
            <w:noWrap w:val="0"/>
            <w:vAlign w:val="center"/>
          </w:tcPr>
          <w:p>
            <w:pPr>
              <w:jc w:val="center"/>
              <w:rPr>
                <w:rFonts w:hint="eastAsia" w:ascii="宋体" w:hAnsi="宋体" w:eastAsia="宋体" w:cs="宋体"/>
                <w:szCs w:val="21"/>
              </w:rPr>
            </w:pPr>
            <w:r>
              <w:rPr>
                <w:rFonts w:hint="eastAsia" w:ascii="宋体" w:hAnsi="宋体" w:eastAsia="宋体" w:cs="宋体"/>
                <w:szCs w:val="21"/>
              </w:rPr>
              <w:t>响应时间</w:t>
            </w:r>
          </w:p>
        </w:tc>
        <w:tc>
          <w:tcPr>
            <w:tcW w:w="710" w:type="dxa"/>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5</w:t>
            </w:r>
          </w:p>
        </w:tc>
        <w:tc>
          <w:tcPr>
            <w:tcW w:w="5562" w:type="dxa"/>
            <w:noWrap w:val="0"/>
            <w:vAlign w:val="center"/>
          </w:tcPr>
          <w:p>
            <w:pPr>
              <w:rPr>
                <w:rFonts w:hint="eastAsia" w:ascii="宋体" w:hAnsi="宋体" w:eastAsia="宋体" w:cs="宋体"/>
                <w:szCs w:val="21"/>
              </w:rPr>
            </w:pPr>
            <w:r>
              <w:rPr>
                <w:rFonts w:hint="eastAsia" w:ascii="宋体" w:hAnsi="宋体" w:eastAsia="宋体" w:cs="宋体"/>
                <w:szCs w:val="21"/>
              </w:rPr>
              <w:t>根据投标人的服务承诺、服务响应时间、</w:t>
            </w:r>
            <w:r>
              <w:rPr>
                <w:rFonts w:hint="eastAsia" w:ascii="宋体" w:hAnsi="宋体"/>
                <w:szCs w:val="21"/>
              </w:rPr>
              <w:t>应急响应时间</w:t>
            </w:r>
            <w:r>
              <w:rPr>
                <w:rFonts w:hint="eastAsia" w:ascii="宋体" w:hAnsi="宋体" w:eastAsia="宋体" w:cs="宋体"/>
                <w:szCs w:val="21"/>
              </w:rPr>
              <w:t>及其它服务措施等酌情评分。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96" w:type="dxa"/>
            <w:noWrap w:val="0"/>
            <w:vAlign w:val="center"/>
          </w:tcPr>
          <w:p>
            <w:pPr>
              <w:widowControl/>
              <w:jc w:val="center"/>
              <w:textAlignment w:val="center"/>
              <w:rPr>
                <w:rFonts w:ascii="宋体" w:hAnsi="宋体" w:eastAsia="宋体" w:cs="宋体"/>
                <w:szCs w:val="21"/>
              </w:rPr>
            </w:pPr>
            <w:r>
              <w:rPr>
                <w:rFonts w:hint="eastAsia" w:ascii="宋体" w:hAnsi="宋体" w:eastAsia="宋体" w:cs="宋体"/>
                <w:szCs w:val="21"/>
              </w:rPr>
              <w:t>8.2</w:t>
            </w:r>
          </w:p>
        </w:tc>
        <w:tc>
          <w:tcPr>
            <w:tcW w:w="593" w:type="dxa"/>
            <w:noWrap w:val="0"/>
            <w:vAlign w:val="center"/>
          </w:tcPr>
          <w:p>
            <w:pPr>
              <w:widowControl/>
              <w:spacing w:line="240" w:lineRule="exact"/>
              <w:jc w:val="center"/>
              <w:rPr>
                <w:rFonts w:hint="eastAsia" w:ascii="宋体" w:hAnsi="宋体" w:eastAsia="宋体" w:cs="宋体"/>
                <w:szCs w:val="21"/>
              </w:rPr>
            </w:pPr>
            <w:r>
              <w:rPr>
                <w:rFonts w:hint="eastAsia" w:ascii="宋体" w:hAnsi="宋体" w:eastAsia="宋体" w:cs="宋体"/>
                <w:szCs w:val="21"/>
              </w:rPr>
              <w:t>商务</w:t>
            </w:r>
          </w:p>
        </w:tc>
        <w:tc>
          <w:tcPr>
            <w:tcW w:w="1096" w:type="dxa"/>
            <w:vMerge w:val="continue"/>
            <w:noWrap w:val="0"/>
            <w:vAlign w:val="center"/>
          </w:tcPr>
          <w:p>
            <w:pPr>
              <w:jc w:val="center"/>
              <w:rPr>
                <w:rFonts w:hint="eastAsia" w:ascii="宋体" w:hAnsi="宋体" w:eastAsia="宋体" w:cs="宋体"/>
                <w:szCs w:val="21"/>
              </w:rPr>
            </w:pPr>
          </w:p>
        </w:tc>
        <w:tc>
          <w:tcPr>
            <w:tcW w:w="1061" w:type="dxa"/>
            <w:noWrap w:val="0"/>
            <w:vAlign w:val="center"/>
          </w:tcPr>
          <w:p>
            <w:pPr>
              <w:jc w:val="center"/>
              <w:rPr>
                <w:rFonts w:hint="eastAsia" w:ascii="宋体" w:hAnsi="宋体" w:eastAsia="宋体" w:cs="宋体"/>
                <w:color w:val="FF0000"/>
                <w:szCs w:val="21"/>
                <w:lang w:val="en-US" w:eastAsia="zh-CN"/>
              </w:rPr>
            </w:pPr>
            <w:r>
              <w:rPr>
                <w:rFonts w:hint="eastAsia" w:ascii="宋体" w:hAnsi="宋体" w:eastAsia="宋体" w:cs="宋体"/>
                <w:color w:val="auto"/>
                <w:szCs w:val="21"/>
                <w:lang w:val="en-US" w:eastAsia="zh-CN"/>
              </w:rPr>
              <w:t>其他</w:t>
            </w:r>
          </w:p>
        </w:tc>
        <w:tc>
          <w:tcPr>
            <w:tcW w:w="710" w:type="dxa"/>
            <w:noWrap w:val="0"/>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5</w:t>
            </w:r>
          </w:p>
        </w:tc>
        <w:tc>
          <w:tcPr>
            <w:tcW w:w="5562" w:type="dxa"/>
            <w:noWrap w:val="0"/>
            <w:vAlign w:val="center"/>
          </w:tcPr>
          <w:p>
            <w:pPr>
              <w:rPr>
                <w:rFonts w:hint="eastAsia" w:ascii="宋体" w:hAnsi="宋体" w:eastAsia="宋体" w:cs="宋体"/>
                <w:szCs w:val="21"/>
              </w:rPr>
            </w:pPr>
            <w:r>
              <w:rPr>
                <w:rFonts w:hint="eastAsia" w:ascii="宋体" w:hAnsi="宋体" w:eastAsia="宋体" w:cs="宋体"/>
                <w:szCs w:val="21"/>
              </w:rPr>
              <w:t>根据投标人的</w:t>
            </w:r>
            <w:r>
              <w:rPr>
                <w:rFonts w:hint="eastAsia" w:ascii="宋体" w:hAnsi="宋体"/>
                <w:szCs w:val="21"/>
              </w:rPr>
              <w:t>本地化服务方案，如地理位置、专职人员驻点安排</w:t>
            </w:r>
            <w:r>
              <w:rPr>
                <w:rFonts w:hint="eastAsia" w:ascii="宋体" w:hAnsi="宋体" w:eastAsia="宋体" w:cs="宋体"/>
                <w:szCs w:val="21"/>
              </w:rPr>
              <w:t>等酌情评分。</w:t>
            </w:r>
          </w:p>
        </w:tc>
      </w:tr>
    </w:tbl>
    <w:p>
      <w:pPr>
        <w:keepNext w:val="0"/>
        <w:keepLines w:val="0"/>
        <w:pageBreakBefore w:val="0"/>
        <w:kinsoku/>
        <w:wordWrap/>
        <w:overflowPunct/>
        <w:topLinePunct w:val="0"/>
        <w:autoSpaceDE/>
        <w:autoSpaceDN/>
        <w:bidi w:val="0"/>
        <w:adjustRightInd w:val="0"/>
        <w:snapToGrid w:val="0"/>
        <w:spacing w:beforeAutospacing="0" w:line="500" w:lineRule="exac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注：最终评分标准以招标文件为准。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4C6C9"/>
    <w:multiLevelType w:val="singleLevel"/>
    <w:tmpl w:val="9B94C6C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46E90"/>
    <w:rsid w:val="006E2809"/>
    <w:rsid w:val="00F05AF0"/>
    <w:rsid w:val="01214D9E"/>
    <w:rsid w:val="02F326B6"/>
    <w:rsid w:val="033704C2"/>
    <w:rsid w:val="034019D9"/>
    <w:rsid w:val="03991568"/>
    <w:rsid w:val="03CA4C58"/>
    <w:rsid w:val="04774408"/>
    <w:rsid w:val="05236C85"/>
    <w:rsid w:val="05C874C1"/>
    <w:rsid w:val="06322F11"/>
    <w:rsid w:val="072766E8"/>
    <w:rsid w:val="086179AB"/>
    <w:rsid w:val="08646DE7"/>
    <w:rsid w:val="092A05AC"/>
    <w:rsid w:val="0A2D3D57"/>
    <w:rsid w:val="0AE92341"/>
    <w:rsid w:val="0BEE3B92"/>
    <w:rsid w:val="0BFD0B91"/>
    <w:rsid w:val="0CA43D4B"/>
    <w:rsid w:val="0D0A25FF"/>
    <w:rsid w:val="0DC720BD"/>
    <w:rsid w:val="0E116C61"/>
    <w:rsid w:val="0F5213BB"/>
    <w:rsid w:val="0F642144"/>
    <w:rsid w:val="0F8C7A1A"/>
    <w:rsid w:val="0FA163DF"/>
    <w:rsid w:val="103952E3"/>
    <w:rsid w:val="12571ADD"/>
    <w:rsid w:val="144056DC"/>
    <w:rsid w:val="149060EC"/>
    <w:rsid w:val="168D0B17"/>
    <w:rsid w:val="17140C8D"/>
    <w:rsid w:val="18442082"/>
    <w:rsid w:val="18562982"/>
    <w:rsid w:val="185966A6"/>
    <w:rsid w:val="19971EC4"/>
    <w:rsid w:val="1AE420CA"/>
    <w:rsid w:val="1B48475D"/>
    <w:rsid w:val="1C983396"/>
    <w:rsid w:val="1C9F2241"/>
    <w:rsid w:val="1CBC1AD0"/>
    <w:rsid w:val="1D014DCE"/>
    <w:rsid w:val="1DC30256"/>
    <w:rsid w:val="1DD87A86"/>
    <w:rsid w:val="203025F4"/>
    <w:rsid w:val="207C0523"/>
    <w:rsid w:val="208D4263"/>
    <w:rsid w:val="211A424A"/>
    <w:rsid w:val="21257C2E"/>
    <w:rsid w:val="22267D54"/>
    <w:rsid w:val="234870EF"/>
    <w:rsid w:val="235D5C16"/>
    <w:rsid w:val="239A6B9B"/>
    <w:rsid w:val="23D80881"/>
    <w:rsid w:val="24FC4310"/>
    <w:rsid w:val="2549010E"/>
    <w:rsid w:val="2779227A"/>
    <w:rsid w:val="28085209"/>
    <w:rsid w:val="282407D8"/>
    <w:rsid w:val="28277632"/>
    <w:rsid w:val="284B0B04"/>
    <w:rsid w:val="28E3213C"/>
    <w:rsid w:val="29D55969"/>
    <w:rsid w:val="2A1E1E19"/>
    <w:rsid w:val="2A735CE7"/>
    <w:rsid w:val="2C137C5D"/>
    <w:rsid w:val="2D073818"/>
    <w:rsid w:val="2DD463B2"/>
    <w:rsid w:val="2E582D37"/>
    <w:rsid w:val="2E8C14B3"/>
    <w:rsid w:val="2FA35360"/>
    <w:rsid w:val="2FAE53B0"/>
    <w:rsid w:val="307F1816"/>
    <w:rsid w:val="31034507"/>
    <w:rsid w:val="318A1553"/>
    <w:rsid w:val="320E72DF"/>
    <w:rsid w:val="328B4525"/>
    <w:rsid w:val="33194E18"/>
    <w:rsid w:val="33332DB6"/>
    <w:rsid w:val="33846E90"/>
    <w:rsid w:val="33983625"/>
    <w:rsid w:val="33F05518"/>
    <w:rsid w:val="358F370C"/>
    <w:rsid w:val="35D23F3F"/>
    <w:rsid w:val="36AD5220"/>
    <w:rsid w:val="37517483"/>
    <w:rsid w:val="384D566B"/>
    <w:rsid w:val="3A606A10"/>
    <w:rsid w:val="3B8901AF"/>
    <w:rsid w:val="3C270241"/>
    <w:rsid w:val="3C3E7BA1"/>
    <w:rsid w:val="3CD41980"/>
    <w:rsid w:val="3CE4074D"/>
    <w:rsid w:val="3D3E7E2D"/>
    <w:rsid w:val="3D630CFC"/>
    <w:rsid w:val="3DB00575"/>
    <w:rsid w:val="3E64535B"/>
    <w:rsid w:val="3E9A343C"/>
    <w:rsid w:val="3F080EDD"/>
    <w:rsid w:val="41E456CE"/>
    <w:rsid w:val="424606E2"/>
    <w:rsid w:val="43DC6AA8"/>
    <w:rsid w:val="442255A0"/>
    <w:rsid w:val="44713E5B"/>
    <w:rsid w:val="44F72C2D"/>
    <w:rsid w:val="459939A5"/>
    <w:rsid w:val="45F550DB"/>
    <w:rsid w:val="47596AEF"/>
    <w:rsid w:val="4791132E"/>
    <w:rsid w:val="493F3CBE"/>
    <w:rsid w:val="497B2577"/>
    <w:rsid w:val="498B21BC"/>
    <w:rsid w:val="4AC348B7"/>
    <w:rsid w:val="4BC76C73"/>
    <w:rsid w:val="4BFC732A"/>
    <w:rsid w:val="4E7F639B"/>
    <w:rsid w:val="4EBF6408"/>
    <w:rsid w:val="4F4A0E9E"/>
    <w:rsid w:val="4FB92F0F"/>
    <w:rsid w:val="4FDC3ACA"/>
    <w:rsid w:val="508707A3"/>
    <w:rsid w:val="519467D4"/>
    <w:rsid w:val="52524B17"/>
    <w:rsid w:val="53515D7C"/>
    <w:rsid w:val="55367D43"/>
    <w:rsid w:val="55A528FC"/>
    <w:rsid w:val="5610747F"/>
    <w:rsid w:val="56E16D90"/>
    <w:rsid w:val="576750FE"/>
    <w:rsid w:val="577864C9"/>
    <w:rsid w:val="58915100"/>
    <w:rsid w:val="591D53F2"/>
    <w:rsid w:val="59334CBC"/>
    <w:rsid w:val="59977FB3"/>
    <w:rsid w:val="5A265FA2"/>
    <w:rsid w:val="5B3C598A"/>
    <w:rsid w:val="5B9D448E"/>
    <w:rsid w:val="5BC319FD"/>
    <w:rsid w:val="5BD17D5F"/>
    <w:rsid w:val="5BD812A0"/>
    <w:rsid w:val="5C1B7D5C"/>
    <w:rsid w:val="5C536EFC"/>
    <w:rsid w:val="5E597941"/>
    <w:rsid w:val="5FAD02A3"/>
    <w:rsid w:val="5FDC5143"/>
    <w:rsid w:val="5FEB792A"/>
    <w:rsid w:val="60955E55"/>
    <w:rsid w:val="61CA3576"/>
    <w:rsid w:val="62446D44"/>
    <w:rsid w:val="664E0B0B"/>
    <w:rsid w:val="66C63BA8"/>
    <w:rsid w:val="671E4A8B"/>
    <w:rsid w:val="67C11F85"/>
    <w:rsid w:val="67D92DD7"/>
    <w:rsid w:val="67E41205"/>
    <w:rsid w:val="69AE0E0B"/>
    <w:rsid w:val="69D562B9"/>
    <w:rsid w:val="6A3A1F7B"/>
    <w:rsid w:val="6A9C5814"/>
    <w:rsid w:val="6AA82EE3"/>
    <w:rsid w:val="6ACB1252"/>
    <w:rsid w:val="6B026A7E"/>
    <w:rsid w:val="6C1A6119"/>
    <w:rsid w:val="6CA21269"/>
    <w:rsid w:val="6CFC6FE3"/>
    <w:rsid w:val="6D53297E"/>
    <w:rsid w:val="6DF36DE5"/>
    <w:rsid w:val="6E46695D"/>
    <w:rsid w:val="6EA90971"/>
    <w:rsid w:val="6EB20CDC"/>
    <w:rsid w:val="6F4617A0"/>
    <w:rsid w:val="6F6D42A7"/>
    <w:rsid w:val="6FD62E61"/>
    <w:rsid w:val="6FEE173D"/>
    <w:rsid w:val="71035ECD"/>
    <w:rsid w:val="710451A2"/>
    <w:rsid w:val="71457851"/>
    <w:rsid w:val="7168192A"/>
    <w:rsid w:val="71C972C1"/>
    <w:rsid w:val="71EE7E98"/>
    <w:rsid w:val="724C0390"/>
    <w:rsid w:val="727B7CCF"/>
    <w:rsid w:val="72B43093"/>
    <w:rsid w:val="735F16D7"/>
    <w:rsid w:val="739E7974"/>
    <w:rsid w:val="73C17F6D"/>
    <w:rsid w:val="74767F3F"/>
    <w:rsid w:val="74EB0C49"/>
    <w:rsid w:val="758E448A"/>
    <w:rsid w:val="759B51B8"/>
    <w:rsid w:val="770C19EE"/>
    <w:rsid w:val="772926A4"/>
    <w:rsid w:val="77622349"/>
    <w:rsid w:val="77EB237D"/>
    <w:rsid w:val="781148EB"/>
    <w:rsid w:val="78125720"/>
    <w:rsid w:val="78306EA0"/>
    <w:rsid w:val="78A35335"/>
    <w:rsid w:val="78E71C7E"/>
    <w:rsid w:val="79E21C15"/>
    <w:rsid w:val="79F67477"/>
    <w:rsid w:val="7A2F682C"/>
    <w:rsid w:val="7A3E6377"/>
    <w:rsid w:val="7A454590"/>
    <w:rsid w:val="7A5908C7"/>
    <w:rsid w:val="7A9A3318"/>
    <w:rsid w:val="7B2A7E47"/>
    <w:rsid w:val="7BE82D34"/>
    <w:rsid w:val="7C7374CD"/>
    <w:rsid w:val="7CC04D2E"/>
    <w:rsid w:val="7DF308AE"/>
    <w:rsid w:val="7EFE51D4"/>
    <w:rsid w:val="F4FEB4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firstLine="420"/>
    </w:pPr>
    <w:rPr>
      <w:rFonts w:ascii="Times New Roman"/>
      <w:sz w:val="21"/>
    </w:rPr>
  </w:style>
  <w:style w:type="paragraph" w:styleId="3">
    <w:name w:val="Body Text Indent"/>
    <w:basedOn w:val="1"/>
    <w:next w:val="4"/>
    <w:qFormat/>
    <w:uiPriority w:val="0"/>
    <w:pPr>
      <w:ind w:firstLine="540"/>
    </w:pPr>
    <w:rPr>
      <w:rFonts w:ascii="宋体"/>
      <w:sz w:val="28"/>
    </w:rPr>
  </w:style>
  <w:style w:type="paragraph" w:styleId="4">
    <w:name w:val="Normal Indent"/>
    <w:basedOn w:val="1"/>
    <w:qFormat/>
    <w:uiPriority w:val="0"/>
    <w:pPr>
      <w:ind w:firstLine="420"/>
    </w:pPr>
  </w:style>
  <w:style w:type="paragraph" w:customStyle="1" w:styleId="5">
    <w:name w:val="xl53"/>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37</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2021-02-03T15:29:00Z</dcterms:created>
  <dc:creator>白蚁站文书</dc:creator>
  <cp:lastModifiedBy>张琴(zhangqin)</cp:lastModifiedBy>
  <cp:lastPrinted>2023-11-20T14:09:00Z</cp:lastPrinted>
  <dcterms:modified xsi:type="dcterms:W3CDTF">2025-06-30T15:33:26Z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