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宋体" w:hAnsi="宋体" w:cs="宋体"/>
          <w:b/>
          <w:color w:val="auto"/>
          <w:sz w:val="44"/>
          <w:szCs w:val="44"/>
          <w:highlight w:val="none"/>
          <w:lang w:eastAsia="zh-CN"/>
        </w:rPr>
        <w:t>绍兴文理学院附属医院等离子消毒器采购项目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SXDZ-2025-6-6</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绍兴文理学院附属医院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绍兴市鼎正建设工程咨询有限公司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五</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六</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_Toc91899870"/>
      <w:bookmarkStart w:id="8" w:name="第二部分"/>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绍兴文理学院附属医院等离子消毒器采购项目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SXDZ-2025-6-6</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绍兴文理学院附属医院等离子消毒器采购项目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40248113">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895300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780000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95A053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:等离子消毒器</w:t>
      </w:r>
    </w:p>
    <w:p w14:paraId="5D72BA60">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1批</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预算金额：895300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4"/>
      <w:r>
        <w:rPr>
          <w:rFonts w:hint="eastAsia" w:ascii="仿宋" w:hAnsi="仿宋" w:eastAsia="仿宋" w:cs="仿宋"/>
          <w:color w:val="auto"/>
          <w:sz w:val="24"/>
          <w:highlight w:val="none"/>
          <w:u w:val="single"/>
          <w:lang w:val="en-US" w:eastAsia="zh-CN"/>
        </w:rPr>
        <w:t xml:space="preserve">无  </w:t>
      </w:r>
      <w:r>
        <w:rPr>
          <w:rFonts w:hint="eastAsia" w:ascii="仿宋" w:hAnsi="仿宋" w:eastAsia="仿宋" w:cs="仿宋"/>
          <w:color w:val="auto"/>
          <w:kern w:val="0"/>
          <w:sz w:val="24"/>
          <w:highlight w:val="none"/>
        </w:rPr>
        <w:t>。</w:t>
      </w:r>
      <w:bookmarkEnd w:id="13"/>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4" w:name="_Toc28359096"/>
      <w:bookmarkStart w:id="15" w:name="_Toc28359019"/>
      <w:bookmarkStart w:id="16" w:name="_Toc35393637"/>
      <w:bookmarkStart w:id="17" w:name="_Toc35393806"/>
      <w:r>
        <w:rPr>
          <w:rFonts w:hint="eastAsia" w:ascii="仿宋" w:hAnsi="仿宋" w:eastAsia="仿宋" w:cs="仿宋"/>
          <w:color w:val="auto"/>
          <w:sz w:val="24"/>
          <w:szCs w:val="24"/>
          <w:highlight w:val="none"/>
        </w:rPr>
        <w:t>1.采购人信息</w:t>
      </w:r>
      <w:bookmarkEnd w:id="14"/>
      <w:bookmarkEnd w:id="15"/>
      <w:bookmarkEnd w:id="16"/>
      <w:bookmarkEnd w:id="17"/>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绍兴文理学院附属医院</w:t>
      </w:r>
    </w:p>
    <w:p w14:paraId="1585D07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地址：绍兴市越城区中兴南路999号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罗老师</w:t>
      </w:r>
    </w:p>
    <w:p w14:paraId="31488934">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项目联系方式（询问）：0575-88293129</w:t>
      </w:r>
    </w:p>
    <w:p w14:paraId="077C729A">
      <w:pPr>
        <w:widowControl/>
        <w:spacing w:line="46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val="en-US" w:eastAsia="zh-CN"/>
        </w:rPr>
        <w:t>葛老师</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8" w:name="OLE_LINK8"/>
      <w:r>
        <w:rPr>
          <w:rFonts w:hint="eastAsia" w:ascii="仿宋" w:hAnsi="仿宋" w:eastAsia="仿宋" w:cs="仿宋"/>
          <w:color w:val="auto"/>
          <w:kern w:val="0"/>
          <w:sz w:val="24"/>
          <w:highlight w:val="none"/>
        </w:rPr>
        <w:t>0575-88293033</w:t>
      </w:r>
    </w:p>
    <w:bookmarkEnd w:id="18"/>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绍兴市鼎正建设工程咨询有限公司</w:t>
      </w:r>
    </w:p>
    <w:p w14:paraId="411AE156">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地址：绍兴市二环北路80号1#楼南四楼</w:t>
      </w:r>
    </w:p>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466B05C">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 xml:space="preserve">项目联系人（询问）：夏建挺        </w:t>
      </w:r>
    </w:p>
    <w:p w14:paraId="661F6B81">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项目联系方式（询问）：150058569</w:t>
      </w:r>
      <w:bookmarkStart w:id="201" w:name="_GoBack"/>
      <w:bookmarkEnd w:id="201"/>
      <w:r>
        <w:rPr>
          <w:rFonts w:hint="eastAsia" w:ascii="仿宋_GB2312" w:hAnsi="仿宋_GB2312" w:eastAsia="仿宋_GB2312" w:cs="仿宋_GB2312"/>
          <w:bCs/>
          <w:szCs w:val="24"/>
        </w:rPr>
        <w:t>79</w:t>
      </w:r>
    </w:p>
    <w:p w14:paraId="6B52A495">
      <w:pPr>
        <w:pStyle w:val="397"/>
        <w:spacing w:afterLines="0" w:line="324" w:lineRule="auto"/>
        <w:ind w:firstLine="480"/>
        <w:rPr>
          <w:rFonts w:hint="default" w:ascii="仿宋_GB2312" w:hAnsi="仿宋_GB2312" w:eastAsia="仿宋_GB2312" w:cs="仿宋_GB2312"/>
          <w:bCs/>
          <w:szCs w:val="24"/>
          <w:lang w:val="en-US" w:eastAsia="zh-CN"/>
        </w:rPr>
      </w:pPr>
      <w:r>
        <w:rPr>
          <w:rFonts w:hint="eastAsia" w:ascii="仿宋_GB2312" w:hAnsi="仿宋_GB2312" w:eastAsia="仿宋_GB2312" w:cs="仿宋_GB2312"/>
          <w:bCs/>
          <w:szCs w:val="24"/>
        </w:rPr>
        <w:t>质疑联系人：</w:t>
      </w:r>
      <w:r>
        <w:rPr>
          <w:rFonts w:hint="eastAsia" w:ascii="仿宋_GB2312" w:hAnsi="仿宋_GB2312" w:eastAsia="仿宋_GB2312" w:cs="仿宋_GB2312"/>
          <w:bCs/>
          <w:szCs w:val="24"/>
          <w:lang w:val="en-US" w:eastAsia="zh-CN"/>
        </w:rPr>
        <w:t>蒋承志</w:t>
      </w:r>
    </w:p>
    <w:p w14:paraId="13B5BCBF">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质疑联系方式：0575-85155500</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等离子消毒器</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19" w:name="OLE_LINK1"/>
            <w:r>
              <w:rPr>
                <w:rFonts w:hint="eastAsia" w:ascii="仿宋" w:hAnsi="仿宋" w:eastAsia="仿宋" w:cs="仿宋"/>
                <w:color w:val="auto"/>
                <w:kern w:val="0"/>
                <w:sz w:val="24"/>
                <w:szCs w:val="24"/>
                <w:highlight w:val="none"/>
                <w:u w:val="single"/>
                <w:lang w:eastAsia="zh-CN"/>
              </w:rPr>
              <w:t>标项一</w:t>
            </w:r>
            <w:bookmarkEnd w:id="19"/>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auto"/>
                <w:sz w:val="24"/>
              </w:rPr>
            </w:pPr>
            <w:bookmarkStart w:id="20" w:name="OLE_LINK7"/>
            <w:r>
              <w:rPr>
                <w:rFonts w:hint="eastAsia" w:ascii="仿宋" w:hAnsi="仿宋" w:eastAsia="仿宋" w:cs="仿宋"/>
                <w:color w:val="auto"/>
                <w:sz w:val="24"/>
              </w:rPr>
              <w:t>代理协议约定的内容，中标单位需支付以下费用，根据项目的中标金额，采用差额定率累进法进行计算，具体费率标准如下：成交金额100万元以下的部分，货物类采购</w:t>
            </w:r>
            <w:r>
              <w:rPr>
                <w:rFonts w:hint="eastAsia" w:ascii="仿宋" w:hAnsi="仿宋" w:eastAsia="仿宋" w:cs="仿宋"/>
                <w:color w:val="auto"/>
                <w:sz w:val="24"/>
                <w:lang w:val="en-US" w:eastAsia="zh-CN"/>
              </w:rPr>
              <w:t>按</w:t>
            </w:r>
            <w:r>
              <w:rPr>
                <w:rFonts w:hint="eastAsia" w:ascii="仿宋" w:hAnsi="仿宋" w:eastAsia="仿宋" w:cs="仿宋"/>
                <w:color w:val="auto"/>
                <w:sz w:val="24"/>
              </w:rPr>
              <w:t>费率1.50%</w:t>
            </w:r>
            <w:r>
              <w:rPr>
                <w:rFonts w:hint="eastAsia" w:ascii="仿宋_GB2312" w:hAnsi="仿宋_GB2312" w:eastAsia="仿宋_GB2312" w:cs="仿宋_GB2312"/>
                <w:bCs/>
                <w:sz w:val="24"/>
              </w:rPr>
              <w:t>的20%进行收费。</w:t>
            </w:r>
          </w:p>
          <w:bookmarkEnd w:id="20"/>
          <w:p w14:paraId="2E6CDB91">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（2）代理服务费的交纳方式：</w:t>
            </w:r>
          </w:p>
          <w:p w14:paraId="5966666F">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用银行支票、汇票、电汇、现金等付款方式直接交纳代理服务费。</w:t>
            </w:r>
          </w:p>
          <w:p w14:paraId="40557EB9">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公司名称：绍兴市鼎正建设工程咨询有限公司</w:t>
            </w:r>
          </w:p>
          <w:p w14:paraId="413508D4">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账号:0915000828327300010</w:t>
            </w:r>
          </w:p>
          <w:p w14:paraId="7778EE8C">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开户银行: 绍兴银行城中支行</w:t>
            </w:r>
          </w:p>
          <w:p w14:paraId="5BA935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_GB2312" w:hAnsi="仿宋_GB2312" w:eastAsia="仿宋_GB2312" w:cs="仿宋_GB2312"/>
                <w:bCs/>
                <w:sz w:val="24"/>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1" w:name="_Hlt68057669"/>
      <w:bookmarkEnd w:id="21"/>
      <w:bookmarkStart w:id="22" w:name="_Hlt68403820"/>
      <w:bookmarkEnd w:id="22"/>
      <w:bookmarkStart w:id="23" w:name="_Hlt75236101"/>
      <w:bookmarkEnd w:id="23"/>
      <w:bookmarkStart w:id="24" w:name="_Hlt68073093"/>
      <w:bookmarkEnd w:id="24"/>
      <w:bookmarkStart w:id="25" w:name="_Hlt74707468"/>
      <w:bookmarkEnd w:id="25"/>
      <w:bookmarkStart w:id="26" w:name="_Hlt74730295"/>
      <w:bookmarkEnd w:id="26"/>
      <w:bookmarkStart w:id="27" w:name="_Hlt68072990"/>
      <w:bookmarkEnd w:id="27"/>
      <w:bookmarkStart w:id="28" w:name="_Hlt75236290"/>
      <w:bookmarkEnd w:id="28"/>
      <w:bookmarkStart w:id="29" w:name="_Hlt75236011"/>
      <w:bookmarkEnd w:id="29"/>
      <w:bookmarkStart w:id="30" w:name="_Hlt68072998"/>
      <w:bookmarkEnd w:id="30"/>
      <w:bookmarkStart w:id="31" w:name="_Hlt74729768"/>
      <w:bookmarkEnd w:id="31"/>
      <w:bookmarkStart w:id="32" w:name="_Hlt74714665"/>
      <w:bookmarkEnd w:id="32"/>
      <w:bookmarkStart w:id="33" w:name="第三部分"/>
      <w:bookmarkStart w:id="34" w:name="_Toc164416483"/>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F7049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06A94B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98172A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DC11C1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88D7D1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3699AFB9">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5FA6B1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C0C3DE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F613D75">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23C954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BCC1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6792DF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FEBF3C">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69F2D6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13199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089AD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5"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3.评审内容</w:t>
      </w:r>
    </w:p>
    <w:p w14:paraId="62CB0B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rPr>
      </w:pPr>
      <w:r>
        <w:rPr>
          <w:rFonts w:hint="eastAsia" w:ascii="仿宋" w:hAnsi="仿宋" w:eastAsia="仿宋" w:cs="仿宋"/>
          <w:color w:val="auto"/>
          <w:sz w:val="24"/>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lang w:val="en-US" w:eastAsia="zh-CN"/>
        </w:rPr>
      </w:pPr>
      <w:r>
        <w:rPr>
          <w:rFonts w:hint="eastAsia" w:ascii="仿宋" w:hAnsi="仿宋" w:eastAsia="仿宋" w:cs="仿宋"/>
          <w:b/>
          <w:bCs/>
          <w:color w:val="auto"/>
          <w:sz w:val="24"/>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lang w:val="en-US" w:eastAsia="zh-CN"/>
        </w:rPr>
        <w:t>6</w:t>
      </w:r>
      <w:r>
        <w:rPr>
          <w:rFonts w:hint="eastAsia" w:ascii="仿宋" w:hAnsi="仿宋" w:eastAsia="仿宋" w:cs="仿宋"/>
          <w:b/>
          <w:color w:val="auto"/>
          <w:kern w:val="0"/>
          <w:sz w:val="24"/>
        </w:rPr>
        <w:t xml:space="preserve">. </w:t>
      </w:r>
      <w:r>
        <w:rPr>
          <w:rFonts w:hint="eastAsia" w:ascii="仿宋" w:hAnsi="仿宋" w:eastAsia="仿宋" w:cs="仿宋"/>
          <w:b/>
          <w:color w:val="auto"/>
          <w:sz w:val="24"/>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9.9投标人</w:t>
      </w:r>
      <w:r>
        <w:rPr>
          <w:rFonts w:hint="eastAsia" w:ascii="仿宋" w:hAnsi="仿宋" w:eastAsia="仿宋" w:cs="仿宋"/>
          <w:b/>
          <w:bCs/>
          <w:color w:val="auto"/>
          <w:sz w:val="24"/>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8</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21</w:t>
      </w:r>
      <w:r>
        <w:rPr>
          <w:rFonts w:hint="eastAsia" w:ascii="仿宋" w:hAnsi="仿宋" w:eastAsia="仿宋" w:cs="仿宋"/>
          <w:b/>
          <w:color w:val="auto"/>
          <w:sz w:val="24"/>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.6有二份及二份</w:t>
      </w:r>
      <w:r>
        <w:rPr>
          <w:rFonts w:hint="eastAsia" w:ascii="仿宋" w:hAnsi="仿宋" w:eastAsia="仿宋" w:cs="仿宋"/>
          <w:color w:val="auto"/>
          <w:sz w:val="24"/>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14:paraId="553479A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w:t>
      </w:r>
      <w:r>
        <w:rPr>
          <w:rFonts w:hint="eastAsia" w:ascii="仿宋" w:hAnsi="仿宋" w:eastAsia="仿宋" w:cs="仿宋"/>
          <w:color w:val="auto"/>
          <w:sz w:val="24"/>
        </w:rPr>
        <w:t>、采购代理机构</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rPr>
      </w:pPr>
      <w:r>
        <w:rPr>
          <w:rFonts w:hint="eastAsia" w:ascii="仿宋" w:hAnsi="仿宋" w:eastAsia="仿宋" w:cs="仿宋"/>
          <w:b/>
          <w:bCs/>
          <w:color w:val="auto"/>
          <w:sz w:val="24"/>
        </w:rPr>
        <w:t>11.成交标准：</w:t>
      </w:r>
      <w:r>
        <w:rPr>
          <w:rFonts w:hint="eastAsia" w:ascii="仿宋" w:hAnsi="仿宋" w:eastAsia="仿宋" w:cs="仿宋"/>
          <w:color w:val="auto"/>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5"/>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6" w:name="_Toc81372953"/>
      <w:bookmarkStart w:id="37" w:name="_Toc81372776"/>
      <w:bookmarkStart w:id="38" w:name="_Toc84325929"/>
      <w:r>
        <w:rPr>
          <w:rFonts w:hint="eastAsia" w:ascii="仿宋" w:hAnsi="仿宋" w:eastAsia="仿宋" w:cs="仿宋"/>
          <w:b/>
          <w:color w:val="auto"/>
          <w:sz w:val="32"/>
          <w:szCs w:val="32"/>
          <w:highlight w:val="none"/>
        </w:rPr>
        <w:t>五、授予合同</w:t>
      </w:r>
    </w:p>
    <w:bookmarkEnd w:id="36"/>
    <w:bookmarkEnd w:id="37"/>
    <w:bookmarkEnd w:id="38"/>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3"/>
    <w:bookmarkEnd w:id="34"/>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9" w:name="第五部分"/>
      <w:bookmarkStart w:id="40" w:name="_Toc86217003"/>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color w:val="auto"/>
          <w:highlight w:val="none"/>
        </w:rPr>
      </w:pPr>
      <w:r>
        <w:rPr>
          <w:rFonts w:hint="eastAsia" w:ascii="仿宋_GB2312" w:hAnsi="宋体" w:eastAsia="仿宋_GB2312"/>
          <w:b/>
          <w:color w:val="auto"/>
          <w:sz w:val="24"/>
          <w:highlight w:val="none"/>
          <w:lang w:eastAsia="zh-CN"/>
        </w:rPr>
        <w:t>一、</w:t>
      </w:r>
      <w:r>
        <w:rPr>
          <w:rFonts w:hint="eastAsia" w:ascii="仿宋_GB2312" w:hAnsi="宋体" w:eastAsia="仿宋_GB2312"/>
          <w:b/>
          <w:color w:val="auto"/>
          <w:sz w:val="24"/>
          <w:highlight w:val="none"/>
        </w:rPr>
        <w:t>货物清单及技术要求：</w:t>
      </w:r>
    </w:p>
    <w:p w14:paraId="13391E19">
      <w:pPr>
        <w:numPr>
          <w:ilvl w:val="0"/>
          <w:numId w:val="2"/>
        </w:numPr>
        <w:tabs>
          <w:tab w:val="left" w:pos="482"/>
          <w:tab w:val="left" w:pos="2183"/>
          <w:tab w:val="left" w:pos="3884"/>
          <w:tab w:val="left" w:pos="5585"/>
        </w:tabs>
        <w:spacing w:line="360" w:lineRule="auto"/>
        <w:rPr>
          <w:rFonts w:hint="eastAsia" w:ascii="仿宋" w:hAnsi="仿宋" w:eastAsia="仿宋" w:cs="仿宋"/>
          <w:b/>
          <w:bCs/>
          <w:snapToGrid w:val="0"/>
          <w:sz w:val="24"/>
          <w:szCs w:val="24"/>
        </w:rPr>
      </w:pPr>
      <w:r>
        <w:rPr>
          <w:rFonts w:hint="eastAsia" w:ascii="仿宋" w:hAnsi="仿宋" w:eastAsia="仿宋" w:cs="仿宋"/>
          <w:b/>
          <w:bCs/>
          <w:snapToGrid w:val="0"/>
          <w:sz w:val="24"/>
          <w:szCs w:val="24"/>
        </w:rPr>
        <w:t>标准与规范</w:t>
      </w:r>
    </w:p>
    <w:p w14:paraId="48657712">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1、《医疗机构消毒技术规格》WS/T 367-2012</w:t>
      </w:r>
    </w:p>
    <w:p w14:paraId="6A30C694">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2、《医院空气净化管理规范》WS/T 368-2012</w:t>
      </w:r>
    </w:p>
    <w:p w14:paraId="277AE3CB">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3、《医院卫生消毒标准》 GB 15982-2012</w:t>
      </w:r>
    </w:p>
    <w:p w14:paraId="2B2B1FA5">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4、《公共场所空调通风系统清洗消毒规范》 WS 394-2012</w:t>
      </w:r>
    </w:p>
    <w:p w14:paraId="186C406A">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5、《综合医院建筑设计规范》GB 51039-2014</w:t>
      </w:r>
    </w:p>
    <w:p w14:paraId="04DF41EA">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6</w:t>
      </w:r>
      <w:r>
        <w:rPr>
          <w:rFonts w:hint="eastAsia" w:ascii="仿宋" w:hAnsi="仿宋" w:eastAsia="仿宋" w:cs="仿宋"/>
          <w:b w:val="0"/>
          <w:bCs w:val="0"/>
          <w:color w:val="000000"/>
          <w:sz w:val="24"/>
          <w:szCs w:val="24"/>
        </w:rPr>
        <w:t>、《经空气传播疾病医院感染预防与控制规范》WS/T 511-2016</w:t>
      </w:r>
    </w:p>
    <w:p w14:paraId="1BC24368">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7</w:t>
      </w:r>
      <w:r>
        <w:rPr>
          <w:rFonts w:hint="eastAsia" w:ascii="仿宋" w:hAnsi="仿宋" w:eastAsia="仿宋" w:cs="仿宋"/>
          <w:b w:val="0"/>
          <w:bCs w:val="0"/>
          <w:color w:val="000000"/>
          <w:sz w:val="24"/>
          <w:szCs w:val="24"/>
        </w:rPr>
        <w:t>、《空气消毒机通用卫生要求》WS/T648-2019</w:t>
      </w:r>
    </w:p>
    <w:p w14:paraId="1F34DA5C">
      <w:pPr>
        <w:pStyle w:val="258"/>
        <w:spacing w:line="360" w:lineRule="auto"/>
        <w:ind w:firstLine="0" w:firstLineChars="0"/>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rPr>
        <w:t>（2）货物</w:t>
      </w:r>
      <w:r>
        <w:rPr>
          <w:rFonts w:hint="eastAsia" w:ascii="仿宋" w:hAnsi="仿宋" w:eastAsia="仿宋" w:cs="仿宋"/>
          <w:b/>
          <w:bCs/>
          <w:snapToGrid w:val="0"/>
          <w:sz w:val="24"/>
          <w:szCs w:val="24"/>
          <w:highlight w:val="none"/>
        </w:rPr>
        <w:t>清单及主要技术要求</w:t>
      </w:r>
    </w:p>
    <w:tbl>
      <w:tblPr>
        <w:tblStyle w:val="63"/>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478"/>
      </w:tblGrid>
      <w:tr w14:paraId="44C4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775" w:type="dxa"/>
            <w:tcBorders>
              <w:top w:val="double" w:color="auto" w:sz="4" w:space="0"/>
              <w:left w:val="double" w:color="auto" w:sz="4" w:space="0"/>
              <w:bottom w:val="double" w:color="auto" w:sz="4" w:space="0"/>
            </w:tcBorders>
            <w:noWrap w:val="0"/>
            <w:vAlign w:val="center"/>
          </w:tcPr>
          <w:p w14:paraId="670205AB">
            <w:pPr>
              <w:snapToGrid w:val="0"/>
              <w:spacing w:line="360" w:lineRule="exact"/>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序号</w:t>
            </w:r>
          </w:p>
        </w:tc>
        <w:tc>
          <w:tcPr>
            <w:tcW w:w="7478" w:type="dxa"/>
            <w:tcBorders>
              <w:top w:val="double" w:color="auto" w:sz="4" w:space="0"/>
              <w:bottom w:val="double" w:color="auto" w:sz="4" w:space="0"/>
            </w:tcBorders>
            <w:noWrap w:val="0"/>
            <w:vAlign w:val="center"/>
          </w:tcPr>
          <w:p w14:paraId="4D93DD5F">
            <w:pPr>
              <w:spacing w:line="360" w:lineRule="exact"/>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招标规格</w:t>
            </w:r>
          </w:p>
        </w:tc>
      </w:tr>
      <w:tr w14:paraId="7BA1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6B567DA">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w:t>
            </w:r>
          </w:p>
        </w:tc>
        <w:tc>
          <w:tcPr>
            <w:tcW w:w="7478" w:type="dxa"/>
            <w:noWrap w:val="0"/>
            <w:vAlign w:val="center"/>
          </w:tcPr>
          <w:p w14:paraId="4D9F2D73">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风机盘管式等离子体空气消毒器 （隔墙</w:t>
            </w:r>
            <w:r>
              <w:rPr>
                <w:rFonts w:hint="eastAsia" w:ascii="仿宋" w:hAnsi="仿宋" w:eastAsia="仿宋" w:cs="仿宋"/>
                <w:b/>
                <w:color w:val="auto"/>
                <w:sz w:val="21"/>
                <w:szCs w:val="21"/>
                <w:highlight w:val="none"/>
                <w:lang w:val="en-US" w:eastAsia="zh-CN"/>
              </w:rPr>
              <w:t>内风管中</w:t>
            </w:r>
            <w:r>
              <w:rPr>
                <w:rFonts w:hint="eastAsia" w:ascii="仿宋" w:hAnsi="仿宋" w:eastAsia="仿宋" w:cs="仿宋"/>
                <w:b/>
                <w:color w:val="auto"/>
                <w:sz w:val="21"/>
                <w:szCs w:val="21"/>
                <w:highlight w:val="none"/>
              </w:rPr>
              <w:t>嵌入式安装）   87台</w:t>
            </w:r>
          </w:p>
        </w:tc>
      </w:tr>
      <w:tr w14:paraId="2B5E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A46D8D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794C3F1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 220V/50Hz，绝缘等级：B级</w:t>
            </w:r>
          </w:p>
        </w:tc>
      </w:tr>
      <w:tr w14:paraId="7DCA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799A078">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79E19FD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工作功率：在净化消毒1000m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/h风量时等离子体反应器最大能耗≤8W/h</w:t>
            </w:r>
          </w:p>
        </w:tc>
      </w:tr>
      <w:tr w14:paraId="79B1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909B2E5">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236BFCD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094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C4A2A2A">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0E98A5D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3F45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775" w:type="dxa"/>
            <w:tcBorders>
              <w:left w:val="double" w:color="auto" w:sz="4" w:space="0"/>
            </w:tcBorders>
            <w:noWrap w:val="0"/>
            <w:vAlign w:val="center"/>
          </w:tcPr>
          <w:p w14:paraId="078ED01A">
            <w:pPr>
              <w:snapToGrid w:val="0"/>
              <w:spacing w:line="360" w:lineRule="exact"/>
              <w:jc w:val="both"/>
              <w:rPr>
                <w:rFonts w:hint="eastAsia" w:ascii="仿宋" w:hAnsi="仿宋" w:eastAsia="仿宋" w:cs="仿宋"/>
                <w:color w:val="auto"/>
                <w:sz w:val="21"/>
                <w:szCs w:val="21"/>
                <w:highlight w:val="none"/>
              </w:rPr>
            </w:pPr>
            <w:bookmarkStart w:id="41" w:name="OLE_LINK2"/>
            <w:r>
              <w:rPr>
                <w:rFonts w:hint="eastAsia" w:ascii="仿宋" w:hAnsi="仿宋" w:eastAsia="仿宋" w:cs="仿宋"/>
                <w:color w:val="auto"/>
                <w:sz w:val="21"/>
                <w:szCs w:val="21"/>
                <w:highlight w:val="none"/>
              </w:rPr>
              <w:t>▲</w:t>
            </w:r>
            <w:bookmarkEnd w:id="41"/>
            <w:r>
              <w:rPr>
                <w:rFonts w:hint="eastAsia" w:ascii="仿宋" w:hAnsi="仿宋" w:eastAsia="仿宋" w:cs="仿宋"/>
                <w:color w:val="auto"/>
                <w:sz w:val="21"/>
                <w:szCs w:val="21"/>
                <w:highlight w:val="none"/>
              </w:rPr>
              <w:t>5</w:t>
            </w:r>
          </w:p>
        </w:tc>
        <w:tc>
          <w:tcPr>
            <w:tcW w:w="7478" w:type="dxa"/>
            <w:noWrap w:val="0"/>
            <w:vAlign w:val="center"/>
          </w:tcPr>
          <w:p w14:paraId="433ACB69">
            <w:pPr>
              <w:pStyle w:val="58"/>
              <w:keepNext w:val="0"/>
              <w:keepLines w:val="0"/>
              <w:widowControl/>
              <w:suppressLineNumbers w:val="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4BCF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775" w:type="dxa"/>
            <w:tcBorders>
              <w:left w:val="double" w:color="auto" w:sz="4" w:space="0"/>
            </w:tcBorders>
            <w:noWrap w:val="0"/>
            <w:vAlign w:val="center"/>
          </w:tcPr>
          <w:p w14:paraId="7D4ACFFC">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7478" w:type="dxa"/>
            <w:noWrap w:val="0"/>
            <w:vAlign w:val="center"/>
          </w:tcPr>
          <w:p w14:paraId="0A440D4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净化消毒方式：用于下回风顶上送风循环方式，回风口应设置在病人背面墙下侧离地150mm左右</w:t>
            </w:r>
          </w:p>
        </w:tc>
      </w:tr>
      <w:tr w14:paraId="59CF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1D9BA8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8" w:type="dxa"/>
            <w:noWrap w:val="0"/>
            <w:vAlign w:val="center"/>
          </w:tcPr>
          <w:p w14:paraId="449EFE1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净化消毒风量：≥900m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w:t>
            </w:r>
          </w:p>
        </w:tc>
      </w:tr>
      <w:tr w14:paraId="1D40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56B1C9F">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478" w:type="dxa"/>
            <w:noWrap w:val="0"/>
            <w:vAlign w:val="center"/>
          </w:tcPr>
          <w:p w14:paraId="14CFE88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适用体积：≥90m</w:t>
            </w:r>
            <w:r>
              <w:rPr>
                <w:rFonts w:hint="eastAsia" w:ascii="仿宋" w:hAnsi="仿宋" w:eastAsia="仿宋" w:cs="仿宋"/>
                <w:color w:val="auto"/>
                <w:sz w:val="21"/>
                <w:szCs w:val="21"/>
                <w:highlight w:val="none"/>
                <w:vertAlign w:val="superscript"/>
              </w:rPr>
              <w:t>3</w:t>
            </w:r>
          </w:p>
        </w:tc>
      </w:tr>
      <w:tr w14:paraId="1145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exact"/>
          <w:jc w:val="center"/>
        </w:trPr>
        <w:tc>
          <w:tcPr>
            <w:tcW w:w="775" w:type="dxa"/>
            <w:tcBorders>
              <w:left w:val="double" w:color="auto" w:sz="4" w:space="0"/>
            </w:tcBorders>
            <w:noWrap w:val="0"/>
            <w:vAlign w:val="center"/>
          </w:tcPr>
          <w:p w14:paraId="1825A5B0">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6773EF7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6FF1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exact"/>
          <w:jc w:val="center"/>
        </w:trPr>
        <w:tc>
          <w:tcPr>
            <w:tcW w:w="775" w:type="dxa"/>
            <w:tcBorders>
              <w:left w:val="double" w:color="auto" w:sz="4" w:space="0"/>
            </w:tcBorders>
            <w:noWrap w:val="0"/>
            <w:vAlign w:val="center"/>
          </w:tcPr>
          <w:p w14:paraId="77246B0A">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1E5F0A6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25CB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exact"/>
          <w:jc w:val="center"/>
        </w:trPr>
        <w:tc>
          <w:tcPr>
            <w:tcW w:w="775" w:type="dxa"/>
            <w:tcBorders>
              <w:left w:val="double" w:color="auto" w:sz="4" w:space="0"/>
            </w:tcBorders>
            <w:noWrap w:val="0"/>
            <w:vAlign w:val="center"/>
          </w:tcPr>
          <w:p w14:paraId="429A885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7478" w:type="dxa"/>
            <w:noWrap w:val="0"/>
            <w:vAlign w:val="center"/>
          </w:tcPr>
          <w:p w14:paraId="703E4D77">
            <w:pPr>
              <w:pStyle w:val="58"/>
              <w:keepNext w:val="0"/>
              <w:keepLines w:val="0"/>
              <w:widowControl/>
              <w:suppressLineNumbers w:val="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安装方式：空气消毒器要求嵌入式安装在隔墙内风管中，消毒器与隔墙板及风管固定时必须密闭，上下风口应密封。风管已预留空气消毒器安装空间，尺寸约为W800×H480×D245mm（实际尺寸需中标方现场测量）</w:t>
            </w:r>
            <w:r>
              <w:rPr>
                <w:rFonts w:hint="eastAsia" w:ascii="仿宋" w:hAnsi="仿宋" w:eastAsia="仿宋" w:cs="仿宋"/>
                <w:color w:val="auto"/>
                <w:sz w:val="21"/>
                <w:szCs w:val="21"/>
                <w:highlight w:val="none"/>
                <w:lang w:eastAsia="zh-CN"/>
              </w:rPr>
              <w:t>。</w:t>
            </w:r>
          </w:p>
        </w:tc>
      </w:tr>
      <w:tr w14:paraId="7D4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exact"/>
          <w:jc w:val="center"/>
        </w:trPr>
        <w:tc>
          <w:tcPr>
            <w:tcW w:w="775" w:type="dxa"/>
            <w:tcBorders>
              <w:left w:val="double" w:color="auto" w:sz="4" w:space="0"/>
            </w:tcBorders>
            <w:noWrap w:val="0"/>
            <w:vAlign w:val="center"/>
          </w:tcPr>
          <w:p w14:paraId="2087064C">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2374B58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与空调室内机联动控制工作的空调要求：空调室内机必须满足能与空气消毒器双向联动控制工作。预留消毒器接线端口。1、当空调在制冷、制热、送风等模式时，消毒器需联动工作，空调系统应默认此状态为正常模式；2、当空调待机状态时，消毒器联动空调室内机电机工作。当有消毒需要时空调室内机电机与消毒器联动工作，空调系统默认此状态为正常模式。（投标文件中提供</w:t>
            </w:r>
            <w:r>
              <w:rPr>
                <w:rFonts w:hint="eastAsia" w:ascii="仿宋" w:hAnsi="仿宋" w:eastAsia="仿宋" w:cs="仿宋"/>
                <w:color w:val="auto"/>
                <w:sz w:val="21"/>
                <w:szCs w:val="21"/>
                <w:highlight w:val="none"/>
                <w:lang w:val="en-US" w:eastAsia="zh-CN"/>
              </w:rPr>
              <w:t>控制方式说明以及</w:t>
            </w:r>
            <w:r>
              <w:rPr>
                <w:rFonts w:hint="eastAsia" w:ascii="仿宋" w:hAnsi="仿宋" w:eastAsia="仿宋" w:cs="仿宋"/>
                <w:color w:val="auto"/>
                <w:sz w:val="21"/>
                <w:szCs w:val="21"/>
                <w:highlight w:val="none"/>
              </w:rPr>
              <w:t>证明材料）</w:t>
            </w:r>
          </w:p>
        </w:tc>
      </w:tr>
      <w:tr w14:paraId="53C1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775" w:type="dxa"/>
            <w:tcBorders>
              <w:left w:val="double" w:color="auto" w:sz="4" w:space="0"/>
            </w:tcBorders>
            <w:noWrap w:val="0"/>
            <w:vAlign w:val="center"/>
          </w:tcPr>
          <w:p w14:paraId="2944BAB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7478" w:type="dxa"/>
            <w:noWrap w:val="0"/>
            <w:vAlign w:val="center"/>
          </w:tcPr>
          <w:p w14:paraId="19A25B2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风机盘管初阻力要求：≥50Pa</w:t>
            </w:r>
          </w:p>
        </w:tc>
      </w:tr>
      <w:tr w14:paraId="5BAB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775" w:type="dxa"/>
            <w:tcBorders>
              <w:left w:val="double" w:color="auto" w:sz="4" w:space="0"/>
            </w:tcBorders>
            <w:noWrap w:val="0"/>
            <w:vAlign w:val="center"/>
          </w:tcPr>
          <w:p w14:paraId="0A34448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5508D5D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初效过滤网清洗提示功能，清洗滤网或检修时,有自动断电安全装置。</w:t>
            </w:r>
          </w:p>
        </w:tc>
      </w:tr>
      <w:tr w14:paraId="6543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jc w:val="center"/>
        </w:trPr>
        <w:tc>
          <w:tcPr>
            <w:tcW w:w="775" w:type="dxa"/>
            <w:tcBorders>
              <w:left w:val="double" w:color="auto" w:sz="4" w:space="0"/>
            </w:tcBorders>
            <w:noWrap w:val="0"/>
            <w:vAlign w:val="center"/>
          </w:tcPr>
          <w:p w14:paraId="5864E63B">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7478" w:type="dxa"/>
            <w:noWrap w:val="0"/>
            <w:vAlign w:val="center"/>
          </w:tcPr>
          <w:p w14:paraId="1D83B5C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空气消毒器和风机出现故障时能自动报警提示并有自动关机功能,同时不能影响空调系统的使用。</w:t>
            </w:r>
          </w:p>
        </w:tc>
      </w:tr>
      <w:tr w14:paraId="3C77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775" w:type="dxa"/>
            <w:tcBorders>
              <w:left w:val="double" w:color="auto" w:sz="4" w:space="0"/>
            </w:tcBorders>
            <w:noWrap w:val="0"/>
            <w:vAlign w:val="center"/>
          </w:tcPr>
          <w:p w14:paraId="2E6BCAE7">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7478" w:type="dxa"/>
            <w:noWrap w:val="0"/>
            <w:vAlign w:val="center"/>
          </w:tcPr>
          <w:p w14:paraId="7794E6C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通过遥控器操作，每天有多个可随意设置的工作时段，自动开、关机，循环运行且掉电记忆。工作时间累计记忆功能。</w:t>
            </w:r>
          </w:p>
        </w:tc>
      </w:tr>
      <w:tr w14:paraId="5A2D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75" w:type="dxa"/>
            <w:tcBorders>
              <w:left w:val="double" w:color="auto" w:sz="4" w:space="0"/>
            </w:tcBorders>
            <w:noWrap w:val="0"/>
            <w:vAlign w:val="center"/>
          </w:tcPr>
          <w:p w14:paraId="4B97D5F0">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7478" w:type="dxa"/>
            <w:noWrap w:val="0"/>
            <w:vAlign w:val="center"/>
          </w:tcPr>
          <w:p w14:paraId="1B35B8F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当室内空气质量污染超标时，有自动开机净化、消毒功能。</w:t>
            </w:r>
          </w:p>
        </w:tc>
      </w:tr>
      <w:tr w14:paraId="7AA6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75" w:type="dxa"/>
            <w:tcBorders>
              <w:left w:val="double" w:color="auto" w:sz="4" w:space="0"/>
            </w:tcBorders>
            <w:noWrap w:val="0"/>
            <w:vAlign w:val="center"/>
          </w:tcPr>
          <w:p w14:paraId="6DC9B801">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748783A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0BA6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775" w:type="dxa"/>
            <w:tcBorders>
              <w:left w:val="double" w:color="auto" w:sz="4" w:space="0"/>
            </w:tcBorders>
            <w:noWrap w:val="0"/>
            <w:vAlign w:val="center"/>
          </w:tcPr>
          <w:p w14:paraId="70058007">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5F0CE5E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等离子体反应器使用寿命≥30000小时（投标文件中提供具有CMA或CNAS标志的第三方检测报告复印件加盖公章）</w:t>
            </w:r>
          </w:p>
        </w:tc>
      </w:tr>
      <w:tr w14:paraId="3841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exact"/>
          <w:jc w:val="center"/>
        </w:trPr>
        <w:tc>
          <w:tcPr>
            <w:tcW w:w="775" w:type="dxa"/>
            <w:tcBorders>
              <w:left w:val="double" w:color="auto" w:sz="4" w:space="0"/>
            </w:tcBorders>
            <w:noWrap w:val="0"/>
            <w:vAlign w:val="center"/>
          </w:tcPr>
          <w:p w14:paraId="2140282E">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5FA7C75E">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319AE799">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60C35817">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38B4DCD0">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67A9450B">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667CF30C">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05F2479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3E69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840D2DE">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w:t>
            </w:r>
          </w:p>
        </w:tc>
        <w:tc>
          <w:tcPr>
            <w:tcW w:w="7478" w:type="dxa"/>
            <w:noWrap w:val="0"/>
            <w:vAlign w:val="center"/>
          </w:tcPr>
          <w:p w14:paraId="4137DFD4">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风机盘管式等离子体空气消毒器      5台</w:t>
            </w:r>
          </w:p>
        </w:tc>
      </w:tr>
      <w:tr w14:paraId="03F8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C0F26C9">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6FA6A23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 220V/50Hz，绝缘等级：B级</w:t>
            </w:r>
          </w:p>
        </w:tc>
      </w:tr>
      <w:tr w14:paraId="3823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3743486">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764DEDD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工作功率：在净化消毒800m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/h风量时等离子体反应器最大能耗≤6W/h</w:t>
            </w:r>
          </w:p>
        </w:tc>
      </w:tr>
      <w:tr w14:paraId="3418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793266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19DF4CD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7125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3E2FB5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3015F90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3370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775" w:type="dxa"/>
            <w:tcBorders>
              <w:left w:val="double" w:color="auto" w:sz="4" w:space="0"/>
            </w:tcBorders>
            <w:noWrap w:val="0"/>
            <w:vAlign w:val="center"/>
          </w:tcPr>
          <w:p w14:paraId="1143B09A">
            <w:pPr>
              <w:snapToGrid w:val="0"/>
              <w:spacing w:line="36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478" w:type="dxa"/>
            <w:noWrap w:val="0"/>
            <w:vAlign w:val="center"/>
          </w:tcPr>
          <w:p w14:paraId="3A19DCA1">
            <w:pPr>
              <w:pStyle w:val="58"/>
              <w:keepNext w:val="0"/>
              <w:keepLines w:val="0"/>
              <w:widowControl/>
              <w:suppressLineNumbers w:val="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417F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DC2B2F0">
            <w:pPr>
              <w:snapToGrid w:val="0"/>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7478" w:type="dxa"/>
            <w:noWrap w:val="0"/>
            <w:vAlign w:val="center"/>
          </w:tcPr>
          <w:p w14:paraId="40BA974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净化消毒方式： 循环风</w:t>
            </w:r>
          </w:p>
        </w:tc>
      </w:tr>
      <w:tr w14:paraId="3543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1D570E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8" w:type="dxa"/>
            <w:noWrap w:val="0"/>
            <w:vAlign w:val="center"/>
          </w:tcPr>
          <w:p w14:paraId="5F02E900">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净化消毒风量：≥800m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 xml:space="preserve">/h  </w:t>
            </w:r>
          </w:p>
        </w:tc>
      </w:tr>
      <w:tr w14:paraId="0593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DB102FF">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478" w:type="dxa"/>
            <w:noWrap w:val="0"/>
            <w:vAlign w:val="center"/>
          </w:tcPr>
          <w:p w14:paraId="7E476E8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适用体积：≥80m</w:t>
            </w:r>
            <w:r>
              <w:rPr>
                <w:rFonts w:hint="eastAsia" w:ascii="仿宋" w:hAnsi="仿宋" w:eastAsia="仿宋" w:cs="仿宋"/>
                <w:color w:val="auto"/>
                <w:sz w:val="21"/>
                <w:szCs w:val="21"/>
                <w:highlight w:val="none"/>
                <w:vertAlign w:val="superscript"/>
              </w:rPr>
              <w:t>3</w:t>
            </w:r>
          </w:p>
        </w:tc>
      </w:tr>
      <w:tr w14:paraId="08E4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exact"/>
          <w:jc w:val="center"/>
        </w:trPr>
        <w:tc>
          <w:tcPr>
            <w:tcW w:w="775" w:type="dxa"/>
            <w:tcBorders>
              <w:left w:val="double" w:color="auto" w:sz="4" w:space="0"/>
            </w:tcBorders>
            <w:noWrap w:val="0"/>
            <w:vAlign w:val="center"/>
          </w:tcPr>
          <w:p w14:paraId="7F25E31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409EDF7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0BB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jc w:val="center"/>
        </w:trPr>
        <w:tc>
          <w:tcPr>
            <w:tcW w:w="775" w:type="dxa"/>
            <w:tcBorders>
              <w:left w:val="double" w:color="auto" w:sz="4" w:space="0"/>
            </w:tcBorders>
            <w:noWrap w:val="0"/>
            <w:vAlign w:val="center"/>
          </w:tcPr>
          <w:p w14:paraId="082216C7">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7249568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净化指标：符合《国家室内空气质量标准》苯去除率：≥95%、甲苯去除率：≥95%、二甲苯去除率：≥95%、甲醛去除率：≥80%（投标文件中提供CMA或CNAS标志的第三方检测报告复印件加盖公章）</w:t>
            </w:r>
          </w:p>
        </w:tc>
      </w:tr>
      <w:tr w14:paraId="6244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exact"/>
          <w:jc w:val="center"/>
        </w:trPr>
        <w:tc>
          <w:tcPr>
            <w:tcW w:w="775" w:type="dxa"/>
            <w:tcBorders>
              <w:left w:val="double" w:color="auto" w:sz="4" w:space="0"/>
            </w:tcBorders>
            <w:noWrap w:val="0"/>
            <w:vAlign w:val="center"/>
          </w:tcPr>
          <w:p w14:paraId="5C6BFB49">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3B1A807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电气安全性应符合WS/T 648—2019《空气消毒机通用卫生要求》：6.1.6  应符合GB 9706.1《医用电气设备 第1部分：安全通用要求》的要求。</w:t>
            </w:r>
            <w:r>
              <w:rPr>
                <w:rFonts w:hint="eastAsia" w:ascii="仿宋" w:hAnsi="仿宋" w:eastAsia="仿宋" w:cs="仿宋"/>
                <w:bCs/>
                <w:color w:val="auto"/>
                <w:sz w:val="21"/>
                <w:szCs w:val="21"/>
                <w:highlight w:val="none"/>
              </w:rPr>
              <w:t>（投标文件中须提供</w:t>
            </w:r>
            <w:r>
              <w:rPr>
                <w:rFonts w:hint="eastAsia" w:ascii="仿宋" w:hAnsi="仿宋" w:eastAsia="仿宋" w:cs="仿宋"/>
                <w:color w:val="auto"/>
                <w:sz w:val="21"/>
                <w:szCs w:val="21"/>
                <w:highlight w:val="none"/>
              </w:rPr>
              <w:t>CMA或CNAS标志的第三方检测报告</w:t>
            </w:r>
            <w:r>
              <w:rPr>
                <w:rFonts w:hint="eastAsia" w:ascii="仿宋" w:hAnsi="仿宋" w:eastAsia="仿宋" w:cs="仿宋"/>
                <w:bCs/>
                <w:color w:val="auto"/>
                <w:sz w:val="21"/>
                <w:szCs w:val="21"/>
                <w:highlight w:val="none"/>
              </w:rPr>
              <w:t>复印件加盖公章）</w:t>
            </w:r>
          </w:p>
        </w:tc>
      </w:tr>
      <w:tr w14:paraId="2122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exact"/>
          <w:jc w:val="center"/>
        </w:trPr>
        <w:tc>
          <w:tcPr>
            <w:tcW w:w="775" w:type="dxa"/>
            <w:tcBorders>
              <w:left w:val="double" w:color="auto" w:sz="4" w:space="0"/>
            </w:tcBorders>
            <w:noWrap w:val="0"/>
            <w:vAlign w:val="center"/>
          </w:tcPr>
          <w:p w14:paraId="4DE1E3C9">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7478" w:type="dxa"/>
            <w:noWrap w:val="0"/>
            <w:vAlign w:val="center"/>
          </w:tcPr>
          <w:p w14:paraId="47EE8D1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2476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4C30C65">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7478" w:type="dxa"/>
            <w:noWrap w:val="0"/>
            <w:vAlign w:val="center"/>
          </w:tcPr>
          <w:p w14:paraId="36AE4B8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风阻力：在1000m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/h时，风阻≤5pa</w:t>
            </w:r>
          </w:p>
        </w:tc>
      </w:tr>
      <w:tr w14:paraId="1152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exact"/>
          <w:jc w:val="center"/>
        </w:trPr>
        <w:tc>
          <w:tcPr>
            <w:tcW w:w="775" w:type="dxa"/>
            <w:tcBorders>
              <w:left w:val="double" w:color="auto" w:sz="4" w:space="0"/>
            </w:tcBorders>
            <w:noWrap w:val="0"/>
            <w:vAlign w:val="center"/>
          </w:tcPr>
          <w:p w14:paraId="3096299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53C297D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控制方式：空气消毒器与空调室内机联动控制工作的空调要求：空调室内机必须满足能与空气消毒器双向联动控制工作。预留消毒器接线端口。1、当空调在制冷、制热、送风等模式时，消毒器需联动工作，空调系统应默认此状态为正常模式；2、当空调待机状态时，消毒器联动空调室内机电机工作。当有消毒需要时空调室内机电机与消毒器联动工作，空调系统默认此状态为正常模式。（投标文件中提供证明材料）</w:t>
            </w:r>
          </w:p>
        </w:tc>
      </w:tr>
      <w:tr w14:paraId="69A4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A79E999">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7478" w:type="dxa"/>
            <w:noWrap w:val="0"/>
            <w:vAlign w:val="center"/>
          </w:tcPr>
          <w:p w14:paraId="77937EF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初效过滤网清洗提示功能，清洗滤网或检修时,有自动断电安全装置。</w:t>
            </w:r>
          </w:p>
        </w:tc>
      </w:tr>
      <w:tr w14:paraId="276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jc w:val="center"/>
        </w:trPr>
        <w:tc>
          <w:tcPr>
            <w:tcW w:w="775" w:type="dxa"/>
            <w:tcBorders>
              <w:left w:val="double" w:color="auto" w:sz="4" w:space="0"/>
            </w:tcBorders>
            <w:noWrap w:val="0"/>
            <w:vAlign w:val="center"/>
          </w:tcPr>
          <w:p w14:paraId="2B1B1136">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7478" w:type="dxa"/>
            <w:noWrap w:val="0"/>
            <w:vAlign w:val="center"/>
          </w:tcPr>
          <w:p w14:paraId="528C8C8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净化消毒器和风机出现故障时能自动报警提示并有自动关机功能，同时不能影响空调系统的使用。</w:t>
            </w:r>
          </w:p>
        </w:tc>
      </w:tr>
      <w:tr w14:paraId="484E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775" w:type="dxa"/>
            <w:tcBorders>
              <w:left w:val="double" w:color="auto" w:sz="4" w:space="0"/>
            </w:tcBorders>
            <w:noWrap w:val="0"/>
            <w:vAlign w:val="center"/>
          </w:tcPr>
          <w:p w14:paraId="42F5144A">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7478" w:type="dxa"/>
            <w:noWrap w:val="0"/>
            <w:vAlign w:val="center"/>
          </w:tcPr>
          <w:p w14:paraId="7CE32C5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通过遥控器操作，每天有多个可随意设置的工作时段，自动开、关机，循环运行且掉电记忆。工作时间累计记忆功能。</w:t>
            </w:r>
          </w:p>
        </w:tc>
      </w:tr>
      <w:tr w14:paraId="7DB6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8D81E11">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7DFDC80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当室内空气质量污染超标时，有自动开机净化、消毒功能。</w:t>
            </w:r>
          </w:p>
        </w:tc>
      </w:tr>
      <w:tr w14:paraId="2D62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491183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01A6515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风机盘管式空气净化消毒器必须安装在风机盘管回风口。</w:t>
            </w:r>
          </w:p>
        </w:tc>
      </w:tr>
      <w:tr w14:paraId="285D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675DBA9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4785892F">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772F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2232328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36F2BA1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等离子体反应器使用寿命≥30000小时（投标文件中提供CMA或CNAS标志的第三方检测报告复印件加盖公章）</w:t>
            </w:r>
          </w:p>
        </w:tc>
      </w:tr>
      <w:tr w14:paraId="216B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exact"/>
          <w:jc w:val="center"/>
        </w:trPr>
        <w:tc>
          <w:tcPr>
            <w:tcW w:w="775" w:type="dxa"/>
            <w:tcBorders>
              <w:left w:val="double" w:color="auto" w:sz="4" w:space="0"/>
            </w:tcBorders>
            <w:noWrap w:val="0"/>
            <w:vAlign w:val="center"/>
          </w:tcPr>
          <w:p w14:paraId="58003C5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41E19BFF">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6FBF0EA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1B390B2E">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1C21D71B">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745758FD">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5E977C7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63C8F5C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7C8D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DF9450F">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w:t>
            </w:r>
          </w:p>
        </w:tc>
        <w:tc>
          <w:tcPr>
            <w:tcW w:w="7478" w:type="dxa"/>
            <w:noWrap w:val="0"/>
            <w:vAlign w:val="center"/>
          </w:tcPr>
          <w:p w14:paraId="4E127308">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吸顶式等离子体空气消毒器         5台</w:t>
            </w:r>
          </w:p>
        </w:tc>
      </w:tr>
      <w:tr w14:paraId="0A00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56A3A1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232E4D5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电源：～220V±10%，50Hz</w:t>
            </w:r>
          </w:p>
        </w:tc>
      </w:tr>
      <w:tr w14:paraId="644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CAAB07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3DC3D606">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额定功率：≤80W</w:t>
            </w:r>
          </w:p>
        </w:tc>
      </w:tr>
      <w:tr w14:paraId="5684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CBD6203">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01D0510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5EE2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D3EA09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56A68F0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循环风量：≥800m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w:t>
            </w:r>
          </w:p>
        </w:tc>
      </w:tr>
      <w:tr w14:paraId="71BB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9F67082">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478" w:type="dxa"/>
            <w:noWrap w:val="0"/>
            <w:vAlign w:val="center"/>
          </w:tcPr>
          <w:p w14:paraId="0E01C3F0">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适用体积：≥80m</w:t>
            </w:r>
            <w:r>
              <w:rPr>
                <w:rFonts w:hint="eastAsia" w:ascii="仿宋" w:hAnsi="仿宋" w:eastAsia="仿宋" w:cs="仿宋"/>
                <w:color w:val="auto"/>
                <w:sz w:val="21"/>
                <w:szCs w:val="21"/>
                <w:highlight w:val="none"/>
                <w:vertAlign w:val="superscript"/>
              </w:rPr>
              <w:t>3</w:t>
            </w:r>
          </w:p>
        </w:tc>
      </w:tr>
      <w:tr w14:paraId="5933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124C9B5">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7478" w:type="dxa"/>
            <w:noWrap w:val="0"/>
            <w:vAlign w:val="center"/>
          </w:tcPr>
          <w:p w14:paraId="1F33B93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适用于600×600mm吊顶天花板</w:t>
            </w:r>
          </w:p>
        </w:tc>
      </w:tr>
      <w:tr w14:paraId="26D5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3F4D6A7">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7478" w:type="dxa"/>
            <w:noWrap w:val="0"/>
            <w:vAlign w:val="center"/>
          </w:tcPr>
          <w:p w14:paraId="4AD4DD1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6503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691E372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8</w:t>
            </w:r>
          </w:p>
        </w:tc>
        <w:tc>
          <w:tcPr>
            <w:tcW w:w="7478" w:type="dxa"/>
            <w:noWrap w:val="0"/>
            <w:vAlign w:val="center"/>
          </w:tcPr>
          <w:p w14:paraId="4134A3ED">
            <w:pPr>
              <w:pStyle w:val="58"/>
              <w:keepNext w:val="0"/>
              <w:keepLines w:val="0"/>
              <w:widowControl/>
              <w:suppressLineNumbers w:val="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5B13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775" w:type="dxa"/>
            <w:tcBorders>
              <w:left w:val="double" w:color="auto" w:sz="4" w:space="0"/>
            </w:tcBorders>
            <w:noWrap w:val="0"/>
            <w:vAlign w:val="center"/>
          </w:tcPr>
          <w:p w14:paraId="627A7176">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1CCB09F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2A1F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775" w:type="dxa"/>
            <w:tcBorders>
              <w:left w:val="double" w:color="auto" w:sz="4" w:space="0"/>
            </w:tcBorders>
            <w:noWrap w:val="0"/>
            <w:vAlign w:val="center"/>
          </w:tcPr>
          <w:p w14:paraId="2EC01B9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23D90F0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PM2.5去除率：≥95% （投标文件中提供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A3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7754F545">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6582CA4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空气消毒器持续工作8小时后的甲醛去除率≥90%（投标文件中提供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2E2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exact"/>
          <w:jc w:val="center"/>
        </w:trPr>
        <w:tc>
          <w:tcPr>
            <w:tcW w:w="775" w:type="dxa"/>
            <w:tcBorders>
              <w:left w:val="double" w:color="auto" w:sz="4" w:space="0"/>
            </w:tcBorders>
            <w:noWrap w:val="0"/>
            <w:vAlign w:val="center"/>
          </w:tcPr>
          <w:p w14:paraId="51AF03E9">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464CD46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电气安全性应符合WS/T 648—2019《空气消毒机通用卫生要求》：6.1.6  应符合GB 9706.1《医用电气设备 第1部分：安全通用要求》的要求。（投标文件中须提供专业机构的检测报告复印件加盖公章）</w:t>
            </w:r>
          </w:p>
        </w:tc>
      </w:tr>
      <w:tr w14:paraId="2C5C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jc w:val="center"/>
        </w:trPr>
        <w:tc>
          <w:tcPr>
            <w:tcW w:w="775" w:type="dxa"/>
            <w:tcBorders>
              <w:left w:val="double" w:color="auto" w:sz="4" w:space="0"/>
            </w:tcBorders>
            <w:noWrap w:val="0"/>
            <w:vAlign w:val="center"/>
          </w:tcPr>
          <w:p w14:paraId="6CB47E6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7478" w:type="dxa"/>
            <w:noWrap w:val="0"/>
            <w:vAlign w:val="center"/>
          </w:tcPr>
          <w:p w14:paraId="4DE5D1C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693E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7559C75">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1C88BB0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噪声：≤55dB（A）</w:t>
            </w:r>
          </w:p>
        </w:tc>
      </w:tr>
      <w:tr w14:paraId="3BC5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40D3847">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7478" w:type="dxa"/>
            <w:noWrap w:val="0"/>
            <w:vAlign w:val="center"/>
          </w:tcPr>
          <w:p w14:paraId="3E2D313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w:t>
            </w:r>
          </w:p>
        </w:tc>
      </w:tr>
      <w:tr w14:paraId="7BE1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2FA049B">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7478" w:type="dxa"/>
            <w:noWrap w:val="0"/>
            <w:vAlign w:val="center"/>
          </w:tcPr>
          <w:p w14:paraId="3BD9D68D">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等离子体反应器故障自动报警并停机</w:t>
            </w:r>
          </w:p>
        </w:tc>
      </w:tr>
      <w:tr w14:paraId="2349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B7EA0B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7478" w:type="dxa"/>
            <w:noWrap w:val="0"/>
            <w:vAlign w:val="center"/>
          </w:tcPr>
          <w:p w14:paraId="47299404">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空气污染自动检测超标时启动净化消毒</w:t>
            </w:r>
          </w:p>
        </w:tc>
      </w:tr>
      <w:tr w14:paraId="43FB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775" w:type="dxa"/>
            <w:tcBorders>
              <w:left w:val="double" w:color="auto" w:sz="4" w:space="0"/>
            </w:tcBorders>
            <w:noWrap w:val="0"/>
            <w:vAlign w:val="center"/>
          </w:tcPr>
          <w:p w14:paraId="0B2E5E35">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172ECC8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通过遥控器操作，每天有三个以上工作时段，自动开、关机，并可随意设置，循环运行且掉电记忆。工作时间累计记忆功能。</w:t>
            </w:r>
          </w:p>
        </w:tc>
      </w:tr>
      <w:tr w14:paraId="4097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75" w:type="dxa"/>
            <w:tcBorders>
              <w:left w:val="double" w:color="auto" w:sz="4" w:space="0"/>
            </w:tcBorders>
            <w:noWrap w:val="0"/>
            <w:vAlign w:val="center"/>
          </w:tcPr>
          <w:p w14:paraId="4FDF4EBB">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5B22601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23AC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jc w:val="center"/>
        </w:trPr>
        <w:tc>
          <w:tcPr>
            <w:tcW w:w="775" w:type="dxa"/>
            <w:tcBorders>
              <w:left w:val="double" w:color="auto" w:sz="4" w:space="0"/>
            </w:tcBorders>
            <w:noWrap w:val="0"/>
            <w:vAlign w:val="center"/>
          </w:tcPr>
          <w:p w14:paraId="7A5B8DEE">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6050F5D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797B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9" w:hRule="exact"/>
          <w:jc w:val="center"/>
        </w:trPr>
        <w:tc>
          <w:tcPr>
            <w:tcW w:w="775" w:type="dxa"/>
            <w:tcBorders>
              <w:left w:val="double" w:color="auto" w:sz="4" w:space="0"/>
            </w:tcBorders>
            <w:noWrap w:val="0"/>
            <w:vAlign w:val="center"/>
          </w:tcPr>
          <w:p w14:paraId="4A53D83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214638A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1919343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67583B65">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02C4ACF8">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0B5713FC">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60C1A5AA">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5166FE1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4C90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FEC038F">
            <w:pPr>
              <w:snapToGrid w:val="0"/>
              <w:spacing w:line="32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四</w:t>
            </w:r>
          </w:p>
        </w:tc>
        <w:tc>
          <w:tcPr>
            <w:tcW w:w="7478" w:type="dxa"/>
            <w:noWrap w:val="0"/>
            <w:vAlign w:val="center"/>
          </w:tcPr>
          <w:p w14:paraId="5423221D">
            <w:pPr>
              <w:spacing w:line="320" w:lineRule="exact"/>
              <w:rPr>
                <w:rFonts w:hint="eastAsia" w:ascii="仿宋" w:hAnsi="仿宋" w:eastAsia="仿宋" w:cs="仿宋"/>
                <w:b/>
                <w:bCs/>
                <w:color w:val="auto"/>
                <w:sz w:val="21"/>
                <w:szCs w:val="21"/>
                <w:highlight w:val="none"/>
              </w:rPr>
            </w:pPr>
            <w:r>
              <w:rPr>
                <w:rFonts w:hint="eastAsia" w:ascii="仿宋" w:hAnsi="仿宋" w:eastAsia="仿宋" w:cs="仿宋"/>
                <w:b/>
                <w:bCs/>
                <w:color w:val="auto"/>
                <w:szCs w:val="21"/>
                <w:highlight w:val="none"/>
              </w:rPr>
              <w:t>备案要求</w:t>
            </w:r>
            <w:r>
              <w:rPr>
                <w:rFonts w:hint="eastAsia" w:ascii="仿宋" w:hAnsi="仿宋" w:eastAsia="仿宋" w:cs="仿宋"/>
                <w:b/>
                <w:bCs/>
                <w:color w:val="auto"/>
                <w:sz w:val="21"/>
                <w:szCs w:val="21"/>
                <w:highlight w:val="none"/>
              </w:rPr>
              <w:t>：</w:t>
            </w:r>
          </w:p>
        </w:tc>
      </w:tr>
      <w:tr w14:paraId="3BE6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5" w:type="dxa"/>
            <w:tcBorders>
              <w:left w:val="double" w:color="auto" w:sz="4" w:space="0"/>
            </w:tcBorders>
            <w:noWrap w:val="0"/>
            <w:vAlign w:val="center"/>
          </w:tcPr>
          <w:p w14:paraId="16E47C96">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00214A3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投标的产品必须有经全国消毒产品网上备案的消毒产品卫生安全评价报告。</w:t>
            </w:r>
          </w:p>
        </w:tc>
      </w:tr>
    </w:tbl>
    <w:p w14:paraId="364201A7">
      <w:pPr>
        <w:spacing w:line="360" w:lineRule="exact"/>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lang w:eastAsia="zh-CN"/>
        </w:rPr>
        <w:t>备注：电源线路由供应商自行负责安装及包</w:t>
      </w:r>
      <w:r>
        <w:rPr>
          <w:rFonts w:hint="eastAsia" w:ascii="仿宋" w:hAnsi="仿宋" w:eastAsia="仿宋" w:cs="仿宋"/>
          <w:b/>
          <w:bCs/>
          <w:color w:val="auto"/>
          <w:kern w:val="0"/>
          <w:sz w:val="21"/>
          <w:szCs w:val="21"/>
          <w:highlight w:val="none"/>
          <w:lang w:val="en-US" w:eastAsia="zh-CN"/>
        </w:rPr>
        <w:t>函</w:t>
      </w:r>
      <w:r>
        <w:rPr>
          <w:rFonts w:hint="eastAsia" w:ascii="仿宋" w:hAnsi="仿宋" w:eastAsia="仿宋" w:cs="仿宋"/>
          <w:b/>
          <w:bCs/>
          <w:color w:val="auto"/>
          <w:kern w:val="0"/>
          <w:sz w:val="21"/>
          <w:szCs w:val="21"/>
          <w:highlight w:val="none"/>
          <w:lang w:eastAsia="zh-CN"/>
        </w:rPr>
        <w:t>所需材料，</w:t>
      </w:r>
      <w:r>
        <w:rPr>
          <w:rFonts w:hint="eastAsia" w:ascii="仿宋" w:hAnsi="仿宋" w:eastAsia="仿宋" w:cs="仿宋"/>
          <w:b/>
          <w:bCs/>
          <w:color w:val="auto"/>
          <w:kern w:val="0"/>
          <w:sz w:val="21"/>
          <w:szCs w:val="21"/>
          <w:highlight w:val="none"/>
          <w:lang w:val="en-US" w:eastAsia="zh-CN"/>
        </w:rPr>
        <w:t>安装时遇到和暖通室内机冲突的各类问题，无条件配合整改，请在报价中综合考虑</w:t>
      </w:r>
      <w:r>
        <w:rPr>
          <w:rFonts w:hint="eastAsia" w:ascii="仿宋" w:hAnsi="仿宋" w:eastAsia="仿宋" w:cs="仿宋"/>
          <w:b/>
          <w:bCs/>
          <w:color w:val="auto"/>
          <w:kern w:val="0"/>
          <w:sz w:val="21"/>
          <w:szCs w:val="21"/>
          <w:highlight w:val="none"/>
          <w:lang w:eastAsia="zh-CN"/>
        </w:rPr>
        <w:t>。</w:t>
      </w:r>
    </w:p>
    <w:p w14:paraId="004E79DE">
      <w:pPr>
        <w:numPr>
          <w:ilvl w:val="0"/>
          <w:numId w:val="0"/>
        </w:numPr>
        <w:snapToGrid w:val="0"/>
        <w:spacing w:line="360" w:lineRule="auto"/>
        <w:ind w:right="609" w:rightChars="290"/>
        <w:jc w:val="both"/>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四、</w:t>
      </w:r>
      <w:r>
        <w:rPr>
          <w:rFonts w:hint="eastAsia" w:ascii="仿宋" w:hAnsi="仿宋" w:eastAsia="仿宋" w:cs="仿宋"/>
          <w:b/>
          <w:bCs/>
          <w:color w:val="000000"/>
          <w:sz w:val="28"/>
          <w:szCs w:val="28"/>
          <w:highlight w:val="none"/>
        </w:rPr>
        <w:t>商务要求</w:t>
      </w:r>
    </w:p>
    <w:p w14:paraId="41EBC726">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sz w:val="24"/>
          <w:szCs w:val="24"/>
          <w:highlight w:val="none"/>
        </w:rPr>
        <w:t>▲</w:t>
      </w:r>
      <w:r>
        <w:rPr>
          <w:rFonts w:hint="eastAsia" w:ascii="仿宋" w:hAnsi="仿宋" w:eastAsia="仿宋" w:cs="仿宋"/>
          <w:b w:val="0"/>
          <w:bCs w:val="0"/>
          <w:color w:val="000000"/>
          <w:sz w:val="24"/>
          <w:szCs w:val="24"/>
          <w:highlight w:val="none"/>
          <w:lang w:val="en-US" w:eastAsia="zh-CN"/>
        </w:rPr>
        <w:t>1.</w:t>
      </w:r>
      <w:r>
        <w:rPr>
          <w:rFonts w:hint="eastAsia" w:ascii="仿宋" w:hAnsi="仿宋" w:eastAsia="仿宋" w:cs="仿宋"/>
          <w:b w:val="0"/>
          <w:bCs w:val="0"/>
          <w:color w:val="000000"/>
          <w:kern w:val="0"/>
          <w:sz w:val="24"/>
          <w:szCs w:val="24"/>
          <w:highlight w:val="none"/>
        </w:rPr>
        <w:t>供货期</w:t>
      </w:r>
    </w:p>
    <w:p w14:paraId="60BD4FB4">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1.1交货期：接采购人书面交货通知后1个月内到货。</w:t>
      </w:r>
    </w:p>
    <w:p w14:paraId="633D2C76">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1.2安装工期：无条件配合精装修施工单位及总承包单位的总进度要求。</w:t>
      </w:r>
    </w:p>
    <w:p w14:paraId="2BC74568">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1.3调试周期：安装完毕后</w:t>
      </w:r>
      <w:r>
        <w:rPr>
          <w:rFonts w:hint="eastAsia" w:ascii="仿宋" w:hAnsi="仿宋" w:eastAsia="仿宋" w:cs="仿宋"/>
          <w:b w:val="0"/>
          <w:bCs w:val="0"/>
          <w:color w:val="000000"/>
          <w:sz w:val="24"/>
          <w:szCs w:val="24"/>
          <w:highlight w:val="none"/>
          <w:lang w:val="en-US" w:eastAsia="zh-CN"/>
        </w:rPr>
        <w:t>15天</w:t>
      </w:r>
      <w:r>
        <w:rPr>
          <w:rFonts w:hint="eastAsia" w:ascii="仿宋" w:hAnsi="仿宋" w:eastAsia="仿宋" w:cs="仿宋"/>
          <w:b w:val="0"/>
          <w:bCs w:val="0"/>
          <w:color w:val="000000"/>
          <w:sz w:val="24"/>
          <w:szCs w:val="24"/>
          <w:highlight w:val="none"/>
        </w:rPr>
        <w:t>内．确保202</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年</w:t>
      </w:r>
      <w:r>
        <w:rPr>
          <w:rFonts w:hint="eastAsia" w:ascii="仿宋" w:hAnsi="仿宋" w:eastAsia="仿宋" w:cs="仿宋"/>
          <w:b w:val="0"/>
          <w:bCs w:val="0"/>
          <w:color w:val="000000"/>
          <w:sz w:val="24"/>
          <w:szCs w:val="24"/>
          <w:highlight w:val="none"/>
          <w:lang w:val="en-US" w:eastAsia="zh-CN"/>
        </w:rPr>
        <w:t>8</w:t>
      </w:r>
      <w:r>
        <w:rPr>
          <w:rFonts w:hint="eastAsia" w:ascii="仿宋" w:hAnsi="仿宋" w:eastAsia="仿宋" w:cs="仿宋"/>
          <w:b w:val="0"/>
          <w:bCs w:val="0"/>
          <w:color w:val="000000"/>
          <w:sz w:val="24"/>
          <w:szCs w:val="24"/>
          <w:highlight w:val="none"/>
        </w:rPr>
        <w:t>月</w:t>
      </w:r>
      <w:r>
        <w:rPr>
          <w:rFonts w:hint="eastAsia" w:ascii="仿宋" w:hAnsi="仿宋" w:eastAsia="仿宋" w:cs="仿宋"/>
          <w:b w:val="0"/>
          <w:bCs w:val="0"/>
          <w:color w:val="000000"/>
          <w:sz w:val="24"/>
          <w:szCs w:val="24"/>
          <w:highlight w:val="none"/>
          <w:lang w:val="en-US" w:eastAsia="zh-CN"/>
        </w:rPr>
        <w:t>31日</w:t>
      </w:r>
      <w:r>
        <w:rPr>
          <w:rFonts w:hint="eastAsia" w:ascii="仿宋" w:hAnsi="仿宋" w:eastAsia="仿宋" w:cs="仿宋"/>
          <w:b w:val="0"/>
          <w:bCs w:val="0"/>
          <w:color w:val="000000"/>
          <w:sz w:val="24"/>
          <w:szCs w:val="24"/>
          <w:highlight w:val="none"/>
        </w:rPr>
        <w:t>调试完成。</w:t>
      </w:r>
    </w:p>
    <w:p w14:paraId="3FB7CCD2">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2</w:t>
      </w:r>
      <w:r>
        <w:rPr>
          <w:rFonts w:hint="eastAsia" w:ascii="仿宋" w:hAnsi="仿宋" w:eastAsia="仿宋" w:cs="仿宋"/>
          <w:b w:val="0"/>
          <w:bCs w:val="0"/>
          <w:color w:val="000000"/>
          <w:kern w:val="0"/>
          <w:sz w:val="24"/>
          <w:szCs w:val="24"/>
          <w:highlight w:val="none"/>
          <w:lang w:eastAsia="zh-CN"/>
        </w:rPr>
        <w:t>.</w:t>
      </w:r>
      <w:r>
        <w:rPr>
          <w:rFonts w:hint="eastAsia" w:ascii="仿宋" w:hAnsi="仿宋" w:eastAsia="仿宋" w:cs="仿宋"/>
          <w:b w:val="0"/>
          <w:bCs w:val="0"/>
          <w:color w:val="000000"/>
          <w:kern w:val="0"/>
          <w:sz w:val="24"/>
          <w:szCs w:val="24"/>
          <w:highlight w:val="none"/>
        </w:rPr>
        <w:t>供货地点</w:t>
      </w:r>
    </w:p>
    <w:p w14:paraId="7BA396F5">
      <w:pPr>
        <w:widowControl/>
        <w:snapToGrid w:val="0"/>
        <w:spacing w:line="360" w:lineRule="auto"/>
        <w:ind w:right="829" w:rightChars="395"/>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eastAsia="zh-CN"/>
        </w:rPr>
        <w:t>绍兴文理学院附属医院二期</w:t>
      </w:r>
      <w:r>
        <w:rPr>
          <w:rFonts w:hint="eastAsia" w:ascii="仿宋" w:hAnsi="仿宋" w:eastAsia="仿宋" w:cs="仿宋"/>
          <w:b w:val="0"/>
          <w:bCs w:val="0"/>
          <w:color w:val="000000"/>
          <w:sz w:val="24"/>
          <w:szCs w:val="24"/>
          <w:highlight w:val="none"/>
          <w:lang w:val="en-US" w:eastAsia="zh-CN"/>
        </w:rPr>
        <w:tab/>
      </w:r>
      <w:r>
        <w:rPr>
          <w:rFonts w:hint="eastAsia" w:ascii="仿宋" w:hAnsi="仿宋" w:eastAsia="仿宋" w:cs="仿宋"/>
          <w:b w:val="0"/>
          <w:bCs w:val="0"/>
          <w:color w:val="000000"/>
          <w:sz w:val="24"/>
          <w:szCs w:val="24"/>
          <w:highlight w:val="none"/>
          <w:lang w:val="en-US" w:eastAsia="zh-CN"/>
        </w:rPr>
        <w:t>Ｂ地块</w:t>
      </w:r>
    </w:p>
    <w:p w14:paraId="1D3BD56D">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质保期</w:t>
      </w:r>
    </w:p>
    <w:p w14:paraId="12133845">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本次采购质保期自验收合格之日起</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年。（具体以投标文件为主）</w:t>
      </w:r>
    </w:p>
    <w:p w14:paraId="14A3FBC0">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售后服务</w:t>
      </w:r>
    </w:p>
    <w:p w14:paraId="7119BB6C">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中标人需提供专门的售后服务电话，中标人在接到采购人通知后，2小时内做出响应，12小时内派人赴现场处理问题。24小时内无法修复的，中标人需无偿提供备机或备用零件供采购人使用。</w:t>
      </w:r>
    </w:p>
    <w:p w14:paraId="1AEC540E">
      <w:pPr>
        <w:widowControl/>
        <w:snapToGrid w:val="0"/>
        <w:spacing w:line="360" w:lineRule="auto"/>
        <w:ind w:right="829" w:rightChars="395"/>
        <w:jc w:val="left"/>
        <w:rPr>
          <w:rFonts w:hint="eastAsia" w:ascii="仿宋" w:hAnsi="仿宋" w:eastAsia="仿宋" w:cs="仿宋"/>
          <w:b w:val="0"/>
          <w:bCs w:val="0"/>
          <w:color w:val="00000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技术培</w:t>
      </w:r>
      <w:r>
        <w:rPr>
          <w:rFonts w:hint="eastAsia" w:ascii="仿宋" w:hAnsi="仿宋" w:eastAsia="仿宋" w:cs="仿宋"/>
          <w:b w:val="0"/>
          <w:bCs w:val="0"/>
          <w:sz w:val="24"/>
          <w:szCs w:val="24"/>
          <w:highlight w:val="none"/>
          <w:lang w:eastAsia="zh-CN"/>
        </w:rPr>
        <w:t>　　　　　　　　　　　　　　　　　　　　　　　　　　　　　　　　</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color w:val="000000"/>
          <w:sz w:val="24"/>
          <w:szCs w:val="24"/>
          <w:highlight w:val="none"/>
        </w:rPr>
        <w:t>.1培训内：</w:t>
      </w:r>
      <w:r>
        <w:rPr>
          <w:rFonts w:hint="eastAsia" w:ascii="仿宋" w:hAnsi="仿宋" w:eastAsia="仿宋" w:cs="仿宋"/>
          <w:b w:val="0"/>
          <w:bCs w:val="0"/>
          <w:color w:val="000000"/>
          <w:sz w:val="24"/>
          <w:szCs w:val="24"/>
          <w:highlight w:val="none"/>
          <w:lang w:eastAsia="zh-CN"/>
        </w:rPr>
        <w:t>　　　　　　　　　　　　　　　　　　　　　　　　　　　　　　　　　　　　　　　　</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.1.1技术人员管理、指导安装培训；</w:t>
      </w:r>
    </w:p>
    <w:p w14:paraId="5A6A0720">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1.2维修人员维护、保养培训。</w:t>
      </w:r>
    </w:p>
    <w:p w14:paraId="1CC9B342">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.2技术人员管理、指导安装培训：中标人应为招标人受训人员（5名）提供培训，培训前应提供中文操作手册，经过培训，使受训人员能够了解设备结构、工作原理、工作性能，主要掌握设备指导安装的相关技术。</w:t>
      </w:r>
    </w:p>
    <w:p w14:paraId="114C293B">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.3维修人员维护、保养培训：中标人应为招标人受训人员（5名）提供培训，进行实际操作培训、一般故障排除培训和一般维护维修培训。现场培训一切费用由中标人负责。</w:t>
      </w:r>
    </w:p>
    <w:p w14:paraId="02E44F04">
      <w:pPr>
        <w:keepNext w:val="0"/>
        <w:keepLines w:val="0"/>
        <w:pageBreakBefore w:val="0"/>
        <w:numPr>
          <w:ilvl w:val="0"/>
          <w:numId w:val="0"/>
        </w:numPr>
        <w:wordWrap/>
        <w:overflowPunct/>
        <w:topLinePunct w:val="0"/>
        <w:bidi w:val="0"/>
        <w:spacing w:line="360" w:lineRule="auto"/>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付款方式</w:t>
      </w:r>
    </w:p>
    <w:p w14:paraId="775DDE8C">
      <w:pPr>
        <w:keepNext w:val="0"/>
        <w:keepLines w:val="0"/>
        <w:pageBreakBefore w:val="0"/>
        <w:numPr>
          <w:ilvl w:val="0"/>
          <w:numId w:val="0"/>
        </w:numPr>
        <w:wordWrap/>
        <w:overflowPunct/>
        <w:topLinePunct w:val="0"/>
        <w:bidi w:val="0"/>
        <w:spacing w:line="360" w:lineRule="auto"/>
        <w:jc w:val="left"/>
        <w:textAlignment w:val="auto"/>
        <w:rPr>
          <w:rFonts w:hint="eastAsia" w:ascii="仿宋" w:hAnsi="仿宋" w:eastAsia="仿宋" w:cs="仿宋"/>
          <w:b w:val="0"/>
          <w:bCs w:val="0"/>
          <w:sz w:val="24"/>
          <w:szCs w:val="24"/>
          <w:highlight w:val="none"/>
        </w:rPr>
      </w:pPr>
      <w:r>
        <w:rPr>
          <w:rFonts w:hint="eastAsia" w:ascii="仿宋" w:hAnsi="仿宋" w:eastAsia="仿宋" w:cs="仿宋"/>
          <w:bCs/>
          <w:color w:val="auto"/>
          <w:sz w:val="24"/>
          <w:szCs w:val="24"/>
          <w:highlight w:val="none"/>
          <w:lang w:eastAsia="zh-CN"/>
        </w:rPr>
        <w:t>　　</w:t>
      </w: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5BC9CF46">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数量调整</w:t>
      </w:r>
    </w:p>
    <w:p w14:paraId="007E1A1B">
      <w:pPr>
        <w:widowControl/>
        <w:snapToGrid w:val="0"/>
        <w:spacing w:line="360" w:lineRule="auto"/>
        <w:ind w:right="829" w:rightChars="395" w:firstLine="47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w:t>
      </w:r>
      <w:r>
        <w:rPr>
          <w:rFonts w:hint="eastAsia" w:ascii="仿宋" w:hAnsi="仿宋" w:eastAsia="仿宋" w:cs="仿宋"/>
          <w:b w:val="0"/>
          <w:bCs w:val="0"/>
          <w:color w:val="000000"/>
          <w:sz w:val="24"/>
          <w:szCs w:val="24"/>
          <w:highlight w:val="none"/>
          <w:lang w:eastAsia="zh-CN"/>
        </w:rPr>
        <w:t>。</w:t>
      </w:r>
    </w:p>
    <w:p w14:paraId="651EAE58">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lang w:val="en-US" w:eastAsia="zh-CN"/>
        </w:rPr>
        <w:t>8.</w:t>
      </w:r>
      <w:r>
        <w:rPr>
          <w:rFonts w:hint="eastAsia" w:ascii="仿宋" w:hAnsi="仿宋" w:eastAsia="仿宋" w:cs="仿宋"/>
          <w:b w:val="0"/>
          <w:bCs w:val="0"/>
          <w:color w:val="000000"/>
          <w:kern w:val="0"/>
          <w:sz w:val="24"/>
          <w:szCs w:val="24"/>
          <w:highlight w:val="none"/>
        </w:rPr>
        <w:t>验收要求、标准</w:t>
      </w:r>
    </w:p>
    <w:p w14:paraId="4ABB422A">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8.1验收以采购文件和技术文件、投标文件、合同及安装技术要求为依据。</w:t>
      </w:r>
    </w:p>
    <w:p w14:paraId="1D3D38D7">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8.2 供货安装完成后，承包人应该向发包人提交申请验收报告，并且提供主要货物的出厂合格证书（或报告）、检测报告等完整的技术档案资料，若承包人未能按照上述要求履行的，导致无法及时验收的，则须由承包人承担一切责任。</w:t>
      </w:r>
    </w:p>
    <w:p w14:paraId="5753276B">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8.3 验收必须符合国家、地方有关规范、标准及设计要求。</w:t>
      </w:r>
    </w:p>
    <w:p w14:paraId="1BE095F6">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8.4 符合验收条件的，由发包人组织有关部门按照国家、地方有关规范、标准及设计要求进行验收。验收后承包人应按照验收中提出的意见整改。</w:t>
      </w:r>
    </w:p>
    <w:p w14:paraId="5D2A823D">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8.5 整改完毕且复验合格后将本项目货物交给发包人使用，完成日期以通过复验日期为准。</w:t>
      </w:r>
    </w:p>
    <w:p w14:paraId="1315FA68">
      <w:pPr>
        <w:widowControl/>
        <w:snapToGrid w:val="0"/>
        <w:spacing w:line="360" w:lineRule="auto"/>
        <w:ind w:right="829" w:rightChars="395" w:firstLine="47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8.6发包人在承包人送货、安装、调试后对货物服务进行检查验收，如果发现数量不足或有质量、技术等题，承包人应负责根据合同及发包人的要求采取补足或更换等处理措施，并承担由此发生的一切损失和费用。验收合格后，发包人在验收单上签字并加盖单位公章。</w:t>
      </w:r>
      <w:r>
        <w:rPr>
          <w:rFonts w:hint="eastAsia" w:ascii="仿宋" w:hAnsi="仿宋" w:eastAsia="仿宋" w:cs="仿宋"/>
          <w:b w:val="0"/>
          <w:bCs w:val="0"/>
          <w:color w:val="000000"/>
          <w:sz w:val="24"/>
          <w:szCs w:val="24"/>
          <w:highlight w:val="none"/>
          <w:lang w:eastAsia="zh-CN"/>
        </w:rPr>
        <w:t>　</w:t>
      </w:r>
    </w:p>
    <w:p w14:paraId="15D545E7">
      <w:pPr>
        <w:pStyle w:val="33"/>
        <w:rPr>
          <w:rFonts w:hint="eastAsia" w:ascii="仿宋" w:hAnsi="仿宋" w:eastAsia="仿宋" w:cs="仿宋"/>
          <w:b/>
          <w:color w:val="auto"/>
          <w:sz w:val="36"/>
          <w:szCs w:val="36"/>
          <w:highlight w:val="none"/>
        </w:rPr>
      </w:pPr>
    </w:p>
    <w:p w14:paraId="1F7FA44B">
      <w:pPr>
        <w:spacing w:line="360" w:lineRule="auto"/>
        <w:jc w:val="center"/>
        <w:outlineLvl w:val="0"/>
        <w:rPr>
          <w:rFonts w:hint="eastAsia" w:ascii="仿宋" w:hAnsi="仿宋" w:eastAsia="仿宋" w:cs="仿宋"/>
          <w:b/>
          <w:color w:val="auto"/>
          <w:sz w:val="36"/>
          <w:szCs w:val="36"/>
          <w:highlight w:val="none"/>
        </w:rPr>
      </w:pPr>
    </w:p>
    <w:p w14:paraId="75B0190E">
      <w:pPr>
        <w:spacing w:line="360" w:lineRule="auto"/>
        <w:jc w:val="center"/>
        <w:outlineLvl w:val="0"/>
        <w:rPr>
          <w:rFonts w:hint="eastAsia" w:ascii="仿宋" w:hAnsi="仿宋" w:eastAsia="仿宋" w:cs="仿宋"/>
          <w:b/>
          <w:color w:val="auto"/>
          <w:sz w:val="36"/>
          <w:szCs w:val="36"/>
          <w:highlight w:val="none"/>
        </w:rPr>
      </w:pPr>
    </w:p>
    <w:p w14:paraId="29421A07">
      <w:pPr>
        <w:spacing w:line="360" w:lineRule="auto"/>
        <w:jc w:val="center"/>
        <w:outlineLvl w:val="0"/>
        <w:rPr>
          <w:rFonts w:hint="eastAsia" w:ascii="仿宋" w:hAnsi="仿宋" w:eastAsia="仿宋" w:cs="仿宋"/>
          <w:b/>
          <w:color w:val="auto"/>
          <w:sz w:val="36"/>
          <w:szCs w:val="36"/>
          <w:highlight w:val="none"/>
        </w:rPr>
      </w:pPr>
    </w:p>
    <w:p w14:paraId="1C01225E">
      <w:pPr>
        <w:spacing w:line="360" w:lineRule="auto"/>
        <w:jc w:val="center"/>
        <w:outlineLvl w:val="0"/>
        <w:rPr>
          <w:rFonts w:hint="eastAsia" w:ascii="仿宋" w:hAnsi="仿宋" w:eastAsia="仿宋" w:cs="仿宋"/>
          <w:b/>
          <w:color w:val="auto"/>
          <w:sz w:val="36"/>
          <w:szCs w:val="36"/>
          <w:highlight w:val="none"/>
        </w:rPr>
      </w:pPr>
    </w:p>
    <w:p w14:paraId="71BDF528">
      <w:pPr>
        <w:spacing w:line="360" w:lineRule="auto"/>
        <w:jc w:val="center"/>
        <w:outlineLvl w:val="0"/>
        <w:rPr>
          <w:rFonts w:hint="eastAsia" w:ascii="仿宋" w:hAnsi="仿宋" w:eastAsia="仿宋" w:cs="仿宋"/>
          <w:b/>
          <w:color w:val="auto"/>
          <w:sz w:val="36"/>
          <w:szCs w:val="36"/>
          <w:highlight w:val="none"/>
        </w:rPr>
      </w:pPr>
    </w:p>
    <w:p w14:paraId="45AC1A08">
      <w:pPr>
        <w:spacing w:line="360" w:lineRule="auto"/>
        <w:jc w:val="center"/>
        <w:outlineLvl w:val="0"/>
        <w:rPr>
          <w:rFonts w:hint="eastAsia" w:ascii="仿宋" w:hAnsi="仿宋" w:eastAsia="仿宋" w:cs="仿宋"/>
          <w:b/>
          <w:color w:val="auto"/>
          <w:sz w:val="36"/>
          <w:szCs w:val="36"/>
          <w:highlight w:val="none"/>
        </w:rPr>
      </w:pPr>
    </w:p>
    <w:p w14:paraId="19674FD3">
      <w:pPr>
        <w:spacing w:line="360" w:lineRule="auto"/>
        <w:jc w:val="center"/>
        <w:outlineLvl w:val="0"/>
        <w:rPr>
          <w:rFonts w:hint="eastAsia" w:ascii="仿宋" w:hAnsi="仿宋" w:eastAsia="仿宋" w:cs="仿宋"/>
          <w:b/>
          <w:color w:val="auto"/>
          <w:sz w:val="36"/>
          <w:szCs w:val="36"/>
          <w:highlight w:val="none"/>
        </w:rPr>
      </w:pPr>
    </w:p>
    <w:p w14:paraId="76E1D37A">
      <w:pPr>
        <w:spacing w:line="360" w:lineRule="auto"/>
        <w:jc w:val="center"/>
        <w:outlineLvl w:val="0"/>
        <w:rPr>
          <w:rFonts w:hint="eastAsia" w:ascii="仿宋" w:hAnsi="仿宋" w:eastAsia="仿宋" w:cs="仿宋"/>
          <w:b/>
          <w:color w:val="auto"/>
          <w:sz w:val="36"/>
          <w:szCs w:val="36"/>
          <w:highlight w:val="none"/>
        </w:rPr>
      </w:pPr>
    </w:p>
    <w:p w14:paraId="345CD850">
      <w:pPr>
        <w:spacing w:line="360" w:lineRule="auto"/>
        <w:jc w:val="center"/>
        <w:outlineLvl w:val="0"/>
        <w:rPr>
          <w:rFonts w:hint="eastAsia" w:ascii="仿宋" w:hAnsi="仿宋" w:eastAsia="仿宋" w:cs="仿宋"/>
          <w:b/>
          <w:color w:val="auto"/>
          <w:sz w:val="36"/>
          <w:szCs w:val="36"/>
          <w:highlight w:val="none"/>
        </w:rPr>
      </w:pPr>
    </w:p>
    <w:p w14:paraId="2AA1BD1C">
      <w:pPr>
        <w:spacing w:line="360" w:lineRule="auto"/>
        <w:jc w:val="center"/>
        <w:outlineLvl w:val="0"/>
        <w:rPr>
          <w:rFonts w:hint="eastAsia" w:ascii="仿宋" w:hAnsi="仿宋" w:eastAsia="仿宋" w:cs="仿宋"/>
          <w:b/>
          <w:color w:val="auto"/>
          <w:sz w:val="36"/>
          <w:szCs w:val="36"/>
          <w:highlight w:val="none"/>
        </w:rPr>
      </w:pPr>
    </w:p>
    <w:p w14:paraId="28657C55">
      <w:pPr>
        <w:spacing w:line="360" w:lineRule="auto"/>
        <w:jc w:val="center"/>
        <w:outlineLvl w:val="0"/>
        <w:rPr>
          <w:rFonts w:hint="eastAsia" w:ascii="仿宋" w:hAnsi="仿宋" w:eastAsia="仿宋" w:cs="仿宋"/>
          <w:b/>
          <w:color w:val="auto"/>
          <w:sz w:val="36"/>
          <w:szCs w:val="36"/>
          <w:highlight w:val="none"/>
        </w:rPr>
      </w:pPr>
    </w:p>
    <w:p w14:paraId="3F5202AC">
      <w:pPr>
        <w:spacing w:line="360" w:lineRule="auto"/>
        <w:jc w:val="center"/>
        <w:outlineLvl w:val="0"/>
        <w:rPr>
          <w:rFonts w:hint="eastAsia" w:ascii="仿宋" w:hAnsi="仿宋" w:eastAsia="仿宋" w:cs="仿宋"/>
          <w:b/>
          <w:color w:val="auto"/>
          <w:sz w:val="36"/>
          <w:szCs w:val="36"/>
          <w:highlight w:val="none"/>
        </w:rPr>
      </w:pPr>
    </w:p>
    <w:p w14:paraId="0E1F7DA1">
      <w:pPr>
        <w:spacing w:line="360" w:lineRule="auto"/>
        <w:jc w:val="center"/>
        <w:outlineLvl w:val="0"/>
        <w:rPr>
          <w:rFonts w:hint="eastAsia" w:ascii="仿宋" w:hAnsi="仿宋" w:eastAsia="仿宋" w:cs="仿宋"/>
          <w:b/>
          <w:color w:val="auto"/>
          <w:sz w:val="36"/>
          <w:szCs w:val="36"/>
          <w:highlight w:val="none"/>
        </w:rPr>
      </w:pPr>
    </w:p>
    <w:p w14:paraId="5B23E626">
      <w:pPr>
        <w:spacing w:line="360" w:lineRule="auto"/>
        <w:jc w:val="center"/>
        <w:outlineLvl w:val="0"/>
        <w:rPr>
          <w:rFonts w:hint="eastAsia" w:ascii="仿宋" w:hAnsi="仿宋" w:eastAsia="仿宋" w:cs="仿宋"/>
          <w:b/>
          <w:color w:val="auto"/>
          <w:sz w:val="36"/>
          <w:szCs w:val="36"/>
          <w:highlight w:val="none"/>
        </w:rPr>
      </w:pPr>
    </w:p>
    <w:p w14:paraId="1003BBF1">
      <w:pPr>
        <w:spacing w:line="360" w:lineRule="auto"/>
        <w:jc w:val="center"/>
        <w:outlineLvl w:val="0"/>
        <w:rPr>
          <w:rFonts w:hint="eastAsia" w:ascii="仿宋" w:hAnsi="仿宋" w:eastAsia="仿宋" w:cs="仿宋"/>
          <w:b/>
          <w:color w:val="auto"/>
          <w:sz w:val="36"/>
          <w:szCs w:val="36"/>
          <w:highlight w:val="none"/>
        </w:rPr>
      </w:pPr>
    </w:p>
    <w:p w14:paraId="7E496E07">
      <w:pPr>
        <w:spacing w:line="360" w:lineRule="auto"/>
        <w:jc w:val="center"/>
        <w:outlineLvl w:val="0"/>
        <w:rPr>
          <w:rFonts w:hint="eastAsia" w:ascii="仿宋" w:hAnsi="仿宋" w:eastAsia="仿宋" w:cs="仿宋"/>
          <w:b/>
          <w:color w:val="auto"/>
          <w:sz w:val="36"/>
          <w:szCs w:val="36"/>
          <w:highlight w:val="none"/>
        </w:rPr>
      </w:pPr>
    </w:p>
    <w:p w14:paraId="6AAAC24E">
      <w:pPr>
        <w:spacing w:line="360" w:lineRule="auto"/>
        <w:jc w:val="center"/>
        <w:outlineLvl w:val="0"/>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2" w:name="_Toc2232"/>
      <w:bookmarkStart w:id="43" w:name="_Toc3029"/>
      <w:bookmarkStart w:id="44" w:name="_Toc24059"/>
      <w:r>
        <w:rPr>
          <w:rFonts w:hint="eastAsia" w:ascii="仿宋" w:hAnsi="仿宋" w:eastAsia="仿宋" w:cs="仿宋"/>
          <w:b/>
          <w:color w:val="auto"/>
          <w:sz w:val="24"/>
          <w:highlight w:val="none"/>
        </w:rPr>
        <w:t>1.1 合同组成部分</w:t>
      </w:r>
      <w:bookmarkEnd w:id="42"/>
      <w:bookmarkEnd w:id="43"/>
      <w:bookmarkEnd w:id="44"/>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5" w:name="_Toc24300"/>
      <w:bookmarkStart w:id="46" w:name="_Toc21295"/>
      <w:bookmarkStart w:id="47" w:name="_Toc27126"/>
      <w:r>
        <w:rPr>
          <w:rFonts w:hint="eastAsia" w:ascii="仿宋" w:hAnsi="仿宋" w:eastAsia="仿宋" w:cs="仿宋"/>
          <w:b/>
          <w:color w:val="auto"/>
          <w:sz w:val="24"/>
          <w:highlight w:val="none"/>
        </w:rPr>
        <w:t>1.2 货物</w:t>
      </w:r>
      <w:bookmarkEnd w:id="45"/>
      <w:bookmarkEnd w:id="46"/>
      <w:bookmarkEnd w:id="47"/>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48" w:name="_Toc23292"/>
      <w:bookmarkStart w:id="49" w:name="_Toc21551"/>
      <w:bookmarkStart w:id="50" w:name="_Toc21631"/>
      <w:r>
        <w:rPr>
          <w:rFonts w:hint="eastAsia" w:ascii="仿宋" w:hAnsi="仿宋" w:eastAsia="仿宋" w:cs="仿宋"/>
          <w:b/>
          <w:color w:val="auto"/>
          <w:sz w:val="24"/>
          <w:highlight w:val="none"/>
        </w:rPr>
        <w:t>1.3 价款</w:t>
      </w:r>
      <w:bookmarkEnd w:id="48"/>
      <w:bookmarkEnd w:id="49"/>
      <w:bookmarkEnd w:id="50"/>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1" w:name="_Toc1814"/>
      <w:bookmarkStart w:id="52" w:name="_Toc22618"/>
      <w:bookmarkStart w:id="53" w:name="_Toc10340"/>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1"/>
      <w:bookmarkEnd w:id="52"/>
      <w:bookmarkEnd w:id="53"/>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4" w:name="_Toc2846"/>
      <w:bookmarkStart w:id="55" w:name="_Toc32071"/>
      <w:bookmarkStart w:id="56" w:name="_Toc19304"/>
      <w:r>
        <w:rPr>
          <w:rFonts w:hint="eastAsia" w:ascii="仿宋" w:hAnsi="仿宋" w:eastAsia="仿宋" w:cs="仿宋"/>
          <w:b/>
          <w:color w:val="auto"/>
          <w:sz w:val="24"/>
          <w:highlight w:val="none"/>
        </w:rPr>
        <w:t>1.7货物交付期限、地点和方式</w:t>
      </w:r>
      <w:bookmarkEnd w:id="54"/>
      <w:bookmarkEnd w:id="55"/>
      <w:bookmarkEnd w:id="56"/>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7" w:name="_Toc21423"/>
      <w:bookmarkStart w:id="58" w:name="_Toc19554"/>
      <w:bookmarkStart w:id="59" w:name="_Toc27250"/>
      <w:r>
        <w:rPr>
          <w:rFonts w:hint="eastAsia" w:ascii="仿宋" w:hAnsi="仿宋" w:eastAsia="仿宋" w:cs="仿宋"/>
          <w:b/>
          <w:color w:val="auto"/>
          <w:sz w:val="24"/>
          <w:highlight w:val="none"/>
        </w:rPr>
        <w:t>1.8违约责任</w:t>
      </w:r>
      <w:bookmarkEnd w:id="57"/>
      <w:bookmarkEnd w:id="58"/>
      <w:bookmarkEnd w:id="59"/>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0" w:name="_Toc15583"/>
      <w:bookmarkStart w:id="61" w:name="_Toc16021"/>
      <w:bookmarkStart w:id="62" w:name="_Toc28375"/>
      <w:r>
        <w:rPr>
          <w:rFonts w:hint="eastAsia" w:ascii="仿宋" w:hAnsi="仿宋" w:eastAsia="仿宋" w:cs="仿宋"/>
          <w:b/>
          <w:color w:val="auto"/>
          <w:sz w:val="24"/>
          <w:highlight w:val="none"/>
        </w:rPr>
        <w:t>1.9合同争议的解决</w:t>
      </w:r>
      <w:bookmarkEnd w:id="60"/>
      <w:bookmarkEnd w:id="61"/>
      <w:bookmarkEnd w:id="62"/>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3" w:name="_Toc7245"/>
      <w:bookmarkStart w:id="64" w:name="_Toc11173"/>
      <w:bookmarkStart w:id="65" w:name="_Toc15322"/>
      <w:r>
        <w:rPr>
          <w:rFonts w:hint="eastAsia" w:ascii="仿宋" w:hAnsi="仿宋" w:eastAsia="仿宋" w:cs="仿宋"/>
          <w:b/>
          <w:color w:val="auto"/>
          <w:sz w:val="24"/>
          <w:highlight w:val="none"/>
        </w:rPr>
        <w:t>2.0 合同生效</w:t>
      </w:r>
      <w:bookmarkEnd w:id="63"/>
      <w:bookmarkEnd w:id="64"/>
      <w:bookmarkEnd w:id="65"/>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6" w:name="_Toc487900349"/>
      <w:bookmarkStart w:id="67" w:name="_Ref467379109"/>
      <w:bookmarkStart w:id="68" w:name="_Ref467379225"/>
      <w:bookmarkStart w:id="69" w:name="_Toc19614"/>
      <w:bookmarkStart w:id="70" w:name="_Ref467379195"/>
      <w:bookmarkStart w:id="71" w:name="_Ref467378499"/>
      <w:bookmarkStart w:id="72" w:name="_Ref467378463"/>
      <w:bookmarkStart w:id="73" w:name="_Toc16917"/>
      <w:bookmarkStart w:id="74" w:name="_Ref467378404"/>
      <w:bookmarkStart w:id="75" w:name="_Ref467379205"/>
      <w:bookmarkStart w:id="76" w:name="_Ref467379101"/>
      <w:bookmarkStart w:id="77" w:name="_Toc259093669"/>
      <w:bookmarkStart w:id="78" w:name="_Ref467379094"/>
      <w:bookmarkStart w:id="79" w:name="_Ref467379214"/>
      <w:bookmarkStart w:id="80" w:name="_Toc279701240"/>
      <w:bookmarkStart w:id="81" w:name="_Toc28763"/>
      <w:r>
        <w:rPr>
          <w:rFonts w:hint="eastAsia" w:ascii="仿宋" w:hAnsi="仿宋" w:eastAsia="仿宋" w:cs="仿宋"/>
          <w:b/>
          <w:color w:val="auto"/>
          <w:sz w:val="24"/>
          <w:highlight w:val="none"/>
        </w:rPr>
        <w:t>2.1 定义</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2" w:name="_Ref467378840"/>
      <w:r>
        <w:rPr>
          <w:rFonts w:hint="eastAsia" w:ascii="仿宋" w:hAnsi="仿宋" w:eastAsia="仿宋" w:cs="仿宋"/>
          <w:color w:val="auto"/>
          <w:sz w:val="24"/>
          <w:highlight w:val="none"/>
        </w:rPr>
        <w:t>2.1.4 “甲方”系指与中标或成交供应商签署合同的采购人</w:t>
      </w:r>
      <w:bookmarkEnd w:id="82"/>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3" w:name="_Ref467379400"/>
      <w:r>
        <w:rPr>
          <w:rFonts w:hint="eastAsia" w:ascii="仿宋" w:hAnsi="仿宋" w:eastAsia="仿宋" w:cs="仿宋"/>
          <w:color w:val="auto"/>
          <w:sz w:val="24"/>
          <w:highlight w:val="none"/>
        </w:rPr>
        <w:t>2.1.5 “乙方”系指根据合同约定交付货物的中标或成交供应商</w:t>
      </w:r>
      <w:bookmarkEnd w:id="8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4" w:name="_Ref467379436"/>
      <w:r>
        <w:rPr>
          <w:rFonts w:hint="eastAsia" w:ascii="仿宋" w:hAnsi="仿宋" w:eastAsia="仿宋" w:cs="仿宋"/>
          <w:color w:val="auto"/>
          <w:sz w:val="24"/>
          <w:highlight w:val="none"/>
        </w:rPr>
        <w:t>2.1.6 “现场”系指合同约定货物将要运至或者安装的地点。</w:t>
      </w:r>
      <w:bookmarkEnd w:id="84"/>
    </w:p>
    <w:p w14:paraId="5826C397">
      <w:pPr>
        <w:spacing w:line="560" w:lineRule="exact"/>
        <w:ind w:firstLine="482" w:firstLineChars="200"/>
        <w:outlineLvl w:val="0"/>
        <w:rPr>
          <w:rFonts w:hint="eastAsia" w:ascii="仿宋" w:hAnsi="仿宋" w:eastAsia="仿宋" w:cs="仿宋"/>
          <w:b/>
          <w:color w:val="auto"/>
          <w:sz w:val="24"/>
          <w:highlight w:val="none"/>
        </w:rPr>
      </w:pPr>
      <w:bookmarkStart w:id="85" w:name="_Toc13336"/>
      <w:bookmarkStart w:id="86" w:name="_Toc487900350"/>
      <w:bookmarkStart w:id="87" w:name="_Toc32504"/>
      <w:bookmarkStart w:id="88" w:name="_Toc27635"/>
      <w:bookmarkStart w:id="89" w:name="_Toc259093670"/>
      <w:bookmarkStart w:id="90" w:name="_Toc279701241"/>
      <w:r>
        <w:rPr>
          <w:rFonts w:hint="eastAsia" w:ascii="仿宋" w:hAnsi="仿宋" w:eastAsia="仿宋" w:cs="仿宋"/>
          <w:b/>
          <w:color w:val="auto"/>
          <w:sz w:val="24"/>
          <w:highlight w:val="none"/>
        </w:rPr>
        <w:t>2.2 技术规范</w:t>
      </w:r>
      <w:bookmarkEnd w:id="85"/>
      <w:bookmarkEnd w:id="86"/>
      <w:bookmarkEnd w:id="87"/>
      <w:bookmarkEnd w:id="88"/>
      <w:bookmarkEnd w:id="89"/>
      <w:bookmarkEnd w:id="90"/>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1" w:name="_Toc9829"/>
      <w:bookmarkStart w:id="92" w:name="_Toc487900351"/>
      <w:bookmarkStart w:id="93" w:name="_Toc259093671"/>
      <w:bookmarkStart w:id="94" w:name="_Toc279701242"/>
      <w:bookmarkStart w:id="95" w:name="_Toc27853"/>
      <w:bookmarkStart w:id="96" w:name="_Toc31634"/>
      <w:r>
        <w:rPr>
          <w:rFonts w:hint="eastAsia" w:ascii="仿宋" w:hAnsi="仿宋" w:eastAsia="仿宋" w:cs="仿宋"/>
          <w:b/>
          <w:color w:val="auto"/>
          <w:sz w:val="24"/>
          <w:highlight w:val="none"/>
        </w:rPr>
        <w:t>2.3 知识产权</w:t>
      </w:r>
      <w:bookmarkEnd w:id="91"/>
      <w:bookmarkEnd w:id="92"/>
      <w:bookmarkEnd w:id="93"/>
      <w:bookmarkEnd w:id="94"/>
      <w:bookmarkEnd w:id="95"/>
      <w:bookmarkEnd w:id="96"/>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7" w:name="_Toc11932"/>
      <w:bookmarkStart w:id="98" w:name="_Toc29149"/>
      <w:bookmarkStart w:id="99" w:name="_Toc4194"/>
      <w:r>
        <w:rPr>
          <w:rFonts w:hint="eastAsia" w:ascii="仿宋" w:hAnsi="仿宋" w:eastAsia="仿宋" w:cs="仿宋"/>
          <w:b/>
          <w:color w:val="auto"/>
          <w:sz w:val="24"/>
          <w:highlight w:val="none"/>
        </w:rPr>
        <w:t>2.4 包装和装运</w:t>
      </w:r>
      <w:bookmarkEnd w:id="97"/>
      <w:bookmarkEnd w:id="98"/>
      <w:bookmarkEnd w:id="99"/>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0" w:name="_Ref467379527"/>
      <w:bookmarkStart w:id="101" w:name="_Ref467378541"/>
      <w:bookmarkStart w:id="102" w:name="_Toc279701245"/>
      <w:bookmarkStart w:id="103" w:name="_Toc487900354"/>
      <w:bookmarkStart w:id="104" w:name="_Ref467378591"/>
      <w:bookmarkStart w:id="105" w:name="_Toc259093674"/>
      <w:bookmarkStart w:id="106" w:name="_Ref467379542"/>
      <w:bookmarkStart w:id="107" w:name="_Ref467379536"/>
      <w:bookmarkStart w:id="108" w:name="_Toc26182"/>
      <w:bookmarkStart w:id="109" w:name="_Toc30272"/>
      <w:bookmarkStart w:id="110" w:name="_Toc19074"/>
      <w:r>
        <w:rPr>
          <w:rFonts w:hint="eastAsia" w:ascii="仿宋" w:hAnsi="仿宋" w:eastAsia="仿宋" w:cs="仿宋"/>
          <w:b/>
          <w:color w:val="auto"/>
          <w:sz w:val="24"/>
          <w:highlight w:val="none"/>
        </w:rPr>
        <w:t>2.</w:t>
      </w:r>
      <w:bookmarkEnd w:id="100"/>
      <w:bookmarkEnd w:id="101"/>
      <w:bookmarkEnd w:id="102"/>
      <w:bookmarkEnd w:id="103"/>
      <w:bookmarkEnd w:id="104"/>
      <w:bookmarkEnd w:id="105"/>
      <w:bookmarkEnd w:id="106"/>
      <w:bookmarkEnd w:id="107"/>
      <w:r>
        <w:rPr>
          <w:rFonts w:hint="eastAsia" w:ascii="仿宋" w:hAnsi="仿宋" w:eastAsia="仿宋" w:cs="仿宋"/>
          <w:b/>
          <w:color w:val="auto"/>
          <w:sz w:val="24"/>
          <w:highlight w:val="none"/>
        </w:rPr>
        <w:t>5 履约检查和问题反馈</w:t>
      </w:r>
      <w:bookmarkEnd w:id="108"/>
      <w:bookmarkEnd w:id="109"/>
      <w:bookmarkEnd w:id="110"/>
    </w:p>
    <w:p w14:paraId="7EB68CB4">
      <w:pPr>
        <w:spacing w:line="560" w:lineRule="exact"/>
        <w:ind w:firstLine="480" w:firstLineChars="200"/>
        <w:rPr>
          <w:rFonts w:hint="eastAsia" w:ascii="仿宋" w:hAnsi="仿宋" w:eastAsia="仿宋" w:cs="仿宋"/>
          <w:color w:val="auto"/>
          <w:sz w:val="24"/>
          <w:highlight w:val="none"/>
        </w:rPr>
      </w:pPr>
      <w:bookmarkStart w:id="111" w:name="_Ref467379657"/>
      <w:r>
        <w:rPr>
          <w:rFonts w:hint="eastAsia" w:ascii="仿宋" w:hAnsi="仿宋" w:eastAsia="仿宋" w:cs="仿宋"/>
          <w:color w:val="auto"/>
          <w:sz w:val="24"/>
          <w:highlight w:val="none"/>
        </w:rPr>
        <w:t>2.5.1</w:t>
      </w:r>
      <w:bookmarkEnd w:id="111"/>
      <w:bookmarkStart w:id="112" w:name="_Toc186431854"/>
      <w:bookmarkStart w:id="113" w:name="_Toc279701247"/>
      <w:bookmarkStart w:id="114" w:name="_Toc487900357"/>
      <w:bookmarkStart w:id="115" w:name="_Ref467379793"/>
      <w:bookmarkStart w:id="116" w:name="_Ref467379807"/>
      <w:bookmarkStart w:id="11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2"/>
      <w:bookmarkStart w:id="118" w:name="_Toc186431855"/>
      <w:r>
        <w:rPr>
          <w:rFonts w:hint="eastAsia" w:ascii="仿宋" w:hAnsi="仿宋" w:eastAsia="仿宋" w:cs="仿宋"/>
          <w:color w:val="auto"/>
          <w:sz w:val="24"/>
          <w:highlight w:val="none"/>
        </w:rPr>
        <w:t>。</w:t>
      </w:r>
    </w:p>
    <w:bookmarkEnd w:id="113"/>
    <w:bookmarkEnd w:id="114"/>
    <w:bookmarkEnd w:id="115"/>
    <w:bookmarkEnd w:id="116"/>
    <w:bookmarkEnd w:id="117"/>
    <w:bookmarkEnd w:id="118"/>
    <w:p w14:paraId="6571CCE0">
      <w:pPr>
        <w:spacing w:line="560" w:lineRule="exact"/>
        <w:ind w:firstLine="482" w:firstLineChars="200"/>
        <w:outlineLvl w:val="0"/>
        <w:rPr>
          <w:rFonts w:hint="eastAsia" w:ascii="仿宋" w:hAnsi="仿宋" w:eastAsia="仿宋" w:cs="仿宋"/>
          <w:b/>
          <w:color w:val="auto"/>
          <w:sz w:val="24"/>
          <w:highlight w:val="none"/>
        </w:rPr>
      </w:pPr>
      <w:bookmarkStart w:id="119" w:name="_Ref467379923"/>
      <w:bookmarkStart w:id="120" w:name="_Toc487900358"/>
      <w:bookmarkStart w:id="121" w:name="_Ref467379852"/>
      <w:bookmarkStart w:id="122" w:name="_Toc279701248"/>
      <w:bookmarkStart w:id="123" w:name="_Toc259093677"/>
      <w:bookmarkStart w:id="124" w:name="_Ref467379863"/>
      <w:bookmarkStart w:id="125" w:name="_Toc16110"/>
      <w:bookmarkStart w:id="126" w:name="_Toc3225"/>
      <w:bookmarkStart w:id="127" w:name="_Toc774"/>
      <w:r>
        <w:rPr>
          <w:rFonts w:hint="eastAsia" w:ascii="仿宋" w:hAnsi="仿宋" w:eastAsia="仿宋" w:cs="仿宋"/>
          <w:b/>
          <w:color w:val="auto"/>
          <w:sz w:val="24"/>
          <w:highlight w:val="none"/>
        </w:rPr>
        <w:t>2.6 技术资料</w:t>
      </w:r>
      <w:bookmarkEnd w:id="119"/>
      <w:bookmarkEnd w:id="120"/>
      <w:bookmarkEnd w:id="121"/>
      <w:bookmarkEnd w:id="122"/>
      <w:bookmarkEnd w:id="123"/>
      <w:bookmarkEnd w:id="124"/>
      <w:r>
        <w:rPr>
          <w:rFonts w:hint="eastAsia" w:ascii="仿宋" w:hAnsi="仿宋" w:eastAsia="仿宋" w:cs="仿宋"/>
          <w:b/>
          <w:color w:val="auto"/>
          <w:sz w:val="24"/>
          <w:highlight w:val="none"/>
        </w:rPr>
        <w:t>和保密义务</w:t>
      </w:r>
      <w:bookmarkEnd w:id="125"/>
      <w:bookmarkEnd w:id="126"/>
      <w:bookmarkEnd w:id="127"/>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28" w:name="_Toc7860"/>
      <w:r>
        <w:rPr>
          <w:rFonts w:hint="eastAsia" w:ascii="仿宋" w:hAnsi="仿宋" w:eastAsia="仿宋" w:cs="仿宋"/>
          <w:b/>
          <w:color w:val="auto"/>
          <w:sz w:val="24"/>
          <w:highlight w:val="none"/>
        </w:rPr>
        <w:t>2.7 质量保证</w:t>
      </w:r>
      <w:bookmarkEnd w:id="128"/>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29" w:name="_Toc17244"/>
      <w:bookmarkStart w:id="130" w:name="_Toc259093681"/>
      <w:bookmarkStart w:id="131" w:name="_Toc279701252"/>
      <w:bookmarkStart w:id="132" w:name="_Toc487900362"/>
      <w:r>
        <w:rPr>
          <w:rFonts w:hint="eastAsia" w:ascii="仿宋" w:hAnsi="仿宋" w:eastAsia="仿宋" w:cs="仿宋"/>
          <w:b/>
          <w:color w:val="auto"/>
          <w:sz w:val="24"/>
          <w:highlight w:val="none"/>
        </w:rPr>
        <w:t>2.8 货物的风险负担</w:t>
      </w:r>
      <w:bookmarkEnd w:id="129"/>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3" w:name="_Toc14055"/>
      <w:r>
        <w:rPr>
          <w:rFonts w:hint="eastAsia" w:ascii="仿宋" w:hAnsi="仿宋" w:eastAsia="仿宋" w:cs="仿宋"/>
          <w:b/>
          <w:color w:val="auto"/>
          <w:sz w:val="24"/>
          <w:highlight w:val="none"/>
        </w:rPr>
        <w:t>2.9 延迟交货</w:t>
      </w:r>
      <w:bookmarkEnd w:id="130"/>
      <w:bookmarkEnd w:id="131"/>
      <w:bookmarkEnd w:id="132"/>
      <w:bookmarkEnd w:id="133"/>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4" w:name="_Toc7502"/>
      <w:bookmarkStart w:id="135" w:name="_Toc259093683"/>
      <w:bookmarkStart w:id="136" w:name="_Toc487900364"/>
      <w:bookmarkStart w:id="137" w:name="_Toc279701254"/>
      <w:bookmarkStart w:id="138" w:name="_Ref467378121"/>
      <w:r>
        <w:rPr>
          <w:rFonts w:hint="eastAsia" w:ascii="仿宋" w:hAnsi="仿宋" w:eastAsia="仿宋" w:cs="仿宋"/>
          <w:b/>
          <w:color w:val="auto"/>
          <w:sz w:val="24"/>
          <w:highlight w:val="none"/>
        </w:rPr>
        <w:t>2.10 合同变更</w:t>
      </w:r>
      <w:bookmarkEnd w:id="134"/>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9" w:name="_Toc487900369"/>
      <w:bookmarkStart w:id="140" w:name="_Toc259093688"/>
      <w:bookmarkStart w:id="141" w:name="_Toc279701259"/>
    </w:p>
    <w:p w14:paraId="2FD7E4A1">
      <w:pPr>
        <w:spacing w:line="560" w:lineRule="exact"/>
        <w:ind w:firstLine="482" w:firstLineChars="200"/>
        <w:outlineLvl w:val="0"/>
        <w:rPr>
          <w:rFonts w:hint="eastAsia" w:ascii="仿宋" w:hAnsi="仿宋" w:eastAsia="仿宋" w:cs="仿宋"/>
          <w:b/>
          <w:color w:val="auto"/>
          <w:sz w:val="24"/>
          <w:highlight w:val="none"/>
        </w:rPr>
      </w:pPr>
      <w:bookmarkStart w:id="142" w:name="_Toc10366"/>
      <w:bookmarkStart w:id="143" w:name="_Toc22955"/>
      <w:bookmarkStart w:id="144" w:name="_Toc15237"/>
      <w:r>
        <w:rPr>
          <w:rFonts w:hint="eastAsia" w:ascii="仿宋" w:hAnsi="仿宋" w:eastAsia="仿宋" w:cs="仿宋"/>
          <w:b/>
          <w:color w:val="auto"/>
          <w:sz w:val="24"/>
          <w:highlight w:val="none"/>
        </w:rPr>
        <w:t>2.11 合同转让</w:t>
      </w:r>
      <w:bookmarkEnd w:id="139"/>
      <w:bookmarkEnd w:id="140"/>
      <w:bookmarkEnd w:id="141"/>
      <w:r>
        <w:rPr>
          <w:rFonts w:hint="eastAsia" w:ascii="仿宋" w:hAnsi="仿宋" w:eastAsia="仿宋" w:cs="仿宋"/>
          <w:b/>
          <w:color w:val="auto"/>
          <w:sz w:val="24"/>
          <w:highlight w:val="none"/>
        </w:rPr>
        <w:t>和分包</w:t>
      </w:r>
      <w:bookmarkEnd w:id="142"/>
      <w:bookmarkEnd w:id="143"/>
      <w:bookmarkEnd w:id="144"/>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5" w:name="_Toc14066"/>
      <w:bookmarkStart w:id="146" w:name="_Toc16508"/>
      <w:bookmarkStart w:id="147" w:name="_Toc13566"/>
      <w:r>
        <w:rPr>
          <w:rFonts w:hint="eastAsia" w:ascii="仿宋" w:hAnsi="仿宋" w:eastAsia="仿宋" w:cs="仿宋"/>
          <w:b/>
          <w:color w:val="auto"/>
          <w:sz w:val="24"/>
          <w:highlight w:val="none"/>
        </w:rPr>
        <w:t>2.12 不可抗力</w:t>
      </w:r>
      <w:bookmarkEnd w:id="145"/>
      <w:bookmarkEnd w:id="146"/>
      <w:bookmarkEnd w:id="147"/>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48" w:name="_Toc259093684"/>
      <w:bookmarkStart w:id="149" w:name="_Toc689"/>
      <w:bookmarkStart w:id="150" w:name="_Toc279701255"/>
      <w:bookmarkStart w:id="151" w:name="_Toc6969"/>
      <w:bookmarkStart w:id="152" w:name="_Toc30676"/>
      <w:bookmarkStart w:id="153" w:name="_Toc487900365"/>
      <w:r>
        <w:rPr>
          <w:rFonts w:hint="eastAsia" w:ascii="仿宋" w:hAnsi="仿宋" w:eastAsia="仿宋" w:cs="仿宋"/>
          <w:b/>
          <w:color w:val="auto"/>
          <w:sz w:val="24"/>
          <w:highlight w:val="none"/>
        </w:rPr>
        <w:t>2.13 税费</w:t>
      </w:r>
      <w:bookmarkEnd w:id="148"/>
      <w:bookmarkEnd w:id="149"/>
      <w:bookmarkEnd w:id="150"/>
      <w:bookmarkEnd w:id="151"/>
      <w:bookmarkEnd w:id="152"/>
      <w:bookmarkEnd w:id="153"/>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4" w:name="_Toc259093687"/>
      <w:bookmarkStart w:id="155" w:name="_Toc7102"/>
      <w:bookmarkStart w:id="156" w:name="_Toc279701258"/>
      <w:bookmarkStart w:id="157" w:name="_Toc16959"/>
      <w:bookmarkStart w:id="158" w:name="_Toc487900368"/>
      <w:bookmarkStart w:id="159" w:name="_Toc8298"/>
      <w:r>
        <w:rPr>
          <w:rFonts w:hint="eastAsia" w:ascii="仿宋" w:hAnsi="仿宋" w:eastAsia="仿宋" w:cs="仿宋"/>
          <w:b/>
          <w:color w:val="auto"/>
          <w:sz w:val="24"/>
          <w:highlight w:val="none"/>
        </w:rPr>
        <w:t>2.14乙方破产</w:t>
      </w:r>
      <w:bookmarkEnd w:id="154"/>
      <w:bookmarkEnd w:id="155"/>
      <w:bookmarkEnd w:id="156"/>
      <w:bookmarkEnd w:id="157"/>
      <w:bookmarkEnd w:id="158"/>
      <w:bookmarkEnd w:id="159"/>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0" w:name="_Toc15387"/>
      <w:bookmarkStart w:id="161" w:name="_Toc29333"/>
      <w:bookmarkStart w:id="162" w:name="_Toc6134"/>
      <w:r>
        <w:rPr>
          <w:rFonts w:hint="eastAsia" w:ascii="仿宋" w:hAnsi="仿宋" w:eastAsia="仿宋" w:cs="仿宋"/>
          <w:b/>
          <w:color w:val="auto"/>
          <w:sz w:val="24"/>
          <w:highlight w:val="none"/>
        </w:rPr>
        <w:t>2.15 合同中止、终止</w:t>
      </w:r>
      <w:bookmarkEnd w:id="160"/>
      <w:bookmarkEnd w:id="161"/>
      <w:bookmarkEnd w:id="162"/>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3" w:name="_Toc6596"/>
      <w:bookmarkStart w:id="164" w:name="_Toc14563"/>
      <w:bookmarkStart w:id="165" w:name="_Toc1125"/>
      <w:r>
        <w:rPr>
          <w:rFonts w:hint="eastAsia" w:ascii="仿宋" w:hAnsi="仿宋" w:eastAsia="仿宋" w:cs="仿宋"/>
          <w:b/>
          <w:color w:val="auto"/>
          <w:sz w:val="24"/>
          <w:highlight w:val="none"/>
        </w:rPr>
        <w:t>2.16检验和验收</w:t>
      </w:r>
      <w:bookmarkEnd w:id="163"/>
      <w:bookmarkEnd w:id="164"/>
      <w:bookmarkEnd w:id="165"/>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5"/>
    <w:bookmarkEnd w:id="136"/>
    <w:bookmarkEnd w:id="137"/>
    <w:bookmarkEnd w:id="138"/>
    <w:p w14:paraId="073A8EAC">
      <w:pPr>
        <w:spacing w:line="560" w:lineRule="exact"/>
        <w:ind w:firstLine="482" w:firstLineChars="200"/>
        <w:outlineLvl w:val="0"/>
        <w:rPr>
          <w:rFonts w:hint="eastAsia" w:ascii="仿宋" w:hAnsi="仿宋" w:eastAsia="仿宋" w:cs="仿宋"/>
          <w:b/>
          <w:color w:val="auto"/>
          <w:sz w:val="24"/>
          <w:highlight w:val="none"/>
        </w:rPr>
      </w:pPr>
      <w:bookmarkStart w:id="166" w:name="_Toc259093690"/>
      <w:bookmarkStart w:id="167" w:name="_Toc487900371"/>
      <w:bookmarkStart w:id="168" w:name="_Toc279701261"/>
      <w:bookmarkStart w:id="169" w:name="_Toc19604"/>
      <w:bookmarkStart w:id="170" w:name="_Toc25182"/>
      <w:bookmarkStart w:id="171" w:name="_Toc11284"/>
      <w:r>
        <w:rPr>
          <w:rFonts w:hint="eastAsia" w:ascii="仿宋" w:hAnsi="仿宋" w:eastAsia="仿宋" w:cs="仿宋"/>
          <w:b/>
          <w:color w:val="auto"/>
          <w:sz w:val="24"/>
          <w:highlight w:val="none"/>
        </w:rPr>
        <w:t>2.17 通知</w:t>
      </w:r>
      <w:bookmarkEnd w:id="166"/>
      <w:bookmarkEnd w:id="167"/>
      <w:bookmarkEnd w:id="168"/>
      <w:r>
        <w:rPr>
          <w:rFonts w:hint="eastAsia" w:ascii="仿宋" w:hAnsi="仿宋" w:eastAsia="仿宋" w:cs="仿宋"/>
          <w:b/>
          <w:color w:val="auto"/>
          <w:sz w:val="24"/>
          <w:highlight w:val="none"/>
        </w:rPr>
        <w:t>和送达</w:t>
      </w:r>
      <w:bookmarkEnd w:id="169"/>
      <w:bookmarkEnd w:id="170"/>
      <w:bookmarkEnd w:id="171"/>
    </w:p>
    <w:p w14:paraId="3D5C7484">
      <w:pPr>
        <w:spacing w:line="560" w:lineRule="exact"/>
        <w:ind w:firstLine="480" w:firstLineChars="200"/>
        <w:rPr>
          <w:rFonts w:hint="eastAsia" w:ascii="仿宋" w:hAnsi="仿宋" w:eastAsia="仿宋" w:cs="仿宋"/>
          <w:color w:val="auto"/>
          <w:sz w:val="24"/>
          <w:highlight w:val="none"/>
        </w:rPr>
      </w:pPr>
      <w:bookmarkStart w:id="172" w:name="_Toc3135"/>
      <w:bookmarkStart w:id="173" w:name="_Toc6698"/>
      <w:bookmarkStart w:id="174" w:name="_Toc487900372"/>
      <w:bookmarkStart w:id="175" w:name="_Toc259093691"/>
      <w:bookmarkStart w:id="176"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2"/>
      <w:bookmarkEnd w:id="173"/>
    </w:p>
    <w:p w14:paraId="3662A6FB">
      <w:pPr>
        <w:spacing w:line="560" w:lineRule="exact"/>
        <w:ind w:firstLine="480" w:firstLineChars="200"/>
        <w:rPr>
          <w:rFonts w:hint="eastAsia" w:ascii="仿宋" w:hAnsi="仿宋" w:eastAsia="仿宋" w:cs="仿宋"/>
          <w:color w:val="auto"/>
          <w:sz w:val="24"/>
          <w:highlight w:val="none"/>
        </w:rPr>
      </w:pPr>
      <w:bookmarkStart w:id="177" w:name="_Toc23128"/>
      <w:bookmarkStart w:id="17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7"/>
      <w:bookmarkEnd w:id="178"/>
    </w:p>
    <w:p w14:paraId="59064A45">
      <w:pPr>
        <w:spacing w:line="560" w:lineRule="exact"/>
        <w:ind w:firstLine="482" w:firstLineChars="200"/>
        <w:outlineLvl w:val="0"/>
        <w:rPr>
          <w:rFonts w:hint="eastAsia" w:ascii="仿宋" w:hAnsi="仿宋" w:eastAsia="仿宋" w:cs="仿宋"/>
          <w:b/>
          <w:color w:val="auto"/>
          <w:sz w:val="24"/>
          <w:highlight w:val="none"/>
        </w:rPr>
      </w:pPr>
      <w:bookmarkStart w:id="179" w:name="_Toc30599"/>
      <w:bookmarkStart w:id="180" w:name="_Toc18540"/>
      <w:bookmarkStart w:id="181" w:name="_Toc4355"/>
      <w:r>
        <w:rPr>
          <w:rFonts w:hint="eastAsia" w:ascii="仿宋" w:hAnsi="仿宋" w:eastAsia="仿宋" w:cs="仿宋"/>
          <w:b/>
          <w:color w:val="auto"/>
          <w:sz w:val="24"/>
          <w:highlight w:val="none"/>
        </w:rPr>
        <w:t>2.18 计量单位</w:t>
      </w:r>
      <w:bookmarkEnd w:id="174"/>
      <w:bookmarkEnd w:id="175"/>
      <w:bookmarkEnd w:id="176"/>
      <w:bookmarkEnd w:id="179"/>
      <w:bookmarkEnd w:id="180"/>
      <w:bookmarkEnd w:id="181"/>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2" w:name="_Toc259093692"/>
      <w:bookmarkStart w:id="183" w:name="_Toc10330"/>
      <w:bookmarkStart w:id="184" w:name="_Toc487900373"/>
      <w:bookmarkStart w:id="185" w:name="_Toc12773"/>
      <w:bookmarkStart w:id="186" w:name="_Toc279701263"/>
      <w:bookmarkStart w:id="187" w:name="_Toc18567"/>
      <w:r>
        <w:rPr>
          <w:rFonts w:hint="eastAsia" w:ascii="仿宋" w:hAnsi="仿宋" w:eastAsia="仿宋" w:cs="仿宋"/>
          <w:b/>
          <w:color w:val="auto"/>
          <w:sz w:val="24"/>
          <w:highlight w:val="none"/>
        </w:rPr>
        <w:t>2.19 合同使用的文字和适用的法律</w:t>
      </w:r>
      <w:bookmarkEnd w:id="182"/>
      <w:bookmarkEnd w:id="183"/>
      <w:bookmarkEnd w:id="184"/>
      <w:bookmarkEnd w:id="185"/>
      <w:bookmarkEnd w:id="186"/>
      <w:bookmarkEnd w:id="187"/>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88" w:name="_Toc19890"/>
      <w:bookmarkStart w:id="189" w:name="_Toc14001"/>
      <w:bookmarkStart w:id="190" w:name="_Toc6885"/>
      <w:r>
        <w:rPr>
          <w:rFonts w:hint="eastAsia" w:ascii="仿宋" w:hAnsi="仿宋" w:eastAsia="仿宋" w:cs="仿宋"/>
          <w:b/>
          <w:color w:val="auto"/>
          <w:sz w:val="24"/>
          <w:highlight w:val="none"/>
        </w:rPr>
        <w:t>2.20 合同份数</w:t>
      </w:r>
      <w:bookmarkEnd w:id="188"/>
      <w:bookmarkEnd w:id="189"/>
      <w:bookmarkEnd w:id="190"/>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highlight w:val="none"/>
        </w:rPr>
      </w:pPr>
      <w:r>
        <w:rPr>
          <w:rFonts w:hint="eastAsia"/>
          <w:b/>
          <w:color w:val="auto"/>
          <w:highlight w:val="none"/>
        </w:rPr>
        <w:t>评分标准：</w:t>
      </w:r>
    </w:p>
    <w:p w14:paraId="1A876F51">
      <w:pPr>
        <w:ind w:firstLine="24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3370DCE0">
      <w:pPr>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2.1商务技术分（70分）</w:t>
      </w:r>
    </w:p>
    <w:tbl>
      <w:tblPr>
        <w:tblStyle w:val="63"/>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30"/>
        <w:gridCol w:w="7035"/>
      </w:tblGrid>
      <w:tr w14:paraId="2B12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20" w:type="dxa"/>
            <w:noWrap w:val="0"/>
            <w:vAlign w:val="center"/>
          </w:tcPr>
          <w:p w14:paraId="2F7FC49C">
            <w:pPr>
              <w:spacing w:line="400" w:lineRule="exact"/>
              <w:ind w:right="409" w:rightChars="195"/>
              <w:jc w:val="center"/>
              <w:rPr>
                <w:rFonts w:hint="default" w:ascii="仿宋" w:hAnsi="仿宋" w:eastAsia="仿宋" w:cs="仿宋"/>
                <w:b/>
                <w:bCs/>
                <w:color w:val="000000"/>
                <w:sz w:val="24"/>
                <w:highlight w:val="none"/>
                <w:lang w:val="en-US" w:eastAsia="zh-CN"/>
              </w:rPr>
            </w:pPr>
            <w:r>
              <w:rPr>
                <w:rFonts w:hint="eastAsia" w:ascii="仿宋" w:hAnsi="仿宋" w:eastAsia="仿宋" w:cs="仿宋"/>
                <w:b/>
                <w:bCs/>
                <w:color w:val="000000"/>
                <w:sz w:val="24"/>
                <w:highlight w:val="none"/>
                <w:lang w:val="en-US" w:eastAsia="zh-CN"/>
              </w:rPr>
              <w:t xml:space="preserve">  序号</w:t>
            </w:r>
          </w:p>
        </w:tc>
        <w:tc>
          <w:tcPr>
            <w:tcW w:w="1430" w:type="dxa"/>
            <w:noWrap w:val="0"/>
            <w:vAlign w:val="center"/>
          </w:tcPr>
          <w:p w14:paraId="767927E5">
            <w:pPr>
              <w:spacing w:line="400" w:lineRule="exact"/>
              <w:ind w:right="409" w:rightChars="195"/>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　</w:t>
            </w:r>
            <w:r>
              <w:rPr>
                <w:rFonts w:hint="eastAsia" w:ascii="仿宋" w:hAnsi="仿宋" w:eastAsia="仿宋" w:cs="仿宋"/>
                <w:b/>
                <w:bCs/>
                <w:color w:val="000000"/>
                <w:sz w:val="24"/>
                <w:highlight w:val="none"/>
              </w:rPr>
              <w:t>项目</w:t>
            </w:r>
          </w:p>
        </w:tc>
        <w:tc>
          <w:tcPr>
            <w:tcW w:w="7035" w:type="dxa"/>
            <w:noWrap w:val="0"/>
            <w:vAlign w:val="center"/>
          </w:tcPr>
          <w:p w14:paraId="4797023D">
            <w:pPr>
              <w:spacing w:line="400" w:lineRule="exact"/>
              <w:ind w:right="409" w:rightChars="195" w:firstLine="482" w:firstLineChars="200"/>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评分细则</w:t>
            </w:r>
          </w:p>
        </w:tc>
      </w:tr>
      <w:tr w14:paraId="20B8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20" w:type="dxa"/>
            <w:noWrap w:val="0"/>
            <w:vAlign w:val="center"/>
          </w:tcPr>
          <w:p w14:paraId="0569CF9A">
            <w:pPr>
              <w:spacing w:line="400" w:lineRule="exact"/>
              <w:ind w:right="-31" w:rightChars="-15"/>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430" w:type="dxa"/>
            <w:noWrap w:val="0"/>
            <w:vAlign w:val="center"/>
          </w:tcPr>
          <w:p w14:paraId="13D4B1B8">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业绩</w:t>
            </w:r>
          </w:p>
          <w:p w14:paraId="75E2CCFA">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（3分）</w:t>
            </w:r>
          </w:p>
        </w:tc>
        <w:tc>
          <w:tcPr>
            <w:tcW w:w="7035" w:type="dxa"/>
            <w:noWrap w:val="0"/>
            <w:vAlign w:val="center"/>
          </w:tcPr>
          <w:p w14:paraId="55D17A97">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投标人20</w:t>
            </w:r>
            <w:r>
              <w:rPr>
                <w:rFonts w:hint="eastAsia" w:ascii="仿宋" w:hAnsi="仿宋" w:eastAsia="仿宋" w:cs="仿宋"/>
                <w:color w:val="000000"/>
                <w:sz w:val="24"/>
                <w:szCs w:val="24"/>
                <w:highlight w:val="none"/>
                <w:lang w:val="en-US" w:eastAsia="zh-CN"/>
              </w:rPr>
              <w:t>22</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月1日（以合同签订时间为准）以来，具有同类项目业绩的每个得1分。最多提供3个业绩，本项最高得3分。</w:t>
            </w:r>
          </w:p>
          <w:p w14:paraId="614664A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投标文件中需提供合同复印件并加盖公章，否则不得分。</w:t>
            </w:r>
          </w:p>
        </w:tc>
      </w:tr>
      <w:tr w14:paraId="39BE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1420" w:type="dxa"/>
            <w:noWrap w:val="0"/>
            <w:vAlign w:val="center"/>
          </w:tcPr>
          <w:p w14:paraId="6624A742">
            <w:pPr>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430" w:type="dxa"/>
            <w:noWrap w:val="0"/>
            <w:vAlign w:val="center"/>
          </w:tcPr>
          <w:p w14:paraId="4D9A13BB">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体系认证</w:t>
            </w:r>
          </w:p>
          <w:p w14:paraId="21B5412A">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（2分）</w:t>
            </w:r>
          </w:p>
        </w:tc>
        <w:tc>
          <w:tcPr>
            <w:tcW w:w="7035" w:type="dxa"/>
            <w:noWrap w:val="0"/>
            <w:vAlign w:val="center"/>
          </w:tcPr>
          <w:p w14:paraId="3F0F8B9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投标人具有ISO9001系列质量管理体系认证证书</w:t>
            </w:r>
            <w:r>
              <w:rPr>
                <w:rFonts w:hint="eastAsia" w:ascii="仿宋" w:hAnsi="仿宋" w:eastAsia="仿宋" w:cs="仿宋"/>
                <w:color w:val="000000"/>
                <w:sz w:val="24"/>
                <w:szCs w:val="24"/>
                <w:highlight w:val="none"/>
                <w:lang w:eastAsia="zh-CN"/>
              </w:rPr>
              <w:t>的得</w:t>
            </w:r>
            <w:r>
              <w:rPr>
                <w:rFonts w:hint="eastAsia" w:ascii="仿宋" w:hAnsi="仿宋" w:eastAsia="仿宋" w:cs="仿宋"/>
                <w:color w:val="000000"/>
                <w:sz w:val="24"/>
                <w:szCs w:val="24"/>
                <w:highlight w:val="none"/>
                <w:lang w:val="en-US" w:eastAsia="zh-CN"/>
              </w:rPr>
              <w:t>1分；　　　　　2、2.</w:t>
            </w:r>
            <w:r>
              <w:rPr>
                <w:rFonts w:hint="eastAsia" w:ascii="仿宋" w:hAnsi="仿宋" w:eastAsia="仿宋" w:cs="仿宋"/>
                <w:color w:val="000000"/>
                <w:sz w:val="24"/>
                <w:szCs w:val="24"/>
                <w:highlight w:val="none"/>
              </w:rPr>
              <w:t>投标人具有ISO14001环境管理体系认证证书</w:t>
            </w:r>
            <w:r>
              <w:rPr>
                <w:rFonts w:hint="eastAsia" w:ascii="仿宋" w:hAnsi="仿宋" w:eastAsia="仿宋" w:cs="仿宋"/>
                <w:color w:val="000000"/>
                <w:sz w:val="24"/>
                <w:szCs w:val="24"/>
                <w:highlight w:val="none"/>
                <w:lang w:eastAsia="zh-CN"/>
              </w:rPr>
              <w:t>的得</w:t>
            </w:r>
            <w:r>
              <w:rPr>
                <w:rFonts w:hint="eastAsia" w:ascii="仿宋" w:hAnsi="仿宋" w:eastAsia="仿宋" w:cs="仿宋"/>
                <w:color w:val="000000"/>
                <w:sz w:val="24"/>
                <w:szCs w:val="24"/>
                <w:highlight w:val="none"/>
                <w:lang w:val="en-US" w:eastAsia="zh-CN"/>
              </w:rPr>
              <w:t>1分；</w:t>
            </w:r>
          </w:p>
          <w:p w14:paraId="5666C62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注：投标文件中的所有认证证书提供全国认证认可信息公共服务平台（http://cx.cnca.cn/CertECloud/index/index/page）相关材料截图扫描，并加盖投标单位公章，否则不得分。</w:t>
            </w:r>
          </w:p>
        </w:tc>
      </w:tr>
      <w:tr w14:paraId="12A9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420" w:type="dxa"/>
            <w:noWrap w:val="0"/>
            <w:vAlign w:val="center"/>
          </w:tcPr>
          <w:p w14:paraId="34F38226">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430" w:type="dxa"/>
            <w:noWrap w:val="0"/>
            <w:vAlign w:val="center"/>
          </w:tcPr>
          <w:p w14:paraId="05D0AB95">
            <w:pPr>
              <w:widowControl/>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产品符合性</w:t>
            </w:r>
          </w:p>
          <w:p w14:paraId="54086BED">
            <w:pPr>
              <w:widowControl/>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36</w:t>
            </w:r>
            <w:r>
              <w:rPr>
                <w:rFonts w:hint="eastAsia" w:ascii="仿宋" w:hAnsi="仿宋" w:eastAsia="仿宋" w:cs="仿宋"/>
                <w:color w:val="000000"/>
                <w:sz w:val="24"/>
                <w:szCs w:val="24"/>
                <w:highlight w:val="none"/>
              </w:rPr>
              <w:t>分）</w:t>
            </w:r>
          </w:p>
        </w:tc>
        <w:tc>
          <w:tcPr>
            <w:tcW w:w="7035" w:type="dxa"/>
            <w:noWrap w:val="0"/>
            <w:vAlign w:val="center"/>
          </w:tcPr>
          <w:p w14:paraId="4F91B82C">
            <w:pPr>
              <w:widowControl/>
              <w:spacing w:line="400" w:lineRule="exact"/>
              <w:ind w:right="-15" w:rightChars="-7"/>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对招标文件的技术需求：</w:t>
            </w:r>
          </w:p>
          <w:p w14:paraId="73ED66DF">
            <w:pPr>
              <w:pStyle w:val="3"/>
              <w:keepNext w:val="0"/>
              <w:keepLines w:val="0"/>
              <w:numPr>
                <w:ilvl w:val="0"/>
                <w:numId w:val="0"/>
              </w:numPr>
              <w:spacing w:line="400" w:lineRule="exact"/>
              <w:ind w:left="30" w:right="-15" w:rightChars="-7" w:hanging="30"/>
              <w:jc w:val="left"/>
              <w:rPr>
                <w:rFonts w:hint="eastAsia" w:ascii="仿宋" w:eastAsia="仿宋" w:cs="仿宋"/>
                <w:sz w:val="24"/>
                <w:szCs w:val="24"/>
                <w:highlight w:val="none"/>
                <w:lang w:val="zh-TW"/>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auto"/>
                <w:sz w:val="24"/>
                <w:szCs w:val="24"/>
                <w:highlight w:val="none"/>
              </w:rPr>
              <w:t>★</w:t>
            </w:r>
            <w:r>
              <w:rPr>
                <w:rFonts w:hint="default" w:ascii="仿宋" w:eastAsia="仿宋" w:cs="仿宋"/>
                <w:color w:val="auto"/>
                <w:sz w:val="24"/>
                <w:szCs w:val="24"/>
                <w:highlight w:val="none"/>
                <w:lang w:val="en-US" w:eastAsia="zh-CN"/>
              </w:rPr>
              <w:t>”为</w:t>
            </w:r>
            <w:r>
              <w:rPr>
                <w:rFonts w:hint="eastAsia" w:ascii="仿宋" w:eastAsia="仿宋" w:cs="仿宋"/>
                <w:color w:val="auto"/>
                <w:sz w:val="24"/>
                <w:szCs w:val="24"/>
                <w:highlight w:val="none"/>
                <w:lang w:val="en-US" w:eastAsia="zh-CN"/>
              </w:rPr>
              <w:t>实质</w:t>
            </w:r>
            <w:r>
              <w:rPr>
                <w:rFonts w:hint="default" w:ascii="仿宋" w:eastAsia="仿宋" w:cs="仿宋"/>
                <w:color w:val="auto"/>
                <w:sz w:val="24"/>
                <w:szCs w:val="24"/>
                <w:highlight w:val="none"/>
                <w:lang w:val="en-US" w:eastAsia="zh-CN"/>
              </w:rPr>
              <w:t>性指标</w:t>
            </w:r>
            <w:r>
              <w:rPr>
                <w:rFonts w:hint="eastAsia" w:ascii="仿宋" w:eastAsia="仿宋" w:cs="仿宋"/>
                <w:color w:val="auto"/>
                <w:sz w:val="24"/>
                <w:szCs w:val="24"/>
                <w:highlight w:val="none"/>
                <w:lang w:val="en-US" w:eastAsia="zh-CN"/>
              </w:rPr>
              <w:t>，出现负偏离作无效标处理，</w:t>
            </w:r>
            <w:r>
              <w:rPr>
                <w:rFonts w:hint="eastAsia" w:ascii="仿宋" w:hAnsi="仿宋" w:eastAsia="仿宋" w:cs="仿宋"/>
                <w:color w:val="000000"/>
                <w:sz w:val="24"/>
                <w:szCs w:val="24"/>
                <w:highlight w:val="none"/>
              </w:rPr>
              <w:t>“</w:t>
            </w:r>
            <w:r>
              <w:rPr>
                <w:rFonts w:hint="eastAsia" w:ascii="仿宋" w:eastAsia="仿宋" w:cs="仿宋"/>
                <w:b w:val="0"/>
                <w:bCs w:val="0"/>
                <w:color w:val="000000"/>
                <w:sz w:val="24"/>
                <w:szCs w:val="24"/>
                <w:highlight w:val="none"/>
              </w:rPr>
              <w:t>▲</w:t>
            </w:r>
            <w:r>
              <w:rPr>
                <w:rFonts w:hint="eastAsia" w:ascii="仿宋" w:hAnsi="仿宋" w:eastAsia="仿宋" w:cs="仿宋"/>
                <w:color w:val="000000"/>
                <w:sz w:val="24"/>
                <w:szCs w:val="24"/>
                <w:highlight w:val="none"/>
              </w:rPr>
              <w:t>”为关键性指标，</w:t>
            </w:r>
            <w:r>
              <w:rPr>
                <w:rFonts w:hint="eastAsia" w:ascii="仿宋" w:eastAsia="仿宋" w:cs="仿宋"/>
                <w:b w:val="0"/>
                <w:bCs w:val="0"/>
                <w:color w:val="000000"/>
                <w:sz w:val="24"/>
                <w:szCs w:val="24"/>
                <w:highlight w:val="none"/>
                <w:lang w:val="en-US"/>
              </w:rPr>
              <w:t>每负偏离1条扣</w:t>
            </w:r>
            <w:r>
              <w:rPr>
                <w:rFonts w:hint="eastAsia" w:ascii="仿宋" w:eastAsia="仿宋" w:cs="仿宋"/>
                <w:b w:val="0"/>
                <w:bCs w:val="0"/>
                <w:color w:val="000000"/>
                <w:sz w:val="24"/>
                <w:szCs w:val="24"/>
                <w:highlight w:val="none"/>
                <w:lang w:val="en-US" w:eastAsia="zh-CN"/>
              </w:rPr>
              <w:t>1</w:t>
            </w:r>
            <w:r>
              <w:rPr>
                <w:rFonts w:hint="eastAsia" w:ascii="仿宋" w:eastAsia="仿宋" w:cs="仿宋"/>
                <w:b w:val="0"/>
                <w:bCs w:val="0"/>
                <w:color w:val="000000"/>
                <w:sz w:val="24"/>
                <w:szCs w:val="24"/>
                <w:highlight w:val="none"/>
                <w:lang w:val="en-US"/>
              </w:rPr>
              <w:t>分；扣完为止。</w:t>
            </w:r>
            <w:r>
              <w:rPr>
                <w:rFonts w:hint="eastAsia" w:ascii="仿宋" w:hAnsi="仿宋" w:eastAsia="仿宋" w:cs="仿宋"/>
                <w:color w:val="000000"/>
                <w:sz w:val="24"/>
                <w:szCs w:val="24"/>
                <w:highlight w:val="none"/>
                <w:lang w:val="en-US" w:eastAsia="zh-CN"/>
              </w:rPr>
              <w:t>　　　　　　　　　　　　　　　　　　　　　　　　　　　　　　　　　　　　　　　</w:t>
            </w:r>
            <w:r>
              <w:rPr>
                <w:rFonts w:hint="eastAsia" w:asci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val="en-US" w:eastAsia="zh-CN"/>
              </w:rPr>
              <w:t>.</w:t>
            </w:r>
            <w:r>
              <w:rPr>
                <w:rFonts w:hint="eastAsia" w:ascii="仿宋" w:eastAsia="仿宋" w:cs="仿宋"/>
                <w:b w:val="0"/>
                <w:bCs w:val="0"/>
                <w:color w:val="000000"/>
                <w:sz w:val="24"/>
                <w:szCs w:val="24"/>
                <w:highlight w:val="none"/>
              </w:rPr>
              <w:t>对于其他非“▲”的技术条款</w:t>
            </w:r>
            <w:r>
              <w:rPr>
                <w:rFonts w:hint="eastAsia" w:ascii="仿宋" w:eastAsia="仿宋" w:cs="仿宋"/>
                <w:b w:val="0"/>
                <w:bCs w:val="0"/>
                <w:color w:val="000000"/>
                <w:sz w:val="24"/>
                <w:szCs w:val="24"/>
                <w:highlight w:val="none"/>
                <w:lang w:val="en-US"/>
              </w:rPr>
              <w:t>，每负偏离1条扣</w:t>
            </w:r>
            <w:r>
              <w:rPr>
                <w:rFonts w:hint="eastAsia" w:ascii="仿宋" w:eastAsia="仿宋" w:cs="仿宋"/>
                <w:b w:val="0"/>
                <w:bCs w:val="0"/>
                <w:color w:val="000000"/>
                <w:sz w:val="24"/>
                <w:szCs w:val="24"/>
                <w:highlight w:val="none"/>
                <w:lang w:val="en-US" w:eastAsia="zh-CN"/>
              </w:rPr>
              <w:t>0.5</w:t>
            </w:r>
            <w:r>
              <w:rPr>
                <w:rFonts w:hint="eastAsia" w:ascii="仿宋" w:eastAsia="仿宋" w:cs="仿宋"/>
                <w:b w:val="0"/>
                <w:bCs w:val="0"/>
                <w:color w:val="000000"/>
                <w:sz w:val="24"/>
                <w:szCs w:val="24"/>
                <w:highlight w:val="none"/>
                <w:lang w:val="en-US"/>
              </w:rPr>
              <w:t>分；扣完为止。</w:t>
            </w:r>
            <w:r>
              <w:rPr>
                <w:rFonts w:hint="eastAsia" w:ascii="仿宋" w:eastAsia="仿宋" w:cs="仿宋"/>
                <w:b/>
                <w:bCs/>
                <w:color w:val="000000"/>
                <w:sz w:val="24"/>
                <w:szCs w:val="24"/>
                <w:highlight w:val="none"/>
                <w:lang w:val="en-US"/>
              </w:rPr>
              <w:t>（</w:t>
            </w:r>
            <w:r>
              <w:rPr>
                <w:rFonts w:hint="eastAsia" w:ascii="仿宋" w:eastAsia="仿宋" w:cs="仿宋"/>
                <w:b/>
                <w:bCs/>
                <w:sz w:val="24"/>
                <w:szCs w:val="24"/>
                <w:highlight w:val="none"/>
                <w:lang w:val="en-US"/>
              </w:rPr>
              <w:t>涉及到需提供相关证明材料的内容，需提供相应的证明材料，不提供视为不响应</w:t>
            </w:r>
            <w:r>
              <w:rPr>
                <w:rFonts w:hint="eastAsia" w:ascii="仿宋" w:eastAsia="仿宋" w:cs="仿宋"/>
                <w:b/>
                <w:bCs/>
                <w:color w:val="000000"/>
                <w:sz w:val="24"/>
                <w:szCs w:val="24"/>
                <w:highlight w:val="none"/>
                <w:lang w:val="en-US"/>
              </w:rPr>
              <w:t>）</w:t>
            </w:r>
          </w:p>
        </w:tc>
      </w:tr>
      <w:tr w14:paraId="1122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20" w:type="dxa"/>
            <w:noWrap w:val="0"/>
            <w:vAlign w:val="center"/>
          </w:tcPr>
          <w:p w14:paraId="24AB7E88">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c>
          <w:tcPr>
            <w:tcW w:w="1430" w:type="dxa"/>
            <w:noWrap w:val="0"/>
            <w:vAlign w:val="center"/>
          </w:tcPr>
          <w:p w14:paraId="7A94B98E">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售后服务</w:t>
            </w:r>
            <w:r>
              <w:rPr>
                <w:rFonts w:hint="eastAsia" w:ascii="仿宋" w:hAnsi="仿宋" w:eastAsia="仿宋" w:cs="仿宋"/>
                <w:color w:val="000000"/>
                <w:sz w:val="24"/>
                <w:szCs w:val="24"/>
                <w:highlight w:val="none"/>
              </w:rPr>
              <w:t>方案</w:t>
            </w: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val="zh-TW"/>
              </w:rPr>
              <w:t>分）</w:t>
            </w:r>
          </w:p>
        </w:tc>
        <w:tc>
          <w:tcPr>
            <w:tcW w:w="7035" w:type="dxa"/>
            <w:noWrap w:val="0"/>
            <w:vAlign w:val="center"/>
          </w:tcPr>
          <w:p w14:paraId="6D0519DE">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根据其提供对本项目制订的详细的</w:t>
            </w:r>
            <w:r>
              <w:rPr>
                <w:rFonts w:hint="eastAsia" w:ascii="仿宋" w:hAnsi="仿宋" w:eastAsia="仿宋" w:cs="仿宋"/>
                <w:color w:val="000000" w:themeColor="text1"/>
                <w:sz w:val="24"/>
                <w:szCs w:val="24"/>
                <w:highlight w:val="none"/>
                <w:lang w:val="zh-TW"/>
                <w14:textFill>
                  <w14:solidFill>
                    <w14:schemeClr w14:val="tx1"/>
                  </w14:solidFill>
                </w14:textFill>
              </w:rPr>
              <w:t>售后服务</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包含但不限于</w:t>
            </w:r>
            <w:r>
              <w:rPr>
                <w:rFonts w:hint="eastAsia" w:ascii="仿宋" w:hAnsi="仿宋" w:eastAsia="仿宋" w:cs="仿宋"/>
                <w:snapToGrid w:val="0"/>
                <w:color w:val="000000" w:themeColor="text1"/>
                <w:kern w:val="0"/>
                <w:sz w:val="24"/>
                <w:szCs w:val="24"/>
                <w:highlight w:val="none"/>
                <w14:textFill>
                  <w14:solidFill>
                    <w14:schemeClr w14:val="tx1"/>
                  </w14:solidFill>
                </w14:textFill>
              </w:rPr>
              <w:t>对项目</w:t>
            </w:r>
            <w:r>
              <w:rPr>
                <w:rFonts w:hint="eastAsia" w:ascii="仿宋" w:hAnsi="仿宋" w:eastAsia="仿宋" w:cs="仿宋"/>
                <w:color w:val="000000"/>
                <w:sz w:val="24"/>
                <w:szCs w:val="24"/>
                <w:highlight w:val="none"/>
                <w:lang w:val="zh-TW"/>
              </w:rPr>
              <w:t>售后维护机构</w:t>
            </w:r>
            <w:r>
              <w:rPr>
                <w:rFonts w:hint="eastAsia" w:ascii="仿宋" w:hAnsi="仿宋" w:eastAsia="仿宋" w:cs="仿宋"/>
                <w:color w:val="000000"/>
                <w:sz w:val="24"/>
                <w:szCs w:val="24"/>
                <w:highlight w:val="none"/>
                <w:lang w:val="zh-TW" w:eastAsia="zh-CN"/>
              </w:rPr>
              <w:t>、</w:t>
            </w:r>
            <w:r>
              <w:rPr>
                <w:rFonts w:hint="eastAsia" w:ascii="仿宋" w:hAnsi="仿宋" w:eastAsia="仿宋" w:cs="仿宋"/>
                <w:color w:val="000000"/>
                <w:sz w:val="24"/>
                <w:szCs w:val="24"/>
                <w:highlight w:val="none"/>
                <w:lang w:val="zh-TW"/>
              </w:rPr>
              <w:t>人员</w:t>
            </w:r>
            <w:r>
              <w:rPr>
                <w:rFonts w:hint="eastAsia" w:ascii="仿宋" w:hAnsi="仿宋" w:eastAsia="仿宋" w:cs="仿宋"/>
                <w:color w:val="000000"/>
                <w:sz w:val="24"/>
                <w:szCs w:val="24"/>
                <w:highlight w:val="none"/>
                <w:lang w:val="zh-TW" w:eastAsia="zh-CN"/>
              </w:rPr>
              <w:t>、</w:t>
            </w:r>
            <w:r>
              <w:rPr>
                <w:rFonts w:hint="eastAsia" w:ascii="仿宋" w:hAnsi="仿宋" w:eastAsia="仿宋" w:cs="仿宋"/>
                <w:color w:val="000000"/>
                <w:sz w:val="24"/>
                <w:szCs w:val="24"/>
                <w:highlight w:val="none"/>
                <w:lang w:val="zh-TW"/>
              </w:rPr>
              <w:t>是否拥有常驻服务和技术支持</w:t>
            </w:r>
            <w:r>
              <w:rPr>
                <w:rFonts w:hint="eastAsia" w:ascii="仿宋" w:hAnsi="仿宋" w:eastAsia="仿宋" w:cs="仿宋"/>
                <w:color w:val="000000"/>
                <w:sz w:val="24"/>
                <w:szCs w:val="24"/>
                <w:highlight w:val="none"/>
              </w:rPr>
              <w:t>、服务响应及时</w:t>
            </w:r>
            <w:r>
              <w:rPr>
                <w:rFonts w:hint="eastAsia" w:ascii="仿宋" w:hAnsi="仿宋" w:eastAsia="仿宋" w:cs="仿宋"/>
                <w:color w:val="000000"/>
                <w:sz w:val="24"/>
                <w:szCs w:val="24"/>
                <w:highlight w:val="none"/>
                <w:lang w:eastAsia="zh-CN"/>
              </w:rPr>
              <w:t>性</w:t>
            </w:r>
            <w:r>
              <w:rPr>
                <w:rFonts w:hint="eastAsia" w:ascii="仿宋" w:hAnsi="仿宋" w:eastAsia="仿宋" w:cs="仿宋"/>
                <w:snapToGrid w:val="0"/>
                <w:color w:val="000000" w:themeColor="text1"/>
                <w:kern w:val="0"/>
                <w:sz w:val="24"/>
                <w:szCs w:val="24"/>
                <w:highlight w:val="none"/>
                <w14:textFill>
                  <w14:solidFill>
                    <w14:schemeClr w14:val="tx1"/>
                  </w14:solidFill>
                </w14:textFill>
              </w:rPr>
              <w:t>是否合理、可操作性等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6E3C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1420" w:type="dxa"/>
            <w:noWrap w:val="0"/>
            <w:vAlign w:val="center"/>
          </w:tcPr>
          <w:p w14:paraId="0693239C">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c>
          <w:tcPr>
            <w:tcW w:w="1430" w:type="dxa"/>
            <w:noWrap w:val="0"/>
            <w:vAlign w:val="center"/>
          </w:tcPr>
          <w:p w14:paraId="6CB334AC">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实施方案及合理化建议</w:t>
            </w:r>
          </w:p>
          <w:p w14:paraId="60F5C124">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（10分）</w:t>
            </w:r>
          </w:p>
        </w:tc>
        <w:tc>
          <w:tcPr>
            <w:tcW w:w="7035" w:type="dxa"/>
            <w:noWrap w:val="0"/>
            <w:vAlign w:val="center"/>
          </w:tcPr>
          <w:p w14:paraId="4F924137">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根据其提供对本项目制订的</w:t>
            </w:r>
            <w:r>
              <w:rPr>
                <w:rFonts w:hint="eastAsia" w:ascii="仿宋" w:hAnsi="仿宋" w:eastAsia="仿宋" w:cs="仿宋"/>
                <w:color w:val="000000" w:themeColor="text1"/>
                <w:sz w:val="24"/>
                <w:szCs w:val="24"/>
                <w:highlight w:val="none"/>
                <w:lang w:eastAsia="zh-CN"/>
                <w14:textFill>
                  <w14:solidFill>
                    <w14:schemeClr w14:val="tx1"/>
                  </w14:solidFill>
                </w14:textFill>
              </w:rPr>
              <w:t>方案和建议，</w:t>
            </w:r>
            <w:r>
              <w:rPr>
                <w:rFonts w:hint="eastAsia" w:ascii="仿宋" w:hAnsi="仿宋" w:eastAsia="仿宋" w:cs="仿宋"/>
                <w:color w:val="000000"/>
                <w:sz w:val="24"/>
                <w:szCs w:val="24"/>
                <w:highlight w:val="none"/>
                <w:lang w:val="zh-TW"/>
              </w:rPr>
              <w:t>包括但不限于：设备供货、运输装卸、安装、调试、试运行、验收、抽样检测、培训；拟派参与实施的人员保障；确保工程质量、工期、安全、文明施工的措施；安装过程中与土建、装修、空调安装的配合要求等；以及针对可能存在的问题与困难，结合近远期医院发展，提出合理化建议</w:t>
            </w:r>
            <w:r>
              <w:rPr>
                <w:rFonts w:hint="eastAsia" w:ascii="仿宋" w:hAnsi="仿宋" w:eastAsia="仿宋" w:cs="仿宋"/>
                <w:snapToGrid w:val="0"/>
                <w:color w:val="000000" w:themeColor="text1"/>
                <w:kern w:val="0"/>
                <w:sz w:val="24"/>
                <w:szCs w:val="24"/>
                <w:highlight w:val="none"/>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2249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420" w:type="dxa"/>
            <w:vMerge w:val="restart"/>
            <w:noWrap w:val="0"/>
            <w:vAlign w:val="center"/>
          </w:tcPr>
          <w:p w14:paraId="143BC9A4">
            <w:pPr>
              <w:widowControl/>
              <w:spacing w:line="400" w:lineRule="exact"/>
              <w:ind w:right="-31" w:rightChars="-15" w:firstLine="480" w:firstLineChars="20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w:t>
            </w:r>
          </w:p>
        </w:tc>
        <w:tc>
          <w:tcPr>
            <w:tcW w:w="1430" w:type="dxa"/>
            <w:vMerge w:val="restart"/>
            <w:noWrap w:val="0"/>
            <w:vAlign w:val="center"/>
          </w:tcPr>
          <w:p w14:paraId="65FEFC54">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产品优劣性</w:t>
            </w:r>
          </w:p>
          <w:p w14:paraId="13714DD9">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rPr>
              <w:t>8</w:t>
            </w:r>
            <w:r>
              <w:rPr>
                <w:rFonts w:hint="eastAsia" w:ascii="仿宋" w:hAnsi="仿宋" w:eastAsia="仿宋" w:cs="仿宋"/>
                <w:color w:val="000000"/>
                <w:sz w:val="24"/>
                <w:szCs w:val="24"/>
                <w:highlight w:val="none"/>
                <w:lang w:val="zh-TW"/>
              </w:rPr>
              <w:t>分）</w:t>
            </w:r>
          </w:p>
          <w:p w14:paraId="070D6273">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7035" w:type="dxa"/>
            <w:noWrap w:val="0"/>
            <w:vAlign w:val="center"/>
          </w:tcPr>
          <w:p w14:paraId="28836F1E">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根据本项目</w:t>
            </w:r>
            <w:r>
              <w:rPr>
                <w:rFonts w:hint="eastAsia" w:ascii="仿宋" w:hAnsi="仿宋" w:eastAsia="仿宋" w:cs="仿宋"/>
                <w:color w:val="000000"/>
                <w:sz w:val="24"/>
                <w:szCs w:val="24"/>
                <w:highlight w:val="none"/>
                <w:lang w:val="zh-TW"/>
              </w:rPr>
              <w:t>投标产品</w:t>
            </w:r>
            <w:r>
              <w:rPr>
                <w:rFonts w:hint="eastAsia" w:ascii="仿宋" w:hAnsi="仿宋" w:eastAsia="仿宋" w:cs="仿宋"/>
                <w:color w:val="000000"/>
                <w:sz w:val="24"/>
                <w:szCs w:val="24"/>
                <w:highlight w:val="none"/>
                <w:lang w:val="zh-TW" w:eastAsia="zh-CN"/>
              </w:rPr>
              <w:t>的</w:t>
            </w:r>
            <w:r>
              <w:rPr>
                <w:rFonts w:hint="eastAsia" w:ascii="仿宋" w:hAnsi="仿宋" w:eastAsia="仿宋" w:cs="仿宋"/>
                <w:color w:val="000000"/>
                <w:sz w:val="24"/>
                <w:szCs w:val="24"/>
                <w:highlight w:val="none"/>
                <w:lang w:val="zh-TW"/>
              </w:rPr>
              <w:t>等离子体空气消毒设备在医院内安装使用中对其他设备的抗干扰性能和可控安全性说明</w:t>
            </w:r>
            <w:r>
              <w:rPr>
                <w:rFonts w:hint="eastAsia" w:ascii="仿宋" w:hAnsi="仿宋" w:eastAsia="仿宋" w:cs="仿宋"/>
                <w:snapToGrid w:val="0"/>
                <w:color w:val="000000" w:themeColor="text1"/>
                <w:kern w:val="0"/>
                <w:sz w:val="24"/>
                <w:szCs w:val="24"/>
                <w:highlight w:val="none"/>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65B9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1420" w:type="dxa"/>
            <w:vMerge w:val="continue"/>
            <w:noWrap w:val="0"/>
            <w:vAlign w:val="center"/>
          </w:tcPr>
          <w:p w14:paraId="1B9B837E">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1430" w:type="dxa"/>
            <w:vMerge w:val="continue"/>
            <w:noWrap w:val="0"/>
            <w:vAlign w:val="center"/>
          </w:tcPr>
          <w:p w14:paraId="0FECDA1C">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7035" w:type="dxa"/>
            <w:noWrap w:val="0"/>
            <w:vAlign w:val="center"/>
          </w:tcPr>
          <w:p w14:paraId="29723711">
            <w:pPr>
              <w:widowControl/>
              <w:numPr>
                <w:ilvl w:val="0"/>
                <w:numId w:val="0"/>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投标人具有空气消毒类设备相关发明专利证书的每个得</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zh-TW"/>
              </w:rPr>
              <w:t>分，最多得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TW"/>
              </w:rPr>
              <w:t>分；具有空气消毒类设备相关实用新型专利证书的每个得</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zh-TW"/>
              </w:rPr>
              <w:t>分，最多得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TW"/>
              </w:rPr>
              <w:t>分；本项最高得</w:t>
            </w:r>
            <w:r>
              <w:rPr>
                <w:rFonts w:hint="eastAsia" w:ascii="仿宋" w:hAnsi="仿宋" w:eastAsia="仿宋" w:cs="仿宋"/>
                <w:color w:val="000000"/>
                <w:sz w:val="24"/>
                <w:szCs w:val="24"/>
                <w:highlight w:val="none"/>
              </w:rPr>
              <w:t>4</w:t>
            </w:r>
            <w:r>
              <w:rPr>
                <w:rFonts w:hint="eastAsia" w:ascii="仿宋" w:hAnsi="仿宋" w:eastAsia="仿宋" w:cs="仿宋"/>
                <w:color w:val="000000"/>
                <w:sz w:val="24"/>
                <w:szCs w:val="24"/>
                <w:highlight w:val="none"/>
                <w:lang w:val="zh-TW"/>
              </w:rPr>
              <w:t>分。</w:t>
            </w:r>
          </w:p>
          <w:p w14:paraId="2BB4FE8A">
            <w:pPr>
              <w:widowControl/>
              <w:spacing w:line="400" w:lineRule="exact"/>
              <w:ind w:right="-15" w:rightChars="-7"/>
              <w:jc w:val="left"/>
              <w:rPr>
                <w:rFonts w:hint="eastAsia" w:ascii="仿宋" w:hAnsi="仿宋" w:eastAsia="仿宋" w:cs="仿宋"/>
                <w:color w:val="000000"/>
                <w:sz w:val="24"/>
                <w:szCs w:val="24"/>
                <w:highlight w:val="none"/>
                <w:lang w:val="zh-TW"/>
              </w:rPr>
            </w:pPr>
            <w:r>
              <w:rPr>
                <w:rFonts w:hint="eastAsia" w:ascii="仿宋" w:hAnsi="仿宋" w:eastAsia="仿宋" w:cs="仿宋"/>
                <w:b/>
                <w:bCs/>
                <w:color w:val="000000"/>
                <w:sz w:val="24"/>
                <w:szCs w:val="24"/>
                <w:highlight w:val="none"/>
                <w:lang w:val="en-US" w:eastAsia="zh-CN"/>
              </w:rPr>
              <w:t>(</w:t>
            </w:r>
            <w:r>
              <w:rPr>
                <w:rFonts w:hint="eastAsia" w:ascii="仿宋" w:hAnsi="仿宋" w:eastAsia="仿宋" w:cs="仿宋"/>
                <w:b/>
                <w:bCs/>
                <w:color w:val="000000"/>
                <w:sz w:val="24"/>
                <w:szCs w:val="24"/>
                <w:highlight w:val="none"/>
                <w:lang w:val="zh-TW"/>
              </w:rPr>
              <w:t>提供相关专利证书的复印件加盖</w:t>
            </w:r>
            <w:r>
              <w:rPr>
                <w:rFonts w:hint="eastAsia" w:ascii="仿宋" w:hAnsi="仿宋" w:eastAsia="仿宋" w:cs="仿宋"/>
                <w:b/>
                <w:bCs/>
                <w:color w:val="000000"/>
                <w:sz w:val="24"/>
                <w:szCs w:val="24"/>
                <w:highlight w:val="none"/>
              </w:rPr>
              <w:t>投标</w:t>
            </w:r>
            <w:r>
              <w:rPr>
                <w:rFonts w:hint="eastAsia" w:ascii="仿宋" w:hAnsi="仿宋" w:eastAsia="仿宋" w:cs="仿宋"/>
                <w:b/>
                <w:bCs/>
                <w:color w:val="000000"/>
                <w:sz w:val="24"/>
                <w:szCs w:val="24"/>
                <w:highlight w:val="none"/>
                <w:lang w:val="zh-TW"/>
              </w:rPr>
              <w:t>单位公章</w:t>
            </w:r>
            <w:r>
              <w:rPr>
                <w:rFonts w:hint="eastAsia" w:ascii="仿宋" w:hAnsi="仿宋" w:eastAsia="仿宋" w:cs="仿宋"/>
                <w:b/>
                <w:bCs/>
                <w:color w:val="000000"/>
                <w:sz w:val="24"/>
                <w:szCs w:val="24"/>
                <w:highlight w:val="none"/>
                <w:lang w:val="en-US" w:eastAsia="zh-CN"/>
              </w:rPr>
              <w:t>)</w:t>
            </w:r>
          </w:p>
        </w:tc>
      </w:tr>
      <w:tr w14:paraId="0B5F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420" w:type="dxa"/>
            <w:noWrap w:val="0"/>
            <w:vAlign w:val="center"/>
          </w:tcPr>
          <w:p w14:paraId="7B038887">
            <w:pPr>
              <w:widowControl/>
              <w:spacing w:line="400" w:lineRule="exact"/>
              <w:ind w:right="-15" w:rightChars="-7"/>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w:t>
            </w:r>
          </w:p>
        </w:tc>
        <w:tc>
          <w:tcPr>
            <w:tcW w:w="1430" w:type="dxa"/>
            <w:noWrap w:val="0"/>
            <w:vAlign w:val="center"/>
          </w:tcPr>
          <w:p w14:paraId="454E6D9A">
            <w:pPr>
              <w:widowControl/>
              <w:spacing w:line="400" w:lineRule="exact"/>
              <w:ind w:right="-15" w:rightChars="-7"/>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质保期</w:t>
            </w:r>
          </w:p>
          <w:p w14:paraId="06E743EF">
            <w:pPr>
              <w:widowControl/>
              <w:spacing w:line="400" w:lineRule="exact"/>
              <w:ind w:right="-15" w:rightChars="-7"/>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lang w:val="zh-TW"/>
              </w:rPr>
              <w:t>分）</w:t>
            </w:r>
          </w:p>
        </w:tc>
        <w:tc>
          <w:tcPr>
            <w:tcW w:w="7035" w:type="dxa"/>
            <w:noWrap w:val="0"/>
            <w:vAlign w:val="center"/>
          </w:tcPr>
          <w:p w14:paraId="3796F7DB">
            <w:pPr>
              <w:widowControl/>
              <w:numPr>
                <w:ilvl w:val="0"/>
                <w:numId w:val="3"/>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rPr>
              <w:t>质保期期限仅满足招标文件规定的质保期（至少</w:t>
            </w:r>
            <w:r>
              <w:rPr>
                <w:rFonts w:hint="eastAsia" w:ascii="仿宋" w:hAnsi="仿宋" w:eastAsia="仿宋" w:cs="仿宋"/>
                <w:color w:val="000000"/>
                <w:sz w:val="24"/>
                <w:szCs w:val="24"/>
                <w:highlight w:val="none"/>
                <w:lang w:val="en-US" w:eastAsia="zh-CN"/>
              </w:rPr>
              <w:t>30000小时</w:t>
            </w:r>
            <w:r>
              <w:rPr>
                <w:rFonts w:hint="eastAsia" w:ascii="仿宋" w:hAnsi="仿宋" w:eastAsia="仿宋" w:cs="仿宋"/>
                <w:color w:val="000000"/>
                <w:sz w:val="24"/>
                <w:szCs w:val="24"/>
                <w:highlight w:val="none"/>
              </w:rPr>
              <w:t>）要求的得0分，超过招标文件规定的质保期每</w:t>
            </w:r>
            <w:r>
              <w:rPr>
                <w:rFonts w:hint="eastAsia" w:ascii="仿宋" w:hAnsi="仿宋" w:eastAsia="仿宋" w:cs="仿宋"/>
                <w:color w:val="000000"/>
                <w:sz w:val="24"/>
                <w:szCs w:val="24"/>
                <w:highlight w:val="none"/>
                <w:lang w:eastAsia="zh-CN"/>
              </w:rPr>
              <w:t>增加</w:t>
            </w:r>
            <w:r>
              <w:rPr>
                <w:rFonts w:hint="eastAsia" w:ascii="仿宋" w:hAnsi="仿宋" w:eastAsia="仿宋" w:cs="仿宋"/>
                <w:color w:val="000000"/>
                <w:sz w:val="24"/>
                <w:szCs w:val="24"/>
                <w:highlight w:val="none"/>
                <w:lang w:val="en-US" w:eastAsia="zh-CN"/>
              </w:rPr>
              <w:t>2500小时</w:t>
            </w:r>
            <w:r>
              <w:rPr>
                <w:rFonts w:hint="eastAsia" w:ascii="仿宋" w:hAnsi="仿宋" w:eastAsia="仿宋" w:cs="仿宋"/>
                <w:color w:val="000000"/>
                <w:sz w:val="24"/>
                <w:szCs w:val="24"/>
                <w:highlight w:val="none"/>
              </w:rPr>
              <w:t>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少于2500小时不得分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，最高得</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分；质保期以投标人承诺书为准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0-4分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w:t>
            </w:r>
          </w:p>
          <w:p w14:paraId="6E1A2582">
            <w:pPr>
              <w:widowControl/>
              <w:numPr>
                <w:ilvl w:val="0"/>
                <w:numId w:val="0"/>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一年两次预防性维护的服务（PM），达到10年的得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bl>
    <w:p w14:paraId="35FAF6C8">
      <w:pPr>
        <w:snapToGrid w:val="0"/>
        <w:rPr>
          <w:rFonts w:hint="eastAsia"/>
          <w:color w:val="auto"/>
          <w:sz w:val="24"/>
          <w:szCs w:val="24"/>
          <w:highlight w:val="none"/>
          <w:shd w:val="clear" w:color="auto" w:fill="FFFFFF"/>
        </w:rPr>
      </w:pPr>
    </w:p>
    <w:p w14:paraId="54E40982">
      <w:pPr>
        <w:snapToGrid w:val="0"/>
        <w:rPr>
          <w:rFonts w:hint="eastAsia"/>
          <w:color w:val="auto"/>
          <w:sz w:val="20"/>
          <w:szCs w:val="20"/>
          <w:highlight w:val="none"/>
          <w:shd w:val="clear" w:color="auto" w:fill="FFFFFF"/>
        </w:rPr>
      </w:pPr>
    </w:p>
    <w:p w14:paraId="724AEACE">
      <w:pPr>
        <w:snapToGrid w:val="0"/>
        <w:rPr>
          <w:rFonts w:ascii="仿宋" w:hAnsi="仿宋" w:eastAsia="仿宋" w:cs="仿宋"/>
          <w:color w:val="auto"/>
          <w:sz w:val="24"/>
          <w:highlight w:val="none"/>
        </w:rPr>
      </w:pPr>
      <w:r>
        <w:rPr>
          <w:rFonts w:hint="eastAsia"/>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color w:val="auto"/>
          <w:sz w:val="24"/>
          <w:highlight w:val="none"/>
        </w:rPr>
        <w:t> </w:t>
      </w:r>
    </w:p>
    <w:p w14:paraId="20F2F568">
      <w:pPr>
        <w:ind w:firstLine="472" w:firstLineChars="196"/>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4252FBB7">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9D01D1">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46E0DF8">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0514FE">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highlight w:val="none"/>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39"/>
    <w:bookmarkEnd w:id="40"/>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7C6AE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317CE733">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1" w:name="_Hlk101259491"/>
      <w:r>
        <w:rPr>
          <w:rFonts w:hint="eastAsia" w:ascii="仿宋" w:hAnsi="仿宋" w:eastAsia="仿宋" w:cs="仿宋"/>
          <w:color w:val="auto"/>
          <w:sz w:val="32"/>
          <w:szCs w:val="32"/>
          <w:highlight w:val="none"/>
        </w:rPr>
        <w:t>（如果有）</w:t>
      </w:r>
      <w:bookmarkEnd w:id="191"/>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DA163E8">
      <w:pPr>
        <w:pStyle w:val="81"/>
        <w:widowControl/>
        <w:spacing w:line="360" w:lineRule="auto"/>
        <w:ind w:firstLine="120" w:firstLineChars="50"/>
        <w:rPr>
          <w:rFonts w:ascii="仿宋" w:hAnsi="仿宋" w:eastAsia="仿宋" w:cs="仿宋"/>
          <w:b/>
          <w:color w:val="auto"/>
          <w:highlight w:val="none"/>
        </w:rPr>
      </w:pPr>
    </w:p>
    <w:p w14:paraId="117160A8">
      <w:pPr>
        <w:pStyle w:val="82"/>
        <w:spacing w:line="360" w:lineRule="auto"/>
        <w:ind w:left="0" w:firstLine="120" w:firstLineChars="5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70C7E70">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A8BE774">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2851CB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035B304">
      <w:pPr>
        <w:spacing w:line="360" w:lineRule="auto"/>
        <w:ind w:right="420" w:firstLine="3614" w:firstLineChars="1000"/>
        <w:rPr>
          <w:rFonts w:hint="eastAsia" w:ascii="仿宋" w:hAnsi="仿宋" w:eastAsia="仿宋" w:cs="仿宋"/>
          <w:b/>
          <w:color w:val="auto"/>
          <w:kern w:val="0"/>
          <w:sz w:val="36"/>
          <w:szCs w:val="36"/>
          <w:highlight w:val="none"/>
        </w:rPr>
      </w:pP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746822DE">
      <w:pPr>
        <w:spacing w:line="360" w:lineRule="auto"/>
        <w:ind w:right="420" w:firstLine="3614" w:firstLineChars="1000"/>
        <w:rPr>
          <w:rFonts w:hint="eastAsia" w:ascii="仿宋" w:hAnsi="仿宋" w:eastAsia="仿宋" w:cs="仿宋"/>
          <w:b/>
          <w:color w:val="auto"/>
          <w:kern w:val="0"/>
          <w:sz w:val="36"/>
          <w:szCs w:val="36"/>
          <w:highlight w:val="none"/>
        </w:rPr>
      </w:pPr>
    </w:p>
    <w:p w14:paraId="5631509B">
      <w:pPr>
        <w:spacing w:line="360" w:lineRule="auto"/>
        <w:ind w:right="420" w:firstLine="3614" w:firstLineChars="1000"/>
        <w:rPr>
          <w:rFonts w:hint="eastAsia" w:ascii="仿宋" w:hAnsi="仿宋" w:eastAsia="仿宋" w:cs="仿宋"/>
          <w:b/>
          <w:color w:val="auto"/>
          <w:kern w:val="0"/>
          <w:sz w:val="36"/>
          <w:szCs w:val="36"/>
          <w:highlight w:val="none"/>
        </w:rPr>
      </w:pPr>
    </w:p>
    <w:p w14:paraId="1DBEECEE">
      <w:pPr>
        <w:spacing w:line="360" w:lineRule="auto"/>
        <w:ind w:right="420" w:firstLine="3614" w:firstLineChars="1000"/>
        <w:rPr>
          <w:rFonts w:hint="eastAsia" w:ascii="仿宋" w:hAnsi="仿宋" w:eastAsia="仿宋" w:cs="仿宋"/>
          <w:b/>
          <w:color w:val="auto"/>
          <w:kern w:val="0"/>
          <w:sz w:val="36"/>
          <w:szCs w:val="36"/>
          <w:highlight w:val="none"/>
        </w:rPr>
      </w:pPr>
    </w:p>
    <w:p w14:paraId="706B63F5">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2" w:name="_Toc465665161"/>
      <w:r>
        <w:rPr>
          <w:rFonts w:hint="eastAsia" w:ascii="仿宋" w:hAnsi="仿宋" w:eastAsia="仿宋" w:cs="仿宋"/>
          <w:color w:val="auto"/>
          <w:highlight w:val="none"/>
        </w:rPr>
        <w:t>附件</w:t>
      </w:r>
      <w:bookmarkEnd w:id="192"/>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3"/>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4"/>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5" w:name="OLE_LINK14"/>
      <w:bookmarkStart w:id="196"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5"/>
    <w:bookmarkEnd w:id="196"/>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7" w:name="_Toc36110187"/>
    <w:bookmarkStart w:id="198" w:name="_Toc91899912"/>
    <w:bookmarkStart w:id="199" w:name="_Toc131845147"/>
    <w:bookmarkStart w:id="200" w:name="_Toc164085800"/>
    <w:r>
      <w:rPr>
        <w:rFonts w:hint="eastAsia" w:ascii="仿宋_GB2312" w:eastAsia="仿宋_GB2312"/>
        <w:kern w:val="0"/>
        <w:szCs w:val="21"/>
      </w:rPr>
      <w:t xml:space="preserve"> 页</w:t>
    </w:r>
    <w:bookmarkEnd w:id="197"/>
    <w:bookmarkEnd w:id="198"/>
    <w:bookmarkEnd w:id="199"/>
    <w:bookmarkEnd w:id="2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绍兴市鼎正建设工程咨询有限公司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4EFEB54"/>
    <w:multiLevelType w:val="singleLevel"/>
    <w:tmpl w:val="14EFEB54"/>
    <w:lvl w:ilvl="0" w:tentative="0">
      <w:start w:val="1"/>
      <w:numFmt w:val="decimal"/>
      <w:suff w:val="nothing"/>
      <w:lvlText w:val="（%1）"/>
      <w:lvlJc w:val="left"/>
    </w:lvl>
  </w:abstractNum>
  <w:abstractNum w:abstractNumId="4">
    <w:nsid w:val="1A18BC5D"/>
    <w:multiLevelType w:val="singleLevel"/>
    <w:tmpl w:val="1A18BC5D"/>
    <w:lvl w:ilvl="0" w:tentative="0">
      <w:start w:val="1"/>
      <w:numFmt w:val="decimal"/>
      <w:lvlText w:val="%1."/>
      <w:lvlJc w:val="left"/>
      <w:pPr>
        <w:tabs>
          <w:tab w:val="left" w:pos="312"/>
        </w:tabs>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0DE53DC"/>
    <w:rsid w:val="026E2EE1"/>
    <w:rsid w:val="02D92666"/>
    <w:rsid w:val="033E089E"/>
    <w:rsid w:val="05A10891"/>
    <w:rsid w:val="06D74677"/>
    <w:rsid w:val="06FB15E8"/>
    <w:rsid w:val="07672DE2"/>
    <w:rsid w:val="0838424D"/>
    <w:rsid w:val="0983157E"/>
    <w:rsid w:val="0E3E7767"/>
    <w:rsid w:val="0E496B1F"/>
    <w:rsid w:val="0E6D207C"/>
    <w:rsid w:val="0ECE1DE4"/>
    <w:rsid w:val="0F73456B"/>
    <w:rsid w:val="0FA0239A"/>
    <w:rsid w:val="133B0ED3"/>
    <w:rsid w:val="13EA1322"/>
    <w:rsid w:val="14127BE9"/>
    <w:rsid w:val="14164AE9"/>
    <w:rsid w:val="169E17AF"/>
    <w:rsid w:val="1880083A"/>
    <w:rsid w:val="1ADD783B"/>
    <w:rsid w:val="1B515E62"/>
    <w:rsid w:val="1BDB5157"/>
    <w:rsid w:val="1DBF2B55"/>
    <w:rsid w:val="21542507"/>
    <w:rsid w:val="23096053"/>
    <w:rsid w:val="231701CC"/>
    <w:rsid w:val="23D63880"/>
    <w:rsid w:val="23ED1DBE"/>
    <w:rsid w:val="253F23A5"/>
    <w:rsid w:val="2605622A"/>
    <w:rsid w:val="26793F37"/>
    <w:rsid w:val="26C2664B"/>
    <w:rsid w:val="27662A9E"/>
    <w:rsid w:val="27AC29FE"/>
    <w:rsid w:val="2844761E"/>
    <w:rsid w:val="28A51F68"/>
    <w:rsid w:val="2A524392"/>
    <w:rsid w:val="2AF8208B"/>
    <w:rsid w:val="2CDA6E57"/>
    <w:rsid w:val="306B31D8"/>
    <w:rsid w:val="340912BB"/>
    <w:rsid w:val="35D129A2"/>
    <w:rsid w:val="36967B0F"/>
    <w:rsid w:val="36EF6EE9"/>
    <w:rsid w:val="3BB76ADF"/>
    <w:rsid w:val="3CDB1F79"/>
    <w:rsid w:val="3DF02037"/>
    <w:rsid w:val="3F001A9D"/>
    <w:rsid w:val="3F326AC0"/>
    <w:rsid w:val="3F627278"/>
    <w:rsid w:val="40AE16DF"/>
    <w:rsid w:val="40B90D30"/>
    <w:rsid w:val="41C6334A"/>
    <w:rsid w:val="438F7533"/>
    <w:rsid w:val="458817F7"/>
    <w:rsid w:val="45AD5B38"/>
    <w:rsid w:val="45DE23F8"/>
    <w:rsid w:val="47326228"/>
    <w:rsid w:val="48B169CB"/>
    <w:rsid w:val="4DE4148C"/>
    <w:rsid w:val="4EA43381"/>
    <w:rsid w:val="4FAE554B"/>
    <w:rsid w:val="50C301CB"/>
    <w:rsid w:val="517400E9"/>
    <w:rsid w:val="52C930A5"/>
    <w:rsid w:val="53D9331C"/>
    <w:rsid w:val="55EB160A"/>
    <w:rsid w:val="57DAE6E1"/>
    <w:rsid w:val="598D188B"/>
    <w:rsid w:val="5BC97948"/>
    <w:rsid w:val="5C8E204E"/>
    <w:rsid w:val="5D177188"/>
    <w:rsid w:val="5D6F2F67"/>
    <w:rsid w:val="5DF96873"/>
    <w:rsid w:val="5F665FB3"/>
    <w:rsid w:val="5FC661D0"/>
    <w:rsid w:val="634D37F4"/>
    <w:rsid w:val="642152E2"/>
    <w:rsid w:val="64E95A2C"/>
    <w:rsid w:val="65077AE2"/>
    <w:rsid w:val="65D82061"/>
    <w:rsid w:val="65FF701E"/>
    <w:rsid w:val="680B3E5E"/>
    <w:rsid w:val="68E83E5E"/>
    <w:rsid w:val="6A0C6288"/>
    <w:rsid w:val="6A2A0213"/>
    <w:rsid w:val="6A4C6791"/>
    <w:rsid w:val="6AEF1016"/>
    <w:rsid w:val="6C1556D0"/>
    <w:rsid w:val="6CE54E57"/>
    <w:rsid w:val="6F386B71"/>
    <w:rsid w:val="70BC75C1"/>
    <w:rsid w:val="712D6380"/>
    <w:rsid w:val="729E74BD"/>
    <w:rsid w:val="735F212F"/>
    <w:rsid w:val="74D508E1"/>
    <w:rsid w:val="782477E1"/>
    <w:rsid w:val="7B127365"/>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20121</Words>
  <Characters>21495</Characters>
  <Paragraphs>2030</Paragraphs>
  <TotalTime>23</TotalTime>
  <ScaleCrop>false</ScaleCrop>
  <LinksUpToDate>false</LinksUpToDate>
  <CharactersWithSpaces>23070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81009</cp:lastModifiedBy>
  <cp:lastPrinted>2025-06-19T01:44:00Z</cp:lastPrinted>
  <dcterms:modified xsi:type="dcterms:W3CDTF">2025-06-25T05:00:52Z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8ABFD433F1984585B0B8935355251FA1_13</vt:lpwstr>
  </property>
  <property fmtid="{D5CDD505-2E9C-101B-9397-08002B2CF9AE}" pid="5" name="KSOTemplateDocerSaveRecord">
    <vt:lpwstr>eyJoZGlkIjoiY2FmOWVhYTQ2MjU0NmYyZTFjNTg2MTIxNzQ3Mzk1YWYiLCJ1c2VySWQiOiI1NjkzODA1MzEifQ==</vt:lpwstr>
  </property>
</Properties>
</file>