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52"/>
          <w:szCs w:val="52"/>
          <w:highlight w:val="none"/>
          <w:u w:val="none"/>
        </w:rPr>
      </w:pPr>
      <w:r>
        <w:rPr>
          <w:rFonts w:hint="eastAsia" w:ascii="仿宋" w:eastAsia="仿宋"/>
          <w:b/>
          <w:bCs/>
          <w:color w:val="auto"/>
          <w:sz w:val="52"/>
          <w:szCs w:val="52"/>
          <w:highlight w:val="none"/>
          <w:u w:val="none"/>
        </w:rPr>
        <w:t>绍兴市越城区孙端街道社区卫生服务中心职工用餐、商品换购配送服务项目</w:t>
      </w:r>
    </w:p>
    <w:p>
      <w:pPr>
        <w:rPr>
          <w:rFonts w:hint="eastAsia" w:ascii="仿宋" w:eastAsia="仿宋"/>
          <w:color w:val="auto"/>
          <w:sz w:val="36"/>
          <w:szCs w:val="36"/>
          <w:highlight w:val="none"/>
        </w:rPr>
      </w:pPr>
    </w:p>
    <w:p>
      <w:pPr>
        <w:rPr>
          <w:rFonts w:hint="eastAsia" w:ascii="仿宋" w:eastAsia="仿宋"/>
          <w:color w:val="auto"/>
          <w:sz w:val="15"/>
          <w:szCs w:val="15"/>
          <w:highlight w:val="none"/>
        </w:rPr>
      </w:pPr>
    </w:p>
    <w:p>
      <w:pPr>
        <w:pStyle w:val="3"/>
        <w:rPr>
          <w:rFonts w:hint="eastAsia"/>
          <w:color w:val="auto"/>
          <w:highlight w:val="none"/>
        </w:rPr>
      </w:pPr>
    </w:p>
    <w:p>
      <w:pPr>
        <w:rPr>
          <w:rFonts w:hint="eastAsia" w:ascii="仿宋" w:eastAsia="仿宋"/>
          <w:color w:val="auto"/>
          <w:sz w:val="36"/>
          <w:szCs w:val="36"/>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pPr>
        <w:pStyle w:val="3"/>
        <w:jc w:val="both"/>
        <w:rPr>
          <w:rFonts w:hint="eastAsia"/>
          <w:color w:val="auto"/>
          <w:highlight w:val="none"/>
        </w:rPr>
      </w:pPr>
    </w:p>
    <w:p>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single"/>
              </w:rPr>
              <w:t>ZJDT-R-25026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绍兴市越城区孙端街道社区卫生服务中心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rPr>
              <w:t>绍兴市越城区孙端街道社区卫生服务中心党政办</w:t>
            </w:r>
          </w:p>
        </w:tc>
      </w:tr>
    </w:tbl>
    <w:p>
      <w:pPr>
        <w:jc w:val="both"/>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07</w:t>
      </w:r>
      <w:r>
        <w:rPr>
          <w:rFonts w:hint="eastAsia" w:ascii="仿宋" w:eastAsia="仿宋"/>
          <w:color w:val="auto"/>
          <w:sz w:val="28"/>
          <w:highlight w:val="none"/>
        </w:rPr>
        <w:t>月</w:t>
      </w:r>
    </w:p>
    <w:p>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pPr>
        <w:jc w:val="center"/>
        <w:rPr>
          <w:rFonts w:hint="eastAsia" w:ascii="仿宋" w:eastAsia="仿宋"/>
          <w:b/>
          <w:color w:val="auto"/>
          <w:sz w:val="44"/>
          <w:szCs w:val="44"/>
          <w:highlight w:val="none"/>
        </w:rPr>
      </w:pP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hint="eastAsia" w:ascii="仿宋" w:hAnsi="仿宋" w:eastAsia="仿宋" w:cs="仿宋"/>
          <w:color w:val="auto"/>
          <w:sz w:val="28"/>
          <w:szCs w:val="28"/>
          <w:highlight w:val="none"/>
        </w:rPr>
      </w:pPr>
    </w:p>
    <w:p>
      <w:pPr>
        <w:pStyle w:val="3"/>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pPr>
        <w:pStyle w:val="3"/>
        <w:rPr>
          <w:rFonts w:hint="eastAsia" w:ascii="仿宋" w:hAnsi="仿宋" w:eastAsia="仿宋" w:cs="仿宋"/>
          <w:color w:val="auto"/>
          <w:highlight w:val="none"/>
        </w:rPr>
      </w:pPr>
      <w:bookmarkStart w:id="0" w:name="_Toc27216"/>
      <w:r>
        <w:rPr>
          <w:rFonts w:hint="eastAsia" w:ascii="仿宋" w:hAnsi="仿宋" w:eastAsia="仿宋" w:cs="仿宋"/>
          <w:color w:val="auto"/>
          <w:highlight w:val="none"/>
        </w:rPr>
        <w:t>第一章  采购公告</w:t>
      </w:r>
      <w:bookmarkEnd w:id="0"/>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绍兴市越城区孙端街道社区卫生服务中心职工用餐、商品换购配送服务项目</w:t>
      </w:r>
      <w:r>
        <w:rPr>
          <w:rFonts w:hint="eastAsia" w:ascii="仿宋" w:hAnsi="仿宋" w:eastAsia="仿宋" w:cs="仿宋"/>
          <w:color w:val="auto"/>
          <w:sz w:val="24"/>
          <w:szCs w:val="24"/>
          <w:highlight w:val="none"/>
        </w:rPr>
        <w:t>的潜在投标人应在线下报名获取招标文件，并于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年  月  日   ：  （</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 w:name="_Toc35393790"/>
      <w:bookmarkStart w:id="2" w:name="_Toc28359079"/>
      <w:bookmarkStart w:id="3" w:name="_Toc28359002"/>
      <w:bookmarkStart w:id="4" w:name="_Toc35393621"/>
      <w:bookmarkStart w:id="5" w:name="_Hlk24379207"/>
      <w:r>
        <w:rPr>
          <w:rFonts w:hint="eastAsia" w:ascii="仿宋" w:hAnsi="仿宋" w:eastAsia="仿宋" w:cs="仿宋"/>
          <w:color w:val="auto"/>
          <w:sz w:val="24"/>
          <w:szCs w:val="24"/>
          <w:highlight w:val="none"/>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ZJDT-R-25026</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绍兴市越城区孙端街道社区卫生服务中心职工用餐、商品换购配送服务项目</w:t>
      </w:r>
    </w:p>
    <w:bookmarkEnd w:id="5"/>
    <w:p>
      <w:pPr>
        <w:keepNext w:val="0"/>
        <w:keepLines w:val="0"/>
        <w:pageBreakBefore w:val="0"/>
        <w:kinsoku/>
        <w:wordWrap/>
        <w:overflowPunct/>
        <w:topLinePunct w:val="0"/>
        <w:autoSpaceDE/>
        <w:autoSpaceDN/>
        <w:bidi w:val="0"/>
        <w:adjustRightInd/>
        <w:snapToGrid/>
        <w:spacing w:line="312" w:lineRule="auto"/>
        <w:ind w:firstLine="54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lang w:val="en-US" w:eastAsia="zh-CN"/>
        </w:rPr>
        <w:t>280000</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rPr>
        <w:t>280000</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pPr>
        <w:keepNext w:val="0"/>
        <w:keepLines w:val="0"/>
        <w:pageBreakBefore w:val="0"/>
        <w:kinsoku/>
        <w:wordWrap/>
        <w:overflowPunct/>
        <w:topLinePunct w:val="0"/>
        <w:autoSpaceDE/>
        <w:autoSpaceDN/>
        <w:bidi w:val="0"/>
        <w:adjustRightInd/>
        <w:snapToGrid/>
        <w:spacing w:line="312" w:lineRule="auto"/>
        <w:ind w:firstLine="1020" w:firstLineChars="4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标项一：</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标项名称：</w:t>
      </w:r>
      <w:r>
        <w:rPr>
          <w:rFonts w:hint="eastAsia" w:ascii="仿宋" w:hAnsi="仿宋" w:eastAsia="仿宋" w:cs="仿宋"/>
          <w:bCs/>
          <w:color w:val="auto"/>
          <w:sz w:val="24"/>
          <w:szCs w:val="24"/>
          <w:highlight w:val="none"/>
          <w:u w:val="single"/>
        </w:rPr>
        <w:t>绍兴市越城区孙端街道社区卫生服务中心职工用餐、商品换购配送服务项目</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数量：</w:t>
      </w:r>
      <w:r>
        <w:rPr>
          <w:rFonts w:hint="eastAsia" w:ascii="仿宋" w:hAnsi="仿宋" w:eastAsia="仿宋" w:cs="仿宋"/>
          <w:bCs/>
          <w:color w:val="auto"/>
          <w:sz w:val="24"/>
          <w:szCs w:val="24"/>
          <w:highlight w:val="none"/>
          <w:u w:val="single"/>
          <w:lang w:val="en-US" w:eastAsia="zh-CN"/>
        </w:rPr>
        <w:t>1</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预算金额（元）：</w:t>
      </w:r>
      <w:r>
        <w:rPr>
          <w:rFonts w:hint="eastAsia" w:ascii="仿宋" w:hAnsi="仿宋" w:eastAsia="仿宋" w:cs="仿宋"/>
          <w:bCs/>
          <w:color w:val="auto"/>
          <w:sz w:val="24"/>
          <w:szCs w:val="24"/>
          <w:highlight w:val="none"/>
          <w:u w:val="single"/>
          <w:lang w:val="en-US" w:eastAsia="zh-CN"/>
        </w:rPr>
        <w:t>280000</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简要规格描述或项目基本概况介绍、用途：</w:t>
      </w:r>
      <w:r>
        <w:rPr>
          <w:rFonts w:hint="eastAsia" w:ascii="仿宋" w:hAnsi="仿宋" w:eastAsia="仿宋" w:cs="仿宋"/>
          <w:bCs/>
          <w:color w:val="auto"/>
          <w:sz w:val="24"/>
          <w:szCs w:val="24"/>
          <w:highlight w:val="none"/>
          <w:u w:val="single"/>
        </w:rPr>
        <w:t>详见采购文件。</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备注：</w:t>
      </w:r>
      <w:r>
        <w:rPr>
          <w:rFonts w:hint="eastAsia" w:ascii="仿宋" w:hAnsi="仿宋" w:eastAsia="仿宋" w:cs="仿宋"/>
          <w:bCs/>
          <w:color w:val="auto"/>
          <w:sz w:val="24"/>
          <w:szCs w:val="24"/>
          <w:highlight w:val="none"/>
          <w:u w:val="single"/>
        </w:rPr>
        <w:t xml:space="preserve"> 无 </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u w:val="single"/>
        </w:rPr>
        <w:t>按双方合同约定条款执行。</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6" w:name="_Toc35393791"/>
      <w:bookmarkStart w:id="7" w:name="_Toc35393622"/>
      <w:bookmarkStart w:id="8" w:name="_Toc28359003"/>
      <w:bookmarkStart w:id="9" w:name="_Toc28359080"/>
      <w:r>
        <w:rPr>
          <w:rFonts w:hint="eastAsia" w:ascii="仿宋" w:hAnsi="仿宋" w:eastAsia="仿宋" w:cs="仿宋"/>
          <w:color w:val="auto"/>
          <w:sz w:val="24"/>
          <w:szCs w:val="24"/>
          <w:highlight w:val="none"/>
        </w:rPr>
        <w:t>二、申请人的资格要求：</w:t>
      </w:r>
      <w:bookmarkEnd w:id="6"/>
      <w:bookmarkEnd w:id="7"/>
      <w:bookmarkEnd w:id="8"/>
      <w:bookmarkEnd w:id="9"/>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bookmarkStart w:id="10" w:name="_Toc28359081"/>
      <w:bookmarkStart w:id="11"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single"/>
        </w:rPr>
        <w:t>本项目属于专门面向中小企业采购的项目</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服务由符合政策要求的中小企业承接</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提供中小企业声明函</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540"/>
        <w:contextualSpacing w:val="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lang w:val="en-US" w:eastAsia="zh-CN"/>
        </w:rPr>
        <w:t>无</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2" w:name="_Toc35393623"/>
      <w:bookmarkStart w:id="13" w:name="_Toc35393792"/>
      <w:r>
        <w:rPr>
          <w:rFonts w:hint="eastAsia" w:ascii="仿宋" w:hAnsi="仿宋" w:eastAsia="仿宋" w:cs="仿宋"/>
          <w:color w:val="auto"/>
          <w:sz w:val="24"/>
          <w:szCs w:val="24"/>
          <w:highlight w:val="none"/>
        </w:rPr>
        <w:t>三、获取招标文件</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2025年  月  日至2025年  月  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方式：投标人需提供以下报名资料（加盖单位公章）的扫描件现场报名或者以邮件形式发至</w:t>
      </w:r>
      <w:r>
        <w:rPr>
          <w:rFonts w:hint="eastAsia" w:ascii="仿宋" w:hAnsi="仿宋" w:eastAsia="仿宋" w:cs="仿宋"/>
          <w:b/>
          <w:bCs/>
          <w:color w:val="auto"/>
          <w:sz w:val="24"/>
          <w:szCs w:val="24"/>
          <w:highlight w:val="none"/>
        </w:rPr>
        <w:t>rlp7765@126.com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报名资料如下：1）营业执照；2）投标人出具</w:t>
      </w:r>
      <w:r>
        <w:rPr>
          <w:rFonts w:hint="eastAsia" w:ascii="仿宋" w:hAnsi="仿宋" w:eastAsia="仿宋" w:cs="仿宋"/>
          <w:bCs/>
          <w:color w:val="auto"/>
          <w:sz w:val="24"/>
          <w:szCs w:val="24"/>
          <w:highlight w:val="none"/>
          <w:lang w:val="en-US" w:eastAsia="zh-CN"/>
        </w:rPr>
        <w:t>的授权委托书及委托人身份证</w:t>
      </w:r>
      <w:r>
        <w:rPr>
          <w:rFonts w:hint="eastAsia" w:ascii="仿宋" w:hAnsi="仿宋" w:eastAsia="仿宋" w:cs="仿宋"/>
          <w:bCs/>
          <w:color w:val="auto"/>
          <w:sz w:val="24"/>
          <w:szCs w:val="24"/>
          <w:highlight w:val="none"/>
        </w:rPr>
        <w:t>。3）邮件正文提供公司信息，报名项目名称，联系人及联系方式。</w:t>
      </w:r>
    </w:p>
    <w:p>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w:t>
      </w:r>
      <w:bookmarkEnd w:id="14"/>
      <w:bookmarkEnd w:id="15"/>
      <w:r>
        <w:rPr>
          <w:rFonts w:hint="eastAsia" w:ascii="仿宋" w:hAnsi="仿宋" w:eastAsia="仿宋" w:cs="仿宋"/>
          <w:color w:val="auto"/>
          <w:sz w:val="24"/>
          <w:szCs w:val="24"/>
          <w:highlight w:val="none"/>
        </w:rPr>
        <w:t>截止时间、开标时间和地点</w:t>
      </w:r>
      <w:bookmarkEnd w:id="16"/>
      <w:bookmarkEnd w:id="17"/>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u w:val="single"/>
        </w:rPr>
        <w:t xml:space="preserve">    年  月  日   ：  </w:t>
      </w:r>
      <w:r>
        <w:rPr>
          <w:rFonts w:hint="eastAsia" w:ascii="仿宋" w:hAnsi="仿宋" w:eastAsia="仿宋" w:cs="仿宋"/>
          <w:bCs/>
          <w:color w:val="auto"/>
          <w:sz w:val="24"/>
          <w:szCs w:val="24"/>
          <w:highlight w:val="none"/>
        </w:rPr>
        <w:t>（北京时间）</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none"/>
          <w:u w:val="single"/>
        </w:rPr>
        <w:t xml:space="preserve">    年  月  日    ：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Cs/>
          <w:color w:val="auto"/>
          <w:sz w:val="24"/>
          <w:szCs w:val="24"/>
          <w:highlight w:val="none"/>
        </w:rPr>
        <w:t>浙江东腾利成招标代理有限公司（绍兴市人民东路1187号伟丰文化产业园藏品楼</w:t>
      </w:r>
      <w:r>
        <w:rPr>
          <w:rFonts w:hint="eastAsia" w:ascii="仿宋" w:hAnsi="仿宋" w:eastAsia="仿宋" w:cs="仿宋"/>
          <w:bCs/>
          <w:color w:val="auto"/>
          <w:sz w:val="24"/>
          <w:szCs w:val="24"/>
          <w:highlight w:val="none"/>
          <w:lang w:val="en-US" w:eastAsia="zh-CN"/>
        </w:rPr>
        <w:t>3楼</w:t>
      </w:r>
      <w:r>
        <w:rPr>
          <w:rFonts w:hint="eastAsia" w:ascii="仿宋" w:hAnsi="仿宋" w:eastAsia="仿宋" w:cs="仿宋"/>
          <w:bCs/>
          <w:color w:val="auto"/>
          <w:sz w:val="24"/>
          <w:szCs w:val="24"/>
          <w:highlight w:val="none"/>
        </w:rPr>
        <w:t>）</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8" w:name="_Toc28359084"/>
      <w:bookmarkStart w:id="19" w:name="_Toc35393794"/>
      <w:bookmarkStart w:id="20" w:name="_Toc28359007"/>
      <w:bookmarkStart w:id="21" w:name="_Toc35393625"/>
      <w:r>
        <w:rPr>
          <w:rFonts w:hint="eastAsia" w:ascii="仿宋" w:hAnsi="仿宋" w:eastAsia="仿宋" w:cs="仿宋"/>
          <w:color w:val="auto"/>
          <w:sz w:val="24"/>
          <w:szCs w:val="24"/>
          <w:highlight w:val="none"/>
        </w:rPr>
        <w:t>五、公告期限</w:t>
      </w:r>
      <w:bookmarkEnd w:id="18"/>
      <w:bookmarkEnd w:id="19"/>
      <w:bookmarkEnd w:id="20"/>
      <w:bookmarkEnd w:id="21"/>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2" w:name="_Toc35393626"/>
      <w:bookmarkStart w:id="23" w:name="_Toc35393795"/>
      <w:r>
        <w:rPr>
          <w:rFonts w:hint="eastAsia" w:ascii="仿宋" w:hAnsi="仿宋" w:eastAsia="仿宋" w:cs="仿宋"/>
          <w:color w:val="auto"/>
          <w:sz w:val="24"/>
          <w:szCs w:val="24"/>
          <w:highlight w:val="none"/>
        </w:rPr>
        <w:t>六、其他补充事宜</w:t>
      </w:r>
      <w:bookmarkEnd w:id="22"/>
      <w:bookmarkEnd w:id="23"/>
    </w:p>
    <w:p>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不接受扫描件、复印件或图片）向采购机构提出质疑（对采购文件其他内容的质疑及投诉需在报名之后提出，否则不予受理。）。质疑书格式详见采购文件第七章。</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供应商对质疑答复不满意或者采购机构未在规定时间内作出答复的，可以在答复期满后十五个工作日内向本项目监督部门投诉。</w:t>
      </w:r>
    </w:p>
    <w:p>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4" w:name="_Toc28359008"/>
      <w:bookmarkStart w:id="25" w:name="_Toc35393627"/>
      <w:bookmarkStart w:id="26" w:name="_Toc28359085"/>
      <w:bookmarkStart w:id="27" w:name="_Toc35393796"/>
      <w:r>
        <w:rPr>
          <w:rFonts w:hint="eastAsia" w:ascii="仿宋" w:hAnsi="仿宋" w:eastAsia="仿宋" w:cs="仿宋"/>
          <w:color w:val="auto"/>
          <w:sz w:val="24"/>
          <w:szCs w:val="24"/>
          <w:highlight w:val="none"/>
        </w:rPr>
        <w:t>七、对本次招标提出询问、质疑、投诉，请按以下方式联系</w:t>
      </w:r>
      <w:bookmarkEnd w:id="24"/>
      <w:bookmarkEnd w:id="25"/>
      <w:bookmarkEnd w:id="26"/>
      <w:bookmarkEnd w:id="27"/>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称：绍兴市越城区孙端街道社区卫生服务中心</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地址：绍兴市越城区孙端街道街西108号</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传真：</w:t>
      </w:r>
      <w:bookmarkStart w:id="28" w:name="_Toc28359009"/>
      <w:bookmarkStart w:id="29" w:name="_Toc28359086"/>
      <w:r>
        <w:rPr>
          <w:rFonts w:hint="eastAsia" w:ascii="仿宋" w:hAnsi="仿宋" w:eastAsia="仿宋" w:cs="仿宋"/>
          <w:color w:val="auto"/>
          <w:sz w:val="24"/>
          <w:szCs w:val="24"/>
          <w:highlight w:val="none"/>
          <w:u w:val="none"/>
          <w:lang w:val="en-US" w:eastAsia="zh-CN"/>
        </w:rPr>
        <w:t>/</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项目联系人（询问）：冯萍娟</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项目联系方式（询问）：</w:t>
      </w:r>
      <w:r>
        <w:rPr>
          <w:rFonts w:hint="eastAsia" w:ascii="仿宋" w:hAnsi="仿宋" w:eastAsia="仿宋" w:cs="仿宋"/>
          <w:color w:val="auto"/>
          <w:sz w:val="24"/>
          <w:szCs w:val="24"/>
          <w:highlight w:val="none"/>
          <w:u w:val="none"/>
          <w:lang w:val="en-US" w:eastAsia="zh-CN"/>
        </w:rPr>
        <w:t>0575-85550356</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质疑联系人：</w:t>
      </w:r>
      <w:r>
        <w:rPr>
          <w:rFonts w:hint="eastAsia" w:ascii="仿宋" w:hAnsi="仿宋" w:eastAsia="仿宋" w:cs="仿宋"/>
          <w:color w:val="auto"/>
          <w:sz w:val="24"/>
          <w:szCs w:val="24"/>
          <w:highlight w:val="none"/>
          <w:u w:val="none"/>
          <w:lang w:val="en-US" w:eastAsia="zh-CN"/>
        </w:rPr>
        <w:t>陶立丰</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0575-85550355</w:t>
      </w:r>
    </w:p>
    <w:bookmarkEnd w:id="28"/>
    <w:bookmarkEnd w:id="29"/>
    <w:p>
      <w:pPr>
        <w:keepNext w:val="0"/>
        <w:keepLines w:val="0"/>
        <w:pageBreakBefore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bookmarkStart w:id="30" w:name="_Toc28359010"/>
      <w:bookmarkStart w:id="31" w:name="_Toc28359087"/>
    </w:p>
    <w:p>
      <w:pPr>
        <w:keepNext w:val="0"/>
        <w:keepLines w:val="0"/>
        <w:pageBreakBefore w:val="0"/>
        <w:numPr>
          <w:ilvl w:val="0"/>
          <w:numId w:val="3"/>
        </w:numPr>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采购代理机构信息</w:t>
      </w:r>
    </w:p>
    <w:p>
      <w:pPr>
        <w:keepNext w:val="0"/>
        <w:keepLines w:val="0"/>
        <w:pageBreakBefore w:val="0"/>
        <w:numPr>
          <w:ilvl w:val="0"/>
          <w:numId w:val="0"/>
        </w:numPr>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称：浙江东腾利成招标代理有限公司 </w:t>
      </w:r>
    </w:p>
    <w:p>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地址：绍兴市人民东路1187号伟丰文化产业园藏品楼304室</w:t>
      </w:r>
    </w:p>
    <w:p>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传真：　/</w:t>
      </w: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项目联系人（询问）：茹丽萍</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冯莹洁 </w:t>
      </w:r>
    </w:p>
    <w:p>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项目联系方式（询问）：13777344612</w:t>
      </w:r>
    </w:p>
    <w:p>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质疑联系人：</w:t>
      </w:r>
      <w:r>
        <w:rPr>
          <w:rFonts w:hint="eastAsia" w:ascii="仿宋" w:hAnsi="仿宋" w:eastAsia="仿宋" w:cs="仿宋"/>
          <w:color w:val="auto"/>
          <w:sz w:val="24"/>
          <w:szCs w:val="24"/>
          <w:highlight w:val="none"/>
          <w:u w:val="none"/>
          <w:lang w:val="en-US" w:eastAsia="zh-CN"/>
        </w:rPr>
        <w:t>陈国琴</w:t>
      </w:r>
    </w:p>
    <w:p>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0575-88137377</w:t>
      </w:r>
      <w:r>
        <w:rPr>
          <w:rFonts w:hint="eastAsia" w:ascii="仿宋" w:hAnsi="仿宋" w:eastAsia="仿宋" w:cs="仿宋"/>
          <w:color w:val="auto"/>
          <w:sz w:val="24"/>
          <w:szCs w:val="24"/>
          <w:highlight w:val="none"/>
          <w:u w:val="none"/>
        </w:rPr>
        <w:t xml:space="preserve">  </w:t>
      </w:r>
    </w:p>
    <w:p>
      <w:pPr>
        <w:keepNext w:val="0"/>
        <w:keepLines w:val="0"/>
        <w:pageBreakBefore w:val="0"/>
        <w:kinsoku/>
        <w:wordWrap/>
        <w:overflowPunct/>
        <w:topLinePunct w:val="0"/>
        <w:autoSpaceDE/>
        <w:autoSpaceDN/>
        <w:bidi w:val="0"/>
        <w:adjustRightInd/>
        <w:snapToGrid/>
        <w:spacing w:line="312" w:lineRule="auto"/>
        <w:ind w:firstLine="720" w:firstLineChars="300"/>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bookmarkEnd w:id="30"/>
      <w:bookmarkEnd w:id="31"/>
      <w:r>
        <w:rPr>
          <w:rFonts w:hint="eastAsia" w:ascii="仿宋" w:hAnsi="仿宋" w:eastAsia="仿宋" w:cs="仿宋"/>
          <w:color w:val="auto"/>
          <w:sz w:val="24"/>
          <w:szCs w:val="24"/>
          <w:highlight w:val="none"/>
        </w:rPr>
        <w:t>同级政府采购监督管理部门</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绍兴市越城区孙端街道社区卫生服务中心党政办</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绍兴市越城区孙端街道街西108号</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w:t>
      </w:r>
    </w:p>
    <w:p>
      <w:pPr>
        <w:pStyle w:val="16"/>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lang w:val="en-US" w:eastAsia="zh-CN"/>
        </w:rPr>
        <w:t>赵丽蓉</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sz w:val="24"/>
          <w:szCs w:val="24"/>
          <w:highlight w:val="none"/>
          <w:u w:val="single"/>
        </w:rPr>
        <w:t>0575-85550390</w:t>
      </w:r>
    </w:p>
    <w:p>
      <w:pPr>
        <w:widowControl/>
        <w:jc w:val="left"/>
        <w:rPr>
          <w:rFonts w:ascii="仿宋" w:eastAsia="仿宋"/>
          <w:color w:val="auto"/>
          <w:sz w:val="28"/>
          <w:szCs w:val="28"/>
          <w:highlight w:val="none"/>
        </w:rPr>
      </w:pP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widowControl/>
        <w:jc w:val="center"/>
        <w:rPr>
          <w:rFonts w:hint="eastAsia" w:ascii="仿宋" w:eastAsia="仿宋"/>
          <w:b/>
          <w:bCs/>
          <w:color w:val="auto"/>
          <w:sz w:val="18"/>
          <w:szCs w:val="18"/>
          <w:highlight w:val="none"/>
        </w:rPr>
      </w:pPr>
    </w:p>
    <w:p>
      <w:pPr>
        <w:numPr>
          <w:ilvl w:val="0"/>
          <w:numId w:val="4"/>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val="0"/>
          <w:color w:val="auto"/>
          <w:sz w:val="24"/>
          <w:highlight w:val="none"/>
          <w:u w:val="single"/>
          <w:lang w:val="en-US" w:eastAsia="zh-CN"/>
        </w:rPr>
        <w:t>自行采购-委托代理</w:t>
      </w:r>
    </w:p>
    <w:p>
      <w:pPr>
        <w:numPr>
          <w:ilvl w:val="0"/>
          <w:numId w:val="4"/>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pPr>
        <w:numPr>
          <w:ilvl w:val="0"/>
          <w:numId w:val="4"/>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p>
    <w:p>
      <w:pPr>
        <w:numPr>
          <w:ilvl w:val="0"/>
          <w:numId w:val="4"/>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4"/>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hint="eastAsia" w:ascii="仿宋" w:hAnsi="仿宋" w:eastAsia="仿宋" w:cs="仿宋"/>
          <w:color w:val="auto"/>
          <w:kern w:val="0"/>
          <w:sz w:val="24"/>
          <w:highlight w:val="none"/>
        </w:rPr>
      </w:pPr>
      <w:bookmarkStart w:id="32" w:name="_Toc1678"/>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pPr>
        <w:spacing w:line="360" w:lineRule="auto"/>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pPr>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、获取采购文件后不参加投标的供应商，须向采购代理机构提供书面说明。</w:t>
      </w:r>
    </w:p>
    <w:p>
      <w:pPr>
        <w:keepNext w:val="0"/>
        <w:keepLines w:val="0"/>
        <w:pageBreakBefore w:val="0"/>
        <w:widowControl w:val="0"/>
        <w:kinsoku/>
        <w:overflowPunct/>
        <w:topLinePunct w:val="0"/>
        <w:autoSpaceDE/>
        <w:autoSpaceDN/>
        <w:bidi w:val="0"/>
        <w:adjustRightInd/>
        <w:snapToGrid/>
        <w:spacing w:line="360" w:lineRule="auto"/>
        <w:ind w:left="0" w:firstLine="349" w:firstLineChars="150"/>
        <w:textAlignment w:val="auto"/>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3" w:name="_Hlt10553107"/>
      <w:bookmarkEnd w:id="33"/>
      <w:bookmarkStart w:id="34" w:name="_Hlt10553106"/>
      <w:bookmarkEnd w:id="34"/>
      <w:r>
        <w:rPr>
          <w:rFonts w:hint="eastAsia" w:ascii="仿宋" w:hAnsi="仿宋" w:eastAsia="仿宋" w:cs="仿宋"/>
          <w:color w:val="auto"/>
          <w:spacing w:val="-4"/>
          <w:sz w:val="24"/>
          <w:szCs w:val="24"/>
          <w:highlight w:val="none"/>
        </w:rPr>
        <w:t>浙江政府采购网：http://zfcg.czt.zj.gov.cn 和绍兴市越城区人民政府网站公共资源交易版块：http://www.sxyc.gov.cn，</w:t>
      </w:r>
      <w:r>
        <w:rPr>
          <w:rFonts w:hint="eastAsia" w:ascii="仿宋" w:hAnsi="仿宋" w:eastAsia="仿宋" w:cs="仿宋"/>
          <w:b/>
          <w:bCs/>
          <w:color w:val="auto"/>
          <w:spacing w:val="-4"/>
          <w:sz w:val="24"/>
          <w:szCs w:val="24"/>
          <w:highlight w:val="none"/>
        </w:rPr>
        <w:t>采购文件详见后者</w:t>
      </w:r>
      <w:r>
        <w:rPr>
          <w:rFonts w:hint="eastAsia" w:ascii="仿宋" w:hAnsi="仿宋" w:eastAsia="仿宋" w:cs="仿宋"/>
          <w:color w:val="auto"/>
          <w:spacing w:val="-4"/>
          <w:sz w:val="24"/>
          <w:szCs w:val="24"/>
          <w:highlight w:val="none"/>
        </w:rPr>
        <w:t>。更正公告</w:t>
      </w:r>
      <w:r>
        <w:rPr>
          <w:rFonts w:hint="eastAsia" w:ascii="仿宋" w:hAnsi="仿宋" w:eastAsia="仿宋" w:cs="仿宋"/>
          <w:bCs/>
          <w:color w:val="auto"/>
          <w:sz w:val="24"/>
          <w:szCs w:val="24"/>
          <w:highlight w:val="none"/>
        </w:rPr>
        <w:t>请在浙江政府采购网更正公告页面或越城区人民政府门户网站采购公告页面中下载。</w:t>
      </w:r>
    </w:p>
    <w:p>
      <w:pPr>
        <w:pStyle w:val="3"/>
        <w:rPr>
          <w:rFonts w:hint="eastAsia" w:ascii="仿宋"/>
          <w:color w:val="auto"/>
          <w:highlight w:val="none"/>
        </w:rPr>
      </w:pPr>
    </w:p>
    <w:p>
      <w:pPr>
        <w:pStyle w:val="3"/>
        <w:rPr>
          <w:rFonts w:hint="eastAsia" w:ascii="仿宋"/>
          <w:color w:val="auto"/>
          <w:highlight w:val="none"/>
        </w:rPr>
      </w:pPr>
    </w:p>
    <w:p>
      <w:pPr>
        <w:rPr>
          <w:rFonts w:hint="eastAsia" w:ascii="仿宋"/>
          <w:color w:val="auto"/>
          <w:highlight w:val="none"/>
        </w:rPr>
      </w:pPr>
    </w:p>
    <w:p>
      <w:pPr>
        <w:rPr>
          <w:rFonts w:hint="eastAsia" w:ascii="仿宋"/>
          <w:color w:val="auto"/>
          <w:highlight w:val="none"/>
        </w:rPr>
      </w:pPr>
    </w:p>
    <w:p>
      <w:pPr>
        <w:rPr>
          <w:rFonts w:hint="eastAsia" w:ascii="仿宋"/>
          <w:color w:val="auto"/>
          <w:highlight w:val="none"/>
        </w:rPr>
      </w:pPr>
    </w:p>
    <w:p>
      <w:pPr>
        <w:rPr>
          <w:rFonts w:hint="eastAsia" w:ascii="仿宋"/>
          <w:color w:val="auto"/>
          <w:highlight w:val="none"/>
        </w:rPr>
      </w:pPr>
    </w:p>
    <w:p>
      <w:pPr>
        <w:rPr>
          <w:rFonts w:hint="eastAsia" w:ascii="仿宋"/>
          <w:color w:val="auto"/>
          <w:highlight w:val="none"/>
        </w:rPr>
      </w:pPr>
    </w:p>
    <w:p>
      <w:pPr>
        <w:pStyle w:val="3"/>
        <w:rPr>
          <w:rFonts w:hint="eastAsia" w:ascii="仿宋"/>
          <w:color w:val="auto"/>
          <w:highlight w:val="none"/>
        </w:rPr>
      </w:pPr>
      <w:r>
        <w:rPr>
          <w:rFonts w:hint="eastAsia" w:ascii="仿宋"/>
          <w:color w:val="auto"/>
          <w:highlight w:val="none"/>
        </w:rPr>
        <w:t>第二章  投标人须知</w:t>
      </w:r>
      <w:bookmarkEnd w:id="32"/>
    </w:p>
    <w:p>
      <w:pPr>
        <w:pStyle w:val="4"/>
        <w:rPr>
          <w:rFonts w:hint="eastAsia" w:ascii="仿宋"/>
          <w:color w:val="auto"/>
          <w:highlight w:val="none"/>
        </w:rPr>
      </w:pPr>
      <w:bookmarkStart w:id="35" w:name="_Toc4885"/>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绍兴市越城区孙端街道社区卫生服务中心职工用餐、商品换购配送服务项目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hAnsi="仿宋" w:eastAsia="仿宋" w:cs="仿宋"/>
                <w:b/>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hAnsi="仿宋" w:eastAsia="仿宋" w:cs="仿宋"/>
                <w:b/>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hAnsi="仿宋" w:eastAsia="仿宋" w:cs="仿宋"/>
                <w:b/>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w:t>
            </w:r>
            <w:r>
              <w:rPr>
                <w:rFonts w:hint="eastAsia" w:ascii="仿宋" w:hAnsi="仿宋" w:eastAsia="仿宋" w:cs="仿宋"/>
                <w:b/>
                <w:color w:val="auto"/>
                <w:sz w:val="24"/>
                <w:highlight w:val="none"/>
              </w:rPr>
              <w:t>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同时提供电子投标文件一份（U盘），电子投标文件为投标文件正本扫描件，单独密封。</w:t>
            </w:r>
            <w:r>
              <w:rPr>
                <w:rFonts w:hint="eastAsia" w:ascii="仿宋" w:hAnsi="仿宋" w:eastAsia="仿宋" w:cs="仿宋"/>
                <w:color w:val="auto"/>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auto"/>
                <w:sz w:val="24"/>
                <w:highlight w:val="none"/>
                <w:lang w:eastAsia="zh-CN"/>
              </w:rPr>
            </w:pPr>
            <w:r>
              <w:rPr>
                <w:rFonts w:hint="eastAsia" w:ascii="仿宋" w:eastAsia="仿宋"/>
                <w:b/>
                <w:color w:val="auto"/>
                <w:sz w:val="24"/>
                <w:highlight w:val="none"/>
              </w:rPr>
              <w:t>履约保证金及缴退时间：</w:t>
            </w:r>
            <w:r>
              <w:rPr>
                <w:rFonts w:hint="eastAsia" w:ascii="仿宋" w:hAnsi="仿宋" w:eastAsia="仿宋" w:cs="仿宋"/>
                <w:color w:val="auto"/>
                <w:sz w:val="24"/>
                <w:highlight w:val="none"/>
                <w:lang w:val="en-US" w:eastAsia="zh-CN"/>
              </w:rPr>
              <w:t>无</w:t>
            </w:r>
          </w:p>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不允许</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绍兴市越城区孙端街道社区卫生服务中心职工用餐、商品换购配送服务项目</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pPr>
              <w:snapToGrid w:val="0"/>
              <w:jc w:val="left"/>
              <w:rPr>
                <w:rFonts w:hint="default" w:ascii="仿宋" w:eastAsia="仿宋"/>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adjustRightInd w:val="0"/>
              <w:spacing w:line="440" w:lineRule="exact"/>
              <w:rPr>
                <w:rFonts w:ascii="仿宋" w:hAnsi="仿宋" w:eastAsia="仿宋" w:cs="仿宋"/>
                <w:color w:val="auto"/>
                <w:sz w:val="24"/>
                <w:highlight w:val="none"/>
              </w:rPr>
            </w:pPr>
            <w:r>
              <w:rPr>
                <w:rFonts w:hint="eastAsia" w:ascii="仿宋" w:hAnsi="仿宋" w:eastAsia="仿宋" w:cs="宋体"/>
                <w:color w:val="auto"/>
                <w:kern w:val="0"/>
                <w:sz w:val="24"/>
                <w:szCs w:val="21"/>
                <w:highlight w:val="none"/>
              </w:rPr>
              <w:t>中标人须向招标代理机构按如下标准和规定交纳中标服务费</w:t>
            </w:r>
            <w:r>
              <w:rPr>
                <w:rFonts w:hint="eastAsia" w:ascii="仿宋" w:hAnsi="仿宋" w:eastAsia="仿宋" w:cs="仿宋"/>
                <w:b/>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）中标服务费由中标人支付，协议价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000元。</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pPr>
              <w:numPr>
                <w:ilvl w:val="0"/>
                <w:numId w:val="0"/>
              </w:numPr>
              <w:bidi w:val="0"/>
              <w:spacing w:line="360" w:lineRule="auto"/>
              <w:ind w:leftChars="0"/>
              <w:rPr>
                <w:rFonts w:hint="eastAsia" w:ascii="仿宋" w:eastAsia="仿宋" w:cs="仿宋_GB2312"/>
                <w:b/>
                <w:bCs/>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）评审费</w:t>
            </w:r>
            <w:r>
              <w:rPr>
                <w:rFonts w:hint="eastAsia" w:ascii="仿宋" w:hAnsi="仿宋" w:eastAsia="仿宋" w:cs="仿宋"/>
                <w:color w:val="auto"/>
                <w:sz w:val="24"/>
                <w:szCs w:val="24"/>
                <w:highlight w:val="none"/>
                <w:lang w:val="en-US" w:eastAsia="zh-CN"/>
              </w:rPr>
              <w:t>由采购人支付。</w:t>
            </w:r>
          </w:p>
        </w:tc>
      </w:tr>
    </w:tbl>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pStyle w:val="4"/>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pPr>
        <w:pStyle w:val="8"/>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2</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3</w:t>
      </w:r>
      <w:r>
        <w:rPr>
          <w:rFonts w:hint="eastAsia" w:ascii="仿宋" w:eastAsia="仿宋"/>
          <w:color w:val="auto"/>
          <w:sz w:val="24"/>
          <w:highlight w:val="none"/>
        </w:rPr>
        <w:t>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4</w:t>
      </w:r>
      <w:r>
        <w:rPr>
          <w:rFonts w:hint="eastAsia" w:ascii="仿宋" w:eastAsia="仿宋"/>
          <w:color w:val="auto"/>
          <w:sz w:val="24"/>
          <w:highlight w:val="none"/>
        </w:rPr>
        <w:t>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.2特定资格条件证明材料（如有）。</w:t>
      </w:r>
    </w:p>
    <w:p>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中小企业声明函；</w:t>
      </w:r>
    </w:p>
    <w:p>
      <w:pPr>
        <w:widowControl/>
        <w:snapToGrid w:val="0"/>
        <w:spacing w:line="440" w:lineRule="exact"/>
        <w:jc w:val="left"/>
        <w:rPr>
          <w:rFonts w:hint="eastAsia" w:ascii="仿宋" w:eastAsia="仿宋"/>
          <w:color w:val="auto"/>
          <w:sz w:val="24"/>
          <w:highlight w:val="none"/>
          <w:lang w:eastAsia="zh-CN"/>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6</w:t>
      </w:r>
      <w:r>
        <w:rPr>
          <w:rFonts w:hint="eastAsia" w:ascii="仿宋" w:eastAsia="仿宋"/>
          <w:color w:val="auto"/>
          <w:sz w:val="24"/>
          <w:highlight w:val="none"/>
        </w:rPr>
        <w:t>残疾人福利性单位声明函</w:t>
      </w:r>
      <w:r>
        <w:rPr>
          <w:rFonts w:hint="eastAsia" w:ascii="仿宋" w:eastAsia="仿宋"/>
          <w:color w:val="auto"/>
          <w:sz w:val="24"/>
          <w:highlight w:val="none"/>
          <w:lang w:eastAsia="zh-CN"/>
        </w:rPr>
        <w:t>；</w:t>
      </w:r>
    </w:p>
    <w:p>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注：供应商可对上述内容的格式和内容进行调整，以使“商务和技术文件”内容更加完备。</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”按采购文件第六章规定的内容填写</w:t>
      </w:r>
      <w:r>
        <w:rPr>
          <w:rFonts w:hint="eastAsia" w:ascii="仿宋" w:hAnsi="仿宋" w:eastAsia="仿宋" w:cs="仿宋"/>
          <w:b/>
          <w:bCs/>
          <w:color w:val="auto"/>
          <w:sz w:val="32"/>
          <w:szCs w:val="32"/>
          <w:highlight w:val="none"/>
          <w:u w:val="single"/>
          <w:lang w:eastAsia="zh-CN"/>
        </w:rPr>
        <w:t>、签字和盖章</w:t>
      </w:r>
      <w:r>
        <w:rPr>
          <w:rFonts w:hint="eastAsia" w:ascii="仿宋" w:hAnsi="仿宋" w:eastAsia="仿宋" w:cs="仿宋"/>
          <w:b/>
          <w:bCs/>
          <w:color w:val="auto"/>
          <w:sz w:val="32"/>
          <w:szCs w:val="32"/>
          <w:highlight w:val="none"/>
          <w:u w:val="single"/>
        </w:rPr>
        <w:t>，内容有实质性偏离的作无效投标处理。</w:t>
      </w:r>
    </w:p>
    <w:p>
      <w:pPr>
        <w:numPr>
          <w:ilvl w:val="0"/>
          <w:numId w:val="5"/>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3.1封包要求：“资格文件”“商务和技术文件”和“报价文件”需装订成册，分三部分分别密封封装。</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电子投标文件一份（U盘），电子投标文件为投标文件正本扫描件，单独密封封装。</w:t>
      </w:r>
      <w:r>
        <w:rPr>
          <w:rFonts w:hint="eastAsia" w:ascii="仿宋" w:hAnsi="仿宋" w:eastAsia="仿宋" w:cs="仿宋"/>
          <w:color w:val="auto"/>
          <w:sz w:val="24"/>
          <w:highlight w:val="none"/>
        </w:rPr>
        <w:t>封装表面至少标注项目名称、项目编号、投标人名称、标段编号并加盖供应商公章，若要修改须在修改处加盖单位公章或其授权代表签字或盖章。未按照招标文件规定制作、密封封装的投标文件可不予接收。</w:t>
      </w:r>
    </w:p>
    <w:p>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3.2签署要求：授权代表按采购文件第六章“投标文件格式附件”各表单要求签署。</w:t>
      </w:r>
    </w:p>
    <w:p>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3.3制作要求：建议采用A4幅面，编制页码，制作目录，提倡双面打印。</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2" w:firstLineChars="200"/>
        <w:rPr>
          <w:rFonts w:hint="eastAsia" w:ascii="仿宋" w:eastAsia="仿宋"/>
          <w:color w:val="auto"/>
          <w:kern w:val="0"/>
          <w:sz w:val="24"/>
          <w:highlight w:val="none"/>
        </w:rPr>
      </w:pPr>
      <w:r>
        <w:rPr>
          <w:rFonts w:hint="eastAsia" w:ascii="仿宋" w:hAnsi="仿宋" w:eastAsia="仿宋" w:cs="仿宋"/>
          <w:b/>
          <w:bCs/>
          <w:color w:val="auto"/>
          <w:kern w:val="0"/>
          <w:sz w:val="24"/>
          <w:highlight w:val="none"/>
        </w:rPr>
        <w:t>投标截止时间前</w:t>
      </w:r>
      <w:r>
        <w:rPr>
          <w:rFonts w:hint="eastAsia" w:ascii="仿宋" w:hAnsi="仿宋" w:eastAsia="仿宋" w:cs="仿宋"/>
          <w:color w:val="auto"/>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highlight w:val="none"/>
        </w:rPr>
        <w:t>并明确注明“资格文件（或</w:t>
      </w:r>
      <w:r>
        <w:rPr>
          <w:rFonts w:hint="eastAsia" w:ascii="仿宋" w:hAnsi="仿宋" w:eastAsia="仿宋" w:cs="仿宋"/>
          <w:color w:val="auto"/>
          <w:kern w:val="0"/>
          <w:sz w:val="24"/>
          <w:highlight w:val="none"/>
        </w:rPr>
        <w:t>商务和技术文件或报价文件）修改（或补充）材料、项目名称或项目（标段）编号、供应商名称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字样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同时由</w:t>
      </w: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kern w:val="0"/>
          <w:sz w:val="24"/>
          <w:highlight w:val="none"/>
        </w:rPr>
        <w:t>。未按上述规则制作的补充和修改材料将被拒收。</w:t>
      </w:r>
    </w:p>
    <w:p>
      <w:pPr>
        <w:pStyle w:val="8"/>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pPr>
        <w:pStyle w:val="4"/>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需出席开标会议，</w:t>
      </w:r>
    </w:p>
    <w:p>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2．投标文件的提交</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2.1投标文件递交地点以招标文件载明的开标室为准，递交时间以开标室的电子时钟显示为准，逾期不予接受。</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2.3投标截止时间前，供应商有权对投标文件包封、签署、盖章进行完善。</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2.4投标文件提交后，供应商应当签署《投标（响应）文件签收登记表》。</w:t>
      </w:r>
    </w:p>
    <w:p>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3．开标大会程序</w:t>
      </w:r>
    </w:p>
    <w:p>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3.1主持人宣布开标会开始，介绍到会单位和人员。</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3.2采购代理机构核对、宣读完成标书提交并签到的供应商名单。</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3.3采购代理机构组织代表相互检查投标文件包封情况，不满足采购文件规定的将予以拒收。</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3.4采购代理机构组织各供应商法定代表人或其授权代表签署《采购活动现场确认声明书》。</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3.5启封“资格文件”，采购人或采购人委托的评审小组或采购代理机构对“资格文件”进行资格审查，公布审查结果。</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3.6启封“商务和技术文件”，交由评审委员会评审。如有演示要求，组织各供应商逐一演示，具体详见《前附表》中的演示要求。</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3.7主持人宣布商务和技术文件得分情况及无效（废）投标情形（如有）。</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3.8启封“报价文件”，宣读供应商名称、投标报价等内容。</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3.10主持人公布评审结果。</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以上程序在不违反公开、公平、公正原则的基础上，可适当调整。</w:t>
      </w:r>
    </w:p>
    <w:p>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.评审委员会的组成</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1评审委员会由采购单位依法组建，负责评标活动及协助处理质疑投诉。参与本项目进口论证的专家不得作为采购评审专家参与同一项目的采购评审工作。</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.2评审委员会由采购人代表和有关方面的专家组成，成员人数为五人及以上单数。预算金额在1000万及以上的，成员人数为七人及以上单数。</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.3采购人代表不担任评审组长。</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.评审</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.1评审程序：</w:t>
      </w: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.1.1资格审查：采购人或采购人委托的评审小组或采购代理机构依据法律、法规和采购文件规定，对投标文件中“资格文件”等进行审查，以确定投标人是否具备投标资格。</w:t>
      </w: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.1.3商务技术评分：对“商务和技术文件”中的响应情况进行评分。</w:t>
      </w: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.1.4“报价文件”的符合性审查：审查范围包括报价有效性、准确性等。</w:t>
      </w: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.1.5报价评分：根据评审价格和价格分计算公式计算各投标人价格分。</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.2评审委员会不负责解释投标人的得分高低和失分情况。</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.3评审委员会不得依据投标文件（包括样品、演示）以外的资料评分。</w:t>
      </w:r>
    </w:p>
    <w:p>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.5评审委员会不向落标方解释落标的原因，不退还投标文件。</w:t>
      </w:r>
    </w:p>
    <w:p>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.报价修正规则</w:t>
      </w:r>
    </w:p>
    <w:p>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.1投标文件中开标一览表（报价表）内容与投标文件中相应内容不一致的，以开标一览表（报价表）为准；</w:t>
      </w:r>
    </w:p>
    <w:p>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.2大写金额和小写金额不一致的，以大写金额为准；</w:t>
      </w:r>
    </w:p>
    <w:p>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.3单价金额小数点或者百分比有明显错位的，以开标一览表的总价为准，并修改单价；</w:t>
      </w:r>
    </w:p>
    <w:p>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．无效投标的情形</w:t>
      </w:r>
    </w:p>
    <w:p>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 xml:space="preserve">.2为采购项目提供整体设计、规范编制或者项目管理、监理、检测等服务的供应商再参加该采购项目的其他采购活动的（单一来源采购除外）；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.5投标文件制作出现如下情况：</w:t>
      </w:r>
    </w:p>
    <w:p>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.5.1未按采购文件要求制作“资格文件”的；</w:t>
      </w:r>
    </w:p>
    <w:p>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lang w:eastAsia="zh-CN"/>
        </w:rPr>
        <w:t>7</w:t>
      </w:r>
      <w:r>
        <w:rPr>
          <w:rFonts w:hint="eastAsia" w:ascii="仿宋" w:hAnsi="仿宋" w:eastAsia="仿宋" w:cs="仿宋"/>
          <w:color w:val="auto"/>
          <w:sz w:val="24"/>
          <w:szCs w:val="20"/>
          <w:highlight w:val="none"/>
        </w:rPr>
        <w:t>.5.4对招标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.5.6未按采购文件规定要求签署盖章的。</w:t>
      </w:r>
    </w:p>
    <w:p>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投标人递交的投标文件与项目不符或内容严重不全的；</w:t>
      </w:r>
    </w:p>
    <w:p>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.7重要信息前后不一致，经评审委员会询标后仍然无法评审的；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eastAsia="zh-CN"/>
        </w:rPr>
        <w:t>7</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投标人对根据修正原则修正后的报价不确认的；</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.1使用伪造、变造的许可证件、资质证书；</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.2提供虚假的财务状况或者业绩；</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.3提供虚假的项目负责人或者主要项目实施人员简历、劳动关系证明；</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.4提供虚假的信用状况；</w:t>
      </w:r>
    </w:p>
    <w:p>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default" w:ascii="仿宋" w:eastAsia="仿宋"/>
          <w:color w:val="auto"/>
          <w:sz w:val="24"/>
          <w:highlight w:val="none"/>
        </w:rPr>
        <w:t>供应商</w:t>
      </w:r>
      <w:r>
        <w:rPr>
          <w:rFonts w:hint="eastAsia" w:ascii="仿宋" w:eastAsia="仿宋"/>
          <w:color w:val="auto"/>
          <w:sz w:val="24"/>
          <w:highlight w:val="none"/>
        </w:rPr>
        <w:t>串通投标的。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eastAsia="zh"/>
        </w:rPr>
        <w:t>参与同一个采购包（标段）的供应商</w:t>
      </w:r>
      <w:r>
        <w:rPr>
          <w:rFonts w:hint="eastAsia" w:ascii="仿宋" w:eastAsia="仿宋"/>
          <w:color w:val="auto"/>
          <w:sz w:val="24"/>
          <w:highlight w:val="none"/>
        </w:rPr>
        <w:t>有下列情形之一</w:t>
      </w:r>
      <w:r>
        <w:rPr>
          <w:rFonts w:hint="eastAsia" w:ascii="仿宋" w:eastAsia="仿宋"/>
          <w:color w:val="auto"/>
          <w:sz w:val="24"/>
          <w:highlight w:val="none"/>
          <w:lang w:eastAsia="zh"/>
        </w:rPr>
        <w:t>且无法合理解释</w:t>
      </w:r>
      <w:r>
        <w:rPr>
          <w:rFonts w:hint="eastAsia" w:ascii="仿宋" w:eastAsia="仿宋"/>
          <w:color w:val="auto"/>
          <w:sz w:val="24"/>
          <w:highlight w:val="none"/>
        </w:rPr>
        <w:t>的，视为</w:t>
      </w:r>
      <w:r>
        <w:rPr>
          <w:rFonts w:hint="default" w:ascii="仿宋" w:eastAsia="仿宋"/>
          <w:color w:val="auto"/>
          <w:sz w:val="24"/>
          <w:highlight w:val="none"/>
        </w:rPr>
        <w:t>供应商</w:t>
      </w:r>
      <w:r>
        <w:rPr>
          <w:rFonts w:hint="eastAsia" w:ascii="仿宋" w:eastAsia="仿宋"/>
          <w:color w:val="auto"/>
          <w:sz w:val="24"/>
          <w:highlight w:val="none"/>
        </w:rPr>
        <w:t>串通投标，其投标</w:t>
      </w:r>
      <w:r>
        <w:rPr>
          <w:rFonts w:hint="eastAsia" w:ascii="仿宋" w:eastAsia="仿宋"/>
          <w:color w:val="auto"/>
          <w:sz w:val="24"/>
          <w:highlight w:val="none"/>
          <w:lang w:eastAsia="zh"/>
        </w:rPr>
        <w:t>（响应）</w:t>
      </w:r>
      <w:r>
        <w:rPr>
          <w:rFonts w:hint="eastAsia" w:ascii="仿宋" w:eastAsia="仿宋"/>
          <w:color w:val="auto"/>
          <w:sz w:val="24"/>
          <w:highlight w:val="none"/>
        </w:rPr>
        <w:t>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7.14.1</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7.14.2</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文件载明的项目管理成员或者联系人员为同一人</w:t>
      </w:r>
      <w:r>
        <w:rPr>
          <w:rFonts w:hint="eastAsia" w:ascii="仿宋" w:eastAsia="仿宋"/>
          <w:color w:val="auto"/>
          <w:sz w:val="24"/>
          <w:highlight w:val="none"/>
          <w:lang w:eastAsia="zh"/>
        </w:rPr>
        <w:t>，或不同联系人的联系电话一致的</w:t>
      </w:r>
      <w:r>
        <w:rPr>
          <w:rFonts w:hint="eastAsia" w:ascii="仿宋" w:eastAsia="仿宋"/>
          <w:color w:val="auto"/>
          <w:sz w:val="24"/>
          <w:highlight w:val="none"/>
        </w:rPr>
        <w:t>；</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7.14.3</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文件异常一致或者投标报价呈规律性差异</w:t>
      </w:r>
      <w:r>
        <w:rPr>
          <w:rFonts w:hint="eastAsia" w:ascii="仿宋" w:eastAsia="仿宋"/>
          <w:color w:val="auto"/>
          <w:sz w:val="24"/>
          <w:highlight w:val="none"/>
          <w:lang w:eastAsia="zh"/>
        </w:rPr>
        <w:t>，包括但不仅限于不同供应商的投标（响应）文件的内容存在3处（含）以上错误一致的</w:t>
      </w:r>
      <w:r>
        <w:rPr>
          <w:rFonts w:hint="eastAsia" w:ascii="仿宋" w:eastAsia="仿宋"/>
          <w:color w:val="auto"/>
          <w:sz w:val="24"/>
          <w:highlight w:val="none"/>
        </w:rPr>
        <w:t>；</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7.14.4</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文件相互混装</w:t>
      </w:r>
      <w:r>
        <w:rPr>
          <w:rFonts w:hint="eastAsia" w:ascii="仿宋" w:eastAsia="仿宋"/>
          <w:color w:val="auto"/>
          <w:sz w:val="24"/>
          <w:highlight w:val="none"/>
          <w:lang w:eastAsia="zh"/>
        </w:rPr>
        <w:t>，包括但不仅限于加盖本项目其他投标（响应）供应商的印章的</w:t>
      </w:r>
      <w:r>
        <w:rPr>
          <w:rFonts w:hint="eastAsia" w:ascii="仿宋" w:eastAsia="仿宋"/>
          <w:color w:val="auto"/>
          <w:sz w:val="24"/>
          <w:highlight w:val="none"/>
        </w:rPr>
        <w:t>；</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eastAsia="仿宋"/>
          <w:color w:val="auto"/>
          <w:sz w:val="24"/>
          <w:highlight w:val="none"/>
          <w:lang w:val="en-US" w:eastAsia="zh-CN"/>
        </w:rPr>
        <w:t>7.14.5</w:t>
      </w:r>
      <w:r>
        <w:rPr>
          <w:rFonts w:hint="eastAsia" w:ascii="仿宋" w:eastAsia="仿宋"/>
          <w:color w:val="auto"/>
          <w:sz w:val="24"/>
          <w:highlight w:val="none"/>
        </w:rPr>
        <w:t>法律规定的其他串通投标情形。</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7.18未提供样品或提供的样品不满足采购需求实质性要求的；</w:t>
      </w:r>
    </w:p>
    <w:p>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违反法律、法规及本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情形。</w:t>
      </w:r>
    </w:p>
    <w:p>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.定标</w:t>
      </w:r>
    </w:p>
    <w:p>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.中标通知书的申领</w:t>
      </w:r>
    </w:p>
    <w:p>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.1本项目中标通知书在采购代理机构处领取。</w:t>
      </w:r>
    </w:p>
    <w:p>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.2中标通知书在中标公告发布的同时发出。</w:t>
      </w:r>
    </w:p>
    <w:p>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9</w:t>
      </w:r>
      <w:r>
        <w:rPr>
          <w:rFonts w:hint="eastAsia" w:ascii="仿宋" w:hAnsi="仿宋" w:eastAsia="仿宋" w:cs="仿宋"/>
          <w:b/>
          <w:bCs/>
          <w:color w:val="auto"/>
          <w:kern w:val="0"/>
          <w:sz w:val="24"/>
          <w:highlight w:val="none"/>
        </w:rPr>
        <w:t>.4中标通知书的领取不妨碍相关质疑投诉的提出和处置，中标结果在法定情形内允许改变。在处理完针对中标结果的质疑或投诉前，原则上不签订采购合同。</w:t>
      </w:r>
    </w:p>
    <w:p>
      <w:pPr>
        <w:widowControl/>
        <w:snapToGrid w:val="0"/>
        <w:spacing w:line="480" w:lineRule="exact"/>
        <w:ind w:firstLine="488"/>
        <w:rPr>
          <w:rFonts w:hint="eastAsia" w:ascii="仿宋" w:eastAsia="仿宋"/>
          <w:color w:val="auto"/>
          <w:kern w:val="0"/>
          <w:sz w:val="24"/>
          <w:highlight w:val="none"/>
        </w:rPr>
      </w:pPr>
    </w:p>
    <w:p>
      <w:pPr>
        <w:pStyle w:val="4"/>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hint="eastAsia" w:ascii="仿宋" w:eastAsia="仿宋"/>
          <w:color w:val="auto"/>
          <w:kern w:val="0"/>
          <w:sz w:val="24"/>
          <w:highlight w:val="none"/>
          <w:lang w:eastAsia="zh-CN"/>
        </w:rPr>
      </w:pPr>
      <w:r>
        <w:rPr>
          <w:rFonts w:hint="eastAsia" w:ascii="仿宋" w:eastAsia="仿宋"/>
          <w:b/>
          <w:color w:val="auto"/>
          <w:sz w:val="24"/>
          <w:highlight w:val="none"/>
        </w:rPr>
        <w:t>2．履约保证金</w:t>
      </w:r>
      <w:r>
        <w:rPr>
          <w:rFonts w:hint="eastAsia" w:ascii="仿宋" w:eastAsia="仿宋"/>
          <w:b/>
          <w:color w:val="auto"/>
          <w:sz w:val="24"/>
          <w:highlight w:val="none"/>
          <w:lang w:eastAsia="zh-CN"/>
        </w:rPr>
        <w:t>：</w:t>
      </w:r>
      <w:r>
        <w:rPr>
          <w:rFonts w:hint="eastAsia" w:ascii="仿宋" w:eastAsia="仿宋"/>
          <w:color w:val="auto"/>
          <w:kern w:val="0"/>
          <w:sz w:val="24"/>
          <w:highlight w:val="none"/>
          <w:lang w:val="en-US" w:eastAsia="zh-CN"/>
        </w:rPr>
        <w:t>无</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hint="eastAsia" w:ascii="仿宋" w:eastAsia="仿宋"/>
          <w:color w:val="auto"/>
          <w:kern w:val="0"/>
          <w:sz w:val="24"/>
          <w:highlight w:val="none"/>
        </w:rPr>
      </w:pPr>
    </w:p>
    <w:p>
      <w:pPr>
        <w:pStyle w:val="3"/>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3"/>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3"/>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3"/>
        <w:rPr>
          <w:rFonts w:hint="eastAsia" w:ascii="仿宋" w:eastAsia="仿宋"/>
          <w:color w:val="auto"/>
          <w:kern w:val="0"/>
          <w:sz w:val="24"/>
          <w:highlight w:val="none"/>
        </w:rPr>
      </w:pPr>
    </w:p>
    <w:p>
      <w:pPr>
        <w:pStyle w:val="3"/>
        <w:jc w:val="both"/>
        <w:rPr>
          <w:rFonts w:hint="eastAsia" w:ascii="仿宋" w:eastAsia="仿宋"/>
          <w:color w:val="auto"/>
          <w:kern w:val="0"/>
          <w:sz w:val="24"/>
          <w:highlight w:val="none"/>
        </w:rPr>
      </w:pPr>
    </w:p>
    <w:p>
      <w:pPr>
        <w:rPr>
          <w:rFonts w:hint="eastAsia" w:ascii="仿宋" w:eastAsia="仿宋"/>
          <w:color w:val="auto"/>
          <w:kern w:val="0"/>
          <w:sz w:val="24"/>
          <w:highlight w:val="none"/>
        </w:rPr>
      </w:pPr>
    </w:p>
    <w:p>
      <w:pPr>
        <w:pStyle w:val="2"/>
        <w:rPr>
          <w:rFonts w:hint="eastAsia" w:ascii="仿宋" w:eastAsia="仿宋"/>
          <w:color w:val="auto"/>
          <w:kern w:val="0"/>
          <w:sz w:val="24"/>
          <w:highlight w:val="none"/>
        </w:rPr>
      </w:pPr>
    </w:p>
    <w:p>
      <w:pPr>
        <w:pStyle w:val="2"/>
        <w:rPr>
          <w:rFonts w:hint="eastAsia" w:ascii="仿宋" w:eastAsia="仿宋"/>
          <w:color w:val="auto"/>
          <w:kern w:val="0"/>
          <w:sz w:val="24"/>
          <w:highlight w:val="none"/>
        </w:rPr>
      </w:pPr>
    </w:p>
    <w:p>
      <w:pPr>
        <w:pStyle w:val="2"/>
        <w:rPr>
          <w:rFonts w:hint="eastAsia" w:ascii="仿宋" w:eastAsia="仿宋"/>
          <w:color w:val="auto"/>
          <w:kern w:val="0"/>
          <w:sz w:val="24"/>
          <w:highlight w:val="none"/>
        </w:rPr>
      </w:pPr>
    </w:p>
    <w:p>
      <w:pPr>
        <w:pStyle w:val="2"/>
        <w:rPr>
          <w:rFonts w:hint="eastAsia" w:ascii="仿宋" w:eastAsia="仿宋"/>
          <w:color w:val="auto"/>
          <w:kern w:val="0"/>
          <w:sz w:val="24"/>
          <w:highlight w:val="none"/>
        </w:rPr>
      </w:pPr>
    </w:p>
    <w:p>
      <w:pPr>
        <w:rPr>
          <w:rFonts w:hint="eastAsia"/>
          <w:color w:val="auto"/>
          <w:highlight w:val="none"/>
        </w:rPr>
      </w:pPr>
    </w:p>
    <w:p>
      <w:pPr>
        <w:rPr>
          <w:rFonts w:hint="eastAsia"/>
          <w:color w:val="auto"/>
          <w:highlight w:val="none"/>
        </w:rPr>
      </w:pPr>
    </w:p>
    <w:p>
      <w:pPr>
        <w:pStyle w:val="3"/>
        <w:jc w:val="center"/>
        <w:rPr>
          <w:rFonts w:hint="eastAsia" w:ascii="仿宋"/>
          <w:color w:val="auto"/>
          <w:highlight w:val="none"/>
        </w:rPr>
      </w:pPr>
      <w:bookmarkStart w:id="40" w:name="_Toc3442"/>
      <w:r>
        <w:rPr>
          <w:rFonts w:hint="eastAsia" w:ascii="仿宋"/>
          <w:color w:val="auto"/>
          <w:highlight w:val="none"/>
        </w:rPr>
        <w:t>第三章  采购需求</w:t>
      </w:r>
      <w:bookmarkEnd w:id="40"/>
    </w:p>
    <w:p>
      <w:pPr>
        <w:pStyle w:val="4"/>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pPr>
        <w:widowControl/>
        <w:snapToGrid w:val="0"/>
        <w:spacing w:line="360" w:lineRule="auto"/>
        <w:ind w:firstLine="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1、项目概况</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本项目为绍兴市越城区孙端街道社区卫生服务中心职工用餐、商品换购配送服务项目，员工人数93人，供应商需按实际用餐人数提供用餐配送，商品换购服务。</w:t>
      </w:r>
    </w:p>
    <w:p>
      <w:pPr>
        <w:widowControl/>
        <w:numPr>
          <w:ilvl w:val="0"/>
          <w:numId w:val="6"/>
        </w:numPr>
        <w:snapToGrid w:val="0"/>
        <w:spacing w:line="360" w:lineRule="auto"/>
        <w:ind w:left="0" w:leftChars="0" w:firstLine="0" w:firstLine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服务地点：</w:t>
      </w:r>
      <w:r>
        <w:rPr>
          <w:rFonts w:hint="eastAsia" w:ascii="仿宋" w:hAnsi="仿宋" w:eastAsia="仿宋" w:cs="仿宋"/>
          <w:color w:val="auto"/>
          <w:kern w:val="0"/>
          <w:sz w:val="24"/>
          <w:szCs w:val="24"/>
          <w:highlight w:val="none"/>
          <w:lang w:val="en-US" w:eastAsia="zh-CN"/>
        </w:rPr>
        <w:t>绍兴市越城区孙端街道社区卫生服务中心</w:t>
      </w:r>
    </w:p>
    <w:p>
      <w:pPr>
        <w:widowControl/>
        <w:numPr>
          <w:ilvl w:val="0"/>
          <w:numId w:val="6"/>
        </w:numPr>
        <w:snapToGrid w:val="0"/>
        <w:spacing w:line="360" w:lineRule="auto"/>
        <w:ind w:left="0" w:leftChars="0" w:firstLine="0" w:firstLine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项目内容要求</w:t>
      </w:r>
    </w:p>
    <w:p>
      <w:pPr>
        <w:widowControl/>
        <w:numPr>
          <w:ilvl w:val="0"/>
          <w:numId w:val="0"/>
        </w:numPr>
        <w:snapToGrid w:val="0"/>
        <w:spacing w:line="360" w:lineRule="auto"/>
        <w:ind w:left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3.1用餐配送要求</w:t>
      </w:r>
    </w:p>
    <w:p>
      <w:pPr>
        <w:widowControl/>
        <w:numPr>
          <w:ilvl w:val="0"/>
          <w:numId w:val="0"/>
        </w:num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3.1.1总体要求</w:t>
      </w:r>
    </w:p>
    <w:p>
      <w:pPr>
        <w:widowControl/>
        <w:numPr>
          <w:ilvl w:val="0"/>
          <w:numId w:val="0"/>
        </w:numPr>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本招标项目要求供应商具有丰富的集体用餐配送经验，能独立承担经营责任及风险的社会餐饮机构。确保所提供的饮食卫生可口、价格合理、服务周到。</w:t>
      </w:r>
    </w:p>
    <w:p>
      <w:pPr>
        <w:widowControl/>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中午用餐：供应商出餐后（大锅菜，大锅饭等），送到招标人指定地点，并进行打餐服务。用餐结束后需把所有餐盘洗净消毒并打扫干净用餐场地。（餐具及消毒柜由招标人提供）</w:t>
      </w:r>
    </w:p>
    <w:p>
      <w:pPr>
        <w:bidi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晚上用餐：供应商按快餐形式打包送至招标人指定地点，</w:t>
      </w:r>
      <w:r>
        <w:rPr>
          <w:rFonts w:hint="eastAsia" w:ascii="仿宋" w:hAnsi="仿宋" w:eastAsia="仿宋" w:cs="仿宋"/>
          <w:color w:val="auto"/>
          <w:sz w:val="24"/>
          <w:szCs w:val="24"/>
          <w:highlight w:val="none"/>
          <w:lang w:val="en-US" w:eastAsia="zh-CN"/>
        </w:rPr>
        <w:t>配套餐具要求</w:t>
      </w:r>
      <w:r>
        <w:rPr>
          <w:rFonts w:hint="eastAsia" w:ascii="仿宋" w:hAnsi="仿宋" w:eastAsia="仿宋" w:cs="仿宋"/>
          <w:color w:val="auto"/>
          <w:sz w:val="24"/>
          <w:szCs w:val="24"/>
          <w:highlight w:val="none"/>
        </w:rPr>
        <w:t>提供符合食品安全和环保标准的一次性餐具一套，包括筷子、汤匙、牙签、餐巾纸。</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服务时间：冬令时：中午打餐时间为11:00-12:30，晚上送餐时间为16：00；</w:t>
      </w:r>
    </w:p>
    <w:p>
      <w:pPr>
        <w:widowControl/>
        <w:snapToGrid w:val="0"/>
        <w:spacing w:line="360" w:lineRule="auto"/>
        <w:ind w:firstLine="1680" w:firstLineChars="7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夏令时：中午打餐时间为10:30-12:00，晚上送餐时间为16：00。</w:t>
      </w:r>
    </w:p>
    <w:p>
      <w:pPr>
        <w:widowControl/>
        <w:numPr>
          <w:ilvl w:val="0"/>
          <w:numId w:val="0"/>
        </w:num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3.1.2具体餐食要求：</w:t>
      </w:r>
    </w:p>
    <w:p>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3.1.2.1中标单位每天提供两份套餐选项供招标人选择，按15元/份标准乘以投标折扣率进行结算，每份套餐包含一荤+一素+半荤半素+酸奶或水果，夏令时需免费提供热汤。</w:t>
      </w:r>
      <w:r>
        <w:rPr>
          <w:rFonts w:hint="eastAsia" w:ascii="仿宋" w:hAnsi="仿宋" w:eastAsia="仿宋" w:cs="仿宋"/>
          <w:color w:val="auto"/>
          <w:sz w:val="24"/>
          <w:szCs w:val="24"/>
          <w:highlight w:val="none"/>
        </w:rPr>
        <w:t>中式午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晚餐</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大荤、荤素搭配菜品执行7天一循环政策，每份盒饭菜品内纯肉类（成品）不少于150克（丸子或合成肉类（如蟹足棒）不得作为肉类食材），蔬菜（成品）不少于170克，所有餐食米饭不限量供应。</w:t>
      </w:r>
    </w:p>
    <w:p>
      <w:pPr>
        <w:numPr>
          <w:ilvl w:val="0"/>
          <w:numId w:val="0"/>
        </w:num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3.1.2.2中标人须按双方签订的协议要求承担全部的质量、安全、效益、风险等责任。</w:t>
      </w:r>
    </w:p>
    <w:p>
      <w:pPr>
        <w:numPr>
          <w:ilvl w:val="0"/>
          <w:numId w:val="0"/>
        </w:num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3.1.2.3中标人配送的食品所购买的原材料如：粮油、调味品、副食品、冷冻制品、豆制品、蔬菜、干货、洗涤与卫生用品等物资必须到正规商店采购，一旦购入并使用通过非正规渠道采购的原材料或在日常供应中发生10人以上的食物中毒事件，中标人必须承担所有的责任，采购人有权根据事件的严重情况决定是否解除配送协议。</w:t>
      </w:r>
    </w:p>
    <w:p>
      <w:pPr>
        <w:numPr>
          <w:ilvl w:val="0"/>
          <w:numId w:val="0"/>
        </w:num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3.1.2.4中标人提供的餐具应无毒、卫生、环保。餐具清洗消毒杀菌应充分彻底，洗涤剂残留量不得超标。一旦发生因餐具材质不卫生或餐具清洁不彻底导致食品卫生事故或给职工身体健康造成不良影响，中标人必须承担所有的责任，采购人有权根据事件决定是否解除配送协议。</w:t>
      </w:r>
    </w:p>
    <w:p>
      <w:pPr>
        <w:numPr>
          <w:ilvl w:val="0"/>
          <w:numId w:val="0"/>
        </w:numPr>
        <w:bidi w:val="0"/>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3.2</w:t>
      </w:r>
      <w:r>
        <w:rPr>
          <w:rFonts w:hint="eastAsia" w:ascii="仿宋" w:hAnsi="仿宋" w:eastAsia="仿宋" w:cs="仿宋"/>
          <w:b/>
          <w:bCs/>
          <w:color w:val="auto"/>
          <w:kern w:val="0"/>
          <w:sz w:val="24"/>
          <w:szCs w:val="24"/>
          <w:highlight w:val="none"/>
          <w:lang w:val="en-US" w:eastAsia="zh-CN"/>
        </w:rPr>
        <w:t>商品换购要求</w:t>
      </w:r>
    </w:p>
    <w:p>
      <w:pPr>
        <w:pStyle w:val="2"/>
        <w:keepNext w:val="0"/>
        <w:keepLines w:val="0"/>
        <w:pageBreakBefore w:val="0"/>
        <w:numPr>
          <w:ilvl w:val="0"/>
          <w:numId w:val="0"/>
        </w:numPr>
        <w:kinsoku/>
        <w:overflowPunct/>
        <w:topLinePunct w:val="0"/>
        <w:bidi w:val="0"/>
        <w:spacing w:line="312"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商品配送地点：绍兴市越城区孙端街道社区卫生服务中心</w:t>
      </w:r>
    </w:p>
    <w:p>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line="312"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商品换购按采购人所列清单进行配送。按绍兴e价通（http://jgjg.sx.gov.cn/）公布的最新市场价作为基准价，按基准价乘以投标折扣率进行结算，保证不高于市场同类食品价格。</w:t>
      </w:r>
    </w:p>
    <w:p>
      <w:pPr>
        <w:pStyle w:val="2"/>
        <w:keepNext w:val="0"/>
        <w:keepLines w:val="0"/>
        <w:pageBreakBefore w:val="0"/>
        <w:numPr>
          <w:ilvl w:val="0"/>
          <w:numId w:val="0"/>
        </w:numPr>
        <w:kinsoku/>
        <w:overflowPunct/>
        <w:topLinePunct w:val="0"/>
        <w:bidi w:val="0"/>
        <w:spacing w:line="312"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次根据采购人的通知订购品种和数量后，24小时内送货，具体送货时间由采购人通知时约定，由采购单位指定负责人验收。对于不符合质量、规格要求的品种采购人可退货或换货（由于产品质量而造成员工或宾客发生食品卫生安全事故时，中标人须承担全部责任）。</w:t>
      </w:r>
    </w:p>
    <w:p>
      <w:pPr>
        <w:keepNext w:val="0"/>
        <w:keepLines w:val="0"/>
        <w:pageBreakBefore w:val="0"/>
        <w:kinsoku/>
        <w:wordWrap/>
        <w:overflowPunct/>
        <w:topLinePunct w:val="0"/>
        <w:autoSpaceDE/>
        <w:autoSpaceDN/>
        <w:bidi w:val="0"/>
        <w:spacing w:line="312" w:lineRule="auto"/>
        <w:ind w:firstLine="480" w:firstLineChars="200"/>
        <w:jc w:val="left"/>
        <w:textAlignment w:val="auto"/>
        <w:rPr>
          <w:rFonts w:hint="default"/>
          <w:color w:val="auto"/>
          <w:highlight w:val="none"/>
          <w:lang w:val="en-US" w:eastAsia="zh-CN"/>
        </w:rPr>
      </w:pPr>
      <w:r>
        <w:rPr>
          <w:rFonts w:hint="eastAsia" w:ascii="仿宋" w:hAnsi="仿宋" w:eastAsia="仿宋" w:cs="仿宋"/>
          <w:b w:val="0"/>
          <w:bCs w:val="0"/>
          <w:color w:val="auto"/>
          <w:sz w:val="24"/>
          <w:szCs w:val="24"/>
          <w:highlight w:val="none"/>
        </w:rPr>
        <w:t>所有配送产品必须优质、</w:t>
      </w:r>
      <w:r>
        <w:rPr>
          <w:rFonts w:hint="eastAsia" w:ascii="仿宋" w:hAnsi="仿宋" w:eastAsia="仿宋" w:cs="仿宋"/>
          <w:b w:val="0"/>
          <w:bCs w:val="0"/>
          <w:color w:val="auto"/>
          <w:sz w:val="24"/>
          <w:szCs w:val="24"/>
          <w:highlight w:val="none"/>
          <w:lang w:val="en-US" w:eastAsia="zh-CN"/>
        </w:rPr>
        <w:t>日期</w:t>
      </w:r>
      <w:r>
        <w:rPr>
          <w:rFonts w:hint="eastAsia" w:ascii="仿宋" w:hAnsi="仿宋" w:eastAsia="仿宋" w:cs="仿宋"/>
          <w:b w:val="0"/>
          <w:bCs w:val="0"/>
          <w:color w:val="auto"/>
          <w:sz w:val="24"/>
          <w:szCs w:val="24"/>
          <w:highlight w:val="none"/>
        </w:rPr>
        <w:t>新鲜且正常在售的，采购人必须按经招标的品牌、品名、规格等要求进行认真验收。采购人和配送供应商分别建立采购和供应台账，确定专人负责验收和送货，禁用非统一配送物品、无</w:t>
      </w:r>
      <w:r>
        <w:rPr>
          <w:rFonts w:hint="eastAsia" w:ascii="仿宋" w:hAnsi="仿宋" w:eastAsia="仿宋" w:cs="仿宋"/>
          <w:b w:val="0"/>
          <w:bCs w:val="0"/>
          <w:color w:val="auto"/>
          <w:sz w:val="24"/>
          <w:szCs w:val="24"/>
          <w:highlight w:val="none"/>
          <w:lang w:eastAsia="zh-CN"/>
        </w:rPr>
        <w:t>SC</w:t>
      </w:r>
      <w:r>
        <w:rPr>
          <w:rFonts w:hint="eastAsia" w:ascii="仿宋" w:hAnsi="仿宋" w:eastAsia="仿宋" w:cs="仿宋"/>
          <w:b w:val="0"/>
          <w:bCs w:val="0"/>
          <w:color w:val="auto"/>
          <w:sz w:val="24"/>
          <w:szCs w:val="24"/>
          <w:highlight w:val="none"/>
        </w:rPr>
        <w:t>标志的相关食品进入</w:t>
      </w:r>
      <w:r>
        <w:rPr>
          <w:rFonts w:hint="eastAsia" w:ascii="仿宋" w:hAnsi="仿宋" w:eastAsia="仿宋" w:cs="仿宋"/>
          <w:b w:val="0"/>
          <w:bCs w:val="0"/>
          <w:color w:val="auto"/>
          <w:sz w:val="24"/>
          <w:szCs w:val="24"/>
          <w:highlight w:val="none"/>
          <w:lang w:val="en-US" w:eastAsia="zh-CN"/>
        </w:rPr>
        <w:t>单位</w:t>
      </w:r>
      <w:r>
        <w:rPr>
          <w:rFonts w:hint="eastAsia" w:ascii="仿宋" w:hAnsi="仿宋" w:eastAsia="仿宋" w:cs="仿宋"/>
          <w:b w:val="0"/>
          <w:bCs w:val="0"/>
          <w:color w:val="auto"/>
          <w:sz w:val="24"/>
          <w:szCs w:val="24"/>
          <w:highlight w:val="none"/>
        </w:rPr>
        <w:t>，禁止禁用的食物成品、半成品。对于出现不符规格、以次充好等现象，采购人有权退货，配送供应商必须无条件退换</w:t>
      </w:r>
      <w:r>
        <w:rPr>
          <w:rFonts w:hint="eastAsia" w:ascii="仿宋" w:hAnsi="仿宋" w:eastAsia="仿宋" w:cs="仿宋"/>
          <w:b w:val="0"/>
          <w:bCs w:val="0"/>
          <w:color w:val="auto"/>
          <w:sz w:val="24"/>
          <w:szCs w:val="24"/>
          <w:highlight w:val="none"/>
          <w:lang w:eastAsia="zh-CN"/>
        </w:rPr>
        <w:t>。</w:t>
      </w:r>
    </w:p>
    <w:p>
      <w:pPr>
        <w:numPr>
          <w:ilvl w:val="0"/>
          <w:numId w:val="0"/>
        </w:numPr>
        <w:bidi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质量要求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val="0"/>
          <w:color w:val="auto"/>
          <w:sz w:val="24"/>
          <w:szCs w:val="24"/>
          <w:highlight w:val="none"/>
        </w:rPr>
        <w:t>中标单位应严格遵守《</w:t>
      </w:r>
      <w:r>
        <w:rPr>
          <w:rFonts w:hint="eastAsia" w:ascii="仿宋" w:hAnsi="仿宋" w:eastAsia="仿宋" w:cs="仿宋"/>
          <w:b w:val="0"/>
          <w:bCs w:val="0"/>
          <w:color w:val="auto"/>
          <w:sz w:val="24"/>
          <w:szCs w:val="24"/>
          <w:highlight w:val="none"/>
          <w:lang w:val="en-US" w:eastAsia="zh-CN"/>
        </w:rPr>
        <w:t>中华人民共和国产品质量法</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中华人民共和国</w:t>
      </w:r>
      <w:r>
        <w:rPr>
          <w:rFonts w:hint="eastAsia" w:ascii="仿宋" w:hAnsi="仿宋" w:eastAsia="仿宋" w:cs="仿宋"/>
          <w:b w:val="0"/>
          <w:bCs w:val="0"/>
          <w:color w:val="auto"/>
          <w:sz w:val="24"/>
          <w:szCs w:val="24"/>
          <w:highlight w:val="none"/>
        </w:rPr>
        <w:t>食品</w:t>
      </w:r>
      <w:r>
        <w:rPr>
          <w:rFonts w:hint="eastAsia" w:ascii="仿宋" w:hAnsi="仿宋" w:eastAsia="仿宋" w:cs="仿宋"/>
          <w:b w:val="0"/>
          <w:bCs w:val="0"/>
          <w:color w:val="auto"/>
          <w:sz w:val="24"/>
          <w:szCs w:val="24"/>
          <w:highlight w:val="none"/>
          <w:lang w:val="en-US" w:eastAsia="zh-CN"/>
        </w:rPr>
        <w:t>安全</w:t>
      </w:r>
      <w:r>
        <w:rPr>
          <w:rFonts w:hint="eastAsia" w:ascii="仿宋" w:hAnsi="仿宋" w:eastAsia="仿宋" w:cs="仿宋"/>
          <w:b w:val="0"/>
          <w:bCs w:val="0"/>
          <w:color w:val="auto"/>
          <w:sz w:val="24"/>
          <w:szCs w:val="24"/>
          <w:highlight w:val="none"/>
        </w:rPr>
        <w:t>法》</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《中华人民共和国食品卫生法》</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《中华人民共和国动物防疫法》等</w:t>
      </w:r>
      <w:r>
        <w:rPr>
          <w:rFonts w:hint="eastAsia" w:ascii="仿宋" w:hAnsi="仿宋" w:eastAsia="仿宋" w:cs="仿宋"/>
          <w:bCs/>
          <w:color w:val="auto"/>
          <w:sz w:val="24"/>
          <w:szCs w:val="24"/>
          <w:highlight w:val="none"/>
        </w:rPr>
        <w:t>相关规定，严格保证食品质量符合国家相关产品质量标准，符合国家强制性规范的要求。在中标后如出现因食用其提供的食品导致食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物中毒的事故发生，中标人应对此承担一切法律责任。</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一经发现供应以下食品，采购人将立即取消中标人的</w:t>
      </w:r>
      <w:r>
        <w:rPr>
          <w:rFonts w:hint="eastAsia" w:ascii="仿宋" w:hAnsi="仿宋" w:eastAsia="仿宋" w:cs="仿宋"/>
          <w:bCs/>
          <w:color w:val="auto"/>
          <w:sz w:val="24"/>
          <w:szCs w:val="24"/>
          <w:highlight w:val="none"/>
          <w:lang w:val="en-US" w:eastAsia="zh-CN"/>
        </w:rPr>
        <w:t>中标</w:t>
      </w:r>
      <w:r>
        <w:rPr>
          <w:rFonts w:hint="eastAsia" w:ascii="仿宋" w:hAnsi="仿宋" w:eastAsia="仿宋" w:cs="仿宋"/>
          <w:bCs/>
          <w:color w:val="auto"/>
          <w:sz w:val="24"/>
          <w:szCs w:val="24"/>
          <w:highlight w:val="none"/>
        </w:rPr>
        <w:t xml:space="preserve">资格，中标单位承担由此造成的经济责任和法律责任。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腐败变质、油脂酸败、霉变、生虫、污秽不洁、混有异物或者其他感官性状异常，对人体健康有害的；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含有毒、有害物质或者被有害物质污染，对人体健康有害的；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含有致病性寄生虫、微生物或者微生物含量超过国家限定标准的；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未经动物检疫部门检疫、检验或者检疫、检验不合格的肉类及其制品；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病死、毒死或者死因不明的禽、畜、兽、水产动物等及其制品；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掺假、掺杂、伪造，影响营养、卫生的；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用非食品原料加工的，加入非食品用化学物质或者将非食品当作食品的； </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超过保质期限的。</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5、服务要求：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中标人在签订合同前必须</w:t>
      </w:r>
      <w:r>
        <w:rPr>
          <w:rFonts w:hint="eastAsia" w:ascii="仿宋" w:hAnsi="仿宋" w:eastAsia="仿宋" w:cs="仿宋"/>
          <w:bCs/>
          <w:color w:val="auto"/>
          <w:sz w:val="24"/>
          <w:szCs w:val="24"/>
          <w:highlight w:val="none"/>
          <w:lang w:val="en-US" w:eastAsia="zh-CN"/>
        </w:rPr>
        <w:t>具备</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食品</w:t>
      </w:r>
      <w:r>
        <w:rPr>
          <w:rFonts w:hint="eastAsia" w:ascii="仿宋" w:hAnsi="仿宋" w:eastAsia="仿宋" w:cs="仿宋"/>
          <w:bCs/>
          <w:color w:val="auto"/>
          <w:sz w:val="24"/>
          <w:szCs w:val="24"/>
          <w:highlight w:val="none"/>
        </w:rPr>
        <w:t>卫生许可证》</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bCs/>
          <w:color w:val="auto"/>
          <w:sz w:val="24"/>
          <w:szCs w:val="24"/>
          <w:highlight w:val="none"/>
        </w:rPr>
        <w:t>《食品经营许可证》。</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中标人企业内部管理必须严格执行《中华人民共和国食品卫生法》的各项条款，并接受市、区卫生监督部门的督查，所有从业人员必须持有健康证方可上岗服务。应有健全的防鼠、防蝇、防尘“三防”措施（特别是分菜间、加工间等场所的门窗）。</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中标人应加强自身管理，建立健全各项卫生制度和岗位责任制度，配备专职食品卫生管理人员；建立盒饭卫生质量检验机构，配备合格的检验人员。</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中标人必须与</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作出书面承诺，保证其生产经营过程符合有关食品卫生法律、法规、规章、标准及规范性文件。</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交货方式为每日定时供货，中标人必须在与采购人约定的具体时间内把指定货物送至指定地点。提前送货采购人有权拒绝签单。延迟送货的导致就餐人员时间延误的，中标人需采取有效的补救措施并赔偿采购人相关损失。</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中标人须确保就餐人员准时吃到热饭热菜热汤</w:t>
      </w:r>
      <w:r>
        <w:rPr>
          <w:rFonts w:hint="eastAsia" w:ascii="仿宋" w:hAnsi="仿宋" w:eastAsia="仿宋" w:cs="仿宋"/>
          <w:bCs/>
          <w:color w:val="auto"/>
          <w:sz w:val="24"/>
          <w:szCs w:val="24"/>
          <w:highlight w:val="none"/>
          <w:lang w:val="en-US" w:eastAsia="zh-CN"/>
        </w:rPr>
        <w:t>且不影响餐食口味</w:t>
      </w:r>
      <w:r>
        <w:rPr>
          <w:rFonts w:hint="eastAsia" w:ascii="仿宋" w:hAnsi="仿宋" w:eastAsia="仿宋" w:cs="仿宋"/>
          <w:bCs/>
          <w:color w:val="auto"/>
          <w:sz w:val="24"/>
          <w:szCs w:val="24"/>
          <w:highlight w:val="none"/>
        </w:rPr>
        <w:t>。餐食配送必须采用规定的冷藏、加热保温、高温灭菌等方式。配送的食品应当烧熟煮透，其中心温度不得低于75℃。不得加工供应生拌菜、改刀熟食、色拉、生食水产品等品种。</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餐食运输</w:t>
      </w:r>
      <w:r>
        <w:rPr>
          <w:rFonts w:hint="eastAsia" w:ascii="仿宋" w:hAnsi="仿宋" w:eastAsia="仿宋" w:cs="仿宋"/>
          <w:bCs/>
          <w:color w:val="auto"/>
          <w:sz w:val="24"/>
          <w:szCs w:val="24"/>
          <w:highlight w:val="none"/>
          <w:lang w:val="en-US" w:eastAsia="zh-CN"/>
        </w:rPr>
        <w:t>车</w:t>
      </w:r>
      <w:r>
        <w:rPr>
          <w:rFonts w:hint="eastAsia" w:ascii="仿宋" w:hAnsi="仿宋" w:eastAsia="仿宋" w:cs="仿宋"/>
          <w:bCs/>
          <w:color w:val="auto"/>
          <w:sz w:val="24"/>
          <w:szCs w:val="24"/>
          <w:highlight w:val="none"/>
        </w:rPr>
        <w:t>应当进行清洗、消毒，在运输装卸过程中应当注意操作卫生，防止</w:t>
      </w:r>
      <w:r>
        <w:rPr>
          <w:rFonts w:hint="eastAsia" w:ascii="仿宋" w:hAnsi="仿宋" w:eastAsia="仿宋" w:cs="仿宋"/>
          <w:bCs/>
          <w:color w:val="auto"/>
          <w:sz w:val="24"/>
          <w:szCs w:val="24"/>
          <w:highlight w:val="none"/>
          <w:lang w:val="en-US" w:eastAsia="zh-CN"/>
        </w:rPr>
        <w:t>餐食</w:t>
      </w:r>
      <w:r>
        <w:rPr>
          <w:rFonts w:hint="eastAsia" w:ascii="仿宋" w:hAnsi="仿宋" w:eastAsia="仿宋" w:cs="仿宋"/>
          <w:bCs/>
          <w:color w:val="auto"/>
          <w:sz w:val="24"/>
          <w:szCs w:val="24"/>
          <w:highlight w:val="none"/>
        </w:rPr>
        <w:t>污染。</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中标人必须接受采购人的监督管理。</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中标人应当在当天供应的全部食品品种的成品中随机抽取留样样品，并按规定的方式、数量和时间保存。</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餐食应当装入采用符合卫生要求的环保餐具及环保餐盒</w:t>
      </w:r>
      <w:r>
        <w:rPr>
          <w:rFonts w:hint="eastAsia" w:ascii="仿宋" w:hAnsi="仿宋" w:eastAsia="仿宋" w:cs="仿宋"/>
          <w:bCs/>
          <w:color w:val="auto"/>
          <w:sz w:val="24"/>
          <w:szCs w:val="24"/>
          <w:highlight w:val="none"/>
          <w:lang w:eastAsia="zh-CN"/>
        </w:rPr>
        <w:t>。</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餐食配送期间，中标人不得中途转包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分包</w:t>
      </w:r>
      <w:r>
        <w:rPr>
          <w:rFonts w:hint="eastAsia" w:ascii="仿宋" w:hAnsi="仿宋" w:eastAsia="仿宋" w:cs="仿宋"/>
          <w:bCs/>
          <w:color w:val="auto"/>
          <w:sz w:val="24"/>
          <w:szCs w:val="24"/>
          <w:highlight w:val="none"/>
        </w:rPr>
        <w:t>及单方面突然终止承包。</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如采购人遇上突发事故，需于短时间内更改饭菜安排，供货商须实时作出应变措施。</w:t>
      </w:r>
    </w:p>
    <w:p>
      <w:pPr>
        <w:shd w:val="clea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履约及违约</w:t>
      </w:r>
    </w:p>
    <w:p>
      <w:pPr>
        <w:numPr>
          <w:ilvl w:val="0"/>
          <w:numId w:val="0"/>
        </w:numPr>
        <w:shd w:val="clea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因中标人配送不及时导致就餐人员伙食供应延误</w:t>
      </w:r>
      <w:r>
        <w:rPr>
          <w:rFonts w:hint="eastAsia" w:ascii="仿宋" w:hAnsi="仿宋" w:eastAsia="仿宋" w:cs="仿宋"/>
          <w:bCs/>
          <w:color w:val="auto"/>
          <w:sz w:val="24"/>
          <w:szCs w:val="24"/>
          <w:highlight w:val="none"/>
          <w:shd w:val="clear"/>
          <w:lang w:val="en-US" w:eastAsia="zh-CN"/>
        </w:rPr>
        <w:t>3次</w:t>
      </w:r>
      <w:r>
        <w:rPr>
          <w:rFonts w:hint="eastAsia" w:ascii="仿宋" w:hAnsi="仿宋" w:eastAsia="仿宋" w:cs="仿宋"/>
          <w:bCs/>
          <w:color w:val="auto"/>
          <w:sz w:val="24"/>
          <w:szCs w:val="24"/>
          <w:highlight w:val="none"/>
        </w:rPr>
        <w:t>的，合同立即终止。</w:t>
      </w:r>
    </w:p>
    <w:p>
      <w:pPr>
        <w:shd w:val="clea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中标人提供的餐食出现质量上不符合采购人的要求（如饭、菜中有虫子、菜太咸、菜量太少等）、数量出现差错、未采取有效保温措施等违反上述约定的情况，中标人需配合进行改善，如经采购人三次提出仍无改进的，采购人有权因此单方解除本合同。</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凡经相关部门认定，如因中标人所提供的餐食卫生质量（含餐具卫生质量）原因造成采购人食堂岀现食物中毒等卫生事故的，中标人除必须承担全部的法律责任外，还要全额承担因食物中毒发生造成后果的一切费用。</w:t>
      </w:r>
      <w:r>
        <w:rPr>
          <w:rFonts w:hint="eastAsia" w:ascii="仿宋" w:hAnsi="仿宋" w:eastAsia="仿宋" w:cs="仿宋"/>
          <w:bCs/>
          <w:color w:val="auto"/>
          <w:sz w:val="24"/>
          <w:szCs w:val="24"/>
          <w:highlight w:val="none"/>
          <w:lang w:val="en-US" w:eastAsia="zh-CN"/>
        </w:rPr>
        <w:t>且</w:t>
      </w:r>
      <w:r>
        <w:rPr>
          <w:rFonts w:hint="eastAsia" w:ascii="仿宋" w:hAnsi="仿宋" w:eastAsia="仿宋" w:cs="仿宋"/>
          <w:bCs/>
          <w:color w:val="auto"/>
          <w:sz w:val="24"/>
          <w:szCs w:val="24"/>
          <w:highlight w:val="none"/>
        </w:rPr>
        <w:t>立即停止中标人供货</w:t>
      </w:r>
      <w:r>
        <w:rPr>
          <w:rFonts w:hint="eastAsia" w:ascii="仿宋" w:hAnsi="仿宋" w:eastAsia="仿宋" w:cs="仿宋"/>
          <w:bCs/>
          <w:color w:val="auto"/>
          <w:sz w:val="24"/>
          <w:szCs w:val="24"/>
          <w:highlight w:val="none"/>
          <w:lang w:eastAsia="zh-CN"/>
        </w:rPr>
        <w:t>。</w:t>
      </w:r>
    </w:p>
    <w:p>
      <w:pPr>
        <w:widowControl/>
        <w:snapToGrid w:val="0"/>
        <w:spacing w:line="480" w:lineRule="exact"/>
        <w:ind w:firstLine="0"/>
        <w:rPr>
          <w:rFonts w:hint="eastAsia" w:ascii="仿宋" w:eastAsia="仿宋"/>
          <w:b/>
          <w:bCs/>
          <w:color w:val="auto"/>
          <w:kern w:val="0"/>
          <w:sz w:val="24"/>
          <w:highlight w:val="none"/>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
      </w:pPr>
      <w:r>
        <w:rPr>
          <w:rFonts w:hint="eastAsia" w:ascii="仿宋" w:eastAsia="仿宋"/>
          <w:b/>
          <w:bCs/>
          <w:caps w:val="0"/>
          <w:smallCaps w:val="0"/>
          <w:vanish w:val="0"/>
          <w:color w:val="auto"/>
          <w:sz w:val="24"/>
          <w:szCs w:val="24"/>
          <w:highlight w:val="none"/>
          <w:vertAlign w:val="baseline"/>
          <w:lang w:val="en-US" w:eastAsia="zh-CN"/>
        </w:rPr>
        <w:t>提示：柴油动力源低排放要求</w:t>
      </w:r>
    </w:p>
    <w:p>
      <w:pPr>
        <w:widowControl/>
        <w:snapToGrid w:val="0"/>
        <w:spacing w:line="480" w:lineRule="exact"/>
        <w:ind w:firstLine="0"/>
        <w:rPr>
          <w:rFonts w:hint="eastAsia" w:ascii="仿宋" w:eastAsia="仿宋"/>
          <w:b/>
          <w:bCs/>
          <w:color w:val="auto"/>
          <w:kern w:val="0"/>
          <w:sz w:val="24"/>
          <w:highlight w:val="none"/>
          <w:u w:val="single"/>
          <w:lang w:eastAsia="zh-CN"/>
        </w:rPr>
      </w:pPr>
      <w:r>
        <w:rPr>
          <w:rFonts w:hint="eastAsia" w:ascii="仿宋" w:eastAsia="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highlight w:val="none"/>
          <w:vertAlign w:val="baseline"/>
          <w:lang w:eastAsia="zh-CN"/>
        </w:rPr>
        <w:t>需要求</w:t>
      </w:r>
      <w:r>
        <w:rPr>
          <w:rFonts w:hint="eastAsia" w:ascii="仿宋" w:eastAsia="仿宋"/>
          <w:caps w:val="0"/>
          <w:smallCaps w:val="0"/>
          <w:vanish w:val="0"/>
          <w:color w:val="auto"/>
          <w:sz w:val="24"/>
          <w:szCs w:val="24"/>
          <w:highlight w:val="none"/>
          <w:vertAlign w:val="baseline"/>
        </w:rPr>
        <w:t>该动力源（发动机、发电机等）应当符合国家低排放要求并已向生态环境部门申领绿色编码。</w:t>
      </w:r>
    </w:p>
    <w:p>
      <w:pPr>
        <w:widowControl/>
        <w:snapToGrid w:val="0"/>
        <w:spacing w:line="480" w:lineRule="exact"/>
        <w:ind w:firstLine="0"/>
        <w:rPr>
          <w:rFonts w:hint="eastAsia" w:ascii="仿宋" w:eastAsia="仿宋"/>
          <w:b/>
          <w:bCs/>
          <w:color w:val="auto"/>
          <w:kern w:val="0"/>
          <w:sz w:val="24"/>
          <w:highlight w:val="none"/>
          <w:u w:val="single"/>
          <w:lang w:eastAsia="zh-CN"/>
        </w:rPr>
      </w:pPr>
    </w:p>
    <w:p>
      <w:pPr>
        <w:widowControl/>
        <w:snapToGrid w:val="0"/>
        <w:spacing w:line="480" w:lineRule="exact"/>
        <w:ind w:firstLine="0"/>
        <w:rPr>
          <w:rFonts w:hint="eastAsia" w:ascii="仿宋" w:eastAsia="仿宋"/>
          <w:b/>
          <w:bCs/>
          <w:color w:val="auto"/>
          <w:kern w:val="0"/>
          <w:sz w:val="24"/>
          <w:highlight w:val="none"/>
          <w:u w:val="single"/>
          <w:lang w:eastAsia="zh-CN"/>
        </w:rPr>
      </w:pPr>
    </w:p>
    <w:p>
      <w:pPr>
        <w:pStyle w:val="4"/>
        <w:keepNext/>
        <w:keepLines/>
        <w:pageBreakBefore w:val="0"/>
        <w:widowControl w:val="0"/>
        <w:suppressLineNumbers w:val="0"/>
        <w:suppressAutoHyphens w:val="0"/>
        <w:spacing w:line="415" w:lineRule="auto"/>
        <w:rPr>
          <w:rFonts w:hint="eastAsia" w:ascii="仿宋"/>
          <w:color w:val="auto"/>
          <w:highlight w:val="none"/>
        </w:rPr>
      </w:pPr>
      <w:bookmarkStart w:id="42" w:name="_Toc29878"/>
      <w:r>
        <w:rPr>
          <w:rFonts w:hint="eastAsia" w:ascii="仿宋"/>
          <w:color w:val="auto"/>
          <w:highlight w:val="none"/>
        </w:rPr>
        <w:t>二、商务要求</w:t>
      </w:r>
      <w:bookmarkEnd w:id="42"/>
    </w:p>
    <w:p>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自合同签订之日起一年（具体按采购人要求执行）</w:t>
      </w:r>
    </w:p>
    <w:p>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2</w:t>
      </w:r>
      <w:r>
        <w:rPr>
          <w:rFonts w:hint="eastAsia" w:ascii="仿宋" w:eastAsia="仿宋"/>
          <w:b/>
          <w:bCs/>
          <w:color w:val="auto"/>
          <w:sz w:val="24"/>
          <w:highlight w:val="none"/>
        </w:rPr>
        <w:t>数量调整</w:t>
      </w:r>
    </w:p>
    <w:p>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w:t>
      </w:r>
      <w:r>
        <w:rPr>
          <w:rFonts w:hint="eastAsia" w:ascii="仿宋" w:eastAsia="仿宋"/>
          <w:caps w:val="0"/>
          <w:smallCaps w:val="0"/>
          <w:vanish w:val="0"/>
          <w:color w:val="auto"/>
          <w:sz w:val="24"/>
          <w:szCs w:val="24"/>
          <w:highlight w:val="none"/>
          <w:vertAlign w:val="baseline"/>
          <w:lang w:val="en-US" w:eastAsia="zh-CN"/>
        </w:rPr>
        <w:t>利</w:t>
      </w:r>
      <w:r>
        <w:rPr>
          <w:rFonts w:hint="eastAsia" w:ascii="仿宋" w:eastAsia="仿宋"/>
          <w:caps w:val="0"/>
          <w:smallCaps w:val="0"/>
          <w:vanish w:val="0"/>
          <w:color w:val="auto"/>
          <w:sz w:val="24"/>
          <w:szCs w:val="24"/>
          <w:highlight w:val="none"/>
          <w:vertAlign w:val="baseline"/>
        </w:rPr>
        <w:t>，投标人应对服务类</w:t>
      </w:r>
      <w:r>
        <w:rPr>
          <w:rFonts w:hint="eastAsia" w:ascii="仿宋" w:eastAsia="仿宋"/>
          <w:color w:val="auto"/>
          <w:kern w:val="0"/>
          <w:sz w:val="24"/>
          <w:highlight w:val="none"/>
          <w:u w:val="none"/>
        </w:rPr>
        <w:t>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3</w:t>
      </w:r>
      <w:r>
        <w:rPr>
          <w:rFonts w:hint="eastAsia" w:ascii="仿宋" w:eastAsia="仿宋"/>
          <w:b/>
          <w:bCs/>
          <w:color w:val="auto"/>
          <w:kern w:val="0"/>
          <w:sz w:val="24"/>
          <w:highlight w:val="none"/>
          <w:u w:val="none"/>
        </w:rPr>
        <w:t>验收</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w:t>
      </w:r>
      <w:r>
        <w:rPr>
          <w:rFonts w:hint="eastAsia" w:ascii="仿宋" w:eastAsia="仿宋"/>
          <w:color w:val="auto"/>
          <w:kern w:val="0"/>
          <w:sz w:val="24"/>
          <w:highlight w:val="none"/>
          <w:u w:val="none"/>
        </w:rPr>
        <w:t>同</w:t>
      </w:r>
      <w:r>
        <w:rPr>
          <w:rFonts w:hint="eastAsia" w:ascii="仿宋" w:eastAsia="仿宋"/>
          <w:color w:val="auto"/>
          <w:kern w:val="0"/>
          <w:sz w:val="24"/>
          <w:highlight w:val="none"/>
          <w:u w:val="none"/>
          <w:lang w:val="en-US" w:eastAsia="zh-CN"/>
        </w:rPr>
        <w:t>约定</w:t>
      </w:r>
      <w:r>
        <w:rPr>
          <w:rFonts w:hint="eastAsia" w:ascii="仿宋" w:eastAsia="仿宋"/>
          <w:color w:val="auto"/>
          <w:kern w:val="0"/>
          <w:sz w:val="24"/>
          <w:highlight w:val="none"/>
          <w:u w:val="none"/>
        </w:rPr>
        <w:t>的</w:t>
      </w:r>
      <w:r>
        <w:rPr>
          <w:rFonts w:hint="eastAsia" w:ascii="仿宋" w:eastAsia="仿宋"/>
          <w:color w:val="auto"/>
          <w:kern w:val="0"/>
          <w:sz w:val="24"/>
          <w:highlight w:val="none"/>
          <w:u w:val="none"/>
          <w:lang w:val="en-US" w:eastAsia="zh-CN"/>
        </w:rPr>
        <w:t>质量标准</w:t>
      </w:r>
      <w:r>
        <w:rPr>
          <w:rFonts w:hint="eastAsia" w:ascii="仿宋" w:eastAsia="仿宋"/>
          <w:color w:val="auto"/>
          <w:kern w:val="0"/>
          <w:sz w:val="24"/>
          <w:highlight w:val="none"/>
          <w:u w:val="none"/>
        </w:rPr>
        <w:t>要求）进行。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pPr>
        <w:widowControl/>
        <w:snapToGrid w:val="0"/>
        <w:spacing w:line="480" w:lineRule="exact"/>
        <w:ind w:firstLine="480" w:firstLineChars="200"/>
        <w:rPr>
          <w:color w:val="auto"/>
          <w:highlight w:val="none"/>
        </w:rPr>
      </w:pPr>
      <w:r>
        <w:rPr>
          <w:rFonts w:hint="eastAsia" w:ascii="仿宋" w:hAnsi="Times New Roman" w:eastAsia="仿宋" w:cs="Times New Roman"/>
          <w:color w:val="auto"/>
          <w:kern w:val="0"/>
          <w:sz w:val="24"/>
          <w:highlight w:val="none"/>
          <w:u w:val="none"/>
          <w:lang w:val="en-US" w:eastAsia="zh-CN"/>
        </w:rPr>
        <w:t>每月</w:t>
      </w:r>
      <w:r>
        <w:rPr>
          <w:rFonts w:hint="eastAsia" w:ascii="仿宋" w:hAnsi="仿宋" w:eastAsia="仿宋" w:cs="仿宋"/>
          <w:color w:val="auto"/>
          <w:kern w:val="0"/>
          <w:sz w:val="24"/>
          <w:szCs w:val="24"/>
          <w:highlight w:val="none"/>
          <w:lang w:val="en-US" w:eastAsia="zh-CN"/>
        </w:rPr>
        <w:t>按实结算，</w:t>
      </w:r>
      <w:r>
        <w:rPr>
          <w:rFonts w:hint="eastAsia" w:ascii="仿宋" w:hAnsi="仿宋" w:eastAsia="仿宋" w:cs="仿宋"/>
          <w:color w:val="auto"/>
          <w:sz w:val="24"/>
          <w:szCs w:val="24"/>
          <w:highlight w:val="none"/>
          <w:lang w:val="en-US"/>
        </w:rPr>
        <w:t>中标人需于次月</w:t>
      </w:r>
      <w:r>
        <w:rPr>
          <w:rFonts w:hint="eastAsia" w:ascii="仿宋" w:hAnsi="仿宋" w:eastAsia="仿宋" w:cs="仿宋"/>
          <w:color w:val="auto"/>
          <w:sz w:val="24"/>
          <w:szCs w:val="24"/>
          <w:highlight w:val="none"/>
          <w:lang w:val="en-US" w:eastAsia="zh-CN"/>
        </w:rPr>
        <w:t>10号前</w:t>
      </w:r>
      <w:r>
        <w:rPr>
          <w:rFonts w:hint="eastAsia" w:ascii="仿宋" w:hAnsi="仿宋" w:eastAsia="仿宋" w:cs="仿宋"/>
          <w:color w:val="auto"/>
          <w:sz w:val="24"/>
          <w:szCs w:val="24"/>
          <w:highlight w:val="none"/>
          <w:lang w:val="en-US"/>
        </w:rPr>
        <w:t>向采购人提供正式发票及结算清单，采购人收到票据后</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日内支付</w:t>
      </w:r>
      <w:r>
        <w:rPr>
          <w:rFonts w:hint="eastAsia" w:ascii="仿宋" w:hAnsi="仿宋" w:eastAsia="仿宋" w:cs="仿宋"/>
          <w:color w:val="auto"/>
          <w:sz w:val="24"/>
          <w:szCs w:val="24"/>
          <w:highlight w:val="none"/>
          <w:lang w:val="en-US"/>
        </w:rPr>
        <w:t>上月货款。如遇财务结算等原因造成支付延迟的，由最终财务支付时间为准。</w:t>
      </w: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pStyle w:val="2"/>
        <w:rPr>
          <w:rFonts w:ascii="仿宋" w:eastAsia="仿宋"/>
          <w:color w:val="auto"/>
          <w:kern w:val="0"/>
          <w:sz w:val="24"/>
          <w:highlight w:val="none"/>
        </w:rPr>
      </w:pPr>
    </w:p>
    <w:p>
      <w:pPr>
        <w:pStyle w:val="2"/>
        <w:rPr>
          <w:rFonts w:ascii="仿宋" w:eastAsia="仿宋"/>
          <w:color w:val="auto"/>
          <w:kern w:val="0"/>
          <w:sz w:val="24"/>
          <w:highlight w:val="none"/>
        </w:rPr>
      </w:pPr>
    </w:p>
    <w:p>
      <w:pPr>
        <w:pStyle w:val="2"/>
        <w:rPr>
          <w:rFonts w:ascii="仿宋" w:eastAsia="仿宋"/>
          <w:color w:val="auto"/>
          <w:kern w:val="0"/>
          <w:sz w:val="24"/>
          <w:highlight w:val="none"/>
        </w:rPr>
      </w:pPr>
    </w:p>
    <w:p>
      <w:pPr>
        <w:pStyle w:val="2"/>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4268"/>
      <w:r>
        <w:rPr>
          <w:rFonts w:hint="eastAsia" w:ascii="仿宋"/>
          <w:color w:val="auto"/>
          <w:highlight w:val="none"/>
        </w:rPr>
        <w:t>第四章  拟签订合同的主要条款</w:t>
      </w:r>
      <w:bookmarkEnd w:id="43"/>
    </w:p>
    <w:p>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W w:w="92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198"/>
        <w:gridCol w:w="6462"/>
        <w:gridCol w:w="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06"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序号</w:t>
            </w:r>
          </w:p>
        </w:tc>
        <w:tc>
          <w:tcPr>
            <w:tcW w:w="1198"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评分内容</w:t>
            </w:r>
          </w:p>
        </w:tc>
        <w:tc>
          <w:tcPr>
            <w:tcW w:w="646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评审细则</w:t>
            </w:r>
          </w:p>
        </w:tc>
        <w:tc>
          <w:tcPr>
            <w:tcW w:w="856"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198"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同类业绩</w:t>
            </w:r>
          </w:p>
        </w:tc>
        <w:tc>
          <w:tcPr>
            <w:tcW w:w="6462" w:type="dxa"/>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投标人自202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年1月1日（以签订时间为准）以来</w:t>
            </w:r>
            <w:r>
              <w:rPr>
                <w:rFonts w:hint="eastAsia" w:ascii="仿宋" w:hAnsi="仿宋" w:eastAsia="仿宋" w:cs="仿宋"/>
                <w:color w:val="auto"/>
                <w:kern w:val="0"/>
                <w:sz w:val="24"/>
                <w:szCs w:val="24"/>
                <w:highlight w:val="none"/>
                <w:lang w:val="en-US" w:eastAsia="zh-CN"/>
              </w:rPr>
              <w:t>同类</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业绩</w:t>
            </w:r>
            <w:r>
              <w:rPr>
                <w:rFonts w:hint="eastAsia" w:ascii="仿宋" w:hAnsi="仿宋" w:eastAsia="仿宋" w:cs="仿宋"/>
                <w:color w:val="auto"/>
                <w:kern w:val="0"/>
                <w:sz w:val="24"/>
                <w:szCs w:val="24"/>
                <w:highlight w:val="none"/>
              </w:rPr>
              <w:t>，提供合同复印件，每提供一个类似合同得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分。（提供合同复印件加盖公章，不提供不得分）。</w:t>
            </w:r>
          </w:p>
        </w:tc>
        <w:tc>
          <w:tcPr>
            <w:tcW w:w="856"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1198" w:type="dxa"/>
            <w:shd w:val="clear" w:color="auto" w:fill="auto"/>
            <w:vAlign w:val="center"/>
          </w:tcPr>
          <w:p>
            <w:pPr>
              <w:keepNext w:val="0"/>
              <w:keepLines w:val="0"/>
              <w:pageBreakBefore w:val="0"/>
              <w:widowControl/>
              <w:kinsoku/>
              <w:wordWrap w:val="0"/>
              <w:overflowPunct/>
              <w:topLinePunct w:val="0"/>
              <w:autoSpaceDE/>
              <w:autoSpaceDN/>
              <w:bidi w:val="0"/>
              <w:adjustRightInd w:val="0"/>
              <w:spacing w:line="312"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管理体系认证</w:t>
            </w:r>
          </w:p>
        </w:tc>
        <w:tc>
          <w:tcPr>
            <w:tcW w:w="6462" w:type="dxa"/>
            <w:shd w:val="clear" w:color="auto" w:fill="auto"/>
            <w:vAlign w:val="top"/>
          </w:tcPr>
          <w:p>
            <w:pPr>
              <w:keepNext w:val="0"/>
              <w:keepLines w:val="0"/>
              <w:pageBreakBefore w:val="0"/>
              <w:widowControl/>
              <w:kinsoku/>
              <w:wordWrap w:val="0"/>
              <w:overflowPunct/>
              <w:topLinePunct w:val="0"/>
              <w:autoSpaceDE/>
              <w:autoSpaceDN/>
              <w:bidi w:val="0"/>
              <w:adjustRightInd w:val="0"/>
              <w:spacing w:line="312"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1.具有ISO 9001质量管理体系认证证书，得1分。</w:t>
            </w:r>
          </w:p>
          <w:p>
            <w:pPr>
              <w:keepNext w:val="0"/>
              <w:keepLines w:val="0"/>
              <w:pageBreakBefore w:val="0"/>
              <w:widowControl/>
              <w:kinsoku/>
              <w:wordWrap w:val="0"/>
              <w:overflowPunct/>
              <w:topLinePunct w:val="0"/>
              <w:autoSpaceDE/>
              <w:autoSpaceDN/>
              <w:bidi w:val="0"/>
              <w:adjustRightInd w:val="0"/>
              <w:spacing w:line="312"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2.具有ISO 22000食品安全管理体系认证证书，得1分。</w:t>
            </w:r>
          </w:p>
          <w:p>
            <w:pPr>
              <w:keepNext w:val="0"/>
              <w:keepLines w:val="0"/>
              <w:pageBreakBefore w:val="0"/>
              <w:widowControl/>
              <w:kinsoku/>
              <w:wordWrap w:val="0"/>
              <w:overflowPunct/>
              <w:topLinePunct w:val="0"/>
              <w:autoSpaceDE/>
              <w:autoSpaceDN/>
              <w:bidi w:val="0"/>
              <w:adjustRightInd w:val="0"/>
              <w:spacing w:line="312"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3.具有ISO 45001职业健康安全管理体系认证证书，得1分。</w:t>
            </w:r>
          </w:p>
          <w:p>
            <w:pPr>
              <w:keepNext w:val="0"/>
              <w:keepLines w:val="0"/>
              <w:pageBreakBefore w:val="0"/>
              <w:widowControl/>
              <w:kinsoku/>
              <w:wordWrap w:val="0"/>
              <w:overflowPunct/>
              <w:topLinePunct w:val="0"/>
              <w:autoSpaceDE/>
              <w:autoSpaceDN/>
              <w:bidi w:val="0"/>
              <w:adjustRightInd w:val="0"/>
              <w:spacing w:line="312"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注：投标文件中提供有效期内的证书扫描件及全国认证认可信息公共服务平台网站（http://www.cnca.gov.cn/）查询页面截图，否则不得分。</w:t>
            </w:r>
          </w:p>
        </w:tc>
        <w:tc>
          <w:tcPr>
            <w:tcW w:w="856" w:type="dxa"/>
            <w:shd w:val="clear" w:color="auto" w:fill="auto"/>
            <w:vAlign w:val="center"/>
          </w:tcPr>
          <w:p>
            <w:pPr>
              <w:keepNext w:val="0"/>
              <w:keepLines w:val="0"/>
              <w:pageBreakBefore w:val="0"/>
              <w:widowControl/>
              <w:kinsoku/>
              <w:wordWrap w:val="0"/>
              <w:overflowPunct/>
              <w:topLinePunct w:val="0"/>
              <w:autoSpaceDE/>
              <w:autoSpaceDN/>
              <w:bidi w:val="0"/>
              <w:adjustRightInd w:val="0"/>
              <w:spacing w:line="312"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配送</w:t>
            </w:r>
            <w:r>
              <w:rPr>
                <w:rFonts w:hint="eastAsia" w:ascii="仿宋" w:hAnsi="仿宋" w:eastAsia="仿宋" w:cs="仿宋"/>
                <w:color w:val="auto"/>
                <w:kern w:val="0"/>
                <w:sz w:val="24"/>
                <w:szCs w:val="24"/>
                <w:highlight w:val="none"/>
              </w:rPr>
              <w:t>方案</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olor w:val="auto"/>
                <w:kern w:val="0"/>
                <w:sz w:val="24"/>
                <w:highlight w:val="none"/>
                <w:lang w:val="en-US" w:eastAsia="zh-CN"/>
              </w:rPr>
              <w:t>根据投标人对项目的理解提供的</w:t>
            </w:r>
            <w:r>
              <w:rPr>
                <w:rFonts w:hint="eastAsia" w:ascii="仿宋" w:hAnsi="仿宋" w:eastAsia="仿宋"/>
                <w:color w:val="auto"/>
                <w:kern w:val="0"/>
                <w:sz w:val="24"/>
                <w:highlight w:val="none"/>
              </w:rPr>
              <w:t>供餐配送</w:t>
            </w:r>
            <w:r>
              <w:rPr>
                <w:rFonts w:hint="eastAsia" w:ascii="仿宋" w:hAnsi="仿宋" w:eastAsia="仿宋"/>
                <w:color w:val="auto"/>
                <w:kern w:val="0"/>
                <w:sz w:val="24"/>
                <w:highlight w:val="none"/>
                <w:lang w:val="en-US" w:eastAsia="zh-CN"/>
              </w:rPr>
              <w:t>方案、</w:t>
            </w:r>
            <w:r>
              <w:rPr>
                <w:rFonts w:hint="eastAsia" w:ascii="仿宋" w:hAnsi="仿宋" w:eastAsia="仿宋"/>
                <w:color w:val="auto"/>
                <w:kern w:val="0"/>
                <w:sz w:val="24"/>
                <w:highlight w:val="none"/>
              </w:rPr>
              <w:t>运输</w:t>
            </w:r>
            <w:r>
              <w:rPr>
                <w:rFonts w:hint="eastAsia" w:ascii="仿宋" w:hAnsi="仿宋" w:eastAsia="仿宋"/>
                <w:color w:val="auto"/>
                <w:kern w:val="0"/>
                <w:sz w:val="24"/>
                <w:highlight w:val="none"/>
                <w:lang w:val="en-US" w:eastAsia="zh-CN"/>
              </w:rPr>
              <w:t>方案</w:t>
            </w:r>
            <w:r>
              <w:rPr>
                <w:rFonts w:hint="eastAsia" w:ascii="仿宋" w:hAnsi="仿宋" w:eastAsia="仿宋"/>
                <w:color w:val="auto"/>
                <w:kern w:val="0"/>
                <w:sz w:val="24"/>
                <w:highlight w:val="none"/>
              </w:rPr>
              <w:t>及现场管理计划的完整性、科学性、合理性进行打分。方案</w:t>
            </w:r>
            <w:r>
              <w:rPr>
                <w:rFonts w:hint="eastAsia" w:ascii="仿宋" w:hAnsi="仿宋" w:eastAsia="仿宋" w:cs="宋体"/>
                <w:color w:val="auto"/>
                <w:sz w:val="24"/>
                <w:szCs w:val="24"/>
                <w:highlight w:val="none"/>
              </w:rPr>
              <w:t>完整、合理可行</w:t>
            </w:r>
            <w:r>
              <w:rPr>
                <w:rFonts w:hint="eastAsia" w:ascii="仿宋" w:hAnsi="仿宋" w:eastAsia="仿宋"/>
                <w:color w:val="auto"/>
                <w:kern w:val="0"/>
                <w:sz w:val="24"/>
                <w:highlight w:val="none"/>
              </w:rPr>
              <w:t>的得 6</w:t>
            </w:r>
            <w:r>
              <w:rPr>
                <w:rFonts w:hint="eastAsia" w:ascii="仿宋" w:hAnsi="仿宋" w:eastAsia="仿宋"/>
                <w:color w:val="auto"/>
                <w:kern w:val="0"/>
                <w:sz w:val="24"/>
                <w:highlight w:val="none"/>
                <w:lang w:val="en-US" w:eastAsia="zh-CN"/>
              </w:rPr>
              <w:t>.1-9</w:t>
            </w:r>
            <w:r>
              <w:rPr>
                <w:rFonts w:hint="eastAsia" w:ascii="仿宋" w:hAnsi="仿宋" w:eastAsia="仿宋"/>
                <w:color w:val="auto"/>
                <w:kern w:val="0"/>
                <w:sz w:val="24"/>
                <w:highlight w:val="none"/>
              </w:rPr>
              <w:t>分，方案</w:t>
            </w:r>
            <w:r>
              <w:rPr>
                <w:rFonts w:hint="eastAsia" w:ascii="仿宋" w:hAnsi="仿宋" w:eastAsia="仿宋" w:cs="宋体"/>
                <w:color w:val="auto"/>
                <w:sz w:val="24"/>
                <w:szCs w:val="24"/>
                <w:highlight w:val="none"/>
              </w:rPr>
              <w:t>较完整、较合理可行的</w:t>
            </w:r>
            <w:r>
              <w:rPr>
                <w:rFonts w:hint="eastAsia" w:ascii="仿宋" w:hAnsi="仿宋" w:eastAsia="仿宋"/>
                <w:color w:val="auto"/>
                <w:kern w:val="0"/>
                <w:sz w:val="24"/>
                <w:highlight w:val="none"/>
              </w:rPr>
              <w:t>得</w:t>
            </w:r>
            <w:r>
              <w:rPr>
                <w:rFonts w:hint="eastAsia" w:ascii="仿宋" w:hAnsi="仿宋" w:eastAsia="仿宋"/>
                <w:color w:val="auto"/>
                <w:kern w:val="0"/>
                <w:sz w:val="24"/>
                <w:highlight w:val="none"/>
                <w:lang w:val="en-US" w:eastAsia="zh-CN"/>
              </w:rPr>
              <w:t>3.1-6</w:t>
            </w:r>
            <w:r>
              <w:rPr>
                <w:rFonts w:hint="eastAsia" w:ascii="仿宋" w:hAnsi="仿宋" w:eastAsia="仿宋"/>
                <w:color w:val="auto"/>
                <w:kern w:val="0"/>
                <w:sz w:val="24"/>
                <w:highlight w:val="none"/>
              </w:rPr>
              <w:t>分，方案一般的得</w:t>
            </w:r>
            <w:r>
              <w:rPr>
                <w:rFonts w:hint="eastAsia" w:ascii="仿宋" w:hAnsi="仿宋" w:eastAsia="仿宋"/>
                <w:color w:val="auto"/>
                <w:kern w:val="0"/>
                <w:sz w:val="24"/>
                <w:highlight w:val="none"/>
                <w:lang w:val="en-US" w:eastAsia="zh-CN"/>
              </w:rPr>
              <w:t>0.1-3</w:t>
            </w:r>
            <w:r>
              <w:rPr>
                <w:rFonts w:hint="eastAsia" w:ascii="仿宋" w:hAnsi="仿宋" w:eastAsia="仿宋"/>
                <w:color w:val="auto"/>
                <w:kern w:val="0"/>
                <w:sz w:val="24"/>
                <w:highlight w:val="none"/>
              </w:rPr>
              <w:t>分，</w:t>
            </w:r>
            <w:r>
              <w:rPr>
                <w:rFonts w:hint="eastAsia" w:ascii="仿宋" w:hAnsi="仿宋" w:eastAsia="仿宋" w:cs="宋体"/>
                <w:color w:val="auto"/>
                <w:sz w:val="24"/>
                <w:szCs w:val="24"/>
                <w:highlight w:val="none"/>
              </w:rPr>
              <w:t>不完整、不合理、不提供的不得分</w:t>
            </w:r>
            <w:r>
              <w:rPr>
                <w:rFonts w:hint="eastAsia" w:ascii="仿宋" w:hAnsi="仿宋" w:eastAsia="仿宋"/>
                <w:color w:val="auto"/>
                <w:kern w:val="0"/>
                <w:sz w:val="24"/>
                <w:highlight w:val="none"/>
              </w:rPr>
              <w:t>。</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食品</w:t>
            </w:r>
            <w:r>
              <w:rPr>
                <w:rFonts w:hint="eastAsia" w:ascii="仿宋" w:hAnsi="仿宋" w:eastAsia="仿宋" w:cs="仿宋"/>
                <w:color w:val="auto"/>
                <w:sz w:val="24"/>
                <w:szCs w:val="24"/>
                <w:highlight w:val="none"/>
              </w:rPr>
              <w:t>卫生管理方案</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val="en-US" w:eastAsia="zh-CN"/>
              </w:rPr>
              <w:t>提供的食品</w:t>
            </w:r>
            <w:r>
              <w:rPr>
                <w:rFonts w:hint="eastAsia" w:ascii="仿宋" w:hAnsi="仿宋" w:eastAsia="仿宋" w:cs="仿宋"/>
                <w:color w:val="auto"/>
                <w:sz w:val="24"/>
                <w:szCs w:val="24"/>
                <w:highlight w:val="none"/>
              </w:rPr>
              <w:t>卫生管理方案</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kern w:val="0"/>
                <w:sz w:val="24"/>
                <w:szCs w:val="24"/>
                <w:highlight w:val="none"/>
              </w:rPr>
              <w:t>①</w:t>
            </w:r>
            <w:r>
              <w:rPr>
                <w:rFonts w:hint="eastAsia" w:ascii="仿宋" w:hAnsi="仿宋" w:eastAsia="仿宋" w:cs="仿宋"/>
                <w:color w:val="auto"/>
                <w:sz w:val="24"/>
                <w:szCs w:val="24"/>
                <w:highlight w:val="none"/>
              </w:rPr>
              <w:t>食品卫生、</w:t>
            </w:r>
            <w:r>
              <w:rPr>
                <w:rFonts w:hint="eastAsia" w:ascii="仿宋" w:hAnsi="仿宋" w:eastAsia="仿宋" w:cs="仿宋"/>
                <w:color w:val="auto"/>
                <w:kern w:val="0"/>
                <w:sz w:val="24"/>
                <w:szCs w:val="24"/>
                <w:highlight w:val="none"/>
              </w:rPr>
              <w:t>②</w:t>
            </w:r>
            <w:r>
              <w:rPr>
                <w:rFonts w:hint="eastAsia" w:ascii="仿宋" w:hAnsi="仿宋" w:eastAsia="仿宋" w:cs="仿宋"/>
                <w:color w:val="auto"/>
                <w:sz w:val="24"/>
                <w:szCs w:val="24"/>
                <w:highlight w:val="none"/>
              </w:rPr>
              <w:t>人员卫生、</w:t>
            </w:r>
            <w:r>
              <w:rPr>
                <w:rFonts w:hint="eastAsia" w:ascii="仿宋" w:hAnsi="仿宋" w:eastAsia="仿宋" w:cs="仿宋"/>
                <w:color w:val="auto"/>
                <w:kern w:val="0"/>
                <w:sz w:val="24"/>
                <w:szCs w:val="24"/>
                <w:highlight w:val="none"/>
              </w:rPr>
              <w:t>③</w:t>
            </w:r>
            <w:r>
              <w:rPr>
                <w:rFonts w:hint="eastAsia" w:ascii="仿宋" w:hAnsi="仿宋" w:eastAsia="仿宋" w:cs="仿宋"/>
                <w:color w:val="auto"/>
                <w:sz w:val="24"/>
                <w:szCs w:val="24"/>
                <w:highlight w:val="none"/>
              </w:rPr>
              <w:t>环境卫生等的周密性，可实施性评价。</w:t>
            </w:r>
            <w:r>
              <w:rPr>
                <w:rFonts w:hint="eastAsia" w:ascii="仿宋" w:hAnsi="仿宋" w:eastAsia="仿宋" w:cs="仿宋"/>
                <w:color w:val="auto"/>
                <w:kern w:val="0"/>
                <w:sz w:val="24"/>
                <w:szCs w:val="24"/>
                <w:highlight w:val="none"/>
              </w:rPr>
              <w:t>进行打分，</w:t>
            </w:r>
            <w:r>
              <w:rPr>
                <w:rFonts w:hint="eastAsia" w:ascii="仿宋" w:hAnsi="仿宋" w:eastAsia="仿宋" w:cs="仿宋"/>
                <w:color w:val="auto"/>
                <w:sz w:val="24"/>
                <w:szCs w:val="24"/>
                <w:highlight w:val="none"/>
              </w:rPr>
              <w:t>方案比较周密、具有一定可实施性的得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sz w:val="24"/>
                <w:szCs w:val="24"/>
                <w:highlight w:val="none"/>
              </w:rPr>
              <w:t>分；方案一般、可实施性一般的得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sz w:val="24"/>
                <w:szCs w:val="24"/>
                <w:highlight w:val="none"/>
              </w:rPr>
              <w:t>分；方案有欠缺、可实施性不足的得</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；不满足不得分</w:t>
            </w:r>
            <w:r>
              <w:rPr>
                <w:rFonts w:hint="eastAsia" w:ascii="仿宋" w:hAnsi="仿宋" w:eastAsia="仿宋" w:cs="仿宋"/>
                <w:color w:val="auto"/>
                <w:kern w:val="0"/>
                <w:sz w:val="24"/>
                <w:szCs w:val="24"/>
                <w:highlight w:val="none"/>
              </w:rPr>
              <w:t>。</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食品安全方案</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投标人所提交的食品安全方案</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kern w:val="0"/>
                <w:sz w:val="24"/>
                <w:szCs w:val="24"/>
                <w:highlight w:val="none"/>
              </w:rPr>
              <w:t>①留样方案；②日常巡检方案；③应急处置方案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④食材自检方案。根据方案</w:t>
            </w:r>
            <w:r>
              <w:rPr>
                <w:rFonts w:hint="eastAsia" w:ascii="仿宋" w:hAnsi="仿宋" w:eastAsia="仿宋" w:cs="仿宋"/>
                <w:color w:val="auto"/>
                <w:kern w:val="0"/>
                <w:sz w:val="24"/>
                <w:szCs w:val="24"/>
                <w:highlight w:val="none"/>
                <w:lang w:val="en-US" w:eastAsia="zh-CN"/>
              </w:rPr>
              <w:t>详细程度及可行性</w:t>
            </w:r>
            <w:r>
              <w:rPr>
                <w:rFonts w:hint="eastAsia" w:ascii="仿宋" w:hAnsi="仿宋" w:eastAsia="仿宋" w:cs="仿宋"/>
                <w:color w:val="auto"/>
                <w:kern w:val="0"/>
                <w:sz w:val="24"/>
                <w:szCs w:val="24"/>
                <w:highlight w:val="none"/>
              </w:rPr>
              <w:t>，进行打分，</w:t>
            </w:r>
            <w:r>
              <w:rPr>
                <w:rFonts w:hint="eastAsia" w:ascii="仿宋" w:hAnsi="仿宋" w:eastAsia="仿宋" w:cs="仿宋"/>
                <w:color w:val="auto"/>
                <w:sz w:val="24"/>
                <w:szCs w:val="24"/>
                <w:highlight w:val="none"/>
              </w:rPr>
              <w:t>方案比较周密、具有一定可实施性的得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sz w:val="24"/>
                <w:szCs w:val="24"/>
                <w:highlight w:val="none"/>
              </w:rPr>
              <w:t>分；方案一般、可实施性一般的得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sz w:val="24"/>
                <w:szCs w:val="24"/>
                <w:highlight w:val="none"/>
              </w:rPr>
              <w:t>分；方案有欠缺、可实施性不足的得</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；不满足不得分</w:t>
            </w:r>
            <w:r>
              <w:rPr>
                <w:rFonts w:hint="eastAsia" w:ascii="仿宋" w:hAnsi="仿宋" w:eastAsia="仿宋" w:cs="仿宋"/>
                <w:color w:val="auto"/>
                <w:kern w:val="0"/>
                <w:sz w:val="24"/>
                <w:szCs w:val="24"/>
                <w:highlight w:val="none"/>
              </w:rPr>
              <w:t>。</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团队人员安排计划</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根据拟派人员岗位安排、分配明细情况，包括人员数量、配备合理，各岗位的配置和劳动力的配比是否满足各岗位和工作量进行打分，</w:t>
            </w:r>
            <w:r>
              <w:rPr>
                <w:rFonts w:hint="eastAsia" w:ascii="仿宋" w:hAnsi="仿宋" w:eastAsia="仿宋" w:cs="仿宋"/>
                <w:color w:val="auto"/>
                <w:kern w:val="2"/>
                <w:sz w:val="24"/>
                <w:szCs w:val="24"/>
                <w:highlight w:val="none"/>
              </w:rPr>
              <w:t>完整、合理可行得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2"/>
                <w:sz w:val="24"/>
                <w:szCs w:val="24"/>
                <w:highlight w:val="none"/>
              </w:rPr>
              <w:t>分；较完整、总体可行得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kern w:val="2"/>
                <w:sz w:val="24"/>
                <w:szCs w:val="24"/>
                <w:highlight w:val="none"/>
              </w:rPr>
              <w:t>分；完整性一般、基本可行得</w:t>
            </w:r>
            <w:r>
              <w:rPr>
                <w:rFonts w:hint="eastAsia" w:ascii="仿宋" w:hAnsi="仿宋" w:eastAsia="仿宋" w:cs="仿宋"/>
                <w:color w:val="auto"/>
                <w:kern w:val="0"/>
                <w:sz w:val="24"/>
                <w:szCs w:val="24"/>
                <w:highlight w:val="none"/>
                <w:lang w:val="en-US" w:eastAsia="zh-CN"/>
              </w:rPr>
              <w:t>0.1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2"/>
                <w:sz w:val="24"/>
                <w:szCs w:val="24"/>
                <w:highlight w:val="none"/>
              </w:rPr>
              <w:t>分；不完整、不可行不得分。</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菜单计划</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投标人提交的菜单</w:t>
            </w:r>
            <w:r>
              <w:rPr>
                <w:rFonts w:hint="eastAsia" w:ascii="仿宋" w:hAnsi="仿宋" w:eastAsia="仿宋" w:cs="仿宋"/>
                <w:color w:val="auto"/>
                <w:kern w:val="0"/>
                <w:sz w:val="24"/>
                <w:szCs w:val="24"/>
                <w:highlight w:val="none"/>
                <w:lang w:val="en-US" w:eastAsia="zh-CN"/>
              </w:rPr>
              <w:t>不重样、</w:t>
            </w:r>
            <w:r>
              <w:rPr>
                <w:rFonts w:hint="eastAsia" w:ascii="仿宋" w:hAnsi="仿宋" w:eastAsia="仿宋" w:cs="仿宋"/>
                <w:color w:val="auto"/>
                <w:kern w:val="0"/>
                <w:sz w:val="24"/>
                <w:szCs w:val="24"/>
                <w:highlight w:val="none"/>
              </w:rPr>
              <w:t>专业、清晰、完整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搭配合理、营养、创新等</w:t>
            </w:r>
            <w:r>
              <w:rPr>
                <w:rFonts w:hint="eastAsia" w:ascii="仿宋" w:hAnsi="仿宋" w:eastAsia="仿宋" w:cs="仿宋"/>
                <w:color w:val="auto"/>
                <w:kern w:val="0"/>
                <w:sz w:val="24"/>
                <w:szCs w:val="24"/>
                <w:highlight w:val="none"/>
                <w:lang w:eastAsia="zh-CN"/>
              </w:rPr>
              <w:t>，根据方案完整详细且切实可行，进行打分，</w:t>
            </w:r>
            <w:r>
              <w:rPr>
                <w:rFonts w:hint="eastAsia" w:ascii="仿宋" w:hAnsi="仿宋" w:eastAsia="仿宋" w:cs="仿宋"/>
                <w:color w:val="auto"/>
                <w:kern w:val="2"/>
                <w:sz w:val="24"/>
                <w:szCs w:val="24"/>
                <w:highlight w:val="none"/>
              </w:rPr>
              <w:t>完整、合理可行得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2"/>
                <w:sz w:val="24"/>
                <w:szCs w:val="24"/>
                <w:highlight w:val="none"/>
              </w:rPr>
              <w:t>分；较完整、总体可行得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2"/>
                <w:sz w:val="24"/>
                <w:szCs w:val="24"/>
                <w:highlight w:val="none"/>
              </w:rPr>
              <w:t>分；完整性一般、基本可行得</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2"/>
                <w:sz w:val="24"/>
                <w:szCs w:val="24"/>
                <w:highlight w:val="none"/>
              </w:rPr>
              <w:t>分；不完整、不可行不得分。</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商品换购方案</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olor w:val="auto"/>
                <w:kern w:val="0"/>
                <w:sz w:val="24"/>
                <w:highlight w:val="none"/>
                <w:lang w:val="en-US" w:eastAsia="zh-CN"/>
              </w:rPr>
              <w:t>根据投标人对项目的理解提供的商品换购方案包括但不限于换购方式是否方便，商品种类是否丰富</w:t>
            </w:r>
            <w:bookmarkStart w:id="85" w:name="_GoBack"/>
            <w:bookmarkEnd w:id="85"/>
            <w:r>
              <w:rPr>
                <w:rFonts w:hint="eastAsia" w:ascii="仿宋" w:hAnsi="仿宋" w:eastAsia="仿宋" w:cs="仿宋"/>
                <w:color w:val="auto"/>
                <w:kern w:val="0"/>
                <w:sz w:val="24"/>
                <w:szCs w:val="24"/>
                <w:highlight w:val="none"/>
              </w:rPr>
              <w:t>等情况进行打分，</w:t>
            </w:r>
            <w:r>
              <w:rPr>
                <w:rFonts w:hint="eastAsia" w:ascii="仿宋" w:hAnsi="仿宋" w:eastAsia="仿宋" w:cs="仿宋"/>
                <w:color w:val="auto"/>
                <w:kern w:val="2"/>
                <w:sz w:val="24"/>
                <w:szCs w:val="24"/>
                <w:highlight w:val="none"/>
              </w:rPr>
              <w:t>完整、合理可行得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2"/>
                <w:sz w:val="24"/>
                <w:szCs w:val="24"/>
                <w:highlight w:val="none"/>
              </w:rPr>
              <w:t>分；较完整、总体可行得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2"/>
                <w:sz w:val="24"/>
                <w:szCs w:val="24"/>
                <w:highlight w:val="none"/>
              </w:rPr>
              <w:t>分；完整性一般、基本可行得</w:t>
            </w:r>
            <w:r>
              <w:rPr>
                <w:rFonts w:hint="eastAsia" w:ascii="仿宋" w:hAnsi="仿宋" w:eastAsia="仿宋" w:cs="仿宋"/>
                <w:color w:val="auto"/>
                <w:kern w:val="0"/>
                <w:sz w:val="24"/>
                <w:szCs w:val="24"/>
                <w:highlight w:val="none"/>
                <w:lang w:val="en-US" w:eastAsia="zh-CN"/>
              </w:rPr>
              <w:t>0.1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2"/>
                <w:sz w:val="24"/>
                <w:szCs w:val="24"/>
                <w:highlight w:val="none"/>
              </w:rPr>
              <w:t>分；不完整、不可行不得分。</w:t>
            </w:r>
            <w:r>
              <w:rPr>
                <w:rFonts w:hint="eastAsia" w:ascii="仿宋" w:hAnsi="仿宋" w:eastAsia="仿宋" w:cs="仿宋"/>
                <w:color w:val="auto"/>
                <w:kern w:val="0"/>
                <w:sz w:val="24"/>
                <w:szCs w:val="24"/>
                <w:highlight w:val="none"/>
              </w:rPr>
              <w:t>提供以往供应商供货合同或台账等材料复印件并加盖公章。</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应急预案及管理</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根据投标人服务保障时，针对各类突发事件是否制定有切合实际并具有可操作性的应急预案，对各类突发事件的处理是否有对应的响应机制进行打分，</w:t>
            </w:r>
            <w:r>
              <w:rPr>
                <w:rFonts w:hint="eastAsia" w:ascii="仿宋" w:hAnsi="仿宋" w:eastAsia="仿宋" w:cs="仿宋"/>
                <w:color w:val="auto"/>
                <w:kern w:val="2"/>
                <w:sz w:val="24"/>
                <w:szCs w:val="24"/>
                <w:highlight w:val="none"/>
              </w:rPr>
              <w:t>完整、合理可行得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2"/>
                <w:sz w:val="24"/>
                <w:szCs w:val="24"/>
                <w:highlight w:val="none"/>
              </w:rPr>
              <w:t>分；较完整、总体可行得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kern w:val="2"/>
                <w:sz w:val="24"/>
                <w:szCs w:val="24"/>
                <w:highlight w:val="none"/>
              </w:rPr>
              <w:t>分；完整性一般、基本可行得</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2"/>
                <w:sz w:val="24"/>
                <w:szCs w:val="24"/>
                <w:highlight w:val="none"/>
              </w:rPr>
              <w:t>分；不完整、不可行不得分。</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原材料管理</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rPr>
              <w:t>原材料管理方案及食品保存管理方案的完整性、合理性进行综合</w:t>
            </w:r>
            <w:r>
              <w:rPr>
                <w:rFonts w:hint="eastAsia" w:ascii="仿宋" w:hAnsi="仿宋" w:eastAsia="仿宋" w:cs="仿宋"/>
                <w:color w:val="auto"/>
                <w:kern w:val="2"/>
                <w:sz w:val="24"/>
                <w:szCs w:val="24"/>
                <w:highlight w:val="none"/>
                <w:lang w:val="en-US" w:eastAsia="zh-CN"/>
              </w:rPr>
              <w:t>打分。</w:t>
            </w:r>
            <w:r>
              <w:rPr>
                <w:rFonts w:hint="eastAsia" w:ascii="仿宋" w:hAnsi="仿宋" w:eastAsia="仿宋" w:cs="仿宋"/>
                <w:color w:val="auto"/>
                <w:kern w:val="2"/>
                <w:sz w:val="24"/>
                <w:szCs w:val="24"/>
                <w:highlight w:val="none"/>
              </w:rPr>
              <w:t>完整、合理可行得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kern w:val="2"/>
                <w:sz w:val="24"/>
                <w:szCs w:val="24"/>
                <w:highlight w:val="none"/>
              </w:rPr>
              <w:t>分；较完整、总体可行得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2"/>
                <w:sz w:val="24"/>
                <w:szCs w:val="24"/>
                <w:highlight w:val="none"/>
              </w:rPr>
              <w:t>分；完整性一般、基本可行得</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2"/>
                <w:sz w:val="24"/>
                <w:szCs w:val="24"/>
                <w:highlight w:val="none"/>
              </w:rPr>
              <w:t>分；不完整、不可行不得分。</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1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服务承诺</w:t>
            </w:r>
          </w:p>
        </w:tc>
        <w:tc>
          <w:tcPr>
            <w:tcW w:w="6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根据投标人提供的优惠服务承诺情况打分0-2分。</w:t>
            </w:r>
          </w:p>
        </w:tc>
        <w:tc>
          <w:tcPr>
            <w:tcW w:w="8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r>
    </w:tbl>
    <w:p>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w:t>
      </w:r>
      <w:r>
        <w:rPr>
          <w:rFonts w:hint="eastAsia" w:ascii="仿宋" w:eastAsia="仿宋"/>
          <w:bCs/>
          <w:iCs/>
          <w:color w:val="auto"/>
          <w:sz w:val="24"/>
          <w:highlight w:val="none"/>
          <w:lang w:val="en-US" w:eastAsia="zh-CN"/>
        </w:rPr>
        <w:t>折扣率</w:t>
      </w:r>
      <w:r>
        <w:rPr>
          <w:rFonts w:hint="eastAsia" w:ascii="仿宋" w:eastAsia="仿宋"/>
          <w:bCs/>
          <w:iCs/>
          <w:color w:val="auto"/>
          <w:sz w:val="24"/>
          <w:highlight w:val="none"/>
        </w:rPr>
        <w:t>最低的投标</w:t>
      </w:r>
      <w:r>
        <w:rPr>
          <w:rFonts w:hint="eastAsia" w:ascii="仿宋" w:eastAsia="仿宋"/>
          <w:bCs/>
          <w:iCs/>
          <w:color w:val="auto"/>
          <w:sz w:val="24"/>
          <w:highlight w:val="none"/>
          <w:lang w:val="en-US" w:eastAsia="zh-CN"/>
        </w:rPr>
        <w:t>折扣率</w:t>
      </w:r>
      <w:r>
        <w:rPr>
          <w:rFonts w:hint="eastAsia" w:ascii="仿宋" w:eastAsia="仿宋"/>
          <w:bCs/>
          <w:iCs/>
          <w:color w:val="auto"/>
          <w:sz w:val="24"/>
          <w:highlight w:val="none"/>
        </w:rPr>
        <w:t>为评标基准价，其价格分为满分。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w:t>
      </w:r>
      <w:r>
        <w:rPr>
          <w:rFonts w:hint="eastAsia" w:ascii="仿宋" w:eastAsia="仿宋"/>
          <w:bCs/>
          <w:iCs/>
          <w:color w:val="auto"/>
          <w:sz w:val="24"/>
          <w:highlight w:val="none"/>
          <w:lang w:val="en-US" w:eastAsia="zh-CN"/>
        </w:rPr>
        <w:t>折扣率</w:t>
      </w:r>
      <w:r>
        <w:rPr>
          <w:rFonts w:hint="eastAsia" w:ascii="仿宋" w:eastAsia="仿宋"/>
          <w:bCs/>
          <w:iCs/>
          <w:color w:val="auto"/>
          <w:sz w:val="24"/>
          <w:highlight w:val="none"/>
        </w:rPr>
        <w:t>)×价格权值×100</w:t>
      </w:r>
    </w:p>
    <w:p>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w:t>
      </w:r>
      <w:r>
        <w:rPr>
          <w:rFonts w:hint="eastAsia" w:ascii="仿宋" w:eastAsia="仿宋"/>
          <w:bCs/>
          <w:iCs/>
          <w:color w:val="auto"/>
          <w:sz w:val="24"/>
          <w:highlight w:val="none"/>
          <w:lang w:val="en-US" w:eastAsia="zh-CN"/>
        </w:rPr>
        <w:t>折扣率</w:t>
      </w:r>
      <w:r>
        <w:rPr>
          <w:rFonts w:hint="eastAsia" w:ascii="仿宋" w:eastAsia="仿宋"/>
          <w:bCs/>
          <w:iCs/>
          <w:color w:val="auto"/>
          <w:sz w:val="24"/>
          <w:highlight w:val="none"/>
        </w:rPr>
        <w:t>)×</w:t>
      </w:r>
      <w:r>
        <w:rPr>
          <w:rFonts w:hint="eastAsia" w:ascii="仿宋" w:eastAsia="仿宋"/>
          <w:bCs/>
          <w:iCs/>
          <w:color w:val="auto"/>
          <w:sz w:val="24"/>
          <w:highlight w:val="none"/>
          <w:u w:val="single"/>
          <w:lang w:val="en-US" w:eastAsia="zh-CN"/>
        </w:rPr>
        <w:t>30</w:t>
      </w:r>
    </w:p>
    <w:p>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15148"/>
    </w:p>
    <w:p>
      <w:pPr>
        <w:rPr>
          <w:rFonts w:hint="eastAsia" w:ascii="仿宋"/>
          <w:color w:val="auto"/>
          <w:highlight w:val="none"/>
        </w:rPr>
      </w:pPr>
    </w:p>
    <w:p>
      <w:pPr>
        <w:pStyle w:val="2"/>
        <w:rPr>
          <w:rFonts w:hint="eastAsia" w:ascii="仿宋"/>
          <w:color w:val="auto"/>
          <w:highlight w:val="none"/>
        </w:rPr>
      </w:pPr>
    </w:p>
    <w:p>
      <w:pPr>
        <w:pStyle w:val="2"/>
        <w:rPr>
          <w:rFonts w:hint="eastAsia" w:ascii="仿宋"/>
          <w:color w:val="auto"/>
          <w:highlight w:val="none"/>
        </w:rPr>
      </w:pPr>
    </w:p>
    <w:p>
      <w:pPr>
        <w:pStyle w:val="2"/>
        <w:rPr>
          <w:rFonts w:hint="eastAsia" w:ascii="仿宋"/>
          <w:color w:val="auto"/>
          <w:highlight w:val="none"/>
        </w:rPr>
      </w:pPr>
    </w:p>
    <w:p>
      <w:pPr>
        <w:pStyle w:val="2"/>
        <w:rPr>
          <w:rFonts w:hint="eastAsia" w:ascii="仿宋"/>
          <w:color w:val="auto"/>
          <w:highlight w:val="none"/>
        </w:rPr>
      </w:pPr>
    </w:p>
    <w:p>
      <w:pPr>
        <w:pStyle w:val="2"/>
        <w:rPr>
          <w:rFonts w:hint="eastAsia" w:ascii="仿宋"/>
          <w:color w:val="auto"/>
          <w:highlight w:val="none"/>
        </w:rPr>
      </w:pPr>
    </w:p>
    <w:p>
      <w:pPr>
        <w:pStyle w:val="2"/>
        <w:rPr>
          <w:rFonts w:hint="eastAsia" w:ascii="仿宋"/>
          <w:color w:val="auto"/>
          <w:highlight w:val="none"/>
        </w:rPr>
      </w:pPr>
    </w:p>
    <w:p>
      <w:pPr>
        <w:pStyle w:val="2"/>
        <w:rPr>
          <w:rFonts w:hint="eastAsia" w:ascii="仿宋"/>
          <w:color w:val="auto"/>
          <w:highlight w:val="none"/>
        </w:rPr>
      </w:pPr>
    </w:p>
    <w:p>
      <w:pPr>
        <w:pStyle w:val="2"/>
        <w:rPr>
          <w:rFonts w:hint="eastAsia" w:ascii="仿宋"/>
          <w:color w:val="auto"/>
          <w:highlight w:val="none"/>
        </w:rPr>
      </w:pPr>
    </w:p>
    <w:p>
      <w:pPr>
        <w:pStyle w:val="3"/>
        <w:keepNext/>
        <w:keepLines/>
        <w:pageBreakBefore w:val="0"/>
        <w:widowControl w:val="0"/>
        <w:suppressLineNumbers w:val="0"/>
        <w:suppressAutoHyphens w:val="0"/>
        <w:spacing w:line="578" w:lineRule="auto"/>
        <w:jc w:val="both"/>
        <w:rPr>
          <w:rFonts w:hint="eastAsia" w:ascii="仿宋"/>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3"/>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5"/>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500" w:lineRule="exact"/>
        <w:ind w:right="7"/>
        <w:jc w:val="center"/>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.法定代表人授权委托书……………………………………………………（页码）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.法定代表人及其授权代表身份证…………………………………………（页码）</w:t>
      </w:r>
    </w:p>
    <w:p>
      <w:pPr>
        <w:pStyle w:val="38"/>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4</w:t>
      </w:r>
      <w:r>
        <w:rPr>
          <w:rFonts w:hint="eastAsia" w:ascii="仿宋" w:eastAsia="仿宋" w:cs="仿宋_GB2312"/>
          <w:color w:val="auto"/>
          <w:sz w:val="24"/>
          <w:szCs w:val="24"/>
          <w:highlight w:val="none"/>
        </w:rPr>
        <w:t>.资格条件证明材料</w:t>
      </w:r>
    </w:p>
    <w:p>
      <w:pPr>
        <w:pStyle w:val="38"/>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4</w:t>
      </w:r>
      <w:r>
        <w:rPr>
          <w:rFonts w:hint="eastAsia" w:ascii="仿宋" w:eastAsia="仿宋" w:cs="仿宋_GB2312"/>
          <w:color w:val="auto"/>
          <w:highlight w:val="none"/>
        </w:rPr>
        <w:t>.1营业执照(或事业法人登记证书)………………………………………（页码）</w:t>
      </w:r>
      <w:bookmarkEnd w:id="47"/>
    </w:p>
    <w:p>
      <w:pPr>
        <w:pStyle w:val="38"/>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.中小企业声明函………………………………………………………………（页码）</w:t>
      </w:r>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.残疾人福利性单位声明函……………………………………………………（页码）</w:t>
      </w:r>
    </w:p>
    <w:p>
      <w:pPr>
        <w:spacing w:line="360" w:lineRule="auto"/>
        <w:jc w:val="left"/>
        <w:rPr>
          <w:rFonts w:hint="eastAsia" w:ascii="仿宋" w:eastAsia="仿宋" w:cs="仿宋_GB2312"/>
          <w:b/>
          <w:bCs/>
          <w:color w:val="auto"/>
          <w:sz w:val="24"/>
          <w:highlight w:val="none"/>
        </w:rPr>
      </w:pP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注：“资格文件”需按采购文件要求的内容制作，复印件需加盖供应商公章，未按要求签署、盖章或内容实质性偏离的，资格审查不通过。</w:t>
      </w:r>
    </w:p>
    <w:p>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3"/>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3"/>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3"/>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3"/>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3"/>
        <w:spacing w:after="50" w:afterLines="0" w:line="440" w:lineRule="exact"/>
        <w:rPr>
          <w:rFonts w:hint="eastAsia" w:ascii="仿宋" w:eastAsia="仿宋"/>
          <w:color w:val="auto"/>
          <w:szCs w:val="24"/>
          <w:highlight w:val="none"/>
        </w:rPr>
      </w:pP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3"/>
        <w:spacing w:after="50" w:afterLines="0" w:line="440" w:lineRule="exact"/>
        <w:rPr>
          <w:rFonts w:hint="eastAsia" w:ascii="仿宋" w:eastAsia="仿宋"/>
          <w:color w:val="auto"/>
          <w:szCs w:val="24"/>
          <w:highlight w:val="none"/>
        </w:rPr>
      </w:pP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pPr>
        <w:pStyle w:val="33"/>
        <w:spacing w:after="50" w:afterLines="0" w:line="440" w:lineRule="exact"/>
        <w:rPr>
          <w:rFonts w:hint="eastAsia" w:ascii="仿宋" w:eastAsia="仿宋"/>
          <w:color w:val="auto"/>
          <w:szCs w:val="24"/>
          <w:highlight w:val="none"/>
        </w:rPr>
      </w:pPr>
    </w:p>
    <w:p>
      <w:pPr>
        <w:pStyle w:val="33"/>
        <w:spacing w:after="50" w:afterLines="0" w:line="440" w:lineRule="exact"/>
        <w:rPr>
          <w:rFonts w:hint="eastAsia" w:ascii="仿宋" w:eastAsia="仿宋"/>
          <w:color w:val="auto"/>
          <w:szCs w:val="24"/>
          <w:highlight w:val="none"/>
        </w:rPr>
      </w:pPr>
    </w:p>
    <w:p>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pPr>
        <w:pStyle w:val="33"/>
        <w:spacing w:after="50" w:afterLines="0" w:line="440" w:lineRule="exact"/>
        <w:ind w:left="0" w:firstLine="0" w:firstLineChars="0"/>
        <w:rPr>
          <w:rFonts w:hint="eastAsia" w:ascii="仿宋" w:eastAsia="仿宋"/>
          <w:b/>
          <w:bCs/>
          <w:color w:val="auto"/>
          <w:sz w:val="28"/>
          <w:szCs w:val="28"/>
          <w:highlight w:val="none"/>
        </w:rPr>
      </w:pPr>
    </w:p>
    <w:p>
      <w:pPr>
        <w:pStyle w:val="33"/>
        <w:spacing w:after="50" w:afterLines="0" w:line="440" w:lineRule="exact"/>
        <w:ind w:left="0" w:firstLine="0" w:firstLineChars="0"/>
        <w:rPr>
          <w:rFonts w:hint="eastAsia" w:ascii="仿宋" w:eastAsia="仿宋"/>
          <w:b/>
          <w:bCs/>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3"/>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，内容清晰可辨，加盖</w:t>
      </w:r>
      <w:r>
        <w:rPr>
          <w:rFonts w:hint="eastAsia" w:ascii="仿宋" w:eastAsia="仿宋"/>
          <w:color w:val="auto"/>
          <w:sz w:val="28"/>
          <w:szCs w:val="28"/>
          <w:highlight w:val="none"/>
          <w:lang w:eastAsia="zh-CN"/>
        </w:rPr>
        <w:t>单位公章</w:t>
      </w:r>
      <w:r>
        <w:rPr>
          <w:rFonts w:hint="eastAsia" w:ascii="仿宋" w:eastAsia="仿宋"/>
          <w:color w:val="auto"/>
          <w:sz w:val="28"/>
          <w:szCs w:val="28"/>
          <w:highlight w:val="none"/>
        </w:rPr>
        <w:t>，否则视为无效投标。</w:t>
      </w:r>
    </w:p>
    <w:p>
      <w:pPr>
        <w:pStyle w:val="33"/>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33"/>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9"/>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9"/>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pPr>
        <w:spacing w:line="588" w:lineRule="exact"/>
        <w:rPr>
          <w:rFonts w:hint="eastAsia" w:ascii="仿宋" w:eastAsia="仿宋"/>
          <w:b/>
          <w:color w:val="auto"/>
          <w:spacing w:val="6"/>
          <w:sz w:val="30"/>
          <w:szCs w:val="30"/>
          <w:highlight w:val="none"/>
        </w:rPr>
      </w:pPr>
      <w:bookmarkStart w:id="49"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49"/>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hint="eastAsia" w:ascii="仿宋" w:eastAsia="仿宋"/>
          <w:color w:val="auto"/>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pPr>
        <w:snapToGrid w:val="0"/>
        <w:spacing w:before="156" w:beforeLines="50" w:after="50"/>
        <w:jc w:val="center"/>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38"/>
        <w:spacing w:line="360" w:lineRule="auto"/>
        <w:ind w:firstLine="0" w:firstLineChars="0"/>
        <w:jc w:val="left"/>
        <w:rPr>
          <w:rFonts w:hint="eastAsia"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pPr>
        <w:pStyle w:val="38"/>
        <w:spacing w:line="360" w:lineRule="auto"/>
        <w:ind w:firstLine="0" w:firstLineChars="0"/>
        <w:jc w:val="left"/>
        <w:rPr>
          <w:rFonts w:hint="eastAsia"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pPr>
        <w:pStyle w:val="38"/>
        <w:spacing w:line="360" w:lineRule="auto"/>
        <w:ind w:firstLine="0" w:firstLineChars="0"/>
        <w:jc w:val="left"/>
        <w:rPr>
          <w:rFonts w:hint="eastAsia"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pPr>
        <w:pStyle w:val="38"/>
        <w:spacing w:line="360" w:lineRule="auto"/>
        <w:ind w:firstLine="0" w:firstLineChars="0"/>
        <w:jc w:val="left"/>
        <w:rPr>
          <w:rFonts w:hint="eastAsia"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pPr>
        <w:pStyle w:val="38"/>
        <w:spacing w:line="360" w:lineRule="auto"/>
        <w:ind w:firstLine="0" w:firstLineChars="0"/>
        <w:jc w:val="left"/>
        <w:rPr>
          <w:rFonts w:hint="eastAsia"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pPr>
        <w:pStyle w:val="38"/>
        <w:spacing w:line="360" w:lineRule="auto"/>
        <w:ind w:firstLine="0" w:firstLineChars="0"/>
        <w:jc w:val="left"/>
        <w:rPr>
          <w:rFonts w:ascii="仿宋" w:eastAsia="仿宋" w:cs="仿宋_GB2312"/>
          <w:color w:val="auto"/>
          <w:highlight w:val="none"/>
        </w:rPr>
      </w:pPr>
      <w:bookmarkStart w:id="5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pPr>
        <w:pStyle w:val="36"/>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38"/>
        <w:spacing w:line="360" w:lineRule="auto"/>
        <w:ind w:firstLine="0" w:firstLineChars="0"/>
        <w:jc w:val="left"/>
        <w:rPr>
          <w:rFonts w:hint="eastAsia" w:ascii="仿宋" w:eastAsia="仿宋" w:cs="仿宋_GB2312"/>
          <w:color w:val="auto"/>
          <w:highlight w:val="none"/>
        </w:rPr>
      </w:pPr>
      <w:bookmarkStart w:id="5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38"/>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8"/>
        <w:spacing w:line="360" w:lineRule="auto"/>
        <w:ind w:firstLine="0" w:firstLineChars="0"/>
        <w:jc w:val="left"/>
        <w:rPr>
          <w:rFonts w:hint="eastAsia" w:ascii="仿宋" w:eastAsia="仿宋" w:cs="仿宋_GB2312"/>
          <w:color w:val="auto"/>
          <w:highlight w:val="none"/>
        </w:rPr>
      </w:pPr>
      <w:bookmarkStart w:id="5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pPr>
        <w:pStyle w:val="36"/>
        <w:numPr>
          <w:ilvl w:val="0"/>
          <w:numId w:val="0"/>
        </w:numPr>
        <w:spacing w:line="240" w:lineRule="auto"/>
        <w:ind w:left="0" w:firstLine="0"/>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pPr>
        <w:snapToGrid w:val="0"/>
        <w:spacing w:before="50" w:after="50"/>
        <w:rPr>
          <w:rFonts w:hint="eastAsia" w:ascii="仿宋" w:eastAsia="仿宋"/>
          <w:b/>
          <w:bCs/>
          <w:color w:val="auto"/>
          <w:sz w:val="30"/>
          <w:szCs w:val="30"/>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pacing w:val="40"/>
          <w:kern w:val="0"/>
          <w:sz w:val="36"/>
          <w:szCs w:val="36"/>
          <w:highlight w:val="none"/>
        </w:rPr>
      </w:pPr>
    </w:p>
    <w:p>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58" w:name="_Toc64369807"/>
            <w:r>
              <w:rPr>
                <w:rFonts w:hint="eastAsia" w:ascii="仿宋" w:eastAsia="仿宋"/>
                <w:color w:val="auto"/>
                <w:spacing w:val="20"/>
                <w:sz w:val="24"/>
                <w:szCs w:val="24"/>
                <w:highlight w:val="none"/>
              </w:rPr>
              <w:t>服务部分</w:t>
            </w:r>
            <w:bookmarkEnd w:id="5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59" w:name="_Toc64369800"/>
            <w:r>
              <w:rPr>
                <w:rFonts w:hint="eastAsia" w:ascii="仿宋" w:eastAsia="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0" w:name="_Toc64369801"/>
            <w:bookmarkStart w:id="61" w:name="_Toc64369802"/>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2" w:name="_Toc64369803"/>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3" w:name="_Toc64369804"/>
            <w:r>
              <w:rPr>
                <w:rFonts w:hint="eastAsia" w:ascii="仿宋" w:eastAsia="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4" w:name="_Toc64369805"/>
            <w:r>
              <w:rPr>
                <w:rFonts w:hint="eastAsia" w:ascii="仿宋" w:eastAsia="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5" w:name="_Toc64369806"/>
            <w:bookmarkEnd w:id="6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6"/>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7" w:name="_Toc64369808"/>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8" w:name="_Toc64369809"/>
            <w:bookmarkStart w:id="69" w:name="_Toc64369810"/>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bookmarkStart w:id="70" w:name="_Toc64369811"/>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1" w:name="_Toc64369814"/>
            <w:r>
              <w:rPr>
                <w:rFonts w:hint="eastAsia" w:ascii="仿宋" w:eastAsia="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bl>
    <w:p>
      <w:pPr>
        <w:pStyle w:val="12"/>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hint="eastAsia" w:ascii="仿宋" w:eastAsia="仿宋"/>
          <w:color w:val="auto"/>
          <w:sz w:val="24"/>
          <w:szCs w:val="24"/>
          <w:highlight w:val="none"/>
        </w:rPr>
      </w:pPr>
    </w:p>
    <w:p>
      <w:pPr>
        <w:snapToGrid w:val="0"/>
        <w:spacing w:before="156" w:beforeLines="50"/>
        <w:rPr>
          <w:rFonts w:hint="eastAsia" w:ascii="仿宋" w:eastAsia="仿宋"/>
          <w:color w:val="auto"/>
          <w:sz w:val="24"/>
          <w:szCs w:val="24"/>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bookmarkStart w:id="72" w:name="_Toc64369815"/>
            <w:r>
              <w:rPr>
                <w:rFonts w:hint="eastAsia" w:ascii="仿宋" w:eastAsia="仿宋" w:cs="仿宋_GB2312"/>
                <w:color w:val="auto"/>
                <w:spacing w:val="20"/>
                <w:sz w:val="28"/>
                <w:szCs w:val="28"/>
                <w:highlight w:val="none"/>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3" w:name="_Toc64369816"/>
            <w:r>
              <w:rPr>
                <w:rFonts w:hint="eastAsia" w:ascii="仿宋" w:eastAsia="仿宋" w:cs="仿宋_GB2312"/>
                <w:color w:val="auto"/>
                <w:sz w:val="30"/>
                <w:szCs w:val="30"/>
                <w:highlight w:val="none"/>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4" w:name="_Toc64369817"/>
            <w:r>
              <w:rPr>
                <w:rFonts w:hint="eastAsia" w:ascii="仿宋" w:eastAsia="仿宋" w:cs="仿宋_GB2312"/>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5" w:name="_Toc64369818"/>
            <w:r>
              <w:rPr>
                <w:rFonts w:hint="eastAsia" w:ascii="仿宋" w:eastAsia="仿宋" w:cs="仿宋_GB2312"/>
                <w:color w:val="auto"/>
                <w:sz w:val="30"/>
                <w:szCs w:val="30"/>
                <w:highlight w:val="none"/>
              </w:rPr>
              <w:t>偏离情况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bookmarkStart w:id="76" w:name="_Toc64369819"/>
            <w:bookmarkStart w:id="77" w:name="_Toc64369823"/>
            <w:r>
              <w:rPr>
                <w:rFonts w:hint="eastAsia" w:ascii="仿宋" w:eastAsia="仿宋"/>
                <w:color w:val="auto"/>
                <w:spacing w:val="20"/>
                <w:sz w:val="28"/>
                <w:szCs w:val="28"/>
                <w:highlight w:val="none"/>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bl>
    <w:p>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hint="eastAsia" w:ascii="仿宋" w:eastAsia="仿宋"/>
          <w:color w:val="auto"/>
          <w:sz w:val="28"/>
          <w:szCs w:val="28"/>
          <w:highlight w:val="none"/>
        </w:rPr>
      </w:pPr>
    </w:p>
    <w:p>
      <w:pPr>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pPr>
        <w:numPr>
          <w:ilvl w:val="0"/>
          <w:numId w:val="10"/>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pPr>
        <w:numPr>
          <w:ilvl w:val="0"/>
          <w:numId w:val="10"/>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kern w:val="2"/>
          <w:sz w:val="24"/>
          <w:szCs w:val="20"/>
          <w:highlight w:val="none"/>
          <w:u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pPr>
        <w:snapToGrid w:val="0"/>
        <w:spacing w:before="156" w:beforeLines="50" w:after="50"/>
        <w:jc w:val="left"/>
        <w:rPr>
          <w:rFonts w:hint="eastAsia" w:ascii="仿宋" w:eastAsia="仿宋"/>
          <w:color w:val="auto"/>
          <w:sz w:val="30"/>
          <w:szCs w:val="30"/>
          <w:highlight w:val="none"/>
        </w:rPr>
      </w:pPr>
    </w:p>
    <w:p>
      <w:pPr>
        <w:pStyle w:val="38"/>
        <w:spacing w:line="360" w:lineRule="auto"/>
        <w:ind w:firstLine="0" w:firstLineChars="0"/>
        <w:jc w:val="center"/>
        <w:rPr>
          <w:rFonts w:hint="eastAsia" w:ascii="仿宋" w:eastAsia="仿宋" w:cs="仿宋_GB2312"/>
          <w:color w:val="auto"/>
          <w:highlight w:val="none"/>
        </w:rPr>
      </w:pPr>
      <w:bookmarkStart w:id="78" w:name="_Toc64369825"/>
      <w:r>
        <w:rPr>
          <w:rFonts w:hint="eastAsia" w:ascii="仿宋" w:eastAsia="仿宋" w:cs="仿宋_GB2312"/>
          <w:color w:val="auto"/>
          <w:highlight w:val="none"/>
        </w:rPr>
        <w:t>目 录</w:t>
      </w:r>
      <w:bookmarkEnd w:id="78"/>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pPr>
        <w:pStyle w:val="38"/>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6"/>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450"/>
        <w:gridCol w:w="226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45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服务项目或其他报价项</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投标折扣率（%）</w:t>
            </w:r>
          </w:p>
        </w:tc>
        <w:tc>
          <w:tcPr>
            <w:tcW w:w="132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45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32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default"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10" w:type="dxa"/>
            <w:gridSpan w:val="4"/>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投标折扣率</w:t>
            </w:r>
            <w:r>
              <w:rPr>
                <w:rFonts w:hint="eastAsia" w:ascii="仿宋" w:hAnsi="仿宋" w:eastAsia="仿宋" w:cs="仿宋"/>
                <w:b/>
                <w:color w:val="auto"/>
                <w:sz w:val="24"/>
                <w:szCs w:val="24"/>
                <w:highlight w:val="none"/>
              </w:rPr>
              <w:t>大写：</w:t>
            </w:r>
          </w:p>
        </w:tc>
      </w:tr>
    </w:tbl>
    <w:p>
      <w:pPr>
        <w:snapToGrid w:val="0"/>
        <w:jc w:val="left"/>
        <w:rPr>
          <w:rFonts w:hint="eastAsia" w:ascii="仿宋" w:eastAsia="仿宋"/>
          <w:color w:val="auto"/>
          <w:sz w:val="24"/>
          <w:highlight w:val="none"/>
        </w:rPr>
      </w:pPr>
    </w:p>
    <w:p>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pStyle w:val="2"/>
        <w:ind w:firstLine="482" w:firstLineChars="200"/>
        <w:rPr>
          <w:rFonts w:hint="default" w:eastAsia="仿宋"/>
          <w:u w:val="single"/>
          <w:lang w:val="en-US" w:eastAsia="zh-CN"/>
        </w:rPr>
      </w:pPr>
      <w:r>
        <w:rPr>
          <w:rFonts w:hint="eastAsia" w:ascii="仿宋" w:eastAsia="仿宋"/>
          <w:b/>
          <w:color w:val="auto"/>
          <w:kern w:val="0"/>
          <w:sz w:val="24"/>
          <w:highlight w:val="none"/>
          <w:u w:val="single"/>
          <w:lang w:val="en-US" w:eastAsia="zh-CN"/>
        </w:rPr>
        <w:t>5、本项目按投标折扣率进行报价，用餐配送按15元/份标准乘以投标折扣率进行结算；商品换购</w:t>
      </w:r>
      <w:r>
        <w:rPr>
          <w:rFonts w:hint="eastAsia" w:ascii="仿宋" w:hAnsi="仿宋" w:eastAsia="仿宋" w:cs="仿宋"/>
          <w:b/>
          <w:bCs/>
          <w:color w:val="auto"/>
          <w:sz w:val="24"/>
          <w:szCs w:val="24"/>
          <w:highlight w:val="none"/>
          <w:u w:val="single"/>
          <w:lang w:val="en-US" w:eastAsia="zh-CN"/>
        </w:rPr>
        <w:t>按绍兴e价通（http://jgjg.sx.gov.cn/）公布的最新市场价作为基准价</w:t>
      </w:r>
      <w:r>
        <w:rPr>
          <w:rFonts w:hint="eastAsia" w:ascii="仿宋" w:eastAsia="仿宋"/>
          <w:b/>
          <w:color w:val="auto"/>
          <w:kern w:val="0"/>
          <w:sz w:val="24"/>
          <w:highlight w:val="none"/>
          <w:u w:val="single"/>
          <w:lang w:val="en-US" w:eastAsia="zh-CN"/>
        </w:rPr>
        <w:t>乘以投标折扣率进行结算。</w:t>
      </w:r>
    </w:p>
    <w:p>
      <w:pPr>
        <w:ind w:firstLine="482" w:firstLineChars="200"/>
        <w:rPr>
          <w:rFonts w:hint="eastAsia" w:ascii="仿宋" w:eastAsia="仿宋"/>
          <w:b/>
          <w:color w:val="auto"/>
          <w:kern w:val="0"/>
          <w:sz w:val="24"/>
          <w:highlight w:val="none"/>
          <w:u w:val="single"/>
          <w:lang w:val="zh-CN"/>
        </w:rPr>
      </w:pPr>
    </w:p>
    <w:p>
      <w:pPr>
        <w:snapToGrid w:val="0"/>
        <w:ind w:firstLine="480" w:firstLineChars="200"/>
        <w:jc w:val="left"/>
        <w:rPr>
          <w:rFonts w:hint="eastAsia" w:ascii="仿宋" w:eastAsia="仿宋"/>
          <w:color w:val="auto"/>
          <w:sz w:val="24"/>
          <w:highlight w:val="none"/>
        </w:rPr>
      </w:pPr>
      <w:bookmarkStart w:id="79" w:name="_Toc64369826"/>
      <w:r>
        <w:rPr>
          <w:rFonts w:hint="eastAsia" w:ascii="仿宋" w:eastAsia="仿宋"/>
          <w:color w:val="auto"/>
          <w:sz w:val="24"/>
          <w:highlight w:val="none"/>
        </w:rPr>
        <w:t xml:space="preserve">法定代表人或其授权代表签字（或盖章）：            </w:t>
      </w:r>
      <w:bookmarkEnd w:id="79"/>
    </w:p>
    <w:p>
      <w:pPr>
        <w:spacing w:line="360" w:lineRule="auto"/>
        <w:jc w:val="left"/>
        <w:outlineLvl w:val="0"/>
        <w:rPr>
          <w:rFonts w:hint="eastAsia" w:ascii="仿宋" w:eastAsia="仿宋"/>
          <w:color w:val="auto"/>
          <w:sz w:val="24"/>
          <w:highlight w:val="none"/>
        </w:rPr>
      </w:pPr>
    </w:p>
    <w:p>
      <w:pPr>
        <w:snapToGrid w:val="0"/>
        <w:ind w:firstLine="480" w:firstLineChars="200"/>
        <w:jc w:val="left"/>
        <w:rPr>
          <w:rFonts w:hint="eastAsia" w:ascii="仿宋" w:eastAsia="仿宋"/>
          <w:color w:val="auto"/>
          <w:sz w:val="24"/>
          <w:highlight w:val="none"/>
        </w:rPr>
      </w:pPr>
      <w:bookmarkStart w:id="80" w:name="_Toc64369827"/>
      <w:r>
        <w:rPr>
          <w:rFonts w:hint="eastAsia" w:ascii="仿宋" w:eastAsia="仿宋"/>
          <w:color w:val="auto"/>
          <w:sz w:val="24"/>
          <w:highlight w:val="none"/>
        </w:rPr>
        <w:t>日期：    年   月   日</w:t>
      </w:r>
      <w:bookmarkEnd w:id="80"/>
    </w:p>
    <w:p>
      <w:pPr>
        <w:snapToGrid w:val="0"/>
        <w:ind w:firstLine="480" w:firstLineChars="200"/>
        <w:jc w:val="left"/>
        <w:rPr>
          <w:rFonts w:hint="eastAsia" w:ascii="仿宋" w:eastAsia="仿宋"/>
          <w:color w:val="auto"/>
          <w:sz w:val="24"/>
          <w:highlight w:val="none"/>
        </w:rPr>
        <w:sectPr>
          <w:pgSz w:w="11907" w:h="16840"/>
          <w:pgMar w:top="1440" w:right="1236" w:bottom="1440" w:left="1803" w:header="851" w:footer="992" w:gutter="0"/>
          <w:cols w:space="720" w:num="1"/>
          <w:docGrid w:type="lines" w:linePitch="312" w:charSpace="0"/>
        </w:sectPr>
      </w:pPr>
    </w:p>
    <w:p>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81" w:name="_Toc16291"/>
      <w:r>
        <w:rPr>
          <w:rFonts w:hint="eastAsia" w:ascii="仿宋"/>
          <w:color w:val="auto"/>
          <w:highlight w:val="none"/>
        </w:rPr>
        <w:t>第七章  询问、质疑及投诉</w:t>
      </w:r>
      <w:bookmarkEnd w:id="81"/>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spacing w:line="415" w:lineRule="auto"/>
        <w:jc w:val="center"/>
        <w:rPr>
          <w:rFonts w:hint="eastAsia" w:ascii="仿宋"/>
          <w:color w:val="auto"/>
          <w:highlight w:val="none"/>
        </w:rPr>
      </w:pPr>
      <w:bookmarkStart w:id="82" w:name="_Toc31383"/>
      <w:r>
        <w:rPr>
          <w:rFonts w:hint="eastAsia" w:ascii="仿宋"/>
          <w:color w:val="auto"/>
          <w:highlight w:val="none"/>
        </w:rPr>
        <w:t>一、供应商询问</w:t>
      </w:r>
      <w:bookmarkEnd w:id="82"/>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的，可以向采购机构提出询问，采购机构将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4"/>
        <w:spacing w:line="415" w:lineRule="auto"/>
        <w:jc w:val="center"/>
        <w:rPr>
          <w:rFonts w:hint="eastAsia" w:ascii="仿宋"/>
          <w:color w:val="auto"/>
          <w:highlight w:val="none"/>
        </w:rPr>
      </w:pPr>
      <w:bookmarkStart w:id="83" w:name="_Toc25373"/>
      <w:r>
        <w:rPr>
          <w:rFonts w:hint="eastAsia" w:ascii="仿宋"/>
          <w:color w:val="auto"/>
          <w:highlight w:val="none"/>
        </w:rPr>
        <w:t>二、供应商质疑</w:t>
      </w:r>
      <w:bookmarkEnd w:id="83"/>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pPr>
        <w:pStyle w:val="16"/>
        <w:spacing w:line="360" w:lineRule="auto"/>
        <w:ind w:left="0" w:firstLine="480" w:firstLineChars="200"/>
        <w:rPr>
          <w:rFonts w:hint="eastAsia" w:ascii="仿宋" w:hAnsi="仿宋" w:eastAsia="仿宋" w:cs="仿宋"/>
          <w:color w:val="auto"/>
          <w:sz w:val="24"/>
          <w:highlight w:val="none"/>
        </w:rPr>
      </w:pPr>
      <w:r>
        <w:rPr>
          <w:rFonts w:hint="eastAsia" w:ascii="仿宋" w:eastAsia="仿宋"/>
          <w:color w:val="auto"/>
          <w:sz w:val="24"/>
          <w:highlight w:val="none"/>
        </w:rPr>
        <w:t>供应商可以在知道或者应知其权益受到损害之日起七个工作日内，</w:t>
      </w:r>
      <w:r>
        <w:rPr>
          <w:rFonts w:hint="eastAsia" w:ascii="仿宋" w:hAnsi="仿宋" w:eastAsia="仿宋" w:cs="仿宋"/>
          <w:color w:val="auto"/>
          <w:sz w:val="24"/>
          <w:highlight w:val="none"/>
        </w:rPr>
        <w:t>以书面形式</w:t>
      </w:r>
      <w:r>
        <w:rPr>
          <w:rFonts w:hint="eastAsia" w:ascii="仿宋" w:hAnsi="仿宋" w:eastAsia="仿宋" w:cs="仿宋"/>
          <w:b/>
          <w:bCs/>
          <w:color w:val="auto"/>
          <w:sz w:val="24"/>
          <w:highlight w:val="none"/>
        </w:rPr>
        <w:t>（或授权代表签字（盖章）并加盖投标供应商电子公章的数据电文）</w:t>
      </w:r>
      <w:r>
        <w:rPr>
          <w:rFonts w:hint="eastAsia" w:ascii="仿宋" w:hAnsi="仿宋" w:eastAsia="仿宋" w:cs="仿宋"/>
          <w:color w:val="auto"/>
          <w:sz w:val="24"/>
          <w:highlight w:val="none"/>
        </w:rPr>
        <w:t>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hint="eastAsia" w:ascii="仿宋" w:hAnsi="仿宋" w:eastAsia="仿宋" w:cs="仿宋"/>
          <w:color w:val="auto"/>
          <w:kern w:val="0"/>
          <w:sz w:val="24"/>
          <w:highlight w:val="none"/>
        </w:rPr>
      </w:pPr>
      <w:bookmarkStart w:id="84" w:name="_Toc17941"/>
      <w:r>
        <w:rPr>
          <w:rFonts w:hint="eastAsia" w:ascii="仿宋" w:hAnsi="仿宋" w:eastAsia="仿宋" w:cs="仿宋"/>
          <w:color w:val="auto"/>
          <w:kern w:val="0"/>
          <w:sz w:val="24"/>
          <w:highlight w:val="none"/>
        </w:rPr>
        <w:t>供应商可以通过书面形式（或加盖电子公章的数据电文）撤回已经被受理的质疑书。</w:t>
      </w:r>
    </w:p>
    <w:p>
      <w:pPr>
        <w:pStyle w:val="4"/>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三、供应商投诉</w:t>
      </w:r>
      <w:bookmarkEnd w:id="84"/>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highlight w:val="none"/>
          <w:u w:val="dotted"/>
        </w:rPr>
      </w:pP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7F"/>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Noto Naskh Arabic"/>
    <w:panose1 w:val="020B0602030504020204"/>
    <w:charset w:val="00"/>
    <w:family w:val="swiss"/>
    <w:pitch w:val="default"/>
    <w:sig w:usb0="00000000" w:usb1="00000000" w:usb2="00000000" w:usb3="00000000" w:csb0="20000001" w:csb1="00000000"/>
  </w:font>
  <w:font w:name="Noto Naskh Arabic">
    <w:panose1 w:val="020B0502040504020204"/>
    <w:charset w:val="00"/>
    <w:family w:val="auto"/>
    <w:pitch w:val="default"/>
    <w:sig w:usb0="80002003" w:usb1="80002000" w:usb2="00000008" w:usb3="00000000" w:csb0="00000041" w:csb1="0008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495E6AE"/>
    <w:multiLevelType w:val="singleLevel"/>
    <w:tmpl w:val="9495E6AE"/>
    <w:lvl w:ilvl="0" w:tentative="0">
      <w:start w:val="2"/>
      <w:numFmt w:val="decimal"/>
      <w:suff w:val="nothing"/>
      <w:lvlText w:val="%1、"/>
      <w:lvlJc w:val="left"/>
    </w:lvl>
  </w:abstractNum>
  <w:abstractNum w:abstractNumId="2">
    <w:nsid w:val="9CCA3428"/>
    <w:multiLevelType w:val="singleLevel"/>
    <w:tmpl w:val="9CCA3428"/>
    <w:lvl w:ilvl="0" w:tentative="0">
      <w:start w:val="2"/>
      <w:numFmt w:val="decimal"/>
      <w:lvlText w:val="%1."/>
      <w:lvlJc w:val="left"/>
      <w:pPr>
        <w:tabs>
          <w:tab w:val="left" w:pos="312"/>
        </w:tabs>
      </w:pPr>
    </w:lvl>
  </w:abstractNum>
  <w:abstractNum w:abstractNumId="3">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4"/>
  </w:num>
  <w:num w:numId="3">
    <w:abstractNumId w:val="2"/>
  </w:num>
  <w:num w:numId="4">
    <w:abstractNumId w:val="3"/>
  </w:num>
  <w:num w:numId="5">
    <w:abstractNumId w:val="8"/>
  </w:num>
  <w:num w:numId="6">
    <w:abstractNumId w:val="1"/>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DExYTI4NGRiMjE3YzZjMzJhMGE3NGQxNjgxMjk5ZWIifQ=="/>
  </w:docVars>
  <w:rsids>
    <w:rsidRoot w:val="00000000"/>
    <w:rsid w:val="00B06D31"/>
    <w:rsid w:val="00E06C5B"/>
    <w:rsid w:val="01C40DDD"/>
    <w:rsid w:val="02277DB7"/>
    <w:rsid w:val="02B349AE"/>
    <w:rsid w:val="02EE7B6C"/>
    <w:rsid w:val="063169E1"/>
    <w:rsid w:val="07334CB8"/>
    <w:rsid w:val="07FA43B9"/>
    <w:rsid w:val="0847561F"/>
    <w:rsid w:val="0870581B"/>
    <w:rsid w:val="09535E63"/>
    <w:rsid w:val="09777BED"/>
    <w:rsid w:val="09E34BDB"/>
    <w:rsid w:val="0A983074"/>
    <w:rsid w:val="0BBD11B7"/>
    <w:rsid w:val="0BCA5242"/>
    <w:rsid w:val="0BCE6D62"/>
    <w:rsid w:val="0BE271BD"/>
    <w:rsid w:val="0C232D87"/>
    <w:rsid w:val="0C4F5670"/>
    <w:rsid w:val="0C82189F"/>
    <w:rsid w:val="0C852A4F"/>
    <w:rsid w:val="0CFF0F1B"/>
    <w:rsid w:val="0D023E0D"/>
    <w:rsid w:val="0D06403A"/>
    <w:rsid w:val="0E0B4BC2"/>
    <w:rsid w:val="0EAC0C2F"/>
    <w:rsid w:val="0F2A5DFB"/>
    <w:rsid w:val="0FDD306A"/>
    <w:rsid w:val="0FE443F8"/>
    <w:rsid w:val="101E1A3C"/>
    <w:rsid w:val="11743B70"/>
    <w:rsid w:val="11D373CE"/>
    <w:rsid w:val="126328FE"/>
    <w:rsid w:val="12B56410"/>
    <w:rsid w:val="13A94DCC"/>
    <w:rsid w:val="13AF2897"/>
    <w:rsid w:val="13FF28CE"/>
    <w:rsid w:val="142D3227"/>
    <w:rsid w:val="147E276B"/>
    <w:rsid w:val="14CF38C9"/>
    <w:rsid w:val="15C458C2"/>
    <w:rsid w:val="161F286C"/>
    <w:rsid w:val="16383010"/>
    <w:rsid w:val="167F53AD"/>
    <w:rsid w:val="16A0669F"/>
    <w:rsid w:val="16E42F30"/>
    <w:rsid w:val="1719429E"/>
    <w:rsid w:val="17C2297D"/>
    <w:rsid w:val="19304E94"/>
    <w:rsid w:val="19755C9F"/>
    <w:rsid w:val="19E12AD0"/>
    <w:rsid w:val="1ABF1CEA"/>
    <w:rsid w:val="1AE7212C"/>
    <w:rsid w:val="1AF04599"/>
    <w:rsid w:val="1B4B4FE6"/>
    <w:rsid w:val="1C660C85"/>
    <w:rsid w:val="1CA550CD"/>
    <w:rsid w:val="1CEB52EC"/>
    <w:rsid w:val="1D947594"/>
    <w:rsid w:val="1DF60BCE"/>
    <w:rsid w:val="1E0060D3"/>
    <w:rsid w:val="1E133453"/>
    <w:rsid w:val="1E8E0A96"/>
    <w:rsid w:val="202C131F"/>
    <w:rsid w:val="20BF72FD"/>
    <w:rsid w:val="211B6166"/>
    <w:rsid w:val="221B5790"/>
    <w:rsid w:val="226118D9"/>
    <w:rsid w:val="228328B6"/>
    <w:rsid w:val="229044EA"/>
    <w:rsid w:val="24A81A41"/>
    <w:rsid w:val="283F446A"/>
    <w:rsid w:val="286A38CA"/>
    <w:rsid w:val="28D03941"/>
    <w:rsid w:val="298E3F12"/>
    <w:rsid w:val="2BC576F6"/>
    <w:rsid w:val="2BE64493"/>
    <w:rsid w:val="2C2E6CCF"/>
    <w:rsid w:val="2D564730"/>
    <w:rsid w:val="2F186ADA"/>
    <w:rsid w:val="2F204FF5"/>
    <w:rsid w:val="304F4722"/>
    <w:rsid w:val="307229AC"/>
    <w:rsid w:val="31EC3447"/>
    <w:rsid w:val="3217264B"/>
    <w:rsid w:val="324D6FF0"/>
    <w:rsid w:val="33061317"/>
    <w:rsid w:val="33175440"/>
    <w:rsid w:val="351B09D8"/>
    <w:rsid w:val="3589562D"/>
    <w:rsid w:val="360858DC"/>
    <w:rsid w:val="3639186D"/>
    <w:rsid w:val="38433B03"/>
    <w:rsid w:val="38BA31C2"/>
    <w:rsid w:val="391815C9"/>
    <w:rsid w:val="392576AC"/>
    <w:rsid w:val="395A3943"/>
    <w:rsid w:val="397E7297"/>
    <w:rsid w:val="39C649EB"/>
    <w:rsid w:val="3A081A7A"/>
    <w:rsid w:val="3AC85CD4"/>
    <w:rsid w:val="3AE0588D"/>
    <w:rsid w:val="3AEA3559"/>
    <w:rsid w:val="3C4151CC"/>
    <w:rsid w:val="3D762284"/>
    <w:rsid w:val="3E446063"/>
    <w:rsid w:val="3E530817"/>
    <w:rsid w:val="3EF20030"/>
    <w:rsid w:val="3F0D4E6A"/>
    <w:rsid w:val="3FA253FD"/>
    <w:rsid w:val="3FB928FC"/>
    <w:rsid w:val="4163423A"/>
    <w:rsid w:val="41E40104"/>
    <w:rsid w:val="42117BE2"/>
    <w:rsid w:val="423979BD"/>
    <w:rsid w:val="428743E5"/>
    <w:rsid w:val="42DA3BAE"/>
    <w:rsid w:val="433A5366"/>
    <w:rsid w:val="43B27D8E"/>
    <w:rsid w:val="456904E4"/>
    <w:rsid w:val="45FD5A76"/>
    <w:rsid w:val="46036001"/>
    <w:rsid w:val="46761547"/>
    <w:rsid w:val="46D46ADF"/>
    <w:rsid w:val="46D729A5"/>
    <w:rsid w:val="47692D86"/>
    <w:rsid w:val="476F72B9"/>
    <w:rsid w:val="480D3A3E"/>
    <w:rsid w:val="4955062D"/>
    <w:rsid w:val="49B53780"/>
    <w:rsid w:val="49DC194B"/>
    <w:rsid w:val="4BA57FE8"/>
    <w:rsid w:val="4BC0573E"/>
    <w:rsid w:val="4BF74ED8"/>
    <w:rsid w:val="4EB80AE3"/>
    <w:rsid w:val="4EBB21ED"/>
    <w:rsid w:val="4ED212E5"/>
    <w:rsid w:val="4F3552DF"/>
    <w:rsid w:val="4F3C2FF7"/>
    <w:rsid w:val="4F686E41"/>
    <w:rsid w:val="504948A0"/>
    <w:rsid w:val="506566DA"/>
    <w:rsid w:val="50803CA6"/>
    <w:rsid w:val="508C4FE9"/>
    <w:rsid w:val="50DE0FF5"/>
    <w:rsid w:val="51921C1A"/>
    <w:rsid w:val="52E8610E"/>
    <w:rsid w:val="536F510F"/>
    <w:rsid w:val="54B65CEC"/>
    <w:rsid w:val="5519673B"/>
    <w:rsid w:val="55480552"/>
    <w:rsid w:val="55D342C0"/>
    <w:rsid w:val="56431446"/>
    <w:rsid w:val="56D03E0D"/>
    <w:rsid w:val="57D86CB1"/>
    <w:rsid w:val="581811B5"/>
    <w:rsid w:val="592910D0"/>
    <w:rsid w:val="59B85CA7"/>
    <w:rsid w:val="59CC509B"/>
    <w:rsid w:val="5B0725AA"/>
    <w:rsid w:val="5BD743DE"/>
    <w:rsid w:val="5C8F6A67"/>
    <w:rsid w:val="5C957F91"/>
    <w:rsid w:val="5C970A3F"/>
    <w:rsid w:val="5CB91D87"/>
    <w:rsid w:val="5D3B7AC8"/>
    <w:rsid w:val="5DB42554"/>
    <w:rsid w:val="5DC12D72"/>
    <w:rsid w:val="5E0F60B1"/>
    <w:rsid w:val="5E30469D"/>
    <w:rsid w:val="5EDE3BFC"/>
    <w:rsid w:val="5EE270CE"/>
    <w:rsid w:val="612B2945"/>
    <w:rsid w:val="61425A64"/>
    <w:rsid w:val="617F70AA"/>
    <w:rsid w:val="61D41923"/>
    <w:rsid w:val="61E24E00"/>
    <w:rsid w:val="62562F92"/>
    <w:rsid w:val="628708B2"/>
    <w:rsid w:val="62944DD7"/>
    <w:rsid w:val="62E6604F"/>
    <w:rsid w:val="62EB457C"/>
    <w:rsid w:val="63343EC4"/>
    <w:rsid w:val="65F21726"/>
    <w:rsid w:val="666A3259"/>
    <w:rsid w:val="669A0DC6"/>
    <w:rsid w:val="66EC768B"/>
    <w:rsid w:val="66ED35FB"/>
    <w:rsid w:val="67660A12"/>
    <w:rsid w:val="676A70D7"/>
    <w:rsid w:val="67BA1C55"/>
    <w:rsid w:val="684C6A1F"/>
    <w:rsid w:val="692D47C9"/>
    <w:rsid w:val="6972446D"/>
    <w:rsid w:val="6A88233D"/>
    <w:rsid w:val="6AAF3890"/>
    <w:rsid w:val="6ACD4147"/>
    <w:rsid w:val="6BB14645"/>
    <w:rsid w:val="6D264A09"/>
    <w:rsid w:val="6D5E733D"/>
    <w:rsid w:val="6D6F34FA"/>
    <w:rsid w:val="6DCF206C"/>
    <w:rsid w:val="6E513013"/>
    <w:rsid w:val="6EF21CFC"/>
    <w:rsid w:val="6F7A6951"/>
    <w:rsid w:val="6F862F65"/>
    <w:rsid w:val="7020414E"/>
    <w:rsid w:val="70753DAC"/>
    <w:rsid w:val="708E10B8"/>
    <w:rsid w:val="70AE5F6D"/>
    <w:rsid w:val="724906AA"/>
    <w:rsid w:val="72A16523"/>
    <w:rsid w:val="72C67632"/>
    <w:rsid w:val="72ED3957"/>
    <w:rsid w:val="72EE11C3"/>
    <w:rsid w:val="733E6DC5"/>
    <w:rsid w:val="738F25F9"/>
    <w:rsid w:val="73A02CCC"/>
    <w:rsid w:val="74091265"/>
    <w:rsid w:val="74431555"/>
    <w:rsid w:val="74CE4179"/>
    <w:rsid w:val="75302251"/>
    <w:rsid w:val="7532315C"/>
    <w:rsid w:val="75DC28C5"/>
    <w:rsid w:val="75F06371"/>
    <w:rsid w:val="76856BDC"/>
    <w:rsid w:val="76C7484A"/>
    <w:rsid w:val="77200A51"/>
    <w:rsid w:val="775D17E4"/>
    <w:rsid w:val="778B45A3"/>
    <w:rsid w:val="77C328E2"/>
    <w:rsid w:val="78962768"/>
    <w:rsid w:val="79445D82"/>
    <w:rsid w:val="794A5D98"/>
    <w:rsid w:val="798476A8"/>
    <w:rsid w:val="79D833A4"/>
    <w:rsid w:val="7AB826F4"/>
    <w:rsid w:val="7AC477AE"/>
    <w:rsid w:val="7AD11C0D"/>
    <w:rsid w:val="7B90283A"/>
    <w:rsid w:val="7D1F7C67"/>
    <w:rsid w:val="7DBE126B"/>
    <w:rsid w:val="7E4E00D8"/>
    <w:rsid w:val="7E5F2B8D"/>
    <w:rsid w:val="7EBE525E"/>
    <w:rsid w:val="7FC70142"/>
    <w:rsid w:val="B57F2EE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15969</Words>
  <Characters>17039</Characters>
  <Lines>1498</Lines>
  <Paragraphs>801</Paragraphs>
  <TotalTime>9</TotalTime>
  <ScaleCrop>false</ScaleCrop>
  <LinksUpToDate>false</LinksUpToDate>
  <CharactersWithSpaces>17468</CharactersWithSpaces>
  <Application>WPS Office_11.8.2.12333_F1E327BC-269C-435d-A152-05C5408002CA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User</cp:lastModifiedBy>
  <cp:lastPrinted>2020-02-27T19:07:00Z</cp:lastPrinted>
  <dcterms:modified xsi:type="dcterms:W3CDTF">2025-07-10T18:05:45Z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AE39D2D33D5B4A9DB1A674FD2EF0465A</vt:lpwstr>
  </property>
  <property fmtid="{D5CDD505-2E9C-101B-9397-08002B2CF9AE}" pid="4" name="KSOTemplateDocerSaveRecord">
    <vt:lpwstr>eyJoZGlkIjoiNDExYTI4NGRiMjE3YzZjMzJhMGE3NGQxNjgxMjk5ZWIiLCJ1c2VySWQiOiIxMzk2MjY1NTkwIn0=</vt:lpwstr>
  </property>
</Properties>
</file>