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169FBB">
      <w:pPr>
        <w:jc w:val="center"/>
        <w:rPr>
          <w:rFonts w:hint="eastAsia" w:ascii="仿宋" w:hAnsi="仿宋" w:eastAsia="仿宋" w:cs="仿宋"/>
          <w:color w:val="auto"/>
          <w:sz w:val="36"/>
          <w:szCs w:val="36"/>
          <w:highlight w:val="none"/>
        </w:rPr>
      </w:pPr>
      <w:bookmarkStart w:id="83" w:name="_GoBack"/>
      <w:r>
        <w:rPr>
          <w:rFonts w:hint="eastAsia" w:ascii="仿宋" w:hAnsi="仿宋" w:eastAsia="仿宋" w:cs="仿宋"/>
          <w:b/>
          <w:bCs/>
          <w:color w:val="auto"/>
          <w:sz w:val="52"/>
          <w:szCs w:val="52"/>
          <w:highlight w:val="none"/>
          <w:u w:val="none"/>
          <w:lang w:val="en-US" w:eastAsia="zh-CN"/>
        </w:rPr>
        <w:t>绍兴市越城区斗门街道社区卫生服务中心2025年度职工疗休养项目</w:t>
      </w:r>
    </w:p>
    <w:p w14:paraId="53F62A41">
      <w:pPr>
        <w:rPr>
          <w:rFonts w:hint="eastAsia" w:ascii="仿宋" w:hAnsi="仿宋" w:eastAsia="仿宋" w:cs="仿宋"/>
          <w:color w:val="auto"/>
          <w:sz w:val="36"/>
          <w:szCs w:val="36"/>
          <w:highlight w:val="none"/>
        </w:rPr>
      </w:pPr>
    </w:p>
    <w:p w14:paraId="466293B9">
      <w:pPr>
        <w:pStyle w:val="2"/>
        <w:rPr>
          <w:rFonts w:hint="eastAsia"/>
          <w:color w:val="auto"/>
          <w:highlight w:val="none"/>
        </w:rPr>
      </w:pPr>
    </w:p>
    <w:p w14:paraId="13AD82F2">
      <w:pPr>
        <w:rPr>
          <w:rFonts w:hint="eastAsia" w:ascii="仿宋" w:hAnsi="仿宋" w:eastAsia="仿宋" w:cs="仿宋"/>
          <w:color w:val="auto"/>
          <w:sz w:val="36"/>
          <w:szCs w:val="36"/>
          <w:highlight w:val="none"/>
        </w:rPr>
      </w:pPr>
    </w:p>
    <w:p w14:paraId="454AE994">
      <w:pPr>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采</w:t>
      </w:r>
    </w:p>
    <w:p w14:paraId="7CBA7A6C">
      <w:pPr>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购</w:t>
      </w:r>
    </w:p>
    <w:p w14:paraId="5D3EDB04">
      <w:pPr>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文</w:t>
      </w:r>
    </w:p>
    <w:p w14:paraId="5A95B934">
      <w:pPr>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件</w:t>
      </w:r>
    </w:p>
    <w:p w14:paraId="6A768CAB">
      <w:pPr>
        <w:rPr>
          <w:rFonts w:hint="eastAsia" w:ascii="仿宋" w:hAnsi="仿宋" w:eastAsia="仿宋" w:cs="仿宋"/>
          <w:b/>
          <w:bCs/>
          <w:color w:val="auto"/>
          <w:sz w:val="36"/>
          <w:szCs w:val="36"/>
          <w:highlight w:val="none"/>
        </w:rPr>
      </w:pPr>
    </w:p>
    <w:p w14:paraId="26E2D213">
      <w:pPr>
        <w:rPr>
          <w:rFonts w:hint="eastAsia" w:ascii="仿宋" w:hAnsi="仿宋" w:eastAsia="仿宋" w:cs="仿宋"/>
          <w:color w:val="auto"/>
          <w:sz w:val="36"/>
          <w:szCs w:val="36"/>
          <w:highlight w:val="none"/>
        </w:rPr>
      </w:pPr>
    </w:p>
    <w:p w14:paraId="40380266">
      <w:pPr>
        <w:rPr>
          <w:rFonts w:hint="eastAsia" w:ascii="仿宋" w:hAnsi="仿宋" w:eastAsia="仿宋" w:cs="仿宋"/>
          <w:color w:val="auto"/>
          <w:sz w:val="36"/>
          <w:szCs w:val="36"/>
          <w:highlight w:val="none"/>
        </w:rPr>
      </w:pPr>
    </w:p>
    <w:tbl>
      <w:tblPr>
        <w:tblStyle w:val="26"/>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6"/>
        <w:gridCol w:w="6197"/>
      </w:tblGrid>
      <w:tr w14:paraId="4810F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exact"/>
          <w:jc w:val="center"/>
        </w:trPr>
        <w:tc>
          <w:tcPr>
            <w:tcW w:w="2396" w:type="dxa"/>
            <w:tcBorders>
              <w:top w:val="nil"/>
              <w:left w:val="nil"/>
              <w:bottom w:val="nil"/>
              <w:right w:val="nil"/>
            </w:tcBorders>
            <w:noWrap/>
            <w:vAlign w:val="center"/>
          </w:tcPr>
          <w:p w14:paraId="18E4FBE3">
            <w:pPr>
              <w:pBdr>
                <w:top w:val="none" w:color="auto" w:sz="0" w:space="0"/>
                <w:left w:val="none" w:color="auto" w:sz="0" w:space="0"/>
                <w:bottom w:val="none" w:color="auto" w:sz="0" w:space="0"/>
                <w:right w:val="none" w:color="auto" w:sz="0" w:space="0"/>
              </w:pBdr>
              <w:rPr>
                <w:rFonts w:hint="eastAsia" w:ascii="仿宋" w:hAnsi="仿宋" w:eastAsia="仿宋" w:cs="仿宋"/>
                <w:color w:val="auto"/>
                <w:sz w:val="28"/>
                <w:highlight w:val="none"/>
              </w:rPr>
            </w:pPr>
            <w:r>
              <w:rPr>
                <w:rFonts w:hint="eastAsia" w:ascii="仿宋" w:hAnsi="仿宋" w:eastAsia="仿宋" w:cs="仿宋"/>
                <w:color w:val="auto"/>
                <w:sz w:val="28"/>
                <w:highlight w:val="none"/>
              </w:rPr>
              <w:t>项目编号：</w:t>
            </w:r>
          </w:p>
        </w:tc>
        <w:tc>
          <w:tcPr>
            <w:tcW w:w="6197" w:type="dxa"/>
            <w:tcBorders>
              <w:top w:val="nil"/>
              <w:left w:val="nil"/>
              <w:bottom w:val="nil"/>
              <w:right w:val="nil"/>
            </w:tcBorders>
            <w:noWrap/>
            <w:vAlign w:val="center"/>
          </w:tcPr>
          <w:p w14:paraId="6169F1D8">
            <w:pPr>
              <w:pBdr>
                <w:top w:val="none" w:color="auto" w:sz="0" w:space="0"/>
                <w:left w:val="none" w:color="auto" w:sz="0" w:space="0"/>
                <w:bottom w:val="none" w:color="auto" w:sz="0" w:space="0"/>
                <w:right w:val="none" w:color="auto" w:sz="0" w:space="0"/>
              </w:pBdr>
              <w:rPr>
                <w:rFonts w:hint="default" w:ascii="仿宋" w:hAnsi="仿宋" w:eastAsia="仿宋" w:cs="仿宋"/>
                <w:color w:val="auto"/>
                <w:sz w:val="28"/>
                <w:highlight w:val="none"/>
                <w:u w:val="single"/>
                <w:lang w:val="en-US" w:eastAsia="zh-CN"/>
              </w:rPr>
            </w:pPr>
            <w:r>
              <w:rPr>
                <w:rFonts w:hint="eastAsia" w:ascii="仿宋" w:hAnsi="仿宋" w:eastAsia="仿宋" w:cs="仿宋"/>
                <w:color w:val="auto"/>
                <w:sz w:val="28"/>
                <w:highlight w:val="none"/>
                <w:u w:val="none"/>
                <w:lang w:val="en-US" w:eastAsia="zh-CN"/>
              </w:rPr>
              <w:t>ZJDT-L-25012</w:t>
            </w:r>
          </w:p>
        </w:tc>
      </w:tr>
      <w:tr w14:paraId="628D3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exact"/>
          <w:jc w:val="center"/>
        </w:trPr>
        <w:tc>
          <w:tcPr>
            <w:tcW w:w="2396" w:type="dxa"/>
            <w:tcBorders>
              <w:top w:val="nil"/>
              <w:left w:val="nil"/>
              <w:bottom w:val="nil"/>
              <w:right w:val="nil"/>
            </w:tcBorders>
            <w:noWrap/>
            <w:vAlign w:val="center"/>
          </w:tcPr>
          <w:p w14:paraId="35234EFA">
            <w:pPr>
              <w:pBdr>
                <w:top w:val="none" w:color="auto" w:sz="0" w:space="0"/>
                <w:left w:val="none" w:color="auto" w:sz="0" w:space="0"/>
                <w:bottom w:val="none" w:color="auto" w:sz="0" w:space="0"/>
                <w:right w:val="none" w:color="auto" w:sz="0" w:space="0"/>
              </w:pBdr>
              <w:rPr>
                <w:rFonts w:hint="eastAsia" w:ascii="仿宋" w:hAnsi="仿宋" w:eastAsia="仿宋" w:cs="仿宋"/>
                <w:color w:val="auto"/>
                <w:sz w:val="28"/>
                <w:highlight w:val="none"/>
              </w:rPr>
            </w:pPr>
            <w:r>
              <w:rPr>
                <w:rFonts w:hint="eastAsia" w:ascii="仿宋" w:hAnsi="仿宋" w:eastAsia="仿宋" w:cs="仿宋"/>
                <w:color w:val="auto"/>
                <w:sz w:val="28"/>
                <w:highlight w:val="none"/>
              </w:rPr>
              <w:t>采购单位：</w:t>
            </w:r>
          </w:p>
        </w:tc>
        <w:tc>
          <w:tcPr>
            <w:tcW w:w="6197" w:type="dxa"/>
            <w:tcBorders>
              <w:top w:val="nil"/>
              <w:left w:val="nil"/>
              <w:bottom w:val="nil"/>
              <w:right w:val="nil"/>
            </w:tcBorders>
            <w:noWrap/>
            <w:vAlign w:val="center"/>
          </w:tcPr>
          <w:p w14:paraId="7D6F011A">
            <w:pPr>
              <w:pBdr>
                <w:top w:val="none" w:color="auto" w:sz="0" w:space="0"/>
                <w:left w:val="none" w:color="auto" w:sz="0" w:space="0"/>
                <w:bottom w:val="none" w:color="auto" w:sz="0" w:space="0"/>
                <w:right w:val="none" w:color="auto" w:sz="0" w:space="0"/>
              </w:pBdr>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lang w:eastAsia="zh-CN"/>
              </w:rPr>
              <w:t>绍兴市越城区斗门街道社区卫生服务中心</w:t>
            </w:r>
          </w:p>
        </w:tc>
      </w:tr>
      <w:tr w14:paraId="7E67D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exact"/>
          <w:jc w:val="center"/>
        </w:trPr>
        <w:tc>
          <w:tcPr>
            <w:tcW w:w="2396" w:type="dxa"/>
            <w:tcBorders>
              <w:top w:val="nil"/>
              <w:left w:val="nil"/>
              <w:bottom w:val="nil"/>
              <w:right w:val="nil"/>
            </w:tcBorders>
            <w:noWrap/>
            <w:vAlign w:val="center"/>
          </w:tcPr>
          <w:p w14:paraId="17F0A8B3">
            <w:pPr>
              <w:pBdr>
                <w:top w:val="none" w:color="auto" w:sz="0" w:space="0"/>
                <w:left w:val="none" w:color="auto" w:sz="0" w:space="0"/>
                <w:bottom w:val="none" w:color="auto" w:sz="0" w:space="0"/>
                <w:right w:val="none" w:color="auto" w:sz="0" w:space="0"/>
              </w:pBdr>
              <w:rPr>
                <w:rFonts w:hint="eastAsia" w:ascii="仿宋" w:hAnsi="仿宋" w:eastAsia="仿宋" w:cs="仿宋"/>
                <w:color w:val="auto"/>
                <w:sz w:val="28"/>
                <w:highlight w:val="none"/>
              </w:rPr>
            </w:pPr>
            <w:r>
              <w:rPr>
                <w:rFonts w:hint="eastAsia" w:ascii="仿宋" w:hAnsi="仿宋" w:eastAsia="仿宋" w:cs="仿宋"/>
                <w:color w:val="auto"/>
                <w:sz w:val="28"/>
                <w:highlight w:val="none"/>
              </w:rPr>
              <w:t>采购代理机构：</w:t>
            </w:r>
          </w:p>
        </w:tc>
        <w:tc>
          <w:tcPr>
            <w:tcW w:w="6197" w:type="dxa"/>
            <w:tcBorders>
              <w:top w:val="nil"/>
              <w:left w:val="nil"/>
              <w:bottom w:val="nil"/>
              <w:right w:val="nil"/>
            </w:tcBorders>
            <w:noWrap/>
            <w:vAlign w:val="center"/>
          </w:tcPr>
          <w:p w14:paraId="72FDCD94">
            <w:pPr>
              <w:spacing w:line="240" w:lineRule="auto"/>
              <w:rPr>
                <w:rFonts w:hint="eastAsia" w:ascii="仿宋" w:hAnsi="仿宋" w:eastAsia="仿宋" w:cs="仿宋"/>
                <w:color w:val="auto"/>
                <w:sz w:val="28"/>
                <w:highlight w:val="none"/>
              </w:rPr>
            </w:pPr>
            <w:r>
              <w:rPr>
                <w:rFonts w:hint="eastAsia" w:ascii="仿宋" w:hAnsi="仿宋" w:eastAsia="仿宋" w:cs="仿宋"/>
                <w:color w:val="auto"/>
                <w:sz w:val="28"/>
                <w:szCs w:val="28"/>
                <w:highlight w:val="none"/>
              </w:rPr>
              <w:t>浙江东腾利成招标代理有限公司</w:t>
            </w:r>
          </w:p>
        </w:tc>
      </w:tr>
      <w:tr w14:paraId="54F0F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exact"/>
          <w:jc w:val="center"/>
        </w:trPr>
        <w:tc>
          <w:tcPr>
            <w:tcW w:w="2396" w:type="dxa"/>
            <w:tcBorders>
              <w:top w:val="nil"/>
              <w:left w:val="nil"/>
              <w:bottom w:val="nil"/>
              <w:right w:val="nil"/>
            </w:tcBorders>
            <w:noWrap/>
            <w:vAlign w:val="center"/>
          </w:tcPr>
          <w:p w14:paraId="034F243A">
            <w:pPr>
              <w:pBdr>
                <w:top w:val="none" w:color="auto" w:sz="0" w:space="0"/>
                <w:left w:val="none" w:color="auto" w:sz="0" w:space="0"/>
                <w:bottom w:val="none" w:color="auto" w:sz="0" w:space="0"/>
                <w:right w:val="none" w:color="auto" w:sz="0" w:space="0"/>
              </w:pBdr>
              <w:rPr>
                <w:rFonts w:hint="eastAsia" w:ascii="仿宋" w:hAnsi="仿宋" w:eastAsia="仿宋" w:cs="仿宋"/>
                <w:color w:val="auto"/>
                <w:sz w:val="28"/>
                <w:highlight w:val="none"/>
              </w:rPr>
            </w:pPr>
            <w:r>
              <w:rPr>
                <w:rFonts w:hint="eastAsia" w:ascii="仿宋" w:hAnsi="仿宋" w:eastAsia="仿宋" w:cs="仿宋"/>
                <w:color w:val="auto"/>
                <w:sz w:val="28"/>
                <w:highlight w:val="none"/>
              </w:rPr>
              <w:t>监督单位：</w:t>
            </w:r>
          </w:p>
        </w:tc>
        <w:tc>
          <w:tcPr>
            <w:tcW w:w="6197" w:type="dxa"/>
            <w:tcBorders>
              <w:top w:val="nil"/>
              <w:left w:val="nil"/>
              <w:bottom w:val="nil"/>
              <w:right w:val="nil"/>
            </w:tcBorders>
            <w:noWrap/>
            <w:vAlign w:val="center"/>
          </w:tcPr>
          <w:p w14:paraId="55C9507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kern w:val="2"/>
                <w:sz w:val="28"/>
                <w:szCs w:val="20"/>
                <w:highlight w:val="none"/>
                <w:lang w:val="en-US" w:eastAsia="zh-CN" w:bidi="ar-SA"/>
              </w:rPr>
            </w:pPr>
            <w:r>
              <w:rPr>
                <w:rFonts w:hint="eastAsia" w:ascii="仿宋" w:hAnsi="仿宋" w:eastAsia="仿宋" w:cs="仿宋"/>
                <w:color w:val="auto"/>
                <w:kern w:val="2"/>
                <w:sz w:val="28"/>
                <w:szCs w:val="20"/>
                <w:highlight w:val="none"/>
                <w:lang w:val="en-US" w:eastAsia="zh-CN" w:bidi="ar-SA"/>
              </w:rPr>
              <w:t>中共绍兴市越城区斗门街道社区卫生服务中心总支部委员会</w:t>
            </w:r>
          </w:p>
        </w:tc>
      </w:tr>
    </w:tbl>
    <w:p w14:paraId="0DC356DC">
      <w:pPr>
        <w:jc w:val="both"/>
        <w:rPr>
          <w:rFonts w:hint="eastAsia" w:ascii="仿宋" w:hAnsi="仿宋" w:eastAsia="仿宋" w:cs="仿宋"/>
          <w:color w:val="auto"/>
          <w:sz w:val="28"/>
          <w:highlight w:val="none"/>
        </w:rPr>
      </w:pPr>
    </w:p>
    <w:p w14:paraId="1018C2DB">
      <w:pPr>
        <w:jc w:val="center"/>
        <w:rPr>
          <w:rFonts w:hint="eastAsia" w:ascii="仿宋" w:hAnsi="仿宋" w:eastAsia="仿宋" w:cs="仿宋"/>
          <w:color w:val="auto"/>
          <w:sz w:val="28"/>
          <w:highlight w:val="none"/>
        </w:rPr>
      </w:pPr>
      <w:r>
        <w:rPr>
          <w:rFonts w:hint="eastAsia" w:ascii="仿宋" w:hAnsi="仿宋" w:eastAsia="仿宋" w:cs="仿宋"/>
          <w:color w:val="auto"/>
          <w:sz w:val="28"/>
          <w:highlight w:val="none"/>
          <w:u w:val="single" w:color="auto"/>
        </w:rPr>
        <w:t xml:space="preserve"> </w:t>
      </w:r>
      <w:r>
        <w:rPr>
          <w:rFonts w:hint="eastAsia" w:ascii="仿宋" w:hAnsi="仿宋" w:eastAsia="仿宋" w:cs="仿宋"/>
          <w:color w:val="auto"/>
          <w:sz w:val="28"/>
          <w:highlight w:val="none"/>
          <w:u w:val="single" w:color="auto"/>
          <w:lang w:val="en-US" w:eastAsia="zh-CN"/>
        </w:rPr>
        <w:t>2025</w:t>
      </w:r>
      <w:r>
        <w:rPr>
          <w:rFonts w:hint="eastAsia" w:ascii="仿宋" w:hAnsi="仿宋" w:eastAsia="仿宋" w:cs="仿宋"/>
          <w:color w:val="auto"/>
          <w:sz w:val="28"/>
          <w:highlight w:val="none"/>
        </w:rPr>
        <w:t>年</w:t>
      </w:r>
      <w:r>
        <w:rPr>
          <w:rFonts w:hint="eastAsia" w:ascii="仿宋" w:hAnsi="仿宋" w:eastAsia="仿宋" w:cs="仿宋"/>
          <w:color w:val="auto"/>
          <w:sz w:val="28"/>
          <w:highlight w:val="none"/>
          <w:u w:val="single"/>
        </w:rPr>
        <w:t xml:space="preserve"> </w:t>
      </w:r>
      <w:r>
        <w:rPr>
          <w:rFonts w:hint="eastAsia" w:ascii="仿宋" w:hAnsi="仿宋" w:eastAsia="仿宋" w:cs="仿宋"/>
          <w:color w:val="auto"/>
          <w:sz w:val="28"/>
          <w:highlight w:val="none"/>
          <w:u w:val="single"/>
          <w:lang w:val="en-US" w:eastAsia="zh-CN"/>
        </w:rPr>
        <w:t>7</w:t>
      </w:r>
      <w:r>
        <w:rPr>
          <w:rFonts w:hint="eastAsia" w:ascii="仿宋" w:hAnsi="仿宋" w:eastAsia="仿宋" w:cs="仿宋"/>
          <w:color w:val="auto"/>
          <w:sz w:val="28"/>
          <w:highlight w:val="none"/>
        </w:rPr>
        <w:t>月</w:t>
      </w:r>
    </w:p>
    <w:p w14:paraId="2050A135">
      <w:pPr>
        <w:jc w:val="both"/>
        <w:rPr>
          <w:rFonts w:hint="eastAsia" w:ascii="仿宋" w:hAnsi="仿宋" w:eastAsia="仿宋" w:cs="仿宋"/>
          <w:b/>
          <w:color w:val="auto"/>
          <w:sz w:val="44"/>
          <w:szCs w:val="44"/>
          <w:highlight w:val="none"/>
        </w:rPr>
        <w:sectPr>
          <w:headerReference r:id="rId5" w:type="default"/>
          <w:footerReference r:id="rId6" w:type="even"/>
          <w:pgSz w:w="11907" w:h="16840"/>
          <w:pgMar w:top="1440" w:right="1463" w:bottom="1440" w:left="1803" w:header="851" w:footer="992" w:gutter="0"/>
          <w:cols w:space="720" w:num="1"/>
          <w:docGrid w:type="lines" w:linePitch="312" w:charSpace="0"/>
        </w:sectPr>
      </w:pPr>
    </w:p>
    <w:p w14:paraId="3B646F66">
      <w:pPr>
        <w:jc w:val="center"/>
        <w:rPr>
          <w:rFonts w:hint="eastAsia" w:ascii="仿宋" w:hAnsi="仿宋" w:eastAsia="仿宋" w:cs="仿宋"/>
          <w:color w:val="auto"/>
          <w:sz w:val="28"/>
          <w:highlight w:val="none"/>
        </w:rPr>
      </w:pPr>
      <w:r>
        <w:rPr>
          <w:rFonts w:hint="eastAsia" w:ascii="仿宋" w:hAnsi="仿宋" w:eastAsia="仿宋" w:cs="仿宋"/>
          <w:b/>
          <w:color w:val="auto"/>
          <w:sz w:val="44"/>
          <w:szCs w:val="44"/>
          <w:highlight w:val="none"/>
        </w:rPr>
        <w:t>目录</w:t>
      </w:r>
    </w:p>
    <w:p w14:paraId="491C21C4">
      <w:pPr>
        <w:jc w:val="center"/>
        <w:rPr>
          <w:rFonts w:hint="eastAsia" w:ascii="仿宋" w:hAnsi="仿宋" w:eastAsia="仿宋" w:cs="仿宋"/>
          <w:b/>
          <w:color w:val="auto"/>
          <w:sz w:val="44"/>
          <w:szCs w:val="44"/>
          <w:highlight w:val="none"/>
        </w:rPr>
      </w:pPr>
    </w:p>
    <w:p w14:paraId="1B1C0257">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TOC \o "1-2" \h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_Toc25607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第一章  采购公告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_Toc25607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5DD5BC7">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_Toc13545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第二章  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_Toc13545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520C969">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_Toc5028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一、前附表</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_Toc5028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75411E8">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_Toc21572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二、采购文件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_Toc21572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73FA768">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_Toc18718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三、投标文件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_Toc18718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A9BC71C">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_Toc7885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四、开标评标</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_Toc7885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E99FD4F">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_Toc14262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五、合同签订及履约</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_Toc14262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72934AF">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_Toc15113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第三章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_Toc15113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55E121A">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_Toc13080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一、服务清单及要求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_Toc13080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B3F86C2">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_Toc16453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二、商务要求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_Toc16453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2EEC5DF">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_Toc1639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第四章  拟签订合同的主要条款</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_Toc1639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9404351">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_Toc16886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第五章  评标办法及标准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_Toc16886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ECF3B85">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_Toc8345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第六章  投标文件格式附件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_Toc8345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3182165">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_Toc24364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第七章  询问、质疑及投诉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_Toc24364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69D2C15">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_Toc10413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一、供应商询问</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_Toc10413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579A300">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_Toc15985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二、供应商质疑</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_Toc15985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25597A0">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_Toc24698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三、供应商投诉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_Toc24698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D80440C">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end"/>
      </w:r>
    </w:p>
    <w:p w14:paraId="6725B005">
      <w:pPr>
        <w:rPr>
          <w:rFonts w:hint="eastAsia" w:ascii="仿宋" w:hAnsi="仿宋" w:eastAsia="仿宋" w:cs="仿宋"/>
          <w:color w:val="auto"/>
          <w:sz w:val="28"/>
          <w:szCs w:val="28"/>
          <w:highlight w:val="none"/>
        </w:rPr>
      </w:pPr>
    </w:p>
    <w:p w14:paraId="19B00305">
      <w:pPr>
        <w:pStyle w:val="2"/>
        <w:rPr>
          <w:rFonts w:hint="eastAsia" w:ascii="仿宋" w:hAnsi="仿宋" w:eastAsia="仿宋" w:cs="仿宋"/>
          <w:color w:val="auto"/>
          <w:sz w:val="28"/>
          <w:szCs w:val="28"/>
          <w:highlight w:val="none"/>
        </w:rPr>
        <w:sectPr>
          <w:footerReference r:id="rId7" w:type="default"/>
          <w:pgSz w:w="11907" w:h="16840"/>
          <w:pgMar w:top="1440" w:right="1463" w:bottom="1440" w:left="1803" w:header="851" w:footer="992" w:gutter="0"/>
          <w:cols w:space="720" w:num="1"/>
          <w:docGrid w:type="lines" w:linePitch="312" w:charSpace="0"/>
        </w:sectPr>
      </w:pPr>
    </w:p>
    <w:p w14:paraId="1326CBCE">
      <w:pPr>
        <w:pStyle w:val="2"/>
        <w:numPr>
          <w:ilvl w:val="0"/>
          <w:numId w:val="5"/>
        </w:numPr>
        <w:rPr>
          <w:rFonts w:hint="eastAsia" w:ascii="仿宋" w:hAnsi="仿宋" w:eastAsia="仿宋" w:cs="仿宋"/>
          <w:color w:val="auto"/>
          <w:highlight w:val="none"/>
        </w:rPr>
      </w:pPr>
      <w:bookmarkStart w:id="0" w:name="_Toc25607"/>
      <w:r>
        <w:rPr>
          <w:rFonts w:hint="eastAsia" w:ascii="仿宋" w:hAnsi="仿宋" w:eastAsia="仿宋" w:cs="仿宋"/>
          <w:color w:val="auto"/>
          <w:highlight w:val="none"/>
        </w:rPr>
        <w:t xml:space="preserve"> 采购公告</w:t>
      </w:r>
      <w:bookmarkEnd w:id="0"/>
    </w:p>
    <w:p w14:paraId="5F706CA8">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38AA9C56">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eastAsia="zh-CN"/>
        </w:rPr>
        <w:t>绍兴市越城区斗门街道社区卫生服务中心2025年度职工疗休养项目</w:t>
      </w:r>
      <w:r>
        <w:rPr>
          <w:rFonts w:hint="eastAsia" w:ascii="仿宋" w:hAnsi="仿宋" w:eastAsia="仿宋" w:cs="仿宋"/>
          <w:color w:val="auto"/>
          <w:sz w:val="24"/>
          <w:szCs w:val="24"/>
          <w:highlight w:val="none"/>
        </w:rPr>
        <w:t>招标项目的潜在投标人应在</w:t>
      </w:r>
      <w:r>
        <w:rPr>
          <w:rFonts w:hint="eastAsia" w:ascii="仿宋" w:hAnsi="仿宋" w:eastAsia="仿宋" w:cs="仿宋"/>
          <w:bCs/>
          <w:color w:val="auto"/>
          <w:sz w:val="24"/>
          <w:szCs w:val="24"/>
          <w:highlight w:val="none"/>
          <w:lang w:val="en-US" w:eastAsia="zh-CN"/>
        </w:rPr>
        <w:t>线下</w:t>
      </w:r>
      <w:r>
        <w:rPr>
          <w:rFonts w:hint="eastAsia" w:ascii="仿宋" w:hAnsi="仿宋" w:eastAsia="仿宋" w:cs="仿宋"/>
          <w:color w:val="auto"/>
          <w:sz w:val="24"/>
          <w:szCs w:val="24"/>
          <w:highlight w:val="none"/>
        </w:rPr>
        <w:t>获取招标文件，并于</w:t>
      </w:r>
      <w:r>
        <w:rPr>
          <w:rFonts w:hint="eastAsia" w:ascii="仿宋" w:hAnsi="仿宋" w:eastAsia="仿宋" w:cs="仿宋"/>
          <w:color w:val="auto"/>
          <w:sz w:val="24"/>
          <w:szCs w:val="24"/>
          <w:highlight w:val="none"/>
          <w:u w:val="single"/>
          <w:lang w:val="en-US" w:eastAsia="zh-CN"/>
        </w:rPr>
        <w:t>2025</w:t>
      </w:r>
      <w:r>
        <w:rPr>
          <w:rFonts w:hint="eastAsia" w:ascii="仿宋" w:hAnsi="仿宋" w:eastAsia="仿宋" w:cs="仿宋"/>
          <w:bCs/>
          <w:color w:val="auto"/>
          <w:sz w:val="24"/>
          <w:szCs w:val="24"/>
          <w:highlight w:val="none"/>
          <w:u w:val="single"/>
        </w:rPr>
        <w:t>年</w:t>
      </w:r>
      <w:r>
        <w:rPr>
          <w:rFonts w:hint="eastAsia" w:ascii="仿宋" w:hAnsi="仿宋" w:eastAsia="仿宋" w:cs="仿宋"/>
          <w:bCs/>
          <w:color w:val="auto"/>
          <w:sz w:val="24"/>
          <w:szCs w:val="24"/>
          <w:highlight w:val="none"/>
          <w:u w:val="single"/>
          <w:lang w:val="en-US" w:eastAsia="zh-CN"/>
        </w:rPr>
        <w:t>07</w:t>
      </w:r>
      <w:r>
        <w:rPr>
          <w:rFonts w:hint="eastAsia" w:ascii="仿宋" w:hAnsi="仿宋" w:eastAsia="仿宋" w:cs="仿宋"/>
          <w:bCs/>
          <w:color w:val="auto"/>
          <w:sz w:val="24"/>
          <w:szCs w:val="24"/>
          <w:highlight w:val="none"/>
          <w:u w:val="single"/>
        </w:rPr>
        <w:t>月</w:t>
      </w:r>
      <w:r>
        <w:rPr>
          <w:rFonts w:hint="eastAsia" w:ascii="仿宋" w:hAnsi="仿宋" w:eastAsia="仿宋" w:cs="仿宋"/>
          <w:bCs/>
          <w:color w:val="auto"/>
          <w:sz w:val="24"/>
          <w:szCs w:val="24"/>
          <w:highlight w:val="none"/>
          <w:u w:val="single"/>
          <w:lang w:val="en-US" w:eastAsia="zh-CN"/>
        </w:rPr>
        <w:t>XX</w:t>
      </w:r>
      <w:r>
        <w:rPr>
          <w:rFonts w:hint="eastAsia" w:ascii="仿宋" w:hAnsi="仿宋" w:eastAsia="仿宋" w:cs="仿宋"/>
          <w:bCs/>
          <w:color w:val="auto"/>
          <w:sz w:val="24"/>
          <w:szCs w:val="24"/>
          <w:highlight w:val="none"/>
          <w:u w:val="single"/>
        </w:rPr>
        <w:t>日</w:t>
      </w:r>
      <w:r>
        <w:rPr>
          <w:rFonts w:hint="eastAsia" w:ascii="仿宋" w:hAnsi="仿宋" w:eastAsia="仿宋" w:cs="仿宋"/>
          <w:bCs/>
          <w:color w:val="auto"/>
          <w:sz w:val="24"/>
          <w:szCs w:val="24"/>
          <w:highlight w:val="none"/>
          <w:u w:val="single"/>
          <w:lang w:val="en-US" w:eastAsia="zh-CN"/>
        </w:rPr>
        <w:t>XX</w:t>
      </w:r>
      <w:r>
        <w:rPr>
          <w:rFonts w:hint="eastAsia" w:ascii="仿宋" w:hAnsi="仿宋" w:eastAsia="仿宋" w:cs="仿宋"/>
          <w:bCs/>
          <w:color w:val="auto"/>
          <w:sz w:val="24"/>
          <w:szCs w:val="24"/>
          <w:highlight w:val="none"/>
          <w:u w:val="single"/>
        </w:rPr>
        <w:t>：</w:t>
      </w:r>
      <w:r>
        <w:rPr>
          <w:rFonts w:hint="eastAsia" w:ascii="仿宋" w:hAnsi="仿宋" w:eastAsia="仿宋" w:cs="仿宋"/>
          <w:bCs/>
          <w:color w:val="auto"/>
          <w:sz w:val="24"/>
          <w:szCs w:val="24"/>
          <w:highlight w:val="none"/>
          <w:u w:val="single"/>
          <w:lang w:val="en-US" w:eastAsia="zh-CN"/>
        </w:rPr>
        <w:t>XX</w:t>
      </w:r>
      <w:r>
        <w:rPr>
          <w:rFonts w:hint="eastAsia" w:ascii="仿宋" w:hAnsi="仿宋" w:eastAsia="仿宋" w:cs="仿宋"/>
          <w:bCs/>
          <w:color w:val="auto"/>
          <w:sz w:val="24"/>
          <w:szCs w:val="24"/>
          <w:highlight w:val="none"/>
          <w:u w:val="single"/>
        </w:rPr>
        <w:t>（</w:t>
      </w:r>
      <w:r>
        <w:rPr>
          <w:rFonts w:hint="eastAsia" w:ascii="仿宋" w:hAnsi="仿宋" w:eastAsia="仿宋" w:cs="仿宋"/>
          <w:bCs/>
          <w:color w:val="auto"/>
          <w:sz w:val="24"/>
          <w:szCs w:val="24"/>
          <w:highlight w:val="none"/>
        </w:rPr>
        <w:t>北京时间）前递交投标文件</w:t>
      </w:r>
      <w:r>
        <w:rPr>
          <w:rFonts w:hint="eastAsia" w:ascii="仿宋" w:hAnsi="仿宋" w:eastAsia="仿宋" w:cs="仿宋"/>
          <w:color w:val="auto"/>
          <w:sz w:val="24"/>
          <w:szCs w:val="24"/>
          <w:highlight w:val="none"/>
        </w:rPr>
        <w:t>。</w:t>
      </w:r>
    </w:p>
    <w:p w14:paraId="7D823613">
      <w:pPr>
        <w:keepNext w:val="0"/>
        <w:keepLines w:val="0"/>
        <w:pageBreakBefore w:val="0"/>
        <w:kinsoku/>
        <w:wordWrap/>
        <w:overflowPunct/>
        <w:topLinePunct w:val="0"/>
        <w:autoSpaceDE/>
        <w:autoSpaceDN/>
        <w:bidi w:val="0"/>
        <w:adjustRightInd/>
        <w:spacing w:line="312" w:lineRule="auto"/>
        <w:textAlignment w:val="auto"/>
        <w:rPr>
          <w:rFonts w:hint="eastAsia" w:ascii="仿宋" w:hAnsi="仿宋" w:eastAsia="仿宋" w:cs="仿宋"/>
          <w:color w:val="auto"/>
          <w:sz w:val="24"/>
          <w:szCs w:val="24"/>
          <w:highlight w:val="none"/>
        </w:rPr>
      </w:pPr>
    </w:p>
    <w:p w14:paraId="6F9D1ABB">
      <w:pPr>
        <w:keepNext w:val="0"/>
        <w:keepLines w:val="0"/>
        <w:pageBreakBefore w:val="0"/>
        <w:kinsoku/>
        <w:wordWrap/>
        <w:overflowPunct/>
        <w:topLinePunct w:val="0"/>
        <w:autoSpaceDE/>
        <w:autoSpaceDN/>
        <w:bidi w:val="0"/>
        <w:adjustRightInd/>
        <w:spacing w:line="312" w:lineRule="auto"/>
        <w:textAlignment w:val="auto"/>
        <w:rPr>
          <w:rFonts w:hint="eastAsia" w:ascii="仿宋" w:hAnsi="仿宋" w:eastAsia="仿宋" w:cs="仿宋"/>
          <w:color w:val="auto"/>
          <w:sz w:val="24"/>
          <w:szCs w:val="24"/>
          <w:highlight w:val="none"/>
        </w:rPr>
      </w:pPr>
      <w:bookmarkStart w:id="1" w:name="_Toc35393621"/>
      <w:bookmarkStart w:id="2" w:name="_Toc28359079"/>
      <w:bookmarkStart w:id="3" w:name="_Toc28359002"/>
      <w:bookmarkStart w:id="4" w:name="_Toc35393790"/>
      <w:bookmarkStart w:id="5" w:name="_Hlk24379207"/>
      <w:r>
        <w:rPr>
          <w:rFonts w:hint="eastAsia" w:ascii="仿宋" w:hAnsi="仿宋" w:eastAsia="仿宋" w:cs="仿宋"/>
          <w:color w:val="auto"/>
          <w:sz w:val="24"/>
          <w:szCs w:val="24"/>
          <w:highlight w:val="none"/>
        </w:rPr>
        <w:t>一、项目基本情况</w:t>
      </w:r>
      <w:bookmarkEnd w:id="1"/>
      <w:bookmarkEnd w:id="2"/>
      <w:bookmarkEnd w:id="3"/>
      <w:bookmarkEnd w:id="4"/>
    </w:p>
    <w:p w14:paraId="7862B607">
      <w:pPr>
        <w:keepNext w:val="0"/>
        <w:keepLines w:val="0"/>
        <w:pageBreakBefore w:val="0"/>
        <w:kinsoku/>
        <w:wordWrap/>
        <w:overflowPunct/>
        <w:topLinePunct w:val="0"/>
        <w:autoSpaceDE/>
        <w:autoSpaceDN/>
        <w:bidi w:val="0"/>
        <w:adjustRightInd/>
        <w:spacing w:line="312" w:lineRule="auto"/>
        <w:ind w:firstLine="540"/>
        <w:textAlignment w:val="auto"/>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项目编号：</w:t>
      </w:r>
      <w:r>
        <w:rPr>
          <w:rFonts w:hint="eastAsia" w:ascii="仿宋" w:hAnsi="仿宋" w:eastAsia="仿宋" w:cs="仿宋"/>
          <w:bCs/>
          <w:color w:val="auto"/>
          <w:sz w:val="24"/>
          <w:szCs w:val="24"/>
          <w:highlight w:val="none"/>
          <w:u w:val="single"/>
        </w:rPr>
        <w:t>ZJDT-</w:t>
      </w:r>
      <w:r>
        <w:rPr>
          <w:rFonts w:hint="eastAsia" w:ascii="仿宋" w:hAnsi="仿宋" w:eastAsia="仿宋" w:cs="仿宋"/>
          <w:bCs/>
          <w:color w:val="auto"/>
          <w:sz w:val="24"/>
          <w:szCs w:val="24"/>
          <w:highlight w:val="none"/>
          <w:u w:val="single"/>
          <w:lang w:val="en-US" w:eastAsia="zh-CN"/>
        </w:rPr>
        <w:t>L</w:t>
      </w:r>
      <w:r>
        <w:rPr>
          <w:rFonts w:hint="eastAsia" w:ascii="仿宋" w:hAnsi="仿宋" w:eastAsia="仿宋" w:cs="仿宋"/>
          <w:bCs/>
          <w:color w:val="auto"/>
          <w:sz w:val="24"/>
          <w:szCs w:val="24"/>
          <w:highlight w:val="none"/>
          <w:u w:val="single"/>
        </w:rPr>
        <w:t>-250</w:t>
      </w:r>
      <w:r>
        <w:rPr>
          <w:rFonts w:hint="eastAsia" w:ascii="仿宋" w:hAnsi="仿宋" w:eastAsia="仿宋" w:cs="仿宋"/>
          <w:bCs/>
          <w:color w:val="auto"/>
          <w:sz w:val="24"/>
          <w:szCs w:val="24"/>
          <w:highlight w:val="none"/>
          <w:u w:val="single"/>
          <w:lang w:val="en-US" w:eastAsia="zh-CN"/>
        </w:rPr>
        <w:t>12</w:t>
      </w:r>
    </w:p>
    <w:p w14:paraId="140F4971">
      <w:pPr>
        <w:keepNext w:val="0"/>
        <w:keepLines w:val="0"/>
        <w:pageBreakBefore w:val="0"/>
        <w:kinsoku/>
        <w:wordWrap/>
        <w:overflowPunct/>
        <w:topLinePunct w:val="0"/>
        <w:autoSpaceDE/>
        <w:autoSpaceDN/>
        <w:bidi w:val="0"/>
        <w:adjustRightInd/>
        <w:spacing w:line="312" w:lineRule="auto"/>
        <w:ind w:firstLine="54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项目名称：</w:t>
      </w:r>
      <w:r>
        <w:rPr>
          <w:rFonts w:hint="eastAsia" w:ascii="仿宋" w:hAnsi="仿宋" w:eastAsia="仿宋" w:cs="仿宋"/>
          <w:bCs/>
          <w:color w:val="auto"/>
          <w:sz w:val="24"/>
          <w:szCs w:val="24"/>
          <w:highlight w:val="none"/>
          <w:u w:val="single"/>
          <w:lang w:eastAsia="zh-CN"/>
        </w:rPr>
        <w:t>绍兴市越城区斗门街道社区卫生服务中心2025年度职工疗休养项目</w:t>
      </w:r>
    </w:p>
    <w:bookmarkEnd w:id="5"/>
    <w:p w14:paraId="41BF4334">
      <w:pPr>
        <w:keepNext w:val="0"/>
        <w:keepLines w:val="0"/>
        <w:pageBreakBefore w:val="0"/>
        <w:kinsoku/>
        <w:wordWrap/>
        <w:overflowPunct/>
        <w:topLinePunct w:val="0"/>
        <w:autoSpaceDE/>
        <w:autoSpaceDN/>
        <w:bidi w:val="0"/>
        <w:adjustRightInd/>
        <w:spacing w:line="312" w:lineRule="auto"/>
        <w:ind w:firstLine="540"/>
        <w:textAlignment w:val="auto"/>
        <w:rPr>
          <w:rFonts w:hint="eastAsia" w:ascii="仿宋" w:hAnsi="仿宋" w:eastAsia="仿宋" w:cs="仿宋"/>
          <w:bCs/>
          <w:color w:val="auto"/>
          <w:sz w:val="24"/>
          <w:szCs w:val="24"/>
          <w:highlight w:val="none"/>
          <w:u w:val="single"/>
          <w:lang w:val="en-US" w:eastAsia="zh-CN"/>
        </w:rPr>
      </w:pPr>
      <w:r>
        <w:rPr>
          <w:rFonts w:hint="eastAsia" w:ascii="仿宋" w:hAnsi="仿宋" w:eastAsia="仿宋" w:cs="仿宋"/>
          <w:bCs/>
          <w:color w:val="auto"/>
          <w:sz w:val="24"/>
          <w:szCs w:val="24"/>
          <w:highlight w:val="none"/>
        </w:rPr>
        <w:t>预算金额（元）：</w:t>
      </w:r>
      <w:r>
        <w:rPr>
          <w:rFonts w:hint="eastAsia" w:ascii="仿宋" w:hAnsi="仿宋" w:eastAsia="仿宋" w:cs="仿宋"/>
          <w:bCs/>
          <w:color w:val="auto"/>
          <w:sz w:val="24"/>
          <w:szCs w:val="24"/>
          <w:highlight w:val="none"/>
          <w:u w:val="single"/>
          <w:lang w:val="en-US" w:eastAsia="zh-CN"/>
        </w:rPr>
        <w:t>519000（预计173人，</w:t>
      </w:r>
      <w:r>
        <w:rPr>
          <w:rFonts w:hint="eastAsia" w:ascii="仿宋" w:hAnsi="仿宋" w:eastAsia="仿宋" w:cs="仿宋"/>
          <w:strike w:val="0"/>
          <w:dstrike w:val="0"/>
          <w:color w:val="auto"/>
          <w:sz w:val="24"/>
          <w:szCs w:val="24"/>
          <w:highlight w:val="none"/>
          <w:u w:val="single"/>
        </w:rPr>
        <w:t>3000元/人</w:t>
      </w:r>
      <w:r>
        <w:rPr>
          <w:rFonts w:hint="eastAsia" w:ascii="仿宋" w:hAnsi="仿宋" w:eastAsia="仿宋" w:cs="仿宋"/>
          <w:bCs/>
          <w:color w:val="auto"/>
          <w:sz w:val="24"/>
          <w:szCs w:val="24"/>
          <w:highlight w:val="none"/>
          <w:u w:val="single"/>
          <w:lang w:val="en-US" w:eastAsia="zh-CN"/>
        </w:rPr>
        <w:t>）</w:t>
      </w:r>
    </w:p>
    <w:p w14:paraId="3811CBE7">
      <w:pPr>
        <w:keepNext w:val="0"/>
        <w:keepLines w:val="0"/>
        <w:pageBreakBefore w:val="0"/>
        <w:kinsoku/>
        <w:wordWrap/>
        <w:overflowPunct/>
        <w:topLinePunct w:val="0"/>
        <w:autoSpaceDE/>
        <w:autoSpaceDN/>
        <w:bidi w:val="0"/>
        <w:adjustRightInd/>
        <w:spacing w:line="312" w:lineRule="auto"/>
        <w:ind w:firstLine="540"/>
        <w:textAlignment w:val="auto"/>
        <w:rPr>
          <w:rFonts w:hint="default" w:ascii="仿宋" w:hAnsi="仿宋" w:eastAsia="仿宋" w:cs="仿宋"/>
          <w:bCs/>
          <w:color w:val="auto"/>
          <w:sz w:val="24"/>
          <w:szCs w:val="24"/>
          <w:highlight w:val="none"/>
          <w:u w:val="single"/>
          <w:lang w:val="en-US" w:eastAsia="zh-CN"/>
        </w:rPr>
      </w:pPr>
      <w:r>
        <w:rPr>
          <w:rFonts w:hint="eastAsia" w:ascii="仿宋" w:hAnsi="仿宋" w:eastAsia="仿宋" w:cs="仿宋"/>
          <w:bCs/>
          <w:color w:val="auto"/>
          <w:sz w:val="24"/>
          <w:szCs w:val="24"/>
          <w:highlight w:val="none"/>
        </w:rPr>
        <w:t>最高限价（元）：</w:t>
      </w:r>
      <w:r>
        <w:rPr>
          <w:rFonts w:hint="eastAsia" w:ascii="仿宋" w:hAnsi="仿宋" w:eastAsia="仿宋" w:cs="仿宋"/>
          <w:bCs/>
          <w:color w:val="auto"/>
          <w:sz w:val="24"/>
          <w:szCs w:val="24"/>
          <w:highlight w:val="none"/>
          <w:u w:val="single"/>
          <w:lang w:val="en-US" w:eastAsia="zh-CN"/>
        </w:rPr>
        <w:t>519000（预计173人，</w:t>
      </w:r>
      <w:r>
        <w:rPr>
          <w:rFonts w:hint="eastAsia" w:ascii="仿宋" w:hAnsi="仿宋" w:eastAsia="仿宋" w:cs="仿宋"/>
          <w:strike w:val="0"/>
          <w:dstrike w:val="0"/>
          <w:color w:val="auto"/>
          <w:sz w:val="24"/>
          <w:szCs w:val="24"/>
          <w:highlight w:val="none"/>
          <w:u w:val="single"/>
        </w:rPr>
        <w:t>3000元/人</w:t>
      </w:r>
      <w:r>
        <w:rPr>
          <w:rFonts w:hint="eastAsia" w:ascii="仿宋" w:hAnsi="仿宋" w:eastAsia="仿宋" w:cs="仿宋"/>
          <w:bCs/>
          <w:color w:val="auto"/>
          <w:sz w:val="24"/>
          <w:szCs w:val="24"/>
          <w:highlight w:val="none"/>
          <w:u w:val="single"/>
          <w:lang w:val="en-US" w:eastAsia="zh-CN"/>
        </w:rPr>
        <w:t>）</w:t>
      </w:r>
    </w:p>
    <w:p w14:paraId="6A047157">
      <w:pPr>
        <w:keepNext w:val="0"/>
        <w:keepLines w:val="0"/>
        <w:pageBreakBefore w:val="0"/>
        <w:kinsoku/>
        <w:wordWrap/>
        <w:overflowPunct/>
        <w:topLinePunct w:val="0"/>
        <w:autoSpaceDE/>
        <w:autoSpaceDN/>
        <w:bidi w:val="0"/>
        <w:adjustRightInd/>
        <w:spacing w:line="312" w:lineRule="auto"/>
        <w:ind w:firstLine="54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采购需求：</w:t>
      </w:r>
    </w:p>
    <w:p w14:paraId="3978E4FB">
      <w:pPr>
        <w:keepNext w:val="0"/>
        <w:keepLines w:val="0"/>
        <w:pageBreakBefore w:val="0"/>
        <w:kinsoku/>
        <w:wordWrap/>
        <w:overflowPunct/>
        <w:topLinePunct w:val="0"/>
        <w:autoSpaceDE/>
        <w:autoSpaceDN/>
        <w:bidi w:val="0"/>
        <w:adjustRightInd/>
        <w:spacing w:line="312" w:lineRule="auto"/>
        <w:ind w:firstLine="1020" w:firstLineChars="425"/>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标项一：</w:t>
      </w:r>
    </w:p>
    <w:p w14:paraId="138FE10E">
      <w:pPr>
        <w:keepNext w:val="0"/>
        <w:keepLines w:val="0"/>
        <w:pageBreakBefore w:val="0"/>
        <w:kinsoku/>
        <w:wordWrap/>
        <w:overflowPunct/>
        <w:topLinePunct w:val="0"/>
        <w:autoSpaceDE/>
        <w:autoSpaceDN/>
        <w:bidi w:val="0"/>
        <w:adjustRightInd/>
        <w:spacing w:line="312" w:lineRule="auto"/>
        <w:ind w:firstLine="1020" w:firstLineChars="425"/>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标项名称：</w:t>
      </w:r>
      <w:r>
        <w:rPr>
          <w:rFonts w:hint="eastAsia" w:ascii="仿宋" w:hAnsi="仿宋" w:eastAsia="仿宋" w:cs="仿宋"/>
          <w:bCs/>
          <w:color w:val="auto"/>
          <w:sz w:val="24"/>
          <w:szCs w:val="24"/>
          <w:highlight w:val="none"/>
          <w:u w:val="single"/>
          <w:lang w:eastAsia="zh-CN"/>
        </w:rPr>
        <w:t>绍兴市越城区斗门街道社区卫生服务中心2025年度职工疗休养项目</w:t>
      </w:r>
    </w:p>
    <w:p w14:paraId="1F079B0F">
      <w:pPr>
        <w:keepNext w:val="0"/>
        <w:keepLines w:val="0"/>
        <w:pageBreakBefore w:val="0"/>
        <w:kinsoku/>
        <w:wordWrap/>
        <w:overflowPunct/>
        <w:topLinePunct w:val="0"/>
        <w:autoSpaceDE/>
        <w:autoSpaceDN/>
        <w:bidi w:val="0"/>
        <w:adjustRightInd/>
        <w:spacing w:line="312" w:lineRule="auto"/>
        <w:ind w:firstLine="54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 xml:space="preserve">    数量：</w:t>
      </w:r>
      <w:r>
        <w:rPr>
          <w:rFonts w:hint="eastAsia" w:ascii="仿宋" w:hAnsi="仿宋" w:eastAsia="仿宋" w:cs="仿宋"/>
          <w:bCs/>
          <w:color w:val="auto"/>
          <w:sz w:val="24"/>
          <w:szCs w:val="24"/>
          <w:highlight w:val="none"/>
          <w:u w:val="single"/>
          <w:lang w:val="en-US" w:eastAsia="zh-CN"/>
        </w:rPr>
        <w:t>1</w:t>
      </w:r>
    </w:p>
    <w:p w14:paraId="4D77992A">
      <w:pPr>
        <w:keepNext w:val="0"/>
        <w:keepLines w:val="0"/>
        <w:pageBreakBefore w:val="0"/>
        <w:kinsoku/>
        <w:wordWrap/>
        <w:overflowPunct/>
        <w:topLinePunct w:val="0"/>
        <w:autoSpaceDE/>
        <w:autoSpaceDN/>
        <w:bidi w:val="0"/>
        <w:adjustRightInd/>
        <w:spacing w:line="312" w:lineRule="auto"/>
        <w:ind w:firstLine="540"/>
        <w:textAlignment w:val="auto"/>
        <w:rPr>
          <w:rFonts w:hint="eastAsia" w:ascii="仿宋" w:hAnsi="仿宋" w:eastAsia="仿宋" w:cs="仿宋"/>
          <w:bCs/>
          <w:color w:val="auto"/>
          <w:sz w:val="24"/>
          <w:szCs w:val="24"/>
          <w:highlight w:val="none"/>
          <w:u w:val="single"/>
          <w:lang w:val="en-US" w:eastAsia="zh-CN"/>
        </w:rPr>
      </w:pPr>
      <w:r>
        <w:rPr>
          <w:rFonts w:hint="eastAsia" w:ascii="仿宋" w:hAnsi="仿宋" w:eastAsia="仿宋" w:cs="仿宋"/>
          <w:bCs/>
          <w:color w:val="auto"/>
          <w:sz w:val="24"/>
          <w:szCs w:val="24"/>
          <w:highlight w:val="none"/>
        </w:rPr>
        <w:t xml:space="preserve">    预算金额（元）：</w:t>
      </w:r>
      <w:r>
        <w:rPr>
          <w:rFonts w:hint="eastAsia" w:ascii="仿宋" w:hAnsi="仿宋" w:eastAsia="仿宋" w:cs="仿宋"/>
          <w:bCs/>
          <w:color w:val="auto"/>
          <w:sz w:val="24"/>
          <w:szCs w:val="24"/>
          <w:highlight w:val="none"/>
          <w:u w:val="single"/>
          <w:lang w:val="en-US" w:eastAsia="zh-CN"/>
        </w:rPr>
        <w:t>519000（预计173人，</w:t>
      </w:r>
      <w:r>
        <w:rPr>
          <w:rFonts w:hint="eastAsia" w:ascii="仿宋" w:hAnsi="仿宋" w:eastAsia="仿宋" w:cs="仿宋"/>
          <w:strike w:val="0"/>
          <w:dstrike w:val="0"/>
          <w:color w:val="auto"/>
          <w:sz w:val="24"/>
          <w:szCs w:val="24"/>
          <w:highlight w:val="none"/>
          <w:u w:val="single"/>
        </w:rPr>
        <w:t>3000元/人</w:t>
      </w:r>
      <w:r>
        <w:rPr>
          <w:rFonts w:hint="eastAsia" w:ascii="仿宋" w:hAnsi="仿宋" w:eastAsia="仿宋" w:cs="仿宋"/>
          <w:bCs/>
          <w:color w:val="auto"/>
          <w:sz w:val="24"/>
          <w:szCs w:val="24"/>
          <w:highlight w:val="none"/>
          <w:u w:val="single"/>
          <w:lang w:val="en-US" w:eastAsia="zh-CN"/>
        </w:rPr>
        <w:t>）</w:t>
      </w:r>
    </w:p>
    <w:p w14:paraId="77F89CEC">
      <w:pPr>
        <w:keepNext w:val="0"/>
        <w:keepLines w:val="0"/>
        <w:pageBreakBefore w:val="0"/>
        <w:kinsoku/>
        <w:wordWrap/>
        <w:overflowPunct/>
        <w:topLinePunct w:val="0"/>
        <w:autoSpaceDE/>
        <w:autoSpaceDN/>
        <w:bidi w:val="0"/>
        <w:adjustRightInd/>
        <w:spacing w:line="312" w:lineRule="auto"/>
        <w:ind w:firstLine="54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简要规格描述或项目基本概况介绍、用途：</w:t>
      </w:r>
    </w:p>
    <w:tbl>
      <w:tblPr>
        <w:tblStyle w:val="26"/>
        <w:tblW w:w="9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395"/>
        <w:gridCol w:w="2250"/>
        <w:gridCol w:w="2592"/>
        <w:gridCol w:w="2286"/>
      </w:tblGrid>
      <w:tr w14:paraId="523C7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394032D2">
            <w:pPr>
              <w:spacing w:line="43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标段编号</w:t>
            </w:r>
          </w:p>
        </w:tc>
        <w:tc>
          <w:tcPr>
            <w:tcW w:w="1395" w:type="dxa"/>
            <w:tcBorders>
              <w:top w:val="single" w:color="auto" w:sz="4" w:space="0"/>
              <w:left w:val="single" w:color="auto" w:sz="4" w:space="0"/>
              <w:bottom w:val="single" w:color="auto" w:sz="4" w:space="0"/>
              <w:right w:val="single" w:color="auto" w:sz="4" w:space="0"/>
            </w:tcBorders>
            <w:vAlign w:val="center"/>
          </w:tcPr>
          <w:p w14:paraId="3D8751AA">
            <w:pPr>
              <w:spacing w:line="43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省内/省外</w:t>
            </w:r>
          </w:p>
        </w:tc>
        <w:tc>
          <w:tcPr>
            <w:tcW w:w="2250" w:type="dxa"/>
            <w:tcBorders>
              <w:top w:val="single" w:color="auto" w:sz="4" w:space="0"/>
              <w:left w:val="single" w:color="auto" w:sz="4" w:space="0"/>
              <w:bottom w:val="single" w:color="auto" w:sz="4" w:space="0"/>
              <w:right w:val="single" w:color="auto" w:sz="4" w:space="0"/>
            </w:tcBorders>
            <w:vAlign w:val="center"/>
          </w:tcPr>
          <w:p w14:paraId="7839E734">
            <w:pPr>
              <w:spacing w:line="43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拟疗养修养 地点</w:t>
            </w:r>
          </w:p>
        </w:tc>
        <w:tc>
          <w:tcPr>
            <w:tcW w:w="2592" w:type="dxa"/>
            <w:tcBorders>
              <w:top w:val="single" w:color="auto" w:sz="4" w:space="0"/>
              <w:left w:val="single" w:color="auto" w:sz="4" w:space="0"/>
              <w:bottom w:val="single" w:color="auto" w:sz="4" w:space="0"/>
              <w:right w:val="single" w:color="auto" w:sz="4" w:space="0"/>
            </w:tcBorders>
            <w:vAlign w:val="center"/>
          </w:tcPr>
          <w:p w14:paraId="484515A5">
            <w:pPr>
              <w:spacing w:line="43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预算价或上限价</w:t>
            </w:r>
          </w:p>
          <w:p w14:paraId="4EFCE412">
            <w:pPr>
              <w:spacing w:line="43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（单位：人民币元/人）</w:t>
            </w:r>
          </w:p>
        </w:tc>
        <w:tc>
          <w:tcPr>
            <w:tcW w:w="2286" w:type="dxa"/>
            <w:tcBorders>
              <w:top w:val="single" w:color="auto" w:sz="4" w:space="0"/>
              <w:left w:val="single" w:color="auto" w:sz="4" w:space="0"/>
              <w:bottom w:val="single" w:color="auto" w:sz="4" w:space="0"/>
              <w:right w:val="single" w:color="auto" w:sz="4" w:space="0"/>
            </w:tcBorders>
            <w:vAlign w:val="center"/>
          </w:tcPr>
          <w:p w14:paraId="0DE525A5">
            <w:pPr>
              <w:spacing w:line="43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天数</w:t>
            </w:r>
          </w:p>
        </w:tc>
      </w:tr>
      <w:tr w14:paraId="7B428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46" w:type="dxa"/>
            <w:vMerge w:val="restart"/>
            <w:tcBorders>
              <w:top w:val="nil"/>
              <w:left w:val="single" w:color="auto" w:sz="4" w:space="0"/>
              <w:right w:val="single" w:color="auto" w:sz="4" w:space="0"/>
            </w:tcBorders>
            <w:vAlign w:val="center"/>
          </w:tcPr>
          <w:p w14:paraId="13881AB8">
            <w:pPr>
              <w:spacing w:line="43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01</w:t>
            </w:r>
          </w:p>
        </w:tc>
        <w:tc>
          <w:tcPr>
            <w:tcW w:w="1395" w:type="dxa"/>
            <w:tcBorders>
              <w:top w:val="single" w:color="auto" w:sz="4" w:space="0"/>
              <w:left w:val="nil"/>
              <w:bottom w:val="single" w:color="auto" w:sz="4" w:space="0"/>
              <w:right w:val="single" w:color="auto" w:sz="4" w:space="0"/>
            </w:tcBorders>
            <w:vAlign w:val="center"/>
          </w:tcPr>
          <w:p w14:paraId="2F83AC4B">
            <w:pPr>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省内</w:t>
            </w:r>
          </w:p>
        </w:tc>
        <w:tc>
          <w:tcPr>
            <w:tcW w:w="2250" w:type="dxa"/>
            <w:tcBorders>
              <w:top w:val="single" w:color="auto" w:sz="4" w:space="0"/>
              <w:left w:val="nil"/>
              <w:bottom w:val="single" w:color="auto" w:sz="4" w:space="0"/>
              <w:right w:val="single" w:color="auto" w:sz="4" w:space="0"/>
            </w:tcBorders>
            <w:vAlign w:val="center"/>
          </w:tcPr>
          <w:p w14:paraId="046BCEBF">
            <w:pPr>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shd w:val="clear" w:color="auto" w:fill="FFFFFF"/>
                <w:lang w:eastAsia="zh-CN"/>
              </w:rPr>
              <w:t>舟山</w:t>
            </w:r>
            <w:r>
              <w:rPr>
                <w:rFonts w:hint="eastAsia" w:ascii="仿宋" w:hAnsi="仿宋" w:eastAsia="仿宋" w:cs="仿宋"/>
                <w:color w:val="auto"/>
                <w:sz w:val="24"/>
                <w:szCs w:val="24"/>
                <w:highlight w:val="none"/>
                <w:shd w:val="clear" w:color="auto" w:fill="FFFFFF"/>
                <w:lang w:val="en-US" w:eastAsia="zh-CN"/>
              </w:rPr>
              <w:t>-</w:t>
            </w:r>
            <w:r>
              <w:rPr>
                <w:rFonts w:hint="eastAsia" w:ascii="仿宋" w:hAnsi="仿宋" w:eastAsia="仿宋" w:cs="仿宋"/>
                <w:color w:val="auto"/>
                <w:sz w:val="24"/>
                <w:szCs w:val="24"/>
                <w:highlight w:val="none"/>
                <w:shd w:val="clear" w:color="auto" w:fill="FFFFFF"/>
                <w:lang w:eastAsia="zh-CN"/>
              </w:rPr>
              <w:t>岱山</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杭州线</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lang w:eastAsia="zh-CN"/>
              </w:rPr>
              <w:t>富阳桐庐</w:t>
            </w:r>
          </w:p>
        </w:tc>
        <w:tc>
          <w:tcPr>
            <w:tcW w:w="2592" w:type="dxa"/>
            <w:tcBorders>
              <w:top w:val="single" w:color="auto" w:sz="4" w:space="0"/>
              <w:left w:val="single" w:color="auto" w:sz="4" w:space="0"/>
              <w:bottom w:val="single" w:color="auto" w:sz="4" w:space="0"/>
              <w:right w:val="single" w:color="auto" w:sz="4" w:space="0"/>
            </w:tcBorders>
            <w:vAlign w:val="center"/>
          </w:tcPr>
          <w:p w14:paraId="6EDF842A">
            <w:pPr>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3000元/人</w:t>
            </w:r>
          </w:p>
        </w:tc>
        <w:tc>
          <w:tcPr>
            <w:tcW w:w="2286" w:type="dxa"/>
            <w:tcBorders>
              <w:top w:val="nil"/>
              <w:left w:val="nil"/>
              <w:right w:val="single" w:color="auto" w:sz="4" w:space="0"/>
            </w:tcBorders>
            <w:vAlign w:val="center"/>
          </w:tcPr>
          <w:p w14:paraId="495C10EE">
            <w:pPr>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5天（具体实施时间按实际情况调整）</w:t>
            </w:r>
          </w:p>
        </w:tc>
      </w:tr>
      <w:tr w14:paraId="45674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846" w:type="dxa"/>
            <w:vMerge w:val="continue"/>
            <w:tcBorders>
              <w:left w:val="single" w:color="auto" w:sz="4" w:space="0"/>
              <w:right w:val="single" w:color="auto" w:sz="4" w:space="0"/>
            </w:tcBorders>
            <w:vAlign w:val="center"/>
          </w:tcPr>
          <w:p w14:paraId="6B6797EB">
            <w:pPr>
              <w:widowControl/>
              <w:jc w:val="center"/>
              <w:rPr>
                <w:rFonts w:hint="eastAsia" w:ascii="仿宋" w:hAnsi="仿宋" w:eastAsia="仿宋" w:cs="仿宋"/>
                <w:color w:val="auto"/>
                <w:kern w:val="0"/>
                <w:sz w:val="24"/>
                <w:szCs w:val="24"/>
                <w:highlight w:val="none"/>
              </w:rPr>
            </w:pPr>
          </w:p>
        </w:tc>
        <w:tc>
          <w:tcPr>
            <w:tcW w:w="1395" w:type="dxa"/>
            <w:vMerge w:val="restart"/>
            <w:tcBorders>
              <w:top w:val="nil"/>
              <w:left w:val="nil"/>
              <w:right w:val="single" w:color="auto" w:sz="4" w:space="0"/>
            </w:tcBorders>
            <w:vAlign w:val="center"/>
          </w:tcPr>
          <w:p w14:paraId="68BA15AF">
            <w:pPr>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省外</w:t>
            </w:r>
          </w:p>
        </w:tc>
        <w:tc>
          <w:tcPr>
            <w:tcW w:w="2250" w:type="dxa"/>
            <w:tcBorders>
              <w:top w:val="single" w:color="auto" w:sz="4" w:space="0"/>
              <w:left w:val="single" w:color="auto" w:sz="4" w:space="0"/>
              <w:bottom w:val="single" w:color="auto" w:sz="4" w:space="0"/>
              <w:right w:val="single" w:color="auto" w:sz="4" w:space="0"/>
            </w:tcBorders>
            <w:vAlign w:val="center"/>
          </w:tcPr>
          <w:p w14:paraId="11463BE1">
            <w:pPr>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bCs/>
                <w:color w:val="auto"/>
                <w:kern w:val="0"/>
                <w:sz w:val="24"/>
                <w:szCs w:val="24"/>
                <w:highlight w:val="none"/>
                <w:lang w:val="en-US" w:eastAsia="zh-CN"/>
              </w:rPr>
              <w:t>福州-平潭岛</w:t>
            </w:r>
          </w:p>
        </w:tc>
        <w:tc>
          <w:tcPr>
            <w:tcW w:w="2592" w:type="dxa"/>
            <w:tcBorders>
              <w:top w:val="single" w:color="auto" w:sz="4" w:space="0"/>
              <w:left w:val="single" w:color="auto" w:sz="4" w:space="0"/>
              <w:bottom w:val="single" w:color="auto" w:sz="4" w:space="0"/>
              <w:right w:val="single" w:color="auto" w:sz="4" w:space="0"/>
            </w:tcBorders>
            <w:vAlign w:val="center"/>
          </w:tcPr>
          <w:p w14:paraId="313ED74A">
            <w:pPr>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3000元/人</w:t>
            </w:r>
          </w:p>
        </w:tc>
        <w:tc>
          <w:tcPr>
            <w:tcW w:w="2286" w:type="dxa"/>
            <w:tcBorders>
              <w:left w:val="nil"/>
              <w:right w:val="single" w:color="auto" w:sz="4" w:space="0"/>
            </w:tcBorders>
            <w:shd w:val="clear" w:color="auto" w:fill="auto"/>
            <w:vAlign w:val="center"/>
          </w:tcPr>
          <w:p w14:paraId="327BDB82">
            <w:pPr>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5天（具体实施时间按实际情况调整）</w:t>
            </w:r>
          </w:p>
        </w:tc>
      </w:tr>
      <w:tr w14:paraId="7820E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846" w:type="dxa"/>
            <w:vMerge w:val="continue"/>
            <w:tcBorders>
              <w:left w:val="single" w:color="auto" w:sz="4" w:space="0"/>
              <w:bottom w:val="single" w:color="auto" w:sz="4" w:space="0"/>
              <w:right w:val="single" w:color="auto" w:sz="4" w:space="0"/>
            </w:tcBorders>
            <w:vAlign w:val="center"/>
          </w:tcPr>
          <w:p w14:paraId="3C73770B">
            <w:pPr>
              <w:widowControl/>
              <w:jc w:val="center"/>
              <w:rPr>
                <w:rFonts w:hint="eastAsia" w:ascii="仿宋" w:hAnsi="仿宋" w:eastAsia="仿宋" w:cs="仿宋"/>
                <w:color w:val="auto"/>
                <w:kern w:val="0"/>
                <w:sz w:val="24"/>
                <w:szCs w:val="24"/>
                <w:highlight w:val="none"/>
              </w:rPr>
            </w:pPr>
          </w:p>
        </w:tc>
        <w:tc>
          <w:tcPr>
            <w:tcW w:w="1395" w:type="dxa"/>
            <w:vMerge w:val="continue"/>
            <w:tcBorders>
              <w:left w:val="nil"/>
              <w:bottom w:val="single" w:color="auto" w:sz="4" w:space="0"/>
              <w:right w:val="single" w:color="auto" w:sz="4" w:space="0"/>
            </w:tcBorders>
            <w:vAlign w:val="center"/>
          </w:tcPr>
          <w:p w14:paraId="663DBF62">
            <w:pPr>
              <w:spacing w:line="240" w:lineRule="auto"/>
              <w:jc w:val="center"/>
              <w:rPr>
                <w:rFonts w:hint="eastAsia" w:ascii="仿宋" w:hAnsi="仿宋" w:eastAsia="仿宋" w:cs="仿宋"/>
                <w:color w:val="auto"/>
                <w:kern w:val="0"/>
                <w:sz w:val="24"/>
                <w:szCs w:val="24"/>
                <w:highlight w:val="none"/>
              </w:rPr>
            </w:pPr>
          </w:p>
        </w:tc>
        <w:tc>
          <w:tcPr>
            <w:tcW w:w="2250" w:type="dxa"/>
            <w:tcBorders>
              <w:top w:val="single" w:color="auto" w:sz="4" w:space="0"/>
              <w:left w:val="single" w:color="auto" w:sz="4" w:space="0"/>
              <w:bottom w:val="single" w:color="auto" w:sz="4" w:space="0"/>
              <w:right w:val="single" w:color="auto" w:sz="4" w:space="0"/>
            </w:tcBorders>
            <w:vAlign w:val="center"/>
          </w:tcPr>
          <w:p w14:paraId="0A51B4C0">
            <w:pPr>
              <w:spacing w:line="240" w:lineRule="auto"/>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新疆阿克苏 巴音布鲁克 赛里木湖</w:t>
            </w:r>
          </w:p>
        </w:tc>
        <w:tc>
          <w:tcPr>
            <w:tcW w:w="2592" w:type="dxa"/>
            <w:tcBorders>
              <w:top w:val="single" w:color="auto" w:sz="4" w:space="0"/>
              <w:left w:val="single" w:color="auto" w:sz="4" w:space="0"/>
              <w:bottom w:val="single" w:color="auto" w:sz="4" w:space="0"/>
              <w:right w:val="single" w:color="auto" w:sz="4" w:space="0"/>
            </w:tcBorders>
            <w:vAlign w:val="center"/>
          </w:tcPr>
          <w:p w14:paraId="5329103C">
            <w:pPr>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100</w:t>
            </w:r>
            <w:r>
              <w:rPr>
                <w:rFonts w:hint="eastAsia" w:ascii="仿宋" w:hAnsi="仿宋" w:eastAsia="仿宋" w:cs="仿宋"/>
                <w:color w:val="auto"/>
                <w:kern w:val="0"/>
                <w:sz w:val="24"/>
                <w:szCs w:val="24"/>
                <w:highlight w:val="none"/>
              </w:rPr>
              <w:t>00元/人</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超出3000元部分个人承担）</w:t>
            </w:r>
          </w:p>
        </w:tc>
        <w:tc>
          <w:tcPr>
            <w:tcW w:w="2286" w:type="dxa"/>
            <w:tcBorders>
              <w:left w:val="nil"/>
              <w:right w:val="single" w:color="auto" w:sz="4" w:space="0"/>
            </w:tcBorders>
            <w:vAlign w:val="center"/>
          </w:tcPr>
          <w:p w14:paraId="29C55238">
            <w:pPr>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天（具体实施时间按实际情况调整）</w:t>
            </w:r>
          </w:p>
        </w:tc>
      </w:tr>
      <w:tr w14:paraId="6C4F3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369" w:type="dxa"/>
            <w:gridSpan w:val="5"/>
            <w:tcBorders>
              <w:top w:val="single" w:color="auto" w:sz="4" w:space="0"/>
              <w:left w:val="single" w:color="auto" w:sz="4" w:space="0"/>
              <w:bottom w:val="single" w:color="auto" w:sz="4" w:space="0"/>
              <w:right w:val="single" w:color="auto" w:sz="4" w:space="0"/>
            </w:tcBorders>
            <w:vAlign w:val="center"/>
          </w:tcPr>
          <w:p w14:paraId="2E15902E">
            <w:pPr>
              <w:spacing w:line="240" w:lineRule="auto"/>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1、</w:t>
            </w:r>
            <w:r>
              <w:rPr>
                <w:rFonts w:hint="eastAsia" w:ascii="仿宋" w:hAnsi="仿宋" w:eastAsia="仿宋" w:cs="仿宋"/>
                <w:bCs/>
                <w:color w:val="auto"/>
                <w:kern w:val="0"/>
                <w:sz w:val="24"/>
                <w:szCs w:val="24"/>
                <w:highlight w:val="none"/>
              </w:rPr>
              <w:t>新疆</w:t>
            </w:r>
            <w:r>
              <w:rPr>
                <w:rFonts w:hint="eastAsia" w:ascii="仿宋" w:hAnsi="仿宋" w:eastAsia="仿宋" w:cs="仿宋"/>
                <w:bCs/>
                <w:color w:val="auto"/>
                <w:kern w:val="0"/>
                <w:sz w:val="24"/>
                <w:szCs w:val="24"/>
                <w:highlight w:val="none"/>
                <w:lang w:val="en-US" w:eastAsia="zh-CN"/>
              </w:rPr>
              <w:t>线路时间暂定为8月中下旬或9月初。</w:t>
            </w:r>
          </w:p>
          <w:p w14:paraId="5F76C491">
            <w:pPr>
              <w:spacing w:line="24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如</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因工作需要调整线路</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中标人必须配合</w:t>
            </w:r>
            <w:r>
              <w:rPr>
                <w:rFonts w:hint="eastAsia" w:ascii="仿宋" w:hAnsi="仿宋" w:eastAsia="仿宋" w:cs="仿宋"/>
                <w:color w:val="auto"/>
                <w:sz w:val="24"/>
                <w:szCs w:val="24"/>
                <w:highlight w:val="none"/>
                <w:lang w:eastAsia="zh-CN"/>
              </w:rPr>
              <w:t>，并</w:t>
            </w:r>
            <w:r>
              <w:rPr>
                <w:rFonts w:hint="eastAsia" w:ascii="仿宋" w:hAnsi="仿宋" w:eastAsia="仿宋" w:cs="仿宋"/>
                <w:color w:val="auto"/>
                <w:sz w:val="24"/>
                <w:szCs w:val="24"/>
                <w:highlight w:val="none"/>
                <w:lang w:val="en-US" w:eastAsia="zh-CN"/>
              </w:rPr>
              <w:t>提供同等优惠条件的线路</w:t>
            </w:r>
            <w:r>
              <w:rPr>
                <w:rFonts w:hint="eastAsia" w:ascii="仿宋" w:hAnsi="仿宋" w:eastAsia="仿宋" w:cs="仿宋"/>
                <w:color w:val="auto"/>
                <w:sz w:val="24"/>
                <w:szCs w:val="24"/>
                <w:highlight w:val="none"/>
              </w:rPr>
              <w:t>。疗休养出行具体时间、总人数根据</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实际情况而定。</w:t>
            </w:r>
          </w:p>
        </w:tc>
      </w:tr>
    </w:tbl>
    <w:p w14:paraId="4E017399">
      <w:pPr>
        <w:pStyle w:val="33"/>
        <w:numPr>
          <w:ilvl w:val="6"/>
          <w:numId w:val="0"/>
        </w:numPr>
        <w:tabs>
          <w:tab w:val="clear" w:pos="2940"/>
        </w:tabs>
        <w:rPr>
          <w:rFonts w:hint="eastAsia"/>
          <w:color w:val="auto"/>
          <w:highlight w:val="none"/>
        </w:rPr>
      </w:pPr>
    </w:p>
    <w:p w14:paraId="4E4D4803">
      <w:pPr>
        <w:keepNext w:val="0"/>
        <w:keepLines w:val="0"/>
        <w:pageBreakBefore w:val="0"/>
        <w:kinsoku/>
        <w:wordWrap/>
        <w:overflowPunct/>
        <w:topLinePunct w:val="0"/>
        <w:autoSpaceDE/>
        <w:autoSpaceDN/>
        <w:bidi w:val="0"/>
        <w:adjustRightInd/>
        <w:spacing w:line="312" w:lineRule="auto"/>
        <w:ind w:firstLine="54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 xml:space="preserve">    备注：</w:t>
      </w:r>
      <w:r>
        <w:rPr>
          <w:rFonts w:hint="eastAsia" w:ascii="仿宋" w:hAnsi="仿宋" w:eastAsia="仿宋" w:cs="仿宋"/>
          <w:bCs/>
          <w:color w:val="auto"/>
          <w:sz w:val="24"/>
          <w:szCs w:val="24"/>
          <w:highlight w:val="none"/>
          <w:u w:val="single"/>
          <w:lang w:val="en-US" w:eastAsia="zh-CN"/>
        </w:rPr>
        <w:t>无</w:t>
      </w:r>
    </w:p>
    <w:p w14:paraId="5FF32130">
      <w:pPr>
        <w:keepNext w:val="0"/>
        <w:keepLines w:val="0"/>
        <w:pageBreakBefore w:val="0"/>
        <w:kinsoku/>
        <w:wordWrap/>
        <w:overflowPunct/>
        <w:topLinePunct w:val="0"/>
        <w:autoSpaceDE/>
        <w:autoSpaceDN/>
        <w:bidi w:val="0"/>
        <w:adjustRightInd/>
        <w:spacing w:line="312" w:lineRule="auto"/>
        <w:ind w:firstLine="540"/>
        <w:textAlignment w:val="auto"/>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合同履行期限：</w:t>
      </w:r>
      <w:r>
        <w:rPr>
          <w:rFonts w:hint="eastAsia" w:ascii="仿宋" w:hAnsi="仿宋" w:eastAsia="仿宋" w:cs="仿宋"/>
          <w:bCs/>
          <w:color w:val="auto"/>
          <w:sz w:val="24"/>
          <w:szCs w:val="24"/>
          <w:highlight w:val="none"/>
          <w:u w:val="single"/>
        </w:rPr>
        <w:t>按双方合同约定条款执行。</w:t>
      </w:r>
    </w:p>
    <w:p w14:paraId="61013535">
      <w:pPr>
        <w:keepNext w:val="0"/>
        <w:keepLines w:val="0"/>
        <w:pageBreakBefore w:val="0"/>
        <w:kinsoku/>
        <w:wordWrap/>
        <w:overflowPunct/>
        <w:topLinePunct w:val="0"/>
        <w:autoSpaceDE/>
        <w:autoSpaceDN/>
        <w:bidi w:val="0"/>
        <w:adjustRightInd/>
        <w:spacing w:line="312" w:lineRule="auto"/>
        <w:ind w:firstLine="54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本项目（</w:t>
      </w:r>
      <w:r>
        <w:rPr>
          <w:rFonts w:hint="eastAsia" w:ascii="仿宋" w:hAnsi="仿宋" w:eastAsia="仿宋" w:cs="仿宋"/>
          <w:bCs/>
          <w:color w:val="auto"/>
          <w:sz w:val="24"/>
          <w:szCs w:val="24"/>
          <w:highlight w:val="none"/>
          <w:u w:val="single"/>
        </w:rPr>
        <w:t>否</w:t>
      </w:r>
      <w:r>
        <w:rPr>
          <w:rFonts w:hint="eastAsia" w:ascii="仿宋" w:hAnsi="仿宋" w:eastAsia="仿宋" w:cs="仿宋"/>
          <w:bCs/>
          <w:color w:val="auto"/>
          <w:sz w:val="24"/>
          <w:szCs w:val="24"/>
          <w:highlight w:val="none"/>
        </w:rPr>
        <w:t>）接受联合体投标。</w:t>
      </w:r>
    </w:p>
    <w:p w14:paraId="73E70427">
      <w:pPr>
        <w:keepNext w:val="0"/>
        <w:keepLines w:val="0"/>
        <w:pageBreakBefore w:val="0"/>
        <w:kinsoku/>
        <w:wordWrap/>
        <w:overflowPunct/>
        <w:topLinePunct w:val="0"/>
        <w:autoSpaceDE/>
        <w:autoSpaceDN/>
        <w:bidi w:val="0"/>
        <w:adjustRightInd/>
        <w:spacing w:line="312" w:lineRule="auto"/>
        <w:textAlignment w:val="auto"/>
        <w:rPr>
          <w:rFonts w:hint="eastAsia" w:ascii="仿宋" w:hAnsi="仿宋" w:eastAsia="仿宋" w:cs="仿宋"/>
          <w:color w:val="auto"/>
          <w:sz w:val="24"/>
          <w:szCs w:val="24"/>
          <w:highlight w:val="none"/>
        </w:rPr>
      </w:pPr>
      <w:bookmarkStart w:id="6" w:name="_Toc35393791"/>
      <w:bookmarkStart w:id="7" w:name="_Toc28359080"/>
      <w:bookmarkStart w:id="8" w:name="_Toc28359003"/>
      <w:bookmarkStart w:id="9" w:name="_Toc35393622"/>
      <w:r>
        <w:rPr>
          <w:rFonts w:hint="eastAsia" w:ascii="仿宋" w:hAnsi="仿宋" w:eastAsia="仿宋" w:cs="仿宋"/>
          <w:color w:val="auto"/>
          <w:sz w:val="24"/>
          <w:szCs w:val="24"/>
          <w:highlight w:val="none"/>
        </w:rPr>
        <w:t>二、申请人的资格要求：</w:t>
      </w:r>
      <w:bookmarkEnd w:id="6"/>
      <w:bookmarkEnd w:id="7"/>
      <w:bookmarkEnd w:id="8"/>
      <w:bookmarkEnd w:id="9"/>
    </w:p>
    <w:p w14:paraId="4318A06F">
      <w:pPr>
        <w:keepNext w:val="0"/>
        <w:keepLines w:val="0"/>
        <w:pageBreakBefore w:val="0"/>
        <w:kinsoku/>
        <w:wordWrap/>
        <w:overflowPunct/>
        <w:topLinePunct w:val="0"/>
        <w:autoSpaceDE/>
        <w:autoSpaceDN/>
        <w:bidi w:val="0"/>
        <w:adjustRightInd/>
        <w:spacing w:line="312" w:lineRule="auto"/>
        <w:ind w:firstLine="54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1.满足《中华人民共和国政府采购法》第二十二条规定；未被“信用中国”（www.creditchina.gov.cn)、中国政府采购网（www.ccgp.gov.cn）列入失信被执行人、</w:t>
      </w:r>
      <w:r>
        <w:rPr>
          <w:rFonts w:hint="eastAsia" w:ascii="仿宋" w:hAnsi="仿宋" w:eastAsia="仿宋" w:cs="仿宋"/>
          <w:bCs/>
          <w:color w:val="auto"/>
          <w:sz w:val="24"/>
          <w:szCs w:val="24"/>
          <w:highlight w:val="none"/>
          <w:lang w:eastAsia="zh-CN"/>
        </w:rPr>
        <w:t>重大税收违法失信主体</w:t>
      </w:r>
      <w:r>
        <w:rPr>
          <w:rFonts w:hint="eastAsia" w:ascii="仿宋" w:hAnsi="仿宋" w:eastAsia="仿宋" w:cs="仿宋"/>
          <w:bCs/>
          <w:color w:val="auto"/>
          <w:sz w:val="24"/>
          <w:szCs w:val="24"/>
          <w:highlight w:val="none"/>
        </w:rPr>
        <w:t>、政府采购严重违法失信行为记录名单。</w:t>
      </w:r>
    </w:p>
    <w:p w14:paraId="6EC05F18">
      <w:pPr>
        <w:keepNext w:val="0"/>
        <w:keepLines w:val="0"/>
        <w:pageBreakBefore w:val="0"/>
        <w:kinsoku/>
        <w:wordWrap/>
        <w:overflowPunct/>
        <w:topLinePunct w:val="0"/>
        <w:autoSpaceDE/>
        <w:autoSpaceDN/>
        <w:bidi w:val="0"/>
        <w:adjustRightInd/>
        <w:spacing w:line="312" w:lineRule="auto"/>
        <w:ind w:firstLine="540"/>
        <w:textAlignment w:val="auto"/>
        <w:rPr>
          <w:rFonts w:hint="eastAsia" w:ascii="仿宋" w:hAnsi="仿宋" w:eastAsia="仿宋" w:cs="仿宋"/>
          <w:bCs/>
          <w:color w:val="auto"/>
          <w:sz w:val="24"/>
          <w:szCs w:val="24"/>
          <w:highlight w:val="none"/>
        </w:rPr>
      </w:pPr>
      <w:bookmarkStart w:id="10" w:name="_Toc28359081"/>
      <w:bookmarkStart w:id="11" w:name="_Toc28359004"/>
      <w:r>
        <w:rPr>
          <w:rFonts w:hint="eastAsia" w:ascii="仿宋" w:hAnsi="仿宋" w:eastAsia="仿宋" w:cs="仿宋"/>
          <w:bCs/>
          <w:color w:val="auto"/>
          <w:sz w:val="24"/>
          <w:szCs w:val="24"/>
          <w:highlight w:val="none"/>
        </w:rPr>
        <w:t>2.落实政府采购政策需满足的资格要求：</w:t>
      </w:r>
      <w:r>
        <w:rPr>
          <w:rFonts w:hint="eastAsia" w:ascii="仿宋" w:hAnsi="仿宋" w:eastAsia="仿宋" w:cs="仿宋"/>
          <w:bCs/>
          <w:color w:val="auto"/>
          <w:sz w:val="24"/>
          <w:szCs w:val="24"/>
          <w:highlight w:val="none"/>
          <w:u w:val="single"/>
        </w:rPr>
        <w:t xml:space="preserve">  /  </w:t>
      </w:r>
    </w:p>
    <w:p w14:paraId="6F49222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312" w:lineRule="auto"/>
        <w:ind w:left="0" w:firstLine="540"/>
        <w:contextualSpacing w:val="0"/>
        <w:textAlignment w:val="auto"/>
        <w:rPr>
          <w:rFonts w:hint="eastAsia" w:ascii="仿宋" w:hAnsi="仿宋" w:eastAsia="仿宋" w:cs="仿宋"/>
          <w:bCs/>
          <w:iCs/>
          <w:color w:val="auto"/>
          <w:sz w:val="24"/>
          <w:szCs w:val="24"/>
          <w:highlight w:val="none"/>
          <w:lang w:val="en-US" w:eastAsia="zh-CN"/>
        </w:rPr>
      </w:pPr>
      <w:r>
        <w:rPr>
          <w:rFonts w:hint="eastAsia" w:ascii="仿宋" w:hAnsi="仿宋" w:eastAsia="仿宋" w:cs="仿宋"/>
          <w:bCs/>
          <w:color w:val="auto"/>
          <w:sz w:val="24"/>
          <w:szCs w:val="24"/>
          <w:highlight w:val="none"/>
        </w:rPr>
        <w:t>3.本项目的特定资格要求：</w:t>
      </w:r>
      <w:r>
        <w:rPr>
          <w:rFonts w:hint="eastAsia" w:ascii="仿宋" w:hAnsi="仿宋" w:eastAsia="仿宋" w:cs="仿宋"/>
          <w:bCs/>
          <w:color w:val="auto"/>
          <w:sz w:val="24"/>
          <w:szCs w:val="24"/>
          <w:highlight w:val="none"/>
          <w:u w:val="single"/>
          <w:lang w:val="en-US" w:eastAsia="zh-CN"/>
        </w:rPr>
        <w:t>无</w:t>
      </w:r>
    </w:p>
    <w:p w14:paraId="4288E5FC">
      <w:pPr>
        <w:keepNext w:val="0"/>
        <w:keepLines w:val="0"/>
        <w:pageBreakBefore w:val="0"/>
        <w:kinsoku/>
        <w:wordWrap/>
        <w:overflowPunct/>
        <w:topLinePunct w:val="0"/>
        <w:autoSpaceDE/>
        <w:autoSpaceDN/>
        <w:bidi w:val="0"/>
        <w:adjustRightInd/>
        <w:spacing w:line="312" w:lineRule="auto"/>
        <w:textAlignment w:val="auto"/>
        <w:rPr>
          <w:rFonts w:hint="eastAsia" w:ascii="仿宋" w:hAnsi="仿宋" w:eastAsia="仿宋" w:cs="仿宋"/>
          <w:color w:val="auto"/>
          <w:sz w:val="24"/>
          <w:szCs w:val="24"/>
          <w:highlight w:val="none"/>
        </w:rPr>
      </w:pPr>
      <w:bookmarkStart w:id="12" w:name="_Toc35393623"/>
      <w:bookmarkStart w:id="13" w:name="_Toc35393792"/>
      <w:r>
        <w:rPr>
          <w:rFonts w:hint="eastAsia" w:ascii="仿宋" w:hAnsi="仿宋" w:eastAsia="仿宋" w:cs="仿宋"/>
          <w:color w:val="auto"/>
          <w:sz w:val="24"/>
          <w:szCs w:val="24"/>
          <w:highlight w:val="none"/>
        </w:rPr>
        <w:t>三、获取招标文件</w:t>
      </w:r>
      <w:bookmarkEnd w:id="10"/>
      <w:bookmarkEnd w:id="11"/>
      <w:bookmarkEnd w:id="12"/>
      <w:bookmarkEnd w:id="13"/>
    </w:p>
    <w:p w14:paraId="392F7C4E">
      <w:pPr>
        <w:keepNext w:val="0"/>
        <w:keepLines w:val="0"/>
        <w:pageBreakBefore w:val="0"/>
        <w:widowControl w:val="0"/>
        <w:kinsoku/>
        <w:wordWrap/>
        <w:overflowPunct/>
        <w:topLinePunct w:val="0"/>
        <w:autoSpaceDE/>
        <w:autoSpaceDN/>
        <w:bidi w:val="0"/>
        <w:adjustRightInd/>
        <w:snapToGrid/>
        <w:spacing w:line="312" w:lineRule="auto"/>
        <w:ind w:firstLine="540" w:firstLineChars="2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w:t>
      </w:r>
      <w:r>
        <w:rPr>
          <w:rFonts w:hint="eastAsia" w:ascii="仿宋" w:hAnsi="仿宋" w:eastAsia="仿宋" w:cs="仿宋"/>
          <w:bCs/>
          <w:color w:val="auto"/>
          <w:sz w:val="24"/>
          <w:szCs w:val="24"/>
          <w:highlight w:val="none"/>
          <w:u w:val="single"/>
          <w:lang w:val="en-US" w:eastAsia="zh-CN"/>
        </w:rPr>
        <w:t>2025年07月XX日至2025年07月XX日</w:t>
      </w:r>
      <w:r>
        <w:rPr>
          <w:rFonts w:hint="eastAsia" w:ascii="仿宋" w:hAnsi="仿宋" w:eastAsia="仿宋" w:cs="仿宋"/>
          <w:bCs/>
          <w:color w:val="auto"/>
          <w:sz w:val="24"/>
          <w:szCs w:val="24"/>
          <w:highlight w:val="none"/>
          <w:u w:val="single"/>
        </w:rPr>
        <w:t>（8：30-12：00，14：00-17：00）。</w:t>
      </w:r>
      <w:r>
        <w:rPr>
          <w:rFonts w:hint="eastAsia" w:ascii="仿宋" w:hAnsi="仿宋" w:eastAsia="仿宋" w:cs="仿宋"/>
          <w:bCs/>
          <w:color w:val="auto"/>
          <w:sz w:val="24"/>
          <w:szCs w:val="24"/>
          <w:highlight w:val="none"/>
          <w:u w:val="single"/>
          <w:lang w:val="en-US" w:eastAsia="zh-CN"/>
        </w:rPr>
        <w:t>双休日及法定节假日除外。</w:t>
      </w:r>
    </w:p>
    <w:p w14:paraId="7E3BFA75">
      <w:pPr>
        <w:keepNext w:val="0"/>
        <w:keepLines w:val="0"/>
        <w:pageBreakBefore w:val="0"/>
        <w:kinsoku/>
        <w:wordWrap/>
        <w:overflowPunct/>
        <w:topLinePunct w:val="0"/>
        <w:autoSpaceDE/>
        <w:autoSpaceDN/>
        <w:bidi w:val="0"/>
        <w:adjustRightInd/>
        <w:spacing w:line="312" w:lineRule="auto"/>
        <w:ind w:firstLine="54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地点：</w:t>
      </w:r>
      <w:r>
        <w:rPr>
          <w:rFonts w:hint="eastAsia" w:ascii="仿宋" w:hAnsi="仿宋" w:eastAsia="仿宋" w:cs="仿宋"/>
          <w:bCs/>
          <w:color w:val="auto"/>
          <w:sz w:val="24"/>
          <w:szCs w:val="24"/>
          <w:highlight w:val="none"/>
        </w:rPr>
        <w:t>浙江东腾利成招标代理有限公司（绍兴市人民东路1187号伟丰文化产业园藏品楼30</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室）</w:t>
      </w:r>
    </w:p>
    <w:p w14:paraId="08F1D671">
      <w:pPr>
        <w:keepNext w:val="0"/>
        <w:keepLines w:val="0"/>
        <w:pageBreakBefore w:val="0"/>
        <w:widowControl w:val="0"/>
        <w:kinsoku/>
        <w:wordWrap/>
        <w:overflowPunct/>
        <w:topLinePunct w:val="0"/>
        <w:autoSpaceDE/>
        <w:autoSpaceDN/>
        <w:bidi w:val="0"/>
        <w:adjustRightInd/>
        <w:snapToGrid/>
        <w:spacing w:line="312" w:lineRule="auto"/>
        <w:ind w:firstLine="540" w:firstLineChars="225"/>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方式：投标人需提供以下报名资料（加盖单位公章）的扫描件现场报名或者以邮件形式发至</w:t>
      </w:r>
      <w:r>
        <w:rPr>
          <w:rFonts w:hint="eastAsia" w:ascii="仿宋" w:hAnsi="仿宋" w:eastAsia="仿宋" w:cs="仿宋"/>
          <w:b/>
          <w:bCs/>
          <w:color w:val="auto"/>
          <w:sz w:val="24"/>
          <w:szCs w:val="24"/>
          <w:highlight w:val="none"/>
          <w:lang w:val="en-US" w:eastAsia="zh-CN"/>
        </w:rPr>
        <w:t>1062404823</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qq</w:t>
      </w:r>
      <w:r>
        <w:rPr>
          <w:rFonts w:hint="eastAsia" w:ascii="仿宋" w:hAnsi="仿宋" w:eastAsia="仿宋" w:cs="仿宋"/>
          <w:b/>
          <w:bCs/>
          <w:color w:val="auto"/>
          <w:sz w:val="24"/>
          <w:szCs w:val="24"/>
          <w:highlight w:val="none"/>
        </w:rPr>
        <w:t>.com</w:t>
      </w:r>
      <w:r>
        <w:rPr>
          <w:rFonts w:hint="eastAsia" w:ascii="仿宋" w:hAnsi="仿宋" w:eastAsia="仿宋" w:cs="仿宋"/>
          <w:bCs/>
          <w:color w:val="auto"/>
          <w:sz w:val="24"/>
          <w:szCs w:val="24"/>
          <w:highlight w:val="none"/>
        </w:rPr>
        <w:t>邮箱内,报名是否成功以招标代理回复为准。报名后不参加投标的供应商，须向采购代理机构提供书面说明。</w:t>
      </w:r>
    </w:p>
    <w:p w14:paraId="5B2CC343">
      <w:pPr>
        <w:keepNext w:val="0"/>
        <w:keepLines w:val="0"/>
        <w:pageBreakBefore w:val="0"/>
        <w:kinsoku/>
        <w:wordWrap/>
        <w:overflowPunct/>
        <w:topLinePunct w:val="0"/>
        <w:autoSpaceDE/>
        <w:autoSpaceDN/>
        <w:bidi w:val="0"/>
        <w:adjustRightInd/>
        <w:snapToGrid/>
        <w:spacing w:line="312" w:lineRule="auto"/>
        <w:textAlignment w:val="auto"/>
        <w:rPr>
          <w:rFonts w:hint="eastAsia" w:ascii="仿宋" w:hAnsi="仿宋" w:eastAsia="仿宋" w:cs="仿宋"/>
          <w:b/>
          <w:bCs w:val="0"/>
          <w:color w:val="auto"/>
          <w:sz w:val="24"/>
          <w:szCs w:val="24"/>
          <w:highlight w:val="none"/>
        </w:rPr>
      </w:pPr>
      <w:r>
        <w:rPr>
          <w:rFonts w:hint="eastAsia" w:ascii="仿宋" w:hAnsi="仿宋" w:eastAsia="仿宋" w:cs="仿宋"/>
          <w:bCs/>
          <w:color w:val="auto"/>
          <w:sz w:val="24"/>
          <w:szCs w:val="24"/>
          <w:highlight w:val="none"/>
        </w:rPr>
        <w:t>报名资料如下：1）营业执照；2）投标人出具</w:t>
      </w:r>
      <w:r>
        <w:rPr>
          <w:rFonts w:hint="eastAsia" w:ascii="仿宋" w:hAnsi="仿宋" w:eastAsia="仿宋" w:cs="仿宋"/>
          <w:bCs/>
          <w:color w:val="auto"/>
          <w:sz w:val="24"/>
          <w:szCs w:val="24"/>
          <w:highlight w:val="none"/>
          <w:lang w:val="en-US" w:eastAsia="zh-CN"/>
        </w:rPr>
        <w:t>的授权委托书及委托人身份证</w:t>
      </w:r>
      <w:r>
        <w:rPr>
          <w:rFonts w:hint="eastAsia" w:ascii="仿宋" w:hAnsi="仿宋" w:eastAsia="仿宋" w:cs="仿宋"/>
          <w:b/>
          <w:bCs w:val="0"/>
          <w:color w:val="auto"/>
          <w:sz w:val="24"/>
          <w:szCs w:val="24"/>
          <w:highlight w:val="none"/>
        </w:rPr>
        <w:t>。3）邮件正文提供公司信息，报名项目名称，联系人及联系方式。</w:t>
      </w:r>
    </w:p>
    <w:p w14:paraId="46B48272">
      <w:pPr>
        <w:keepNext w:val="0"/>
        <w:keepLines w:val="0"/>
        <w:pageBreakBefore w:val="0"/>
        <w:kinsoku/>
        <w:wordWrap/>
        <w:overflowPunct/>
        <w:topLinePunct w:val="0"/>
        <w:autoSpaceDE/>
        <w:autoSpaceDN/>
        <w:bidi w:val="0"/>
        <w:adjustRightInd/>
        <w:spacing w:line="312" w:lineRule="auto"/>
        <w:ind w:firstLine="54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售价（元）：0</w:t>
      </w:r>
    </w:p>
    <w:p w14:paraId="7C71FF95">
      <w:pPr>
        <w:keepNext w:val="0"/>
        <w:keepLines w:val="0"/>
        <w:pageBreakBefore w:val="0"/>
        <w:kinsoku/>
        <w:wordWrap/>
        <w:overflowPunct/>
        <w:topLinePunct w:val="0"/>
        <w:autoSpaceDE/>
        <w:autoSpaceDN/>
        <w:bidi w:val="0"/>
        <w:adjustRightInd/>
        <w:spacing w:line="312" w:lineRule="auto"/>
        <w:textAlignment w:val="auto"/>
        <w:rPr>
          <w:rFonts w:hint="eastAsia" w:ascii="仿宋" w:hAnsi="仿宋" w:eastAsia="仿宋" w:cs="仿宋"/>
          <w:color w:val="auto"/>
          <w:sz w:val="24"/>
          <w:szCs w:val="24"/>
          <w:highlight w:val="none"/>
        </w:rPr>
      </w:pPr>
      <w:bookmarkStart w:id="14" w:name="_Toc28359082"/>
      <w:bookmarkStart w:id="15" w:name="_Toc28359005"/>
      <w:bookmarkStart w:id="16" w:name="_Toc35393624"/>
      <w:bookmarkStart w:id="17" w:name="_Toc35393793"/>
      <w:r>
        <w:rPr>
          <w:rFonts w:hint="eastAsia" w:ascii="仿宋" w:hAnsi="仿宋" w:eastAsia="仿宋" w:cs="仿宋"/>
          <w:color w:val="auto"/>
          <w:sz w:val="24"/>
          <w:szCs w:val="24"/>
          <w:highlight w:val="none"/>
        </w:rPr>
        <w:t>四、提交投标文件</w:t>
      </w:r>
      <w:bookmarkEnd w:id="14"/>
      <w:bookmarkEnd w:id="15"/>
      <w:r>
        <w:rPr>
          <w:rFonts w:hint="eastAsia" w:ascii="仿宋" w:hAnsi="仿宋" w:eastAsia="仿宋" w:cs="仿宋"/>
          <w:color w:val="auto"/>
          <w:sz w:val="24"/>
          <w:szCs w:val="24"/>
          <w:highlight w:val="none"/>
        </w:rPr>
        <w:t>截止时间、开标时间和地点</w:t>
      </w:r>
      <w:bookmarkEnd w:id="16"/>
      <w:bookmarkEnd w:id="17"/>
    </w:p>
    <w:p w14:paraId="0616DC53">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提交投标文件截止时间：</w:t>
      </w:r>
      <w:r>
        <w:rPr>
          <w:rFonts w:hint="eastAsia" w:ascii="仿宋" w:hAnsi="仿宋" w:eastAsia="仿宋" w:cs="仿宋"/>
          <w:color w:val="auto"/>
          <w:sz w:val="24"/>
          <w:szCs w:val="24"/>
          <w:highlight w:val="none"/>
          <w:u w:val="single"/>
          <w:lang w:val="en-US" w:eastAsia="zh-CN"/>
        </w:rPr>
        <w:t>2025</w:t>
      </w:r>
      <w:r>
        <w:rPr>
          <w:rFonts w:hint="eastAsia" w:ascii="仿宋" w:hAnsi="仿宋" w:eastAsia="仿宋" w:cs="仿宋"/>
          <w:bCs/>
          <w:color w:val="auto"/>
          <w:sz w:val="24"/>
          <w:szCs w:val="24"/>
          <w:highlight w:val="none"/>
          <w:u w:val="single"/>
        </w:rPr>
        <w:t>年</w:t>
      </w:r>
      <w:r>
        <w:rPr>
          <w:rFonts w:hint="eastAsia" w:ascii="仿宋" w:hAnsi="仿宋" w:eastAsia="仿宋" w:cs="仿宋"/>
          <w:bCs/>
          <w:color w:val="auto"/>
          <w:sz w:val="24"/>
          <w:szCs w:val="24"/>
          <w:highlight w:val="none"/>
          <w:u w:val="single"/>
          <w:lang w:val="en-US" w:eastAsia="zh-CN"/>
        </w:rPr>
        <w:t>07</w:t>
      </w:r>
      <w:r>
        <w:rPr>
          <w:rFonts w:hint="eastAsia" w:ascii="仿宋" w:hAnsi="仿宋" w:eastAsia="仿宋" w:cs="仿宋"/>
          <w:bCs/>
          <w:color w:val="auto"/>
          <w:sz w:val="24"/>
          <w:szCs w:val="24"/>
          <w:highlight w:val="none"/>
          <w:u w:val="single"/>
        </w:rPr>
        <w:t>月</w:t>
      </w:r>
      <w:r>
        <w:rPr>
          <w:rFonts w:hint="eastAsia" w:ascii="仿宋" w:hAnsi="仿宋" w:eastAsia="仿宋" w:cs="仿宋"/>
          <w:bCs/>
          <w:color w:val="auto"/>
          <w:sz w:val="24"/>
          <w:szCs w:val="24"/>
          <w:highlight w:val="none"/>
          <w:u w:val="single"/>
          <w:lang w:val="en-US" w:eastAsia="zh-CN"/>
        </w:rPr>
        <w:t>XX</w:t>
      </w:r>
      <w:r>
        <w:rPr>
          <w:rFonts w:hint="eastAsia" w:ascii="仿宋" w:hAnsi="仿宋" w:eastAsia="仿宋" w:cs="仿宋"/>
          <w:bCs/>
          <w:color w:val="auto"/>
          <w:sz w:val="24"/>
          <w:szCs w:val="24"/>
          <w:highlight w:val="none"/>
          <w:u w:val="single"/>
        </w:rPr>
        <w:t>日</w:t>
      </w:r>
      <w:r>
        <w:rPr>
          <w:rFonts w:hint="eastAsia" w:ascii="仿宋" w:hAnsi="仿宋" w:eastAsia="仿宋" w:cs="仿宋"/>
          <w:bCs/>
          <w:color w:val="auto"/>
          <w:sz w:val="24"/>
          <w:szCs w:val="24"/>
          <w:highlight w:val="none"/>
          <w:u w:val="single"/>
          <w:lang w:val="en-US" w:eastAsia="zh-CN"/>
        </w:rPr>
        <w:t>XX</w:t>
      </w:r>
      <w:r>
        <w:rPr>
          <w:rFonts w:hint="eastAsia" w:ascii="仿宋" w:hAnsi="仿宋" w:eastAsia="仿宋" w:cs="仿宋"/>
          <w:bCs/>
          <w:color w:val="auto"/>
          <w:sz w:val="24"/>
          <w:szCs w:val="24"/>
          <w:highlight w:val="none"/>
          <w:u w:val="single"/>
        </w:rPr>
        <w:t>：</w:t>
      </w:r>
      <w:r>
        <w:rPr>
          <w:rFonts w:hint="eastAsia" w:ascii="仿宋" w:hAnsi="仿宋" w:eastAsia="仿宋" w:cs="仿宋"/>
          <w:bCs/>
          <w:color w:val="auto"/>
          <w:sz w:val="24"/>
          <w:szCs w:val="24"/>
          <w:highlight w:val="none"/>
          <w:u w:val="single"/>
          <w:lang w:val="en-US" w:eastAsia="zh-CN"/>
        </w:rPr>
        <w:t>XX</w:t>
      </w:r>
      <w:r>
        <w:rPr>
          <w:rFonts w:hint="eastAsia" w:ascii="仿宋" w:hAnsi="仿宋" w:eastAsia="仿宋" w:cs="仿宋"/>
          <w:bCs/>
          <w:color w:val="auto"/>
          <w:sz w:val="24"/>
          <w:szCs w:val="24"/>
          <w:highlight w:val="none"/>
        </w:rPr>
        <w:t>（北京时间）</w:t>
      </w:r>
    </w:p>
    <w:p w14:paraId="49E5C834">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投标地点：</w:t>
      </w:r>
      <w:r>
        <w:rPr>
          <w:rFonts w:hint="eastAsia" w:ascii="仿宋" w:hAnsi="仿宋" w:eastAsia="仿宋" w:cs="仿宋"/>
          <w:bCs/>
          <w:color w:val="auto"/>
          <w:sz w:val="24"/>
          <w:szCs w:val="24"/>
          <w:highlight w:val="none"/>
        </w:rPr>
        <w:t>浙江东腾利成招标代理有限公司（绍兴市人民东路1187号伟丰文化产业园藏品楼30</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室）</w:t>
      </w:r>
    </w:p>
    <w:p w14:paraId="4F88F8A4">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default" w:ascii="仿宋" w:hAnsi="仿宋" w:eastAsia="仿宋" w:cs="仿宋"/>
          <w:bCs/>
          <w:color w:val="auto"/>
          <w:sz w:val="24"/>
          <w:szCs w:val="24"/>
          <w:highlight w:val="none"/>
          <w:u w:val="single"/>
          <w:lang w:val="en-US" w:eastAsia="zh-CN"/>
        </w:rPr>
      </w:pPr>
      <w:r>
        <w:rPr>
          <w:rFonts w:hint="eastAsia" w:ascii="仿宋" w:hAnsi="仿宋" w:eastAsia="仿宋" w:cs="仿宋"/>
          <w:color w:val="auto"/>
          <w:sz w:val="24"/>
          <w:szCs w:val="24"/>
          <w:highlight w:val="none"/>
        </w:rPr>
        <w:t>开标时间：</w:t>
      </w:r>
      <w:r>
        <w:rPr>
          <w:rFonts w:hint="eastAsia" w:ascii="仿宋" w:hAnsi="仿宋" w:eastAsia="仿宋" w:cs="仿宋"/>
          <w:color w:val="auto"/>
          <w:sz w:val="24"/>
          <w:szCs w:val="24"/>
          <w:highlight w:val="none"/>
          <w:u w:val="single"/>
          <w:lang w:val="en-US" w:eastAsia="zh-CN"/>
        </w:rPr>
        <w:t>2025</w:t>
      </w:r>
      <w:r>
        <w:rPr>
          <w:rFonts w:hint="eastAsia" w:ascii="仿宋" w:hAnsi="仿宋" w:eastAsia="仿宋" w:cs="仿宋"/>
          <w:bCs/>
          <w:color w:val="auto"/>
          <w:sz w:val="24"/>
          <w:szCs w:val="24"/>
          <w:highlight w:val="none"/>
          <w:u w:val="single"/>
        </w:rPr>
        <w:t>年</w:t>
      </w:r>
      <w:r>
        <w:rPr>
          <w:rFonts w:hint="eastAsia" w:ascii="仿宋" w:hAnsi="仿宋" w:eastAsia="仿宋" w:cs="仿宋"/>
          <w:bCs/>
          <w:color w:val="auto"/>
          <w:sz w:val="24"/>
          <w:szCs w:val="24"/>
          <w:highlight w:val="none"/>
          <w:u w:val="single"/>
          <w:lang w:val="en-US" w:eastAsia="zh-CN"/>
        </w:rPr>
        <w:t>07</w:t>
      </w:r>
      <w:r>
        <w:rPr>
          <w:rFonts w:hint="eastAsia" w:ascii="仿宋" w:hAnsi="仿宋" w:eastAsia="仿宋" w:cs="仿宋"/>
          <w:bCs/>
          <w:color w:val="auto"/>
          <w:sz w:val="24"/>
          <w:szCs w:val="24"/>
          <w:highlight w:val="none"/>
          <w:u w:val="single"/>
        </w:rPr>
        <w:t>月</w:t>
      </w:r>
      <w:r>
        <w:rPr>
          <w:rFonts w:hint="eastAsia" w:ascii="仿宋" w:hAnsi="仿宋" w:eastAsia="仿宋" w:cs="仿宋"/>
          <w:bCs/>
          <w:color w:val="auto"/>
          <w:sz w:val="24"/>
          <w:szCs w:val="24"/>
          <w:highlight w:val="none"/>
          <w:u w:val="single"/>
          <w:lang w:val="en-US" w:eastAsia="zh-CN"/>
        </w:rPr>
        <w:t>XX</w:t>
      </w:r>
      <w:r>
        <w:rPr>
          <w:rFonts w:hint="eastAsia" w:ascii="仿宋" w:hAnsi="仿宋" w:eastAsia="仿宋" w:cs="仿宋"/>
          <w:bCs/>
          <w:color w:val="auto"/>
          <w:sz w:val="24"/>
          <w:szCs w:val="24"/>
          <w:highlight w:val="none"/>
          <w:u w:val="single"/>
        </w:rPr>
        <w:t>日</w:t>
      </w:r>
      <w:r>
        <w:rPr>
          <w:rFonts w:hint="eastAsia" w:ascii="仿宋" w:hAnsi="仿宋" w:eastAsia="仿宋" w:cs="仿宋"/>
          <w:bCs/>
          <w:color w:val="auto"/>
          <w:sz w:val="24"/>
          <w:szCs w:val="24"/>
          <w:highlight w:val="none"/>
          <w:u w:val="single"/>
          <w:lang w:val="en-US" w:eastAsia="zh-CN"/>
        </w:rPr>
        <w:t>XX</w:t>
      </w:r>
      <w:r>
        <w:rPr>
          <w:rFonts w:hint="eastAsia" w:ascii="仿宋" w:hAnsi="仿宋" w:eastAsia="仿宋" w:cs="仿宋"/>
          <w:bCs/>
          <w:color w:val="auto"/>
          <w:sz w:val="24"/>
          <w:szCs w:val="24"/>
          <w:highlight w:val="none"/>
          <w:u w:val="single"/>
        </w:rPr>
        <w:t>：</w:t>
      </w:r>
      <w:r>
        <w:rPr>
          <w:rFonts w:hint="eastAsia" w:ascii="仿宋" w:hAnsi="仿宋" w:eastAsia="仿宋" w:cs="仿宋"/>
          <w:bCs/>
          <w:color w:val="auto"/>
          <w:sz w:val="24"/>
          <w:szCs w:val="24"/>
          <w:highlight w:val="none"/>
          <w:u w:val="single"/>
          <w:lang w:val="en-US" w:eastAsia="zh-CN"/>
        </w:rPr>
        <w:t>XX</w:t>
      </w:r>
    </w:p>
    <w:p w14:paraId="7EF4C12B">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开标地点：</w:t>
      </w:r>
      <w:r>
        <w:rPr>
          <w:rFonts w:hint="eastAsia" w:ascii="仿宋" w:hAnsi="仿宋" w:eastAsia="仿宋" w:cs="仿宋"/>
          <w:bCs/>
          <w:color w:val="auto"/>
          <w:sz w:val="24"/>
          <w:szCs w:val="24"/>
          <w:highlight w:val="none"/>
        </w:rPr>
        <w:t>浙江东腾利成招标代理有限公司（绍兴市人民东路1187号伟丰文化产业园藏品楼</w:t>
      </w:r>
      <w:r>
        <w:rPr>
          <w:rFonts w:hint="eastAsia" w:ascii="仿宋" w:hAnsi="仿宋" w:eastAsia="仿宋" w:cs="仿宋"/>
          <w:bCs/>
          <w:color w:val="auto"/>
          <w:sz w:val="24"/>
          <w:szCs w:val="24"/>
          <w:highlight w:val="none"/>
          <w:lang w:val="en-US" w:eastAsia="zh-CN"/>
        </w:rPr>
        <w:t>3楼</w:t>
      </w:r>
      <w:r>
        <w:rPr>
          <w:rFonts w:hint="eastAsia" w:ascii="仿宋" w:hAnsi="仿宋" w:eastAsia="仿宋" w:cs="仿宋"/>
          <w:bCs/>
          <w:color w:val="auto"/>
          <w:sz w:val="24"/>
          <w:szCs w:val="24"/>
          <w:highlight w:val="none"/>
        </w:rPr>
        <w:t>）</w:t>
      </w:r>
    </w:p>
    <w:p w14:paraId="30B91272">
      <w:pPr>
        <w:keepNext w:val="0"/>
        <w:keepLines w:val="0"/>
        <w:pageBreakBefore w:val="0"/>
        <w:kinsoku/>
        <w:wordWrap/>
        <w:overflowPunct/>
        <w:topLinePunct w:val="0"/>
        <w:autoSpaceDE/>
        <w:autoSpaceDN/>
        <w:bidi w:val="0"/>
        <w:adjustRightInd/>
        <w:spacing w:line="312" w:lineRule="auto"/>
        <w:textAlignment w:val="auto"/>
        <w:rPr>
          <w:rFonts w:hint="eastAsia" w:ascii="仿宋" w:hAnsi="仿宋" w:eastAsia="仿宋" w:cs="仿宋"/>
          <w:color w:val="auto"/>
          <w:sz w:val="24"/>
          <w:szCs w:val="24"/>
          <w:highlight w:val="none"/>
        </w:rPr>
      </w:pPr>
      <w:bookmarkStart w:id="18" w:name="_Toc28359084"/>
      <w:bookmarkStart w:id="19" w:name="_Toc28359007"/>
      <w:bookmarkStart w:id="20" w:name="_Toc35393794"/>
      <w:bookmarkStart w:id="21" w:name="_Toc35393625"/>
      <w:r>
        <w:rPr>
          <w:rFonts w:hint="eastAsia" w:ascii="仿宋" w:hAnsi="仿宋" w:eastAsia="仿宋" w:cs="仿宋"/>
          <w:color w:val="auto"/>
          <w:sz w:val="24"/>
          <w:szCs w:val="24"/>
          <w:highlight w:val="none"/>
        </w:rPr>
        <w:t>五、公告期限</w:t>
      </w:r>
      <w:bookmarkEnd w:id="18"/>
      <w:bookmarkEnd w:id="19"/>
      <w:bookmarkEnd w:id="20"/>
      <w:bookmarkEnd w:id="21"/>
    </w:p>
    <w:p w14:paraId="16E53561">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自本公告发布之日起5个工作日。</w:t>
      </w:r>
    </w:p>
    <w:p w14:paraId="4A6B9C36">
      <w:pPr>
        <w:keepNext w:val="0"/>
        <w:keepLines w:val="0"/>
        <w:pageBreakBefore w:val="0"/>
        <w:kinsoku/>
        <w:wordWrap/>
        <w:overflowPunct/>
        <w:topLinePunct w:val="0"/>
        <w:autoSpaceDE/>
        <w:autoSpaceDN/>
        <w:bidi w:val="0"/>
        <w:adjustRightInd/>
        <w:spacing w:line="312" w:lineRule="auto"/>
        <w:textAlignment w:val="auto"/>
        <w:rPr>
          <w:rFonts w:hint="eastAsia" w:ascii="仿宋" w:hAnsi="仿宋" w:eastAsia="仿宋" w:cs="仿宋"/>
          <w:color w:val="auto"/>
          <w:sz w:val="24"/>
          <w:szCs w:val="24"/>
          <w:highlight w:val="none"/>
        </w:rPr>
      </w:pPr>
      <w:bookmarkStart w:id="22" w:name="_Toc35393795"/>
      <w:bookmarkStart w:id="23" w:name="_Toc35393626"/>
      <w:r>
        <w:rPr>
          <w:rFonts w:hint="eastAsia" w:ascii="仿宋" w:hAnsi="仿宋" w:eastAsia="仿宋" w:cs="仿宋"/>
          <w:color w:val="auto"/>
          <w:sz w:val="24"/>
          <w:szCs w:val="24"/>
          <w:highlight w:val="none"/>
        </w:rPr>
        <w:t>六、其他补充事宜</w:t>
      </w:r>
      <w:bookmarkEnd w:id="22"/>
      <w:bookmarkEnd w:id="23"/>
    </w:p>
    <w:p w14:paraId="57A35927">
      <w:pPr>
        <w:keepNext w:val="0"/>
        <w:keepLines w:val="0"/>
        <w:pageBreakBefore w:val="0"/>
        <w:kinsoku/>
        <w:wordWrap/>
        <w:overflowPunct/>
        <w:topLinePunct w:val="0"/>
        <w:autoSpaceDE/>
        <w:autoSpaceDN/>
        <w:bidi w:val="0"/>
        <w:adjustRightInd/>
        <w:snapToGrid/>
        <w:spacing w:line="312" w:lineRule="auto"/>
        <w:ind w:left="0" w:firstLine="480" w:firstLineChars="200"/>
        <w:textAlignment w:val="auto"/>
        <w:rPr>
          <w:rFonts w:hint="eastAsia" w:ascii="仿宋" w:hAnsi="仿宋" w:eastAsia="仿宋" w:cs="仿宋"/>
          <w:color w:val="auto"/>
          <w:kern w:val="0"/>
          <w:sz w:val="24"/>
          <w:szCs w:val="24"/>
          <w:highlight w:val="none"/>
        </w:rPr>
      </w:pPr>
      <w:bookmarkStart w:id="24" w:name="_Toc35393796"/>
      <w:bookmarkStart w:id="25" w:name="_Toc35393627"/>
      <w:bookmarkStart w:id="26" w:name="_Toc28359008"/>
      <w:bookmarkStart w:id="27" w:name="_Toc28359085"/>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供应商认为采购公告中的资格条件、报名时间设定等不符合有关规定，致使供应商不能参与本项目采购活动的，可以在知道或者应知其权益受到损害之日起七个工作日内，以书面形式向采购机构提出质疑（对采购文件其他内容的质疑及投诉需在报名之后提出，否则不予受理。）。质疑书格式详见采购文件第七章。</w:t>
      </w:r>
    </w:p>
    <w:p w14:paraId="2F90B730">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供应商对质疑答复不满意或者采购机构未在规定时间内作出答复的，可以在答复期满后十五个工作日内向本项目监督部门投诉。</w:t>
      </w:r>
    </w:p>
    <w:p w14:paraId="6A56D2B1">
      <w:pPr>
        <w:keepNext w:val="0"/>
        <w:keepLines w:val="0"/>
        <w:pageBreakBefore w:val="0"/>
        <w:kinsoku/>
        <w:wordWrap/>
        <w:overflowPunct/>
        <w:topLinePunct w:val="0"/>
        <w:autoSpaceDE/>
        <w:autoSpaceDN/>
        <w:bidi w:val="0"/>
        <w:adjustRightInd/>
        <w:snapToGrid/>
        <w:spacing w:line="312" w:lineRule="auto"/>
        <w:ind w:left="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3.其他事项：</w:t>
      </w:r>
      <w:r>
        <w:rPr>
          <w:rFonts w:hint="eastAsia" w:ascii="仿宋" w:hAnsi="仿宋" w:eastAsia="仿宋" w:cs="仿宋"/>
          <w:color w:val="auto"/>
          <w:kern w:val="0"/>
          <w:sz w:val="24"/>
          <w:szCs w:val="24"/>
          <w:highlight w:val="none"/>
          <w:u w:val="wave"/>
        </w:rPr>
        <w:t>详见采购文件“采购公告补充事项”。（重要）</w:t>
      </w:r>
    </w:p>
    <w:p w14:paraId="582855BA">
      <w:pPr>
        <w:keepNext w:val="0"/>
        <w:keepLines w:val="0"/>
        <w:pageBreakBefore w:val="0"/>
        <w:kinsoku/>
        <w:wordWrap/>
        <w:overflowPunct/>
        <w:topLinePunct w:val="0"/>
        <w:autoSpaceDE/>
        <w:autoSpaceDN/>
        <w:bidi w:val="0"/>
        <w:adjustRightInd/>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七、对本次招标提出询问、质疑、投诉，请按以下方式联系</w:t>
      </w:r>
      <w:bookmarkEnd w:id="24"/>
      <w:bookmarkEnd w:id="25"/>
      <w:bookmarkEnd w:id="26"/>
      <w:bookmarkEnd w:id="27"/>
    </w:p>
    <w:p w14:paraId="1FC611CB">
      <w:pPr>
        <w:keepNext w:val="0"/>
        <w:keepLines w:val="0"/>
        <w:pageBreakBefore w:val="0"/>
        <w:widowControl/>
        <w:kinsoku/>
        <w:wordWrap/>
        <w:overflowPunct/>
        <w:topLinePunct w:val="0"/>
        <w:autoSpaceDE/>
        <w:autoSpaceDN/>
        <w:bidi w:val="0"/>
        <w:adjustRightInd/>
        <w:spacing w:line="312" w:lineRule="auto"/>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1.采购人信息</w:t>
      </w:r>
    </w:p>
    <w:p w14:paraId="13993E4C">
      <w:pPr>
        <w:keepNext w:val="0"/>
        <w:keepLines w:val="0"/>
        <w:pageBreakBefore w:val="0"/>
        <w:kinsoku/>
        <w:wordWrap/>
        <w:overflowPunct/>
        <w:topLinePunct w:val="0"/>
        <w:autoSpaceDE/>
        <w:autoSpaceDN/>
        <w:bidi w:val="0"/>
        <w:adjustRightInd/>
        <w:snapToGrid/>
        <w:spacing w:line="312" w:lineRule="auto"/>
        <w:jc w:val="left"/>
        <w:textAlignment w:val="auto"/>
        <w:rPr>
          <w:rFonts w:hint="eastAsia" w:ascii="仿宋" w:hAnsi="仿宋" w:eastAsia="仿宋" w:cs="仿宋"/>
          <w:color w:val="auto"/>
          <w:sz w:val="24"/>
          <w:szCs w:val="24"/>
          <w:highlight w:val="none"/>
          <w:u w:val="none"/>
        </w:rPr>
      </w:pPr>
      <w:bookmarkStart w:id="28" w:name="_Toc28359009"/>
      <w:bookmarkStart w:id="29" w:name="_Toc28359086"/>
      <w:r>
        <w:rPr>
          <w:rFonts w:hint="eastAsia" w:ascii="仿宋" w:hAnsi="仿宋" w:eastAsia="仿宋" w:cs="仿宋"/>
          <w:color w:val="auto"/>
          <w:sz w:val="24"/>
          <w:szCs w:val="24"/>
          <w:highlight w:val="none"/>
          <w:u w:val="none"/>
        </w:rPr>
        <w:t>名 称：绍兴市越城区斗门街道社区卫生服务中心</w:t>
      </w:r>
    </w:p>
    <w:p w14:paraId="46FC573A">
      <w:pPr>
        <w:keepNext w:val="0"/>
        <w:keepLines w:val="0"/>
        <w:pageBreakBefore w:val="0"/>
        <w:kinsoku/>
        <w:wordWrap/>
        <w:overflowPunct/>
        <w:topLinePunct w:val="0"/>
        <w:autoSpaceDE/>
        <w:autoSpaceDN/>
        <w:bidi w:val="0"/>
        <w:adjustRightInd/>
        <w:snapToGrid/>
        <w:spacing w:line="312" w:lineRule="auto"/>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地址：绍兴市越城区斗门街道西湖路55号</w:t>
      </w:r>
    </w:p>
    <w:p w14:paraId="024A728A">
      <w:pPr>
        <w:keepNext w:val="0"/>
        <w:keepLines w:val="0"/>
        <w:pageBreakBefore w:val="0"/>
        <w:kinsoku/>
        <w:wordWrap/>
        <w:overflowPunct/>
        <w:topLinePunct w:val="0"/>
        <w:autoSpaceDE/>
        <w:autoSpaceDN/>
        <w:bidi w:val="0"/>
        <w:adjustRightInd/>
        <w:snapToGrid/>
        <w:spacing w:line="312" w:lineRule="auto"/>
        <w:jc w:val="left"/>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rPr>
        <w:t>传真：</w:t>
      </w:r>
      <w:r>
        <w:rPr>
          <w:rFonts w:hint="eastAsia" w:ascii="仿宋" w:hAnsi="仿宋" w:eastAsia="仿宋" w:cs="仿宋"/>
          <w:color w:val="auto"/>
          <w:sz w:val="24"/>
          <w:szCs w:val="24"/>
          <w:highlight w:val="none"/>
          <w:u w:val="none"/>
          <w:lang w:val="en-US" w:eastAsia="zh-CN"/>
        </w:rPr>
        <w:t>/</w:t>
      </w:r>
    </w:p>
    <w:p w14:paraId="4E188344">
      <w:pPr>
        <w:keepNext w:val="0"/>
        <w:keepLines w:val="0"/>
        <w:pageBreakBefore w:val="0"/>
        <w:kinsoku/>
        <w:wordWrap/>
        <w:overflowPunct/>
        <w:topLinePunct w:val="0"/>
        <w:autoSpaceDE/>
        <w:autoSpaceDN/>
        <w:bidi w:val="0"/>
        <w:adjustRightInd/>
        <w:snapToGrid/>
        <w:spacing w:line="312" w:lineRule="auto"/>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项目联系人（询问）：邵玮廷</w:t>
      </w:r>
    </w:p>
    <w:p w14:paraId="77C7674D">
      <w:pPr>
        <w:keepNext w:val="0"/>
        <w:keepLines w:val="0"/>
        <w:pageBreakBefore w:val="0"/>
        <w:kinsoku/>
        <w:wordWrap/>
        <w:overflowPunct/>
        <w:topLinePunct w:val="0"/>
        <w:autoSpaceDE/>
        <w:autoSpaceDN/>
        <w:bidi w:val="0"/>
        <w:adjustRightInd/>
        <w:snapToGrid/>
        <w:spacing w:line="312" w:lineRule="auto"/>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项目联系方式（询问）：18158677572</w:t>
      </w:r>
    </w:p>
    <w:p w14:paraId="01E97BF3">
      <w:pPr>
        <w:keepNext w:val="0"/>
        <w:keepLines w:val="0"/>
        <w:pageBreakBefore w:val="0"/>
        <w:kinsoku/>
        <w:wordWrap/>
        <w:overflowPunct/>
        <w:topLinePunct w:val="0"/>
        <w:autoSpaceDE/>
        <w:autoSpaceDN/>
        <w:bidi w:val="0"/>
        <w:adjustRightInd/>
        <w:snapToGrid/>
        <w:spacing w:line="312" w:lineRule="auto"/>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质疑联系人：宋琼霞</w:t>
      </w:r>
    </w:p>
    <w:p w14:paraId="6019E44E">
      <w:pPr>
        <w:keepNext w:val="0"/>
        <w:keepLines w:val="0"/>
        <w:pageBreakBefore w:val="0"/>
        <w:kinsoku/>
        <w:wordWrap/>
        <w:overflowPunct/>
        <w:topLinePunct w:val="0"/>
        <w:autoSpaceDE/>
        <w:autoSpaceDN/>
        <w:bidi w:val="0"/>
        <w:adjustRightInd/>
        <w:snapToGrid/>
        <w:spacing w:line="312" w:lineRule="auto"/>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质疑联系方式：13385856025</w:t>
      </w:r>
    </w:p>
    <w:p w14:paraId="5061DE45">
      <w:pPr>
        <w:keepNext w:val="0"/>
        <w:keepLines w:val="0"/>
        <w:pageBreakBefore w:val="0"/>
        <w:kinsoku/>
        <w:wordWrap/>
        <w:overflowPunct/>
        <w:topLinePunct w:val="0"/>
        <w:autoSpaceDE/>
        <w:autoSpaceDN/>
        <w:bidi w:val="0"/>
        <w:adjustRightInd/>
        <w:spacing w:line="312" w:lineRule="auto"/>
        <w:ind w:left="1079" w:leftChars="371" w:hanging="300" w:hangingChars="125"/>
        <w:jc w:val="left"/>
        <w:textAlignment w:val="auto"/>
        <w:rPr>
          <w:rFonts w:hint="eastAsia" w:ascii="仿宋" w:hAnsi="仿宋" w:eastAsia="仿宋" w:cs="仿宋"/>
          <w:color w:val="auto"/>
          <w:sz w:val="24"/>
          <w:szCs w:val="24"/>
          <w:highlight w:val="none"/>
          <w:u w:val="none"/>
        </w:rPr>
      </w:pPr>
    </w:p>
    <w:p w14:paraId="4858A98C">
      <w:pPr>
        <w:keepNext w:val="0"/>
        <w:keepLines w:val="0"/>
        <w:pageBreakBefore w:val="0"/>
        <w:kinsoku/>
        <w:wordWrap/>
        <w:overflowPunct/>
        <w:topLinePunct w:val="0"/>
        <w:autoSpaceDE/>
        <w:autoSpaceDN/>
        <w:bidi w:val="0"/>
        <w:adjustRightInd/>
        <w:spacing w:line="312" w:lineRule="auto"/>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2.采购代理机构信息</w:t>
      </w:r>
      <w:bookmarkEnd w:id="28"/>
      <w:bookmarkEnd w:id="29"/>
    </w:p>
    <w:p w14:paraId="36076E94">
      <w:pPr>
        <w:keepNext w:val="0"/>
        <w:keepLines w:val="0"/>
        <w:pageBreakBefore w:val="0"/>
        <w:widowControl/>
        <w:kinsoku/>
        <w:wordWrap/>
        <w:overflowPunct/>
        <w:topLinePunct w:val="0"/>
        <w:autoSpaceDE/>
        <w:autoSpaceDN/>
        <w:bidi w:val="0"/>
        <w:adjustRightInd/>
        <w:snapToGrid w:val="0"/>
        <w:spacing w:beforeAutospacing="0" w:afterAutospacing="0" w:line="312" w:lineRule="auto"/>
        <w:textAlignment w:val="auto"/>
        <w:rPr>
          <w:rFonts w:hint="eastAsia" w:ascii="仿宋" w:hAnsi="仿宋" w:eastAsia="仿宋" w:cs="仿宋"/>
          <w:color w:val="auto"/>
          <w:sz w:val="24"/>
          <w:szCs w:val="24"/>
          <w:highlight w:val="none"/>
          <w:u w:val="none"/>
        </w:rPr>
      </w:pPr>
      <w:bookmarkStart w:id="30" w:name="_Toc28359010"/>
      <w:bookmarkStart w:id="31" w:name="_Toc28359087"/>
      <w:r>
        <w:rPr>
          <w:rFonts w:hint="eastAsia" w:ascii="仿宋" w:hAnsi="仿宋" w:eastAsia="仿宋" w:cs="仿宋"/>
          <w:color w:val="auto"/>
          <w:sz w:val="24"/>
          <w:szCs w:val="24"/>
          <w:highlight w:val="none"/>
          <w:u w:val="none"/>
        </w:rPr>
        <w:t>名 称：浙江东腾利成招标代理有限公司 </w:t>
      </w:r>
    </w:p>
    <w:p w14:paraId="242347BF">
      <w:pPr>
        <w:keepNext w:val="0"/>
        <w:keepLines w:val="0"/>
        <w:pageBreakBefore w:val="0"/>
        <w:widowControl/>
        <w:kinsoku/>
        <w:wordWrap/>
        <w:overflowPunct/>
        <w:topLinePunct w:val="0"/>
        <w:autoSpaceDE/>
        <w:autoSpaceDN/>
        <w:bidi w:val="0"/>
        <w:adjustRightInd/>
        <w:snapToGrid w:val="0"/>
        <w:spacing w:beforeAutospacing="0" w:afterAutospacing="0" w:line="312"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地址：绍兴市人民东路1187号伟丰文化产业园藏品楼304室</w:t>
      </w:r>
    </w:p>
    <w:p w14:paraId="0C980DB2">
      <w:pPr>
        <w:keepNext w:val="0"/>
        <w:keepLines w:val="0"/>
        <w:pageBreakBefore w:val="0"/>
        <w:widowControl/>
        <w:kinsoku/>
        <w:wordWrap/>
        <w:overflowPunct/>
        <w:topLinePunct w:val="0"/>
        <w:autoSpaceDE/>
        <w:autoSpaceDN/>
        <w:bidi w:val="0"/>
        <w:adjustRightInd/>
        <w:snapToGrid w:val="0"/>
        <w:spacing w:beforeAutospacing="0" w:afterAutospacing="0" w:line="312" w:lineRule="auto"/>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传真：　/</w:t>
      </w:r>
      <w:r>
        <w:rPr>
          <w:rFonts w:hint="eastAsia" w:ascii="仿宋" w:hAnsi="仿宋" w:eastAsia="仿宋" w:cs="仿宋"/>
          <w:color w:val="auto"/>
          <w:sz w:val="24"/>
          <w:szCs w:val="24"/>
          <w:highlight w:val="none"/>
          <w:u w:val="none"/>
          <w:lang w:val="en-US" w:eastAsia="zh-CN"/>
        </w:rPr>
        <w:t xml:space="preserve"> </w:t>
      </w:r>
    </w:p>
    <w:p w14:paraId="3A323488">
      <w:pPr>
        <w:keepNext w:val="0"/>
        <w:keepLines w:val="0"/>
        <w:pageBreakBefore w:val="0"/>
        <w:widowControl/>
        <w:kinsoku/>
        <w:wordWrap/>
        <w:overflowPunct/>
        <w:topLinePunct w:val="0"/>
        <w:autoSpaceDE/>
        <w:autoSpaceDN/>
        <w:bidi w:val="0"/>
        <w:adjustRightInd/>
        <w:snapToGrid w:val="0"/>
        <w:spacing w:beforeAutospacing="0" w:afterAutospacing="0" w:line="312"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项目联系人（询问）：</w:t>
      </w:r>
      <w:r>
        <w:rPr>
          <w:rFonts w:hint="eastAsia" w:ascii="仿宋" w:hAnsi="仿宋" w:eastAsia="仿宋" w:cs="仿宋"/>
          <w:color w:val="auto"/>
          <w:sz w:val="24"/>
          <w:szCs w:val="24"/>
          <w:highlight w:val="none"/>
          <w:u w:val="none"/>
          <w:lang w:val="en-US" w:eastAsia="zh-CN"/>
        </w:rPr>
        <w:t>王江林</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rPr>
        <w:t xml:space="preserve">冯莹洁 </w:t>
      </w:r>
    </w:p>
    <w:p w14:paraId="34F36F42">
      <w:pPr>
        <w:keepNext w:val="0"/>
        <w:keepLines w:val="0"/>
        <w:pageBreakBefore w:val="0"/>
        <w:widowControl/>
        <w:kinsoku/>
        <w:wordWrap/>
        <w:overflowPunct/>
        <w:topLinePunct w:val="0"/>
        <w:autoSpaceDE/>
        <w:autoSpaceDN/>
        <w:bidi w:val="0"/>
        <w:adjustRightInd/>
        <w:snapToGrid w:val="0"/>
        <w:spacing w:beforeAutospacing="0" w:afterAutospacing="0" w:line="312" w:lineRule="auto"/>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项目联系方式（询问）：</w:t>
      </w:r>
      <w:r>
        <w:rPr>
          <w:rFonts w:hint="eastAsia" w:ascii="仿宋" w:hAnsi="仿宋" w:eastAsia="仿宋" w:cs="仿宋"/>
          <w:color w:val="auto"/>
          <w:sz w:val="24"/>
          <w:szCs w:val="24"/>
          <w:highlight w:val="none"/>
          <w:u w:val="none"/>
          <w:lang w:val="en-US" w:eastAsia="zh-CN"/>
        </w:rPr>
        <w:t>13957563128</w:t>
      </w:r>
    </w:p>
    <w:p w14:paraId="6432CAD3">
      <w:pPr>
        <w:keepNext w:val="0"/>
        <w:keepLines w:val="0"/>
        <w:pageBreakBefore w:val="0"/>
        <w:widowControl/>
        <w:kinsoku/>
        <w:wordWrap/>
        <w:overflowPunct/>
        <w:topLinePunct w:val="0"/>
        <w:autoSpaceDE/>
        <w:autoSpaceDN/>
        <w:bidi w:val="0"/>
        <w:adjustRightInd/>
        <w:snapToGrid w:val="0"/>
        <w:spacing w:beforeAutospacing="0" w:afterAutospacing="0" w:line="312" w:lineRule="auto"/>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rPr>
        <w:t>质疑联系人：</w:t>
      </w:r>
      <w:r>
        <w:rPr>
          <w:rFonts w:hint="eastAsia" w:ascii="仿宋" w:hAnsi="仿宋" w:eastAsia="仿宋" w:cs="仿宋"/>
          <w:color w:val="auto"/>
          <w:sz w:val="24"/>
          <w:szCs w:val="24"/>
          <w:highlight w:val="none"/>
          <w:u w:val="none"/>
          <w:lang w:val="en-US" w:eastAsia="zh-CN"/>
        </w:rPr>
        <w:t>陈国琴</w:t>
      </w:r>
    </w:p>
    <w:p w14:paraId="6FA02C69">
      <w:pPr>
        <w:keepNext w:val="0"/>
        <w:keepLines w:val="0"/>
        <w:pageBreakBefore w:val="0"/>
        <w:widowControl/>
        <w:kinsoku/>
        <w:wordWrap/>
        <w:overflowPunct/>
        <w:topLinePunct w:val="0"/>
        <w:autoSpaceDE/>
        <w:autoSpaceDN/>
        <w:bidi w:val="0"/>
        <w:adjustRightInd/>
        <w:snapToGrid w:val="0"/>
        <w:spacing w:beforeAutospacing="0" w:afterAutospacing="0" w:line="312"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质疑联系方式：</w:t>
      </w:r>
      <w:r>
        <w:rPr>
          <w:rFonts w:hint="eastAsia" w:ascii="仿宋" w:hAnsi="仿宋" w:eastAsia="仿宋" w:cs="仿宋"/>
          <w:color w:val="auto"/>
          <w:sz w:val="24"/>
          <w:szCs w:val="24"/>
          <w:highlight w:val="none"/>
          <w:u w:val="none"/>
          <w:lang w:val="en-US" w:eastAsia="zh-CN"/>
        </w:rPr>
        <w:t>0575-88137377</w:t>
      </w:r>
      <w:r>
        <w:rPr>
          <w:rFonts w:hint="eastAsia" w:ascii="仿宋" w:hAnsi="仿宋" w:eastAsia="仿宋" w:cs="仿宋"/>
          <w:color w:val="auto"/>
          <w:sz w:val="24"/>
          <w:szCs w:val="24"/>
          <w:highlight w:val="none"/>
          <w:u w:val="none"/>
        </w:rPr>
        <w:t xml:space="preserve"> </w:t>
      </w:r>
    </w:p>
    <w:p w14:paraId="6FEB6F89">
      <w:pPr>
        <w:keepNext w:val="0"/>
        <w:keepLines w:val="0"/>
        <w:pageBreakBefore w:val="0"/>
        <w:kinsoku/>
        <w:wordWrap/>
        <w:overflowPunct/>
        <w:topLinePunct w:val="0"/>
        <w:autoSpaceDE/>
        <w:autoSpaceDN/>
        <w:bidi w:val="0"/>
        <w:adjustRightInd/>
        <w:spacing w:line="312" w:lineRule="auto"/>
        <w:ind w:firstLine="720" w:firstLineChars="300"/>
        <w:textAlignment w:val="auto"/>
        <w:rPr>
          <w:rFonts w:hint="eastAsia" w:ascii="仿宋" w:hAnsi="仿宋" w:eastAsia="仿宋" w:cs="仿宋"/>
          <w:color w:val="auto"/>
          <w:sz w:val="24"/>
          <w:szCs w:val="24"/>
          <w:highlight w:val="none"/>
          <w:u w:val="none"/>
        </w:rPr>
      </w:pPr>
    </w:p>
    <w:p w14:paraId="0FF9461B">
      <w:pPr>
        <w:keepNext w:val="0"/>
        <w:keepLines w:val="0"/>
        <w:pageBreakBefore w:val="0"/>
        <w:kinsoku/>
        <w:wordWrap/>
        <w:overflowPunct/>
        <w:topLinePunct w:val="0"/>
        <w:autoSpaceDE/>
        <w:autoSpaceDN/>
        <w:bidi w:val="0"/>
        <w:adjustRightInd/>
        <w:spacing w:line="312"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3.</w:t>
      </w:r>
      <w:bookmarkEnd w:id="30"/>
      <w:bookmarkEnd w:id="31"/>
      <w:r>
        <w:rPr>
          <w:rFonts w:hint="eastAsia" w:ascii="仿宋" w:hAnsi="仿宋" w:eastAsia="仿宋" w:cs="仿宋"/>
          <w:color w:val="auto"/>
          <w:sz w:val="24"/>
          <w:szCs w:val="24"/>
          <w:highlight w:val="none"/>
          <w:u w:val="none"/>
        </w:rPr>
        <w:t>采购监督管理部门</w:t>
      </w:r>
    </w:p>
    <w:p w14:paraId="0B29401A">
      <w:pPr>
        <w:keepNext w:val="0"/>
        <w:keepLines w:val="0"/>
        <w:pageBreakBefore w:val="0"/>
        <w:kinsoku/>
        <w:wordWrap/>
        <w:overflowPunct/>
        <w:topLinePunct w:val="0"/>
        <w:autoSpaceDE/>
        <w:autoSpaceDN/>
        <w:bidi w:val="0"/>
        <w:adjustRightInd/>
        <w:snapToGrid/>
        <w:spacing w:line="312" w:lineRule="auto"/>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名 称：中共绍兴市越城区斗门街道社区卫生服务中心总支部委员会</w:t>
      </w:r>
    </w:p>
    <w:p w14:paraId="78239670">
      <w:pPr>
        <w:keepNext w:val="0"/>
        <w:keepLines w:val="0"/>
        <w:pageBreakBefore w:val="0"/>
        <w:kinsoku/>
        <w:wordWrap/>
        <w:overflowPunct/>
        <w:topLinePunct w:val="0"/>
        <w:autoSpaceDE/>
        <w:autoSpaceDN/>
        <w:bidi w:val="0"/>
        <w:adjustRightInd/>
        <w:snapToGrid/>
        <w:spacing w:line="312" w:lineRule="auto"/>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地址：绍兴市越城区斗门街道西湖路55号</w:t>
      </w:r>
    </w:p>
    <w:p w14:paraId="75540B62">
      <w:pPr>
        <w:keepNext w:val="0"/>
        <w:keepLines w:val="0"/>
        <w:pageBreakBefore w:val="0"/>
        <w:kinsoku/>
        <w:wordWrap/>
        <w:overflowPunct/>
        <w:topLinePunct w:val="0"/>
        <w:autoSpaceDE/>
        <w:autoSpaceDN/>
        <w:bidi w:val="0"/>
        <w:adjustRightInd/>
        <w:snapToGrid/>
        <w:spacing w:line="312" w:lineRule="auto"/>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传真：/</w:t>
      </w:r>
    </w:p>
    <w:p w14:paraId="52FC8CBE">
      <w:pPr>
        <w:pStyle w:val="16"/>
        <w:keepNext w:val="0"/>
        <w:keepLines w:val="0"/>
        <w:pageBreakBefore w:val="0"/>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联系人：郑江虹</w:t>
      </w:r>
    </w:p>
    <w:p w14:paraId="2BB2EA9A">
      <w:pPr>
        <w:keepNext w:val="0"/>
        <w:keepLines w:val="0"/>
        <w:pageBreakBefore w:val="0"/>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监督投诉电话：13385856007</w:t>
      </w:r>
    </w:p>
    <w:p w14:paraId="5216587C">
      <w:pPr>
        <w:keepNext w:val="0"/>
        <w:keepLines w:val="0"/>
        <w:pageBreakBefore w:val="0"/>
        <w:widowControl/>
        <w:kinsoku/>
        <w:wordWrap/>
        <w:overflowPunct/>
        <w:topLinePunct w:val="0"/>
        <w:autoSpaceDE/>
        <w:autoSpaceDN/>
        <w:bidi w:val="0"/>
        <w:adjustRightInd/>
        <w:spacing w:line="312" w:lineRule="auto"/>
        <w:jc w:val="left"/>
        <w:textAlignment w:val="auto"/>
        <w:rPr>
          <w:rFonts w:hint="eastAsia" w:ascii="仿宋" w:hAnsi="仿宋" w:eastAsia="仿宋" w:cs="仿宋"/>
          <w:color w:val="auto"/>
          <w:sz w:val="24"/>
          <w:szCs w:val="24"/>
          <w:highlight w:val="none"/>
          <w:u w:val="none"/>
        </w:rPr>
      </w:pPr>
    </w:p>
    <w:p w14:paraId="6A1486E4">
      <w:pPr>
        <w:widowControl/>
        <w:jc w:val="center"/>
        <w:rPr>
          <w:rFonts w:hint="eastAsia" w:ascii="仿宋" w:hAnsi="仿宋" w:eastAsia="仿宋" w:cs="仿宋"/>
          <w:b/>
          <w:bCs/>
          <w:color w:val="auto"/>
          <w:sz w:val="44"/>
          <w:szCs w:val="44"/>
          <w:highlight w:val="none"/>
        </w:rPr>
      </w:pPr>
      <w:r>
        <w:rPr>
          <w:rFonts w:hint="eastAsia" w:ascii="仿宋" w:hAnsi="仿宋" w:eastAsia="仿宋" w:cs="仿宋"/>
          <w:color w:val="auto"/>
          <w:sz w:val="28"/>
          <w:szCs w:val="28"/>
          <w:highlight w:val="none"/>
          <w:u w:val="none"/>
        </w:rPr>
        <w:br w:type="page"/>
      </w:r>
      <w:r>
        <w:rPr>
          <w:rFonts w:hint="eastAsia" w:ascii="仿宋" w:hAnsi="仿宋" w:eastAsia="仿宋" w:cs="仿宋"/>
          <w:b/>
          <w:bCs/>
          <w:color w:val="auto"/>
          <w:sz w:val="44"/>
          <w:szCs w:val="44"/>
          <w:highlight w:val="none"/>
        </w:rPr>
        <w:t>采购公告补充事项</w:t>
      </w:r>
    </w:p>
    <w:p w14:paraId="229897E6">
      <w:pPr>
        <w:pStyle w:val="8"/>
        <w:rPr>
          <w:rFonts w:hint="eastAsia" w:ascii="仿宋" w:hAnsi="仿宋" w:eastAsia="仿宋" w:cs="仿宋"/>
          <w:color w:val="auto"/>
          <w:highlight w:val="none"/>
        </w:rPr>
      </w:pPr>
    </w:p>
    <w:p w14:paraId="1BA2F58D">
      <w:pPr>
        <w:numPr>
          <w:ilvl w:val="0"/>
          <w:numId w:val="6"/>
        </w:num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w:t>采购组织类型：</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自行采购-委托代理</w:t>
      </w:r>
      <w:r>
        <w:rPr>
          <w:rFonts w:hint="eastAsia" w:ascii="仿宋" w:hAnsi="仿宋" w:eastAsia="仿宋" w:cs="仿宋"/>
          <w:bCs/>
          <w:color w:val="auto"/>
          <w:sz w:val="24"/>
          <w:highlight w:val="none"/>
          <w:u w:val="single"/>
        </w:rPr>
        <w:t xml:space="preserve"> </w:t>
      </w:r>
    </w:p>
    <w:p w14:paraId="62879FE1">
      <w:pPr>
        <w:numPr>
          <w:ilvl w:val="0"/>
          <w:numId w:val="6"/>
        </w:num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w:t>采购类别：</w:t>
      </w:r>
      <w:r>
        <w:rPr>
          <w:rFonts w:hint="eastAsia" w:ascii="仿宋" w:hAnsi="仿宋" w:eastAsia="仿宋" w:cs="仿宋"/>
          <w:b/>
          <w:bCs/>
          <w:color w:val="auto"/>
          <w:sz w:val="24"/>
          <w:highlight w:val="none"/>
          <w:u w:val="single"/>
        </w:rPr>
        <w:t xml:space="preserve">   服务   </w:t>
      </w:r>
    </w:p>
    <w:p w14:paraId="1E633A47">
      <w:pPr>
        <w:numPr>
          <w:ilvl w:val="0"/>
          <w:numId w:val="6"/>
        </w:num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采购方式：</w:t>
      </w:r>
      <w:r>
        <w:rPr>
          <w:rFonts w:hint="eastAsia" w:ascii="仿宋" w:hAnsi="仿宋" w:eastAsia="仿宋" w:cs="仿宋"/>
          <w:bCs/>
          <w:color w:val="auto"/>
          <w:sz w:val="24"/>
          <w:highlight w:val="none"/>
          <w:u w:val="single"/>
        </w:rPr>
        <w:t xml:space="preserve">     </w:t>
      </w:r>
      <w:r>
        <w:rPr>
          <w:rFonts w:hint="eastAsia" w:ascii="仿宋" w:hAnsi="仿宋" w:eastAsia="仿宋" w:cs="仿宋"/>
          <w:b/>
          <w:bCs/>
          <w:color w:val="auto"/>
          <w:sz w:val="24"/>
          <w:highlight w:val="none"/>
          <w:u w:val="single"/>
        </w:rPr>
        <w:t>公开招标</w:t>
      </w:r>
      <w:r>
        <w:rPr>
          <w:rFonts w:hint="eastAsia" w:ascii="仿宋" w:hAnsi="仿宋" w:eastAsia="仿宋" w:cs="仿宋"/>
          <w:bCs/>
          <w:color w:val="auto"/>
          <w:sz w:val="24"/>
          <w:highlight w:val="none"/>
          <w:u w:val="single"/>
        </w:rPr>
        <w:t xml:space="preserve">     </w:t>
      </w:r>
    </w:p>
    <w:p w14:paraId="2B1F14FD">
      <w:pPr>
        <w:numPr>
          <w:ilvl w:val="0"/>
          <w:numId w:val="6"/>
        </w:num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资格审查方式：资格后审。</w:t>
      </w:r>
    </w:p>
    <w:p w14:paraId="666F9A17">
      <w:pPr>
        <w:numPr>
          <w:ilvl w:val="0"/>
          <w:numId w:val="6"/>
        </w:num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注意事项：</w:t>
      </w:r>
    </w:p>
    <w:p w14:paraId="537BD540">
      <w:pPr>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1、单位负责人为同一人或者存在直接控股、管理关系的不同供应商，不得同时参加同一标项的投标。</w:t>
      </w:r>
    </w:p>
    <w:p w14:paraId="31CC6456">
      <w:pPr>
        <w:spacing w:line="360" w:lineRule="auto"/>
        <w:ind w:left="0"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2、为项目提供整体设计、规范编制或者项目管理、监理、检测等服务的供应商，不得再参加该采购项目的其他采购活动。</w:t>
      </w:r>
    </w:p>
    <w:p w14:paraId="66E89DFC">
      <w:pPr>
        <w:spacing w:line="360" w:lineRule="auto"/>
        <w:ind w:left="0"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、获取采购文件后不参加投标的供应商，须向采购代理机构提供书面说明。</w:t>
      </w:r>
    </w:p>
    <w:p w14:paraId="061E49E3">
      <w:pPr>
        <w:keepNext w:val="0"/>
        <w:keepLines w:val="0"/>
        <w:pageBreakBefore w:val="0"/>
        <w:widowControl w:val="0"/>
        <w:kinsoku/>
        <w:overflowPunct/>
        <w:topLinePunct w:val="0"/>
        <w:autoSpaceDE/>
        <w:autoSpaceDN/>
        <w:bidi w:val="0"/>
        <w:adjustRightInd/>
        <w:snapToGrid/>
        <w:spacing w:line="360" w:lineRule="auto"/>
        <w:ind w:left="0" w:firstLine="349" w:firstLineChars="150"/>
        <w:textAlignment w:val="auto"/>
        <w:rPr>
          <w:rFonts w:hint="eastAsia" w:ascii="仿宋" w:hAnsi="仿宋" w:eastAsia="仿宋" w:cs="仿宋"/>
          <w:bCs/>
          <w:color w:val="auto"/>
          <w:sz w:val="24"/>
          <w:highlight w:val="none"/>
        </w:rPr>
      </w:pPr>
      <w:r>
        <w:rPr>
          <w:rFonts w:hint="eastAsia" w:ascii="仿宋" w:hAnsi="仿宋" w:eastAsia="仿宋" w:cs="仿宋"/>
          <w:b/>
          <w:bCs/>
          <w:color w:val="auto"/>
          <w:spacing w:val="-4"/>
          <w:sz w:val="24"/>
          <w:highlight w:val="none"/>
        </w:rPr>
        <w:t>六、</w:t>
      </w:r>
      <w:r>
        <w:rPr>
          <w:rFonts w:hint="eastAsia" w:ascii="仿宋" w:hAnsi="仿宋" w:eastAsia="仿宋" w:cs="仿宋"/>
          <w:b/>
          <w:color w:val="auto"/>
          <w:spacing w:val="-4"/>
          <w:sz w:val="24"/>
          <w:highlight w:val="none"/>
        </w:rPr>
        <w:t>采购公告及更正公告发布网址：</w:t>
      </w:r>
      <w:bookmarkStart w:id="32" w:name="_Hlt10553107"/>
      <w:bookmarkEnd w:id="32"/>
      <w:bookmarkStart w:id="33" w:name="_Hlt10553106"/>
      <w:bookmarkEnd w:id="33"/>
      <w:r>
        <w:rPr>
          <w:rFonts w:hint="eastAsia" w:ascii="仿宋" w:hAnsi="仿宋" w:eastAsia="仿宋" w:cs="仿宋"/>
          <w:color w:val="auto"/>
          <w:spacing w:val="-4"/>
          <w:sz w:val="24"/>
          <w:szCs w:val="24"/>
          <w:highlight w:val="none"/>
        </w:rPr>
        <w:t>浙江政府采购网：http://zfcg.czt.zj.gov.cn 和绍兴市越城区人民政府网站公共资源交易版块：http://www.sxyc.gov.cn，</w:t>
      </w:r>
      <w:r>
        <w:rPr>
          <w:rFonts w:hint="eastAsia" w:ascii="仿宋" w:hAnsi="仿宋" w:eastAsia="仿宋" w:cs="仿宋"/>
          <w:b/>
          <w:bCs/>
          <w:color w:val="auto"/>
          <w:spacing w:val="-4"/>
          <w:sz w:val="24"/>
          <w:szCs w:val="24"/>
          <w:highlight w:val="none"/>
        </w:rPr>
        <w:t>采购文件详见后者</w:t>
      </w:r>
      <w:r>
        <w:rPr>
          <w:rFonts w:hint="eastAsia" w:ascii="仿宋" w:hAnsi="仿宋" w:eastAsia="仿宋" w:cs="仿宋"/>
          <w:color w:val="auto"/>
          <w:spacing w:val="-4"/>
          <w:sz w:val="24"/>
          <w:szCs w:val="24"/>
          <w:highlight w:val="none"/>
        </w:rPr>
        <w:t>。更正公告</w:t>
      </w:r>
      <w:r>
        <w:rPr>
          <w:rFonts w:hint="eastAsia" w:ascii="仿宋" w:hAnsi="仿宋" w:eastAsia="仿宋" w:cs="仿宋"/>
          <w:bCs/>
          <w:color w:val="auto"/>
          <w:sz w:val="24"/>
          <w:szCs w:val="24"/>
          <w:highlight w:val="none"/>
        </w:rPr>
        <w:t>请在浙江政府采购网更正公告页面或越城区人民政府门户网站采购公告页面中下载。</w:t>
      </w:r>
    </w:p>
    <w:p w14:paraId="3E4C33B8">
      <w:pPr>
        <w:spacing w:line="360" w:lineRule="auto"/>
        <w:rPr>
          <w:rFonts w:hint="eastAsia" w:ascii="仿宋" w:hAnsi="仿宋" w:eastAsia="仿宋" w:cs="仿宋"/>
          <w:color w:val="auto"/>
          <w:highlight w:val="none"/>
        </w:rPr>
      </w:pPr>
      <w:r>
        <w:rPr>
          <w:rFonts w:hint="eastAsia" w:ascii="仿宋" w:hAnsi="仿宋" w:eastAsia="仿宋" w:cs="仿宋"/>
          <w:color w:val="auto"/>
          <w:sz w:val="28"/>
          <w:szCs w:val="28"/>
          <w:highlight w:val="none"/>
        </w:rPr>
        <w:br w:type="page"/>
      </w:r>
    </w:p>
    <w:p w14:paraId="42FA3EFD">
      <w:pPr>
        <w:pStyle w:val="2"/>
        <w:rPr>
          <w:rFonts w:hint="eastAsia" w:ascii="仿宋" w:hAnsi="仿宋" w:eastAsia="仿宋" w:cs="仿宋"/>
          <w:color w:val="auto"/>
          <w:highlight w:val="none"/>
        </w:rPr>
      </w:pPr>
      <w:bookmarkStart w:id="34" w:name="_Toc13545"/>
      <w:r>
        <w:rPr>
          <w:rFonts w:hint="eastAsia" w:ascii="仿宋" w:hAnsi="仿宋" w:eastAsia="仿宋" w:cs="仿宋"/>
          <w:color w:val="auto"/>
          <w:highlight w:val="none"/>
        </w:rPr>
        <w:t>第二章  投标人须知</w:t>
      </w:r>
      <w:bookmarkEnd w:id="34"/>
    </w:p>
    <w:p w14:paraId="28E73D41">
      <w:pPr>
        <w:pStyle w:val="3"/>
        <w:rPr>
          <w:rFonts w:hint="eastAsia" w:ascii="仿宋" w:hAnsi="仿宋" w:eastAsia="仿宋" w:cs="仿宋"/>
          <w:color w:val="auto"/>
          <w:highlight w:val="none"/>
        </w:rPr>
      </w:pPr>
      <w:bookmarkStart w:id="35" w:name="_Toc5028"/>
      <w:r>
        <w:rPr>
          <w:rFonts w:hint="eastAsia" w:ascii="仿宋" w:hAnsi="仿宋" w:eastAsia="仿宋" w:cs="仿宋"/>
          <w:color w:val="auto"/>
          <w:highlight w:val="none"/>
        </w:rPr>
        <w:t>一、前附表</w:t>
      </w:r>
      <w:bookmarkEnd w:id="35"/>
    </w:p>
    <w:tbl>
      <w:tblPr>
        <w:tblStyle w:val="26"/>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378A9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994AA5B">
            <w:pPr>
              <w:spacing w:before="156" w:beforeLines="50" w:after="94" w:afterLines="30"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CD0244D">
            <w:pPr>
              <w:spacing w:before="156" w:beforeLines="50" w:after="94" w:afterLines="30"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内　　　　容</w:t>
            </w:r>
          </w:p>
        </w:tc>
      </w:tr>
      <w:tr w14:paraId="5DAE1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3962388">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C7F5AF7">
            <w:pPr>
              <w:spacing w:line="500" w:lineRule="exact"/>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color="auto"/>
                <w:lang w:eastAsia="zh-CN"/>
              </w:rPr>
              <w:t>绍兴市越城区斗门街道社区卫生服务中心2025年度职工疗休养项目</w:t>
            </w:r>
          </w:p>
        </w:tc>
      </w:tr>
      <w:tr w14:paraId="616CB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5C5C59C">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9BC54E6">
            <w:pPr>
              <w:autoSpaceDE w:val="0"/>
              <w:autoSpaceDN w:val="0"/>
              <w:spacing w:line="500" w:lineRule="exact"/>
              <w:textAlignment w:val="bottom"/>
              <w:rPr>
                <w:rFonts w:hint="eastAsia" w:ascii="仿宋" w:hAnsi="仿宋" w:eastAsia="仿宋" w:cs="仿宋"/>
                <w:color w:val="auto"/>
                <w:sz w:val="24"/>
                <w:highlight w:val="none"/>
              </w:rPr>
            </w:pPr>
            <w:r>
              <w:rPr>
                <w:rFonts w:hint="eastAsia" w:ascii="仿宋" w:hAnsi="仿宋" w:eastAsia="仿宋" w:cs="仿宋"/>
                <w:b/>
                <w:color w:val="auto"/>
                <w:sz w:val="24"/>
                <w:highlight w:val="none"/>
              </w:rPr>
              <w:t>投标有效期：</w:t>
            </w:r>
            <w:r>
              <w:rPr>
                <w:rFonts w:hint="eastAsia" w:ascii="仿宋" w:hAnsi="仿宋" w:eastAsia="仿宋" w:cs="仿宋"/>
                <w:color w:val="auto"/>
                <w:sz w:val="24"/>
                <w:highlight w:val="none"/>
              </w:rPr>
              <w:t>自投标截止日起60天。如采购人认为必要，可延长至总计最长不超过90天。</w:t>
            </w:r>
          </w:p>
        </w:tc>
      </w:tr>
      <w:tr w14:paraId="14966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DF360BD">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52BAB91">
            <w:pPr>
              <w:autoSpaceDE w:val="0"/>
              <w:autoSpaceDN w:val="0"/>
              <w:spacing w:line="500" w:lineRule="exact"/>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是否提供样品：否</w:t>
            </w:r>
          </w:p>
        </w:tc>
      </w:tr>
      <w:tr w14:paraId="0267D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ACE2ACA">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0D17D6E">
            <w:pPr>
              <w:autoSpaceDE w:val="0"/>
              <w:autoSpaceDN w:val="0"/>
              <w:spacing w:line="500" w:lineRule="exact"/>
              <w:textAlignment w:val="bottom"/>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rPr>
              <w:t>是否演示：否</w:t>
            </w:r>
          </w:p>
        </w:tc>
      </w:tr>
      <w:tr w14:paraId="425DF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F17F52D">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4F1BA7B">
            <w:pPr>
              <w:autoSpaceDE w:val="0"/>
              <w:autoSpaceDN w:val="0"/>
              <w:spacing w:line="500" w:lineRule="exact"/>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是否组织现场踏勘：否</w:t>
            </w:r>
          </w:p>
        </w:tc>
      </w:tr>
      <w:tr w14:paraId="3371A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82BDD5C">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C045E07">
            <w:pPr>
              <w:spacing w:line="500" w:lineRule="exact"/>
              <w:rPr>
                <w:rFonts w:hint="eastAsia" w:ascii="仿宋" w:hAnsi="仿宋" w:eastAsia="仿宋" w:cs="仿宋"/>
                <w:color w:val="auto"/>
                <w:sz w:val="24"/>
                <w:highlight w:val="none"/>
              </w:rPr>
            </w:pPr>
            <w:r>
              <w:rPr>
                <w:rFonts w:hint="eastAsia" w:ascii="仿宋" w:hAnsi="仿宋" w:eastAsia="仿宋" w:cs="仿宋"/>
                <w:b/>
                <w:color w:val="auto"/>
                <w:sz w:val="24"/>
                <w:highlight w:val="none"/>
              </w:rPr>
              <w:t>投标文件份数：正本一份，副本</w:t>
            </w:r>
            <w:r>
              <w:rPr>
                <w:rFonts w:hint="eastAsia" w:ascii="仿宋" w:hAnsi="仿宋" w:eastAsia="仿宋" w:cs="仿宋"/>
                <w:b/>
                <w:color w:val="auto"/>
                <w:sz w:val="24"/>
                <w:highlight w:val="none"/>
                <w:u w:val="single"/>
              </w:rPr>
              <w:t xml:space="preserve"> </w:t>
            </w:r>
            <w:r>
              <w:rPr>
                <w:rFonts w:hint="eastAsia" w:ascii="仿宋" w:hAnsi="仿宋" w:eastAsia="仿宋" w:cs="仿宋"/>
                <w:b/>
                <w:color w:val="auto"/>
                <w:sz w:val="24"/>
                <w:highlight w:val="none"/>
                <w:u w:val="single"/>
                <w:lang w:val="en-US" w:eastAsia="zh-CN"/>
              </w:rPr>
              <w:t>四</w:t>
            </w:r>
            <w:r>
              <w:rPr>
                <w:rFonts w:hint="eastAsia" w:ascii="仿宋" w:hAnsi="仿宋" w:eastAsia="仿宋" w:cs="仿宋"/>
                <w:b/>
                <w:color w:val="auto"/>
                <w:sz w:val="24"/>
                <w:highlight w:val="none"/>
                <w:u w:val="single"/>
              </w:rPr>
              <w:t xml:space="preserve"> </w:t>
            </w:r>
            <w:r>
              <w:rPr>
                <w:rFonts w:hint="eastAsia" w:ascii="仿宋" w:hAnsi="仿宋" w:eastAsia="仿宋" w:cs="仿宋"/>
                <w:b/>
                <w:color w:val="auto"/>
                <w:sz w:val="24"/>
                <w:highlight w:val="none"/>
              </w:rPr>
              <w:t>份</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lang w:val="en-US" w:eastAsia="zh-CN"/>
              </w:rPr>
              <w:t>同时提供电子投标文件一份（U盘），电子投标文件为投标文件正本扫描件，单独密封。</w:t>
            </w:r>
            <w:r>
              <w:rPr>
                <w:rFonts w:hint="eastAsia" w:ascii="仿宋" w:hAnsi="仿宋" w:eastAsia="仿宋" w:cs="仿宋"/>
                <w:color w:val="auto"/>
                <w:sz w:val="24"/>
                <w:highlight w:val="none"/>
              </w:rPr>
              <w:t>正本与副本内容不一致的，以正本为准。</w:t>
            </w:r>
          </w:p>
        </w:tc>
      </w:tr>
      <w:tr w14:paraId="21D4D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1FBF182">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4FC58F1">
            <w:pPr>
              <w:autoSpaceDE w:val="0"/>
              <w:autoSpaceDN w:val="0"/>
              <w:spacing w:line="500" w:lineRule="exact"/>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履约保证金及缴退时间：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无</w:t>
            </w:r>
            <w:r>
              <w:rPr>
                <w:rFonts w:hint="eastAsia" w:ascii="仿宋" w:hAnsi="仿宋" w:eastAsia="仿宋" w:cs="仿宋"/>
                <w:color w:val="auto"/>
                <w:sz w:val="24"/>
                <w:highlight w:val="none"/>
                <w:u w:val="single"/>
              </w:rPr>
              <w:t xml:space="preserve"> </w:t>
            </w:r>
          </w:p>
          <w:p w14:paraId="669E64A0">
            <w:pPr>
              <w:autoSpaceDE w:val="0"/>
              <w:autoSpaceDN w:val="0"/>
              <w:spacing w:line="500" w:lineRule="exact"/>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应当以支票、汇票、本票或者金融机构、担保机构出具的保函等非现金形式提交。</w:t>
            </w:r>
          </w:p>
        </w:tc>
      </w:tr>
      <w:tr w14:paraId="36076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1315BBF">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08F388C">
            <w:pPr>
              <w:snapToGrid w:val="0"/>
              <w:jc w:val="left"/>
              <w:rPr>
                <w:rFonts w:hint="eastAsia" w:ascii="仿宋" w:hAnsi="仿宋" w:eastAsia="仿宋" w:cs="仿宋"/>
                <w:color w:val="auto"/>
                <w:sz w:val="24"/>
                <w:highlight w:val="none"/>
                <w:lang w:eastAsia="zh-CN"/>
              </w:rPr>
            </w:pPr>
            <w:r>
              <w:rPr>
                <w:rFonts w:hint="eastAsia" w:ascii="仿宋" w:hAnsi="仿宋" w:eastAsia="仿宋" w:cs="仿宋"/>
                <w:b/>
                <w:bCs/>
                <w:color w:val="auto"/>
                <w:sz w:val="24"/>
                <w:highlight w:val="none"/>
              </w:rPr>
              <w:t>分包与转包</w:t>
            </w:r>
            <w:r>
              <w:rPr>
                <w:rFonts w:hint="eastAsia" w:ascii="仿宋" w:hAnsi="仿宋" w:eastAsia="仿宋" w:cs="仿宋"/>
                <w:color w:val="auto"/>
                <w:sz w:val="24"/>
                <w:highlight w:val="none"/>
              </w:rPr>
              <w:t>：本项目</w:t>
            </w:r>
            <w:r>
              <w:rPr>
                <w:rFonts w:hint="eastAsia" w:ascii="仿宋" w:hAnsi="仿宋" w:eastAsia="仿宋" w:cs="仿宋"/>
                <w:color w:val="auto"/>
                <w:sz w:val="24"/>
                <w:highlight w:val="none"/>
                <w:u w:val="single"/>
              </w:rPr>
              <w:t xml:space="preserve"> 不允许 </w:t>
            </w:r>
            <w:r>
              <w:rPr>
                <w:rFonts w:hint="eastAsia" w:ascii="仿宋" w:hAnsi="仿宋" w:eastAsia="仿宋" w:cs="仿宋"/>
                <w:color w:val="auto"/>
                <w:sz w:val="24"/>
                <w:highlight w:val="none"/>
              </w:rPr>
              <w:t>分包</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 xml:space="preserve"> 不允许 </w:t>
            </w:r>
            <w:r>
              <w:rPr>
                <w:rFonts w:hint="eastAsia" w:ascii="仿宋" w:hAnsi="仿宋" w:eastAsia="仿宋" w:cs="仿宋"/>
                <w:color w:val="auto"/>
                <w:sz w:val="24"/>
                <w:highlight w:val="none"/>
              </w:rPr>
              <w:t>转包</w:t>
            </w:r>
            <w:r>
              <w:rPr>
                <w:rFonts w:hint="eastAsia" w:ascii="仿宋" w:hAnsi="仿宋" w:eastAsia="仿宋" w:cs="仿宋"/>
                <w:color w:val="auto"/>
                <w:sz w:val="24"/>
                <w:highlight w:val="none"/>
                <w:lang w:eastAsia="zh-CN"/>
              </w:rPr>
              <w:t>。</w:t>
            </w:r>
          </w:p>
        </w:tc>
      </w:tr>
      <w:tr w14:paraId="2BA24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CBCEC30">
            <w:pPr>
              <w:spacing w:line="3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66B0C39">
            <w:pPr>
              <w:snapToGrid w:val="0"/>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本项目采购标的（服务部分）所属行业：</w:t>
            </w:r>
          </w:p>
          <w:tbl>
            <w:tblPr>
              <w:tblStyle w:val="27"/>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5D902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77" w:type="dxa"/>
                  <w:vAlign w:val="center"/>
                </w:tcPr>
                <w:p w14:paraId="04E9484A">
                  <w:pPr>
                    <w:snapToGrid w:val="0"/>
                    <w:jc w:val="center"/>
                    <w:rPr>
                      <w:rFonts w:hint="eastAsia" w:ascii="仿宋" w:hAnsi="仿宋" w:eastAsia="仿宋" w:cs="仿宋"/>
                      <w:b/>
                      <w:bCs/>
                      <w:color w:val="auto"/>
                      <w:sz w:val="24"/>
                      <w:highlight w:val="none"/>
                      <w:vertAlign w:val="baseline"/>
                      <w:lang w:val="en-US" w:eastAsia="zh-CN"/>
                    </w:rPr>
                  </w:pPr>
                  <w:r>
                    <w:rPr>
                      <w:rFonts w:hint="eastAsia" w:ascii="仿宋" w:hAnsi="仿宋" w:eastAsia="仿宋" w:cs="仿宋"/>
                      <w:b/>
                      <w:bCs/>
                      <w:color w:val="auto"/>
                      <w:sz w:val="24"/>
                      <w:highlight w:val="none"/>
                      <w:vertAlign w:val="baseline"/>
                      <w:lang w:val="en-US" w:eastAsia="zh-CN"/>
                    </w:rPr>
                    <w:t>采购标的名称</w:t>
                  </w:r>
                </w:p>
              </w:tc>
              <w:tc>
                <w:tcPr>
                  <w:tcW w:w="4078" w:type="dxa"/>
                  <w:vAlign w:val="center"/>
                </w:tcPr>
                <w:p w14:paraId="127BAC7A">
                  <w:pPr>
                    <w:snapToGrid w:val="0"/>
                    <w:jc w:val="center"/>
                    <w:rPr>
                      <w:rFonts w:hint="eastAsia" w:ascii="仿宋" w:hAnsi="仿宋" w:eastAsia="仿宋" w:cs="仿宋"/>
                      <w:b/>
                      <w:bCs/>
                      <w:color w:val="auto"/>
                      <w:sz w:val="24"/>
                      <w:highlight w:val="none"/>
                      <w:vertAlign w:val="baseline"/>
                      <w:lang w:val="en-US" w:eastAsia="zh-CN"/>
                    </w:rPr>
                  </w:pPr>
                  <w:r>
                    <w:rPr>
                      <w:rFonts w:hint="eastAsia" w:ascii="仿宋" w:hAnsi="仿宋" w:eastAsia="仿宋" w:cs="仿宋"/>
                      <w:b/>
                      <w:bCs/>
                      <w:color w:val="auto"/>
                      <w:sz w:val="24"/>
                      <w:highlight w:val="none"/>
                      <w:vertAlign w:val="baseline"/>
                      <w:lang w:val="en-US" w:eastAsia="zh-CN"/>
                    </w:rPr>
                    <w:t>所属行业</w:t>
                  </w:r>
                </w:p>
              </w:tc>
            </w:tr>
            <w:tr w14:paraId="4288C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175FB32C">
                  <w:pPr>
                    <w:snapToGrid w:val="0"/>
                    <w:jc w:val="center"/>
                    <w:rPr>
                      <w:rFonts w:hint="default" w:ascii="仿宋" w:hAnsi="仿宋" w:eastAsia="仿宋" w:cs="仿宋"/>
                      <w:b/>
                      <w:bCs/>
                      <w:color w:val="auto"/>
                      <w:sz w:val="24"/>
                      <w:highlight w:val="none"/>
                      <w:vertAlign w:val="baseline"/>
                      <w:lang w:val="en-US" w:eastAsia="zh-CN"/>
                    </w:rPr>
                  </w:pPr>
                  <w:r>
                    <w:rPr>
                      <w:rFonts w:hint="eastAsia" w:ascii="仿宋" w:hAnsi="仿宋" w:eastAsia="仿宋" w:cs="仿宋"/>
                      <w:b/>
                      <w:bCs/>
                      <w:color w:val="auto"/>
                      <w:sz w:val="24"/>
                      <w:highlight w:val="none"/>
                      <w:vertAlign w:val="baseline"/>
                      <w:lang w:val="en-US" w:eastAsia="zh-CN"/>
                    </w:rPr>
                    <w:t>绍兴市越城区斗门街道社区卫生服务中心2025年度职工疗休养项目</w:t>
                  </w:r>
                </w:p>
              </w:tc>
              <w:tc>
                <w:tcPr>
                  <w:tcW w:w="4078" w:type="dxa"/>
                  <w:vAlign w:val="center"/>
                </w:tcPr>
                <w:p w14:paraId="5584F5D3">
                  <w:pPr>
                    <w:snapToGrid w:val="0"/>
                    <w:jc w:val="center"/>
                    <w:rPr>
                      <w:rFonts w:hint="eastAsia" w:ascii="仿宋" w:hAnsi="仿宋" w:eastAsia="仿宋" w:cs="仿宋"/>
                      <w:b/>
                      <w:bCs/>
                      <w:color w:val="auto"/>
                      <w:sz w:val="24"/>
                      <w:highlight w:val="none"/>
                      <w:vertAlign w:val="baseline"/>
                      <w:lang w:val="en-US" w:eastAsia="zh-CN"/>
                    </w:rPr>
                  </w:pPr>
                  <w:r>
                    <w:rPr>
                      <w:rFonts w:hint="eastAsia" w:ascii="仿宋" w:hAnsi="仿宋" w:eastAsia="仿宋" w:cs="仿宋"/>
                      <w:b/>
                      <w:bCs/>
                      <w:color w:val="auto"/>
                      <w:sz w:val="24"/>
                      <w:highlight w:val="none"/>
                      <w:u w:val="single"/>
                      <w:vertAlign w:val="baseline"/>
                      <w:lang w:val="en-US" w:eastAsia="zh-CN"/>
                    </w:rPr>
                    <w:t>其他未列明</w:t>
                  </w:r>
                  <w:r>
                    <w:rPr>
                      <w:rFonts w:hint="eastAsia" w:ascii="仿宋" w:hAnsi="仿宋" w:eastAsia="仿宋" w:cs="仿宋"/>
                      <w:b/>
                      <w:bCs/>
                      <w:color w:val="auto"/>
                      <w:sz w:val="24"/>
                      <w:highlight w:val="none"/>
                      <w:vertAlign w:val="baseline"/>
                      <w:lang w:val="en-US" w:eastAsia="zh-CN"/>
                    </w:rPr>
                    <w:t>行业</w:t>
                  </w:r>
                </w:p>
              </w:tc>
            </w:tr>
          </w:tbl>
          <w:p w14:paraId="35E14FCA">
            <w:pPr>
              <w:snapToGrid w:val="0"/>
              <w:jc w:val="left"/>
              <w:rPr>
                <w:rFonts w:hint="eastAsia" w:ascii="仿宋" w:hAnsi="仿宋" w:eastAsia="仿宋" w:cs="仿宋"/>
                <w:b/>
                <w:bCs/>
                <w:color w:val="auto"/>
                <w:sz w:val="24"/>
                <w:highlight w:val="none"/>
                <w:lang w:val="en-US" w:eastAsia="zh-CN"/>
              </w:rPr>
            </w:pPr>
          </w:p>
        </w:tc>
      </w:tr>
      <w:tr w14:paraId="677EC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699F627">
            <w:pPr>
              <w:spacing w:line="34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F57D35D">
            <w:pPr>
              <w:spacing w:line="5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采购代理服务费：</w:t>
            </w:r>
          </w:p>
          <w:p w14:paraId="43147627">
            <w:pPr>
              <w:adjustRightInd w:val="0"/>
              <w:spacing w:line="440" w:lineRule="exact"/>
              <w:rPr>
                <w:rFonts w:ascii="仿宋" w:hAnsi="仿宋" w:eastAsia="仿宋" w:cs="仿宋"/>
                <w:color w:val="auto"/>
                <w:sz w:val="24"/>
                <w:highlight w:val="none"/>
              </w:rPr>
            </w:pPr>
            <w:r>
              <w:rPr>
                <w:rFonts w:hint="eastAsia" w:ascii="仿宋" w:hAnsi="仿宋" w:eastAsia="仿宋" w:cs="宋体"/>
                <w:color w:val="auto"/>
                <w:kern w:val="0"/>
                <w:sz w:val="24"/>
                <w:szCs w:val="21"/>
                <w:highlight w:val="none"/>
              </w:rPr>
              <w:t>中标人须向招标代理机构按如下标准和规定交纳中标服务费</w:t>
            </w:r>
            <w:r>
              <w:rPr>
                <w:rFonts w:hint="eastAsia" w:ascii="仿宋" w:hAnsi="仿宋" w:eastAsia="仿宋" w:cs="仿宋"/>
                <w:b/>
                <w:color w:val="auto"/>
                <w:sz w:val="24"/>
                <w:highlight w:val="none"/>
              </w:rPr>
              <w:t>：</w:t>
            </w:r>
          </w:p>
          <w:p w14:paraId="299734D9">
            <w:pPr>
              <w:keepNext w:val="0"/>
              <w:keepLines w:val="0"/>
              <w:pageBreakBefore w:val="0"/>
              <w:widowControl w:val="0"/>
              <w:numPr>
                <w:ilvl w:val="0"/>
                <w:numId w:val="7"/>
              </w:numPr>
              <w:kinsoku/>
              <w:wordWrap/>
              <w:overflowPunct/>
              <w:topLinePunct w:val="0"/>
              <w:autoSpaceDE/>
              <w:autoSpaceDN/>
              <w:bidi w:val="0"/>
              <w:adjustRightInd w:val="0"/>
              <w:snapToGrid/>
              <w:spacing w:line="360" w:lineRule="auto"/>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中标服务费由中标人支付，协议价4000元。</w:t>
            </w:r>
          </w:p>
          <w:p w14:paraId="76967D3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（2）服务费的交纳方式：</w:t>
            </w:r>
          </w:p>
          <w:p w14:paraId="71172480">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用银行支票、汇票、电汇、现金等付款方式直接交纳中标服务费。</w:t>
            </w:r>
          </w:p>
          <w:p w14:paraId="0D34987B">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公司名称：浙江东腾利成招标代理有限公司</w:t>
            </w:r>
          </w:p>
          <w:p w14:paraId="72EE915E">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账    号：19545201040012508</w:t>
            </w:r>
          </w:p>
          <w:p w14:paraId="09561C83">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开 户 行：中国农业银行股份有限公司绍兴广场支行</w:t>
            </w:r>
          </w:p>
          <w:p w14:paraId="48D4CFCB">
            <w:pPr>
              <w:numPr>
                <w:ilvl w:val="0"/>
                <w:numId w:val="0"/>
              </w:numPr>
              <w:bidi w:val="0"/>
              <w:spacing w:line="360" w:lineRule="auto"/>
              <w:ind w:lef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）取中标通知书前交纳</w:t>
            </w:r>
            <w:r>
              <w:rPr>
                <w:rFonts w:hint="eastAsia" w:ascii="仿宋" w:hAnsi="仿宋" w:eastAsia="仿宋" w:cs="仿宋"/>
                <w:color w:val="auto"/>
                <w:sz w:val="24"/>
                <w:szCs w:val="24"/>
                <w:highlight w:val="none"/>
                <w:lang w:val="en-US" w:eastAsia="zh-CN"/>
              </w:rPr>
              <w:t>。</w:t>
            </w:r>
          </w:p>
          <w:p w14:paraId="29C51D1F">
            <w:pPr>
              <w:numPr>
                <w:ilvl w:val="0"/>
                <w:numId w:val="0"/>
              </w:numPr>
              <w:bidi w:val="0"/>
              <w:spacing w:line="360" w:lineRule="auto"/>
              <w:ind w:leftChars="0"/>
              <w:rPr>
                <w:rFonts w:hint="default" w:eastAsia="宋体"/>
                <w:color w:val="auto"/>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评审费由</w:t>
            </w:r>
            <w:r>
              <w:rPr>
                <w:rFonts w:hint="eastAsia" w:ascii="仿宋" w:hAnsi="仿宋" w:eastAsia="仿宋" w:cs="仿宋"/>
                <w:strike w:val="0"/>
                <w:dstrike w:val="0"/>
                <w:color w:val="auto"/>
                <w:sz w:val="24"/>
                <w:szCs w:val="24"/>
                <w:highlight w:val="none"/>
                <w:lang w:val="en-US" w:eastAsia="zh-CN"/>
              </w:rPr>
              <w:t>采购人支</w:t>
            </w:r>
            <w:r>
              <w:rPr>
                <w:rFonts w:hint="eastAsia" w:ascii="仿宋" w:hAnsi="仿宋" w:eastAsia="仿宋" w:cs="仿宋"/>
                <w:color w:val="auto"/>
                <w:sz w:val="24"/>
                <w:szCs w:val="24"/>
                <w:highlight w:val="none"/>
                <w:lang w:val="en-US" w:eastAsia="zh-CN"/>
              </w:rPr>
              <w:t>付。</w:t>
            </w:r>
          </w:p>
        </w:tc>
      </w:tr>
    </w:tbl>
    <w:p w14:paraId="53CE4A1D">
      <w:pPr>
        <w:ind w:left="238"/>
        <w:jc w:val="center"/>
        <w:rPr>
          <w:rFonts w:hint="eastAsia" w:ascii="仿宋" w:hAnsi="仿宋" w:eastAsia="仿宋" w:cs="仿宋"/>
          <w:color w:val="auto"/>
          <w:sz w:val="24"/>
          <w:highlight w:val="none"/>
        </w:rPr>
      </w:pPr>
    </w:p>
    <w:p w14:paraId="09E8DE73">
      <w:pPr>
        <w:ind w:left="238"/>
        <w:jc w:val="center"/>
        <w:rPr>
          <w:rFonts w:hint="eastAsia" w:ascii="仿宋" w:hAnsi="仿宋" w:eastAsia="仿宋" w:cs="仿宋"/>
          <w:color w:val="auto"/>
          <w:sz w:val="24"/>
          <w:highlight w:val="none"/>
        </w:rPr>
      </w:pPr>
    </w:p>
    <w:p w14:paraId="602C964F">
      <w:pPr>
        <w:ind w:left="238"/>
        <w:jc w:val="center"/>
        <w:rPr>
          <w:rFonts w:hint="eastAsia" w:ascii="仿宋" w:hAnsi="仿宋" w:eastAsia="仿宋" w:cs="仿宋"/>
          <w:color w:val="auto"/>
          <w:sz w:val="24"/>
          <w:highlight w:val="none"/>
        </w:rPr>
      </w:pPr>
    </w:p>
    <w:p w14:paraId="0925C020">
      <w:pPr>
        <w:pStyle w:val="3"/>
        <w:spacing w:line="415" w:lineRule="auto"/>
        <w:jc w:val="center"/>
        <w:rPr>
          <w:rFonts w:hint="eastAsia" w:ascii="仿宋" w:hAnsi="仿宋" w:eastAsia="仿宋" w:cs="仿宋"/>
          <w:color w:val="auto"/>
          <w:highlight w:val="none"/>
        </w:rPr>
      </w:pPr>
      <w:bookmarkStart w:id="36" w:name="_Toc21572"/>
      <w:r>
        <w:rPr>
          <w:rFonts w:hint="eastAsia" w:ascii="仿宋" w:hAnsi="仿宋" w:eastAsia="仿宋" w:cs="仿宋"/>
          <w:color w:val="auto"/>
          <w:highlight w:val="none"/>
        </w:rPr>
        <w:t>二、采购文件</w:t>
      </w:r>
      <w:bookmarkEnd w:id="36"/>
    </w:p>
    <w:p w14:paraId="7401D46E">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采购文件效力</w:t>
      </w:r>
    </w:p>
    <w:p w14:paraId="7C55B569">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1.1本采购文件适用于本次所述项目的招标、投标、评标、定标、验收、合同签订及履约、付款等全过程（法律法规另有规定的从其规定）。</w:t>
      </w:r>
    </w:p>
    <w:p w14:paraId="02C916AF">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1.2</w:t>
      </w:r>
      <w:r>
        <w:rPr>
          <w:rFonts w:hint="eastAsia" w:ascii="仿宋" w:hAnsi="仿宋" w:eastAsia="仿宋" w:cs="仿宋"/>
          <w:b/>
          <w:bCs/>
          <w:color w:val="auto"/>
          <w:sz w:val="24"/>
          <w:highlight w:val="none"/>
        </w:rPr>
        <w:t>投标人对本采购文件如有异议，均应在法定时间内提出质疑或投诉，否则即被视为认可采购文件的全部内容。</w:t>
      </w:r>
    </w:p>
    <w:p w14:paraId="6EA84CEC">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2、名词定义</w:t>
      </w:r>
    </w:p>
    <w:p w14:paraId="555DEC96">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b/>
          <w:bCs/>
          <w:color w:val="auto"/>
          <w:sz w:val="24"/>
          <w:highlight w:val="none"/>
        </w:rPr>
        <w:t>采购代理机构</w:t>
      </w:r>
      <w:r>
        <w:rPr>
          <w:rFonts w:hint="eastAsia" w:ascii="仿宋" w:hAnsi="仿宋" w:eastAsia="仿宋" w:cs="仿宋"/>
          <w:color w:val="auto"/>
          <w:sz w:val="24"/>
          <w:highlight w:val="none"/>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082E5128">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b/>
          <w:bCs/>
          <w:color w:val="auto"/>
          <w:sz w:val="24"/>
          <w:highlight w:val="none"/>
        </w:rPr>
        <w:t>采购机构</w:t>
      </w:r>
      <w:r>
        <w:rPr>
          <w:rFonts w:hint="eastAsia" w:ascii="仿宋" w:hAnsi="仿宋" w:eastAsia="仿宋" w:cs="仿宋"/>
          <w:color w:val="auto"/>
          <w:sz w:val="24"/>
          <w:highlight w:val="none"/>
        </w:rPr>
        <w:t>”：采购人及其采购代理机构。</w:t>
      </w:r>
    </w:p>
    <w:p w14:paraId="34E1C496">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 “</w:t>
      </w:r>
      <w:r>
        <w:rPr>
          <w:rFonts w:hint="eastAsia" w:ascii="仿宋" w:hAnsi="仿宋" w:eastAsia="仿宋" w:cs="仿宋"/>
          <w:b/>
          <w:bCs/>
          <w:color w:val="auto"/>
          <w:sz w:val="24"/>
          <w:highlight w:val="none"/>
        </w:rPr>
        <w:t>产品</w:t>
      </w:r>
      <w:r>
        <w:rPr>
          <w:rFonts w:hint="eastAsia" w:ascii="仿宋" w:hAnsi="仿宋" w:eastAsia="仿宋" w:cs="仿宋"/>
          <w:color w:val="auto"/>
          <w:sz w:val="24"/>
          <w:highlight w:val="none"/>
        </w:rPr>
        <w:t>”系指供方按采购文件规定，经合法途径取得的，须向采购人提供的一切产品、保险、税金、安装、施工、调试、备品备件、工具、手册及其他有关技术资料和材料。</w:t>
      </w:r>
    </w:p>
    <w:p w14:paraId="2B68F843">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2.4 “</w:t>
      </w:r>
      <w:r>
        <w:rPr>
          <w:rFonts w:hint="eastAsia" w:ascii="仿宋" w:hAnsi="仿宋" w:eastAsia="仿宋" w:cs="仿宋"/>
          <w:b/>
          <w:bCs/>
          <w:color w:val="auto"/>
          <w:sz w:val="24"/>
          <w:highlight w:val="none"/>
        </w:rPr>
        <w:t>服务</w:t>
      </w:r>
      <w:r>
        <w:rPr>
          <w:rFonts w:hint="eastAsia" w:ascii="仿宋" w:hAnsi="仿宋" w:eastAsia="仿宋" w:cs="仿宋"/>
          <w:color w:val="auto"/>
          <w:sz w:val="24"/>
          <w:highlight w:val="none"/>
        </w:rPr>
        <w:t>”系指采购文件规定投标人须承担的安装、调试、技术协助、校准、培训、技术指导以及其他类似的义务。</w:t>
      </w:r>
    </w:p>
    <w:p w14:paraId="306688E1">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2.5 “</w:t>
      </w:r>
      <w:r>
        <w:rPr>
          <w:rFonts w:hint="eastAsia" w:ascii="仿宋" w:hAnsi="仿宋" w:eastAsia="仿宋" w:cs="仿宋"/>
          <w:b/>
          <w:bCs/>
          <w:color w:val="auto"/>
          <w:sz w:val="24"/>
          <w:highlight w:val="none"/>
        </w:rPr>
        <w:t>投标人</w:t>
      </w:r>
      <w:r>
        <w:rPr>
          <w:rFonts w:hint="eastAsia" w:ascii="仿宋" w:hAnsi="仿宋" w:eastAsia="仿宋" w:cs="仿宋"/>
          <w:color w:val="auto"/>
          <w:sz w:val="24"/>
          <w:highlight w:val="none"/>
        </w:rPr>
        <w:t>”指已经按采购公告要求获取采购文件的投标供应商。“</w:t>
      </w:r>
      <w:r>
        <w:rPr>
          <w:rFonts w:hint="eastAsia" w:ascii="仿宋" w:hAnsi="仿宋" w:eastAsia="仿宋" w:cs="仿宋"/>
          <w:b/>
          <w:bCs/>
          <w:color w:val="auto"/>
          <w:sz w:val="24"/>
          <w:highlight w:val="none"/>
        </w:rPr>
        <w:t>潜在投标人</w:t>
      </w:r>
      <w:r>
        <w:rPr>
          <w:rFonts w:hint="eastAsia" w:ascii="仿宋" w:hAnsi="仿宋" w:eastAsia="仿宋" w:cs="仿宋"/>
          <w:color w:val="auto"/>
          <w:sz w:val="24"/>
          <w:highlight w:val="none"/>
        </w:rPr>
        <w:t>”指未按采购公告要求获取采购文件的供应商。</w:t>
      </w:r>
    </w:p>
    <w:p w14:paraId="621B1F47">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2.6 “</w:t>
      </w:r>
      <w:r>
        <w:rPr>
          <w:rFonts w:hint="eastAsia" w:ascii="仿宋" w:hAnsi="仿宋" w:eastAsia="仿宋" w:cs="仿宋"/>
          <w:b/>
          <w:bCs/>
          <w:color w:val="auto"/>
          <w:sz w:val="24"/>
          <w:highlight w:val="none"/>
        </w:rPr>
        <w:t>授权代表</w:t>
      </w:r>
      <w:r>
        <w:rPr>
          <w:rFonts w:hint="eastAsia" w:ascii="仿宋" w:hAnsi="仿宋" w:eastAsia="仿宋" w:cs="仿宋"/>
          <w:color w:val="auto"/>
          <w:sz w:val="24"/>
          <w:highlight w:val="none"/>
        </w:rPr>
        <w:t>”即“</w:t>
      </w:r>
      <w:r>
        <w:rPr>
          <w:rFonts w:hint="eastAsia" w:ascii="仿宋" w:hAnsi="仿宋" w:eastAsia="仿宋" w:cs="仿宋"/>
          <w:b/>
          <w:bCs/>
          <w:color w:val="auto"/>
          <w:sz w:val="24"/>
          <w:highlight w:val="none"/>
        </w:rPr>
        <w:t>投标人代表</w:t>
      </w:r>
      <w:r>
        <w:rPr>
          <w:rFonts w:hint="eastAsia" w:ascii="仿宋" w:hAnsi="仿宋" w:eastAsia="仿宋" w:cs="仿宋"/>
          <w:color w:val="auto"/>
          <w:sz w:val="24"/>
          <w:highlight w:val="none"/>
        </w:rPr>
        <w:t>”，指受投标供应商的法定代表人委托，办理本项目投标、质疑投诉、合同签订等整个采购活动的被授权委托人</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个体工商户参与投标的，经营者等同于法定代表人。</w:t>
      </w:r>
    </w:p>
    <w:p w14:paraId="6EC4CC94">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2.7“</w:t>
      </w:r>
      <w:r>
        <w:rPr>
          <w:rFonts w:hint="eastAsia" w:ascii="仿宋" w:hAnsi="仿宋" w:eastAsia="仿宋" w:cs="仿宋"/>
          <w:b/>
          <w:bCs/>
          <w:color w:val="auto"/>
          <w:sz w:val="24"/>
          <w:highlight w:val="none"/>
        </w:rPr>
        <w:t>实质性响应条款</w:t>
      </w:r>
      <w:r>
        <w:rPr>
          <w:rFonts w:hint="eastAsia" w:ascii="仿宋" w:hAnsi="仿宋" w:eastAsia="仿宋" w:cs="仿宋"/>
          <w:color w:val="auto"/>
          <w:sz w:val="24"/>
          <w:highlight w:val="none"/>
        </w:rPr>
        <w:t>”：投标人必须响应的条款，未响应的作无效投标处理。在本采购文件中，实质性响应条款前标注“★”符号。</w:t>
      </w:r>
    </w:p>
    <w:p w14:paraId="21353560">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2.8“</w:t>
      </w:r>
      <w:r>
        <w:rPr>
          <w:rFonts w:hint="eastAsia" w:ascii="仿宋" w:hAnsi="仿宋" w:eastAsia="仿宋" w:cs="仿宋"/>
          <w:b/>
          <w:bCs/>
          <w:color w:val="auto"/>
          <w:sz w:val="24"/>
          <w:highlight w:val="none"/>
        </w:rPr>
        <w:t>投标人公章</w:t>
      </w:r>
      <w:r>
        <w:rPr>
          <w:rFonts w:hint="eastAsia" w:ascii="仿宋" w:hAnsi="仿宋" w:eastAsia="仿宋" w:cs="仿宋"/>
          <w:color w:val="auto"/>
          <w:sz w:val="24"/>
          <w:highlight w:val="none"/>
        </w:rPr>
        <w:t>”指投标人法定名称章。</w:t>
      </w:r>
    </w:p>
    <w:p w14:paraId="2459E45D">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2.9“</w:t>
      </w:r>
      <w:r>
        <w:rPr>
          <w:rFonts w:hint="eastAsia" w:ascii="仿宋" w:hAnsi="仿宋" w:eastAsia="仿宋" w:cs="仿宋"/>
          <w:b/>
          <w:bCs/>
          <w:color w:val="auto"/>
          <w:sz w:val="24"/>
          <w:highlight w:val="none"/>
        </w:rPr>
        <w:t>投标有效期</w:t>
      </w:r>
      <w:r>
        <w:rPr>
          <w:rFonts w:hint="eastAsia" w:ascii="仿宋" w:hAnsi="仿宋" w:eastAsia="仿宋" w:cs="仿宋"/>
          <w:color w:val="auto"/>
          <w:sz w:val="24"/>
          <w:highlight w:val="none"/>
        </w:rPr>
        <w:t>”指采购文件中规定的一个适当时间，投标有效期内需完成开评标以及与中标人签订合同的事宜。</w:t>
      </w:r>
    </w:p>
    <w:p w14:paraId="3ACCD812">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3、政府采购政策性规定</w:t>
      </w:r>
    </w:p>
    <w:p w14:paraId="4C19CEE3">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3.1采购国产</w:t>
      </w:r>
    </w:p>
    <w:p w14:paraId="6F794A44">
      <w:pPr>
        <w:snapToGrid w:val="0"/>
        <w:spacing w:line="440" w:lineRule="exact"/>
        <w:ind w:firstLine="482" w:firstLineChars="200"/>
        <w:jc w:val="lef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除采购文件明确允许采购进口产品外，集中采购目录内或分散采购限额标准以上的产品应当提供本国生产的产品，否则作无效投标处理。</w:t>
      </w:r>
      <w:r>
        <w:rPr>
          <w:rFonts w:hint="eastAsia" w:ascii="仿宋" w:hAnsi="仿宋" w:eastAsia="仿宋" w:cs="仿宋"/>
          <w:color w:val="auto"/>
          <w:sz w:val="24"/>
          <w:highlight w:val="none"/>
        </w:rPr>
        <w:t>采购进口产品的，不得限制潜在国产的同类产品参与投标。</w:t>
      </w:r>
    </w:p>
    <w:p w14:paraId="190D9AF7">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3.2扶持中小微企业</w:t>
      </w:r>
    </w:p>
    <w:p w14:paraId="3992582F">
      <w:pPr>
        <w:snapToGrid w:val="0"/>
        <w:spacing w:line="420" w:lineRule="exact"/>
        <w:ind w:left="0"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本项目依据</w:t>
      </w:r>
      <w:r>
        <w:rPr>
          <w:rFonts w:hint="eastAsia" w:ascii="仿宋" w:hAnsi="仿宋" w:eastAsia="仿宋" w:cs="仿宋"/>
          <w:color w:val="auto"/>
          <w:sz w:val="24"/>
          <w:highlight w:val="none"/>
        </w:rPr>
        <w:t>《政府采购促进中小企业发展管理办法》（</w:t>
      </w:r>
      <w:r>
        <w:rPr>
          <w:rFonts w:hint="eastAsia" w:ascii="仿宋" w:hAnsi="仿宋" w:eastAsia="仿宋" w:cs="仿宋"/>
          <w:b w:val="0"/>
          <w:bCs w:val="0"/>
          <w:i w:val="0"/>
          <w:iCs w:val="0"/>
          <w:caps w:val="0"/>
          <w:smallCaps w:val="0"/>
          <w:color w:val="auto"/>
          <w:spacing w:val="0"/>
          <w:sz w:val="24"/>
          <w:szCs w:val="24"/>
          <w:highlight w:val="none"/>
          <w:shd w:val="clear" w:color="auto" w:fill="FFFFFF"/>
        </w:rPr>
        <w:t>财库〔2020〕46号</w:t>
      </w:r>
      <w:r>
        <w:rPr>
          <w:rFonts w:hint="eastAsia" w:ascii="仿宋" w:hAnsi="仿宋" w:eastAsia="仿宋" w:cs="仿宋"/>
          <w:color w:val="auto"/>
          <w:sz w:val="24"/>
          <w:highlight w:val="none"/>
        </w:rPr>
        <w:t>）、</w:t>
      </w:r>
      <w:r>
        <w:rPr>
          <w:rFonts w:hint="eastAsia" w:ascii="仿宋" w:hAnsi="仿宋" w:eastAsia="仿宋" w:cs="仿宋"/>
          <w:color w:val="auto"/>
          <w:kern w:val="0"/>
          <w:sz w:val="24"/>
          <w:szCs w:val="24"/>
          <w:highlight w:val="none"/>
        </w:rPr>
        <w:t>《浙江省贯彻落实国务院扎实稳住经济一揽子政策措施实施方案》（浙政发</w:t>
      </w:r>
      <w:r>
        <w:rPr>
          <w:rFonts w:hint="eastAsia" w:ascii="仿宋" w:hAnsi="仿宋" w:eastAsia="仿宋" w:cs="仿宋"/>
          <w:b w:val="0"/>
          <w:bCs w:val="0"/>
          <w:i w:val="0"/>
          <w:iCs w:val="0"/>
          <w:caps w:val="0"/>
          <w:smallCaps w:val="0"/>
          <w:color w:val="auto"/>
          <w:spacing w:val="0"/>
          <w:sz w:val="24"/>
          <w:szCs w:val="24"/>
          <w:highlight w:val="none"/>
          <w:shd w:val="clear" w:color="auto" w:fill="FFFFFF"/>
        </w:rPr>
        <w:t>〔2022〕14</w:t>
      </w:r>
      <w:r>
        <w:rPr>
          <w:rFonts w:hint="eastAsia" w:ascii="仿宋" w:hAnsi="仿宋" w:eastAsia="仿宋" w:cs="仿宋"/>
          <w:color w:val="auto"/>
          <w:kern w:val="0"/>
          <w:sz w:val="24"/>
          <w:szCs w:val="24"/>
          <w:highlight w:val="none"/>
        </w:rPr>
        <w:t>号）等</w:t>
      </w:r>
      <w:r>
        <w:rPr>
          <w:rFonts w:hint="eastAsia" w:ascii="仿宋" w:hAnsi="仿宋" w:eastAsia="仿宋" w:cs="仿宋"/>
          <w:color w:val="auto"/>
          <w:sz w:val="24"/>
          <w:highlight w:val="none"/>
        </w:rPr>
        <w:t>规定</w:t>
      </w:r>
      <w:r>
        <w:rPr>
          <w:rFonts w:hint="eastAsia" w:ascii="仿宋" w:hAnsi="仿宋" w:eastAsia="仿宋" w:cs="仿宋"/>
          <w:color w:val="auto"/>
          <w:sz w:val="24"/>
          <w:highlight w:val="none"/>
          <w:lang w:eastAsia="zh-CN"/>
        </w:rPr>
        <w:t>，</w:t>
      </w:r>
      <w:r>
        <w:rPr>
          <w:rFonts w:hint="eastAsia" w:ascii="仿宋" w:hAnsi="仿宋" w:eastAsia="仿宋" w:cs="仿宋"/>
          <w:b w:val="0"/>
          <w:bCs w:val="0"/>
          <w:color w:val="auto"/>
          <w:sz w:val="24"/>
          <w:highlight w:val="none"/>
          <w:lang w:eastAsia="zh-CN"/>
        </w:rPr>
        <w:t>投标供应商</w:t>
      </w:r>
      <w:r>
        <w:rPr>
          <w:rFonts w:hint="eastAsia" w:ascii="仿宋" w:hAnsi="仿宋" w:eastAsia="仿宋" w:cs="仿宋"/>
          <w:b w:val="0"/>
          <w:bCs w:val="0"/>
          <w:color w:val="auto"/>
          <w:sz w:val="24"/>
          <w:highlight w:val="none"/>
        </w:rPr>
        <w:t>提供</w:t>
      </w:r>
      <w:r>
        <w:rPr>
          <w:rFonts w:hint="eastAsia" w:ascii="仿宋" w:hAnsi="仿宋" w:eastAsia="仿宋" w:cs="仿宋"/>
          <w:b w:val="0"/>
          <w:bCs w:val="0"/>
          <w:color w:val="auto"/>
          <w:sz w:val="24"/>
          <w:highlight w:val="none"/>
          <w:lang w:eastAsia="zh-CN"/>
        </w:rPr>
        <w:t>的服务部分（不含货物部分，详见前附表）全部</w:t>
      </w:r>
      <w:r>
        <w:rPr>
          <w:rFonts w:hint="eastAsia" w:ascii="仿宋" w:hAnsi="仿宋" w:eastAsia="仿宋" w:cs="仿宋"/>
          <w:b w:val="0"/>
          <w:bCs w:val="0"/>
          <w:color w:val="auto"/>
          <w:sz w:val="24"/>
          <w:highlight w:val="none"/>
        </w:rPr>
        <w:t>为</w:t>
      </w:r>
      <w:r>
        <w:rPr>
          <w:rFonts w:hint="eastAsia" w:ascii="仿宋" w:hAnsi="仿宋" w:eastAsia="仿宋" w:cs="仿宋"/>
          <w:b w:val="0"/>
          <w:bCs w:val="0"/>
          <w:color w:val="auto"/>
          <w:sz w:val="24"/>
          <w:highlight w:val="none"/>
          <w:lang w:eastAsia="zh-CN"/>
        </w:rPr>
        <w:t>小微</w:t>
      </w:r>
      <w:r>
        <w:rPr>
          <w:rFonts w:hint="eastAsia" w:ascii="仿宋" w:hAnsi="仿宋" w:eastAsia="仿宋" w:cs="仿宋"/>
          <w:b w:val="0"/>
          <w:bCs w:val="0"/>
          <w:color w:val="auto"/>
          <w:sz w:val="24"/>
          <w:highlight w:val="none"/>
        </w:rPr>
        <w:t>企业</w:t>
      </w:r>
      <w:r>
        <w:rPr>
          <w:rFonts w:hint="eastAsia" w:ascii="仿宋" w:hAnsi="仿宋" w:eastAsia="仿宋" w:cs="仿宋"/>
          <w:b w:val="0"/>
          <w:bCs w:val="0"/>
          <w:color w:val="auto"/>
          <w:sz w:val="24"/>
          <w:highlight w:val="none"/>
          <w:lang w:eastAsia="zh-CN"/>
        </w:rPr>
        <w:t>承接的，</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lang w:eastAsia="zh-CN"/>
        </w:rPr>
        <w:t>投标</w:t>
      </w:r>
      <w:r>
        <w:rPr>
          <w:rFonts w:hint="eastAsia" w:ascii="仿宋" w:hAnsi="仿宋" w:eastAsia="仿宋" w:cs="仿宋"/>
          <w:b w:val="0"/>
          <w:bCs w:val="0"/>
          <w:color w:val="auto"/>
          <w:sz w:val="24"/>
          <w:highlight w:val="none"/>
        </w:rPr>
        <w:t>报价给予</w:t>
      </w: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color w:val="auto"/>
          <w:sz w:val="24"/>
          <w:highlight w:val="none"/>
        </w:rPr>
        <w:t>0%</w:t>
      </w:r>
      <w:r>
        <w:rPr>
          <w:rFonts w:hint="eastAsia" w:ascii="仿宋" w:hAnsi="仿宋" w:eastAsia="仿宋" w:cs="仿宋"/>
          <w:color w:val="auto"/>
          <w:sz w:val="24"/>
          <w:highlight w:val="none"/>
        </w:rPr>
        <w:t>的扣除，用扣除后的价格参加评审。</w:t>
      </w:r>
    </w:p>
    <w:p w14:paraId="5B723401">
      <w:pPr>
        <w:snapToGrid w:val="0"/>
        <w:spacing w:line="420" w:lineRule="exact"/>
        <w:ind w:left="0" w:firstLine="360" w:firstLineChars="15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eastAsia="zh-CN"/>
        </w:rPr>
        <w:t>以</w:t>
      </w:r>
      <w:r>
        <w:rPr>
          <w:rFonts w:hint="eastAsia" w:ascii="仿宋" w:hAnsi="仿宋" w:eastAsia="仿宋" w:cs="仿宋"/>
          <w:b w:val="0"/>
          <w:bCs w:val="0"/>
          <w:color w:val="auto"/>
          <w:sz w:val="24"/>
          <w:highlight w:val="none"/>
        </w:rPr>
        <w:t>联合体</w:t>
      </w:r>
      <w:r>
        <w:rPr>
          <w:rFonts w:hint="eastAsia" w:ascii="仿宋" w:hAnsi="仿宋" w:eastAsia="仿宋" w:cs="仿宋"/>
          <w:b w:val="0"/>
          <w:bCs w:val="0"/>
          <w:color w:val="auto"/>
          <w:sz w:val="24"/>
          <w:highlight w:val="none"/>
          <w:lang w:eastAsia="zh-CN"/>
        </w:rPr>
        <w:t>或分包方式参与政府采购活动的，</w:t>
      </w:r>
      <w:r>
        <w:rPr>
          <w:rFonts w:hint="eastAsia" w:ascii="仿宋" w:hAnsi="仿宋" w:eastAsia="仿宋" w:cs="仿宋"/>
          <w:b w:val="0"/>
          <w:bCs w:val="0"/>
          <w:color w:val="auto"/>
          <w:sz w:val="24"/>
          <w:highlight w:val="none"/>
        </w:rPr>
        <w:t>联合体</w:t>
      </w:r>
      <w:r>
        <w:rPr>
          <w:rFonts w:hint="eastAsia" w:ascii="仿宋" w:hAnsi="仿宋" w:eastAsia="仿宋" w:cs="仿宋"/>
          <w:b w:val="0"/>
          <w:bCs w:val="0"/>
          <w:color w:val="auto"/>
          <w:sz w:val="24"/>
          <w:highlight w:val="none"/>
          <w:lang w:eastAsia="zh-CN"/>
        </w:rPr>
        <w:t>或分包方</w:t>
      </w:r>
      <w:r>
        <w:rPr>
          <w:rFonts w:hint="eastAsia" w:ascii="仿宋" w:hAnsi="仿宋" w:eastAsia="仿宋" w:cs="仿宋"/>
          <w:b w:val="0"/>
          <w:bCs w:val="0"/>
          <w:color w:val="auto"/>
          <w:sz w:val="24"/>
          <w:highlight w:val="none"/>
        </w:rPr>
        <w:t>中</w:t>
      </w:r>
      <w:r>
        <w:rPr>
          <w:rFonts w:hint="eastAsia" w:ascii="仿宋" w:hAnsi="仿宋" w:eastAsia="仿宋" w:cs="仿宋"/>
          <w:b w:val="0"/>
          <w:bCs w:val="0"/>
          <w:color w:val="auto"/>
          <w:sz w:val="24"/>
          <w:highlight w:val="none"/>
          <w:lang w:eastAsia="zh-CN"/>
        </w:rPr>
        <w:t>任意</w:t>
      </w:r>
      <w:r>
        <w:rPr>
          <w:rFonts w:hint="eastAsia" w:ascii="仿宋" w:hAnsi="仿宋" w:eastAsia="仿宋" w:cs="仿宋"/>
          <w:b w:val="0"/>
          <w:bCs w:val="0"/>
          <w:color w:val="auto"/>
          <w:sz w:val="24"/>
          <w:highlight w:val="none"/>
        </w:rPr>
        <w:t>一方</w:t>
      </w:r>
      <w:r>
        <w:rPr>
          <w:rFonts w:hint="eastAsia" w:ascii="仿宋" w:hAnsi="仿宋" w:eastAsia="仿宋" w:cs="仿宋"/>
          <w:b w:val="0"/>
          <w:bCs w:val="0"/>
          <w:color w:val="auto"/>
          <w:sz w:val="24"/>
          <w:highlight w:val="none"/>
          <w:lang w:eastAsia="zh-CN"/>
        </w:rPr>
        <w:t>（或多方）所</w:t>
      </w:r>
      <w:r>
        <w:rPr>
          <w:rFonts w:hint="eastAsia" w:ascii="仿宋" w:hAnsi="仿宋" w:eastAsia="仿宋" w:cs="仿宋"/>
          <w:b w:val="0"/>
          <w:bCs w:val="0"/>
          <w:color w:val="auto"/>
          <w:sz w:val="24"/>
          <w:highlight w:val="none"/>
        </w:rPr>
        <w:t>提供的全部</w:t>
      </w:r>
      <w:r>
        <w:rPr>
          <w:rFonts w:hint="eastAsia" w:ascii="仿宋" w:hAnsi="仿宋" w:eastAsia="仿宋" w:cs="仿宋"/>
          <w:b w:val="0"/>
          <w:bCs w:val="0"/>
          <w:color w:val="auto"/>
          <w:sz w:val="24"/>
          <w:highlight w:val="none"/>
          <w:lang w:eastAsia="zh-CN"/>
        </w:rPr>
        <w:t>服务</w:t>
      </w:r>
      <w:r>
        <w:rPr>
          <w:rFonts w:hint="eastAsia" w:ascii="仿宋" w:hAnsi="仿宋" w:eastAsia="仿宋" w:cs="仿宋"/>
          <w:b w:val="0"/>
          <w:bCs w:val="0"/>
          <w:color w:val="auto"/>
          <w:sz w:val="24"/>
          <w:highlight w:val="none"/>
        </w:rPr>
        <w:t>为小微企业</w:t>
      </w:r>
      <w:r>
        <w:rPr>
          <w:rFonts w:hint="eastAsia" w:ascii="仿宋" w:hAnsi="仿宋" w:eastAsia="仿宋" w:cs="仿宋"/>
          <w:b w:val="0"/>
          <w:bCs w:val="0"/>
          <w:color w:val="auto"/>
          <w:sz w:val="24"/>
          <w:highlight w:val="none"/>
          <w:lang w:eastAsia="zh-CN"/>
        </w:rPr>
        <w:t>承接</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eastAsia="zh-CN"/>
        </w:rPr>
        <w:t>则这一方（或多方）视为小微企业，其在联合体协议或分包意向协议中约定的</w:t>
      </w:r>
      <w:r>
        <w:rPr>
          <w:rFonts w:hint="eastAsia" w:ascii="仿宋" w:hAnsi="仿宋" w:eastAsia="仿宋" w:cs="仿宋"/>
          <w:b w:val="0"/>
          <w:bCs w:val="0"/>
          <w:color w:val="auto"/>
          <w:sz w:val="24"/>
          <w:highlight w:val="none"/>
        </w:rPr>
        <w:t>合同份额占到合同总金额30%以上的，可按规定享受</w:t>
      </w:r>
      <w:r>
        <w:rPr>
          <w:rFonts w:hint="eastAsia" w:ascii="仿宋" w:hAnsi="仿宋" w:eastAsia="仿宋" w:cs="仿宋"/>
          <w:b w:val="0"/>
          <w:bCs w:val="0"/>
          <w:color w:val="auto"/>
          <w:sz w:val="24"/>
          <w:highlight w:val="none"/>
          <w:lang w:val="en-US" w:eastAsia="zh-CN"/>
        </w:rPr>
        <w:t>4</w:t>
      </w:r>
      <w:r>
        <w:rPr>
          <w:rFonts w:hint="eastAsia" w:ascii="仿宋" w:hAnsi="仿宋" w:eastAsia="仿宋" w:cs="仿宋"/>
          <w:b w:val="0"/>
          <w:bCs w:val="0"/>
          <w:color w:val="auto"/>
          <w:sz w:val="24"/>
          <w:highlight w:val="none"/>
        </w:rPr>
        <w:t>%的价格扣除。</w:t>
      </w:r>
    </w:p>
    <w:p w14:paraId="40F78175">
      <w:pPr>
        <w:snapToGrid w:val="0"/>
        <w:spacing w:line="42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color w:val="auto"/>
          <w:sz w:val="24"/>
          <w:highlight w:val="none"/>
          <w:lang w:eastAsia="zh-CN"/>
        </w:rPr>
        <w:t>供应商</w:t>
      </w:r>
      <w:r>
        <w:rPr>
          <w:rFonts w:hint="eastAsia" w:ascii="仿宋" w:hAnsi="仿宋" w:eastAsia="仿宋" w:cs="仿宋"/>
          <w:b w:val="0"/>
          <w:bCs w:val="0"/>
          <w:color w:val="auto"/>
          <w:sz w:val="24"/>
          <w:highlight w:val="none"/>
        </w:rPr>
        <w:t>应当在</w:t>
      </w:r>
      <w:r>
        <w:rPr>
          <w:rFonts w:hint="eastAsia" w:ascii="仿宋" w:hAnsi="仿宋" w:eastAsia="仿宋" w:cs="仿宋"/>
          <w:b w:val="0"/>
          <w:bCs w:val="0"/>
          <w:color w:val="auto"/>
          <w:sz w:val="24"/>
          <w:highlight w:val="none"/>
          <w:lang w:eastAsia="zh-CN"/>
        </w:rPr>
        <w:t>联合体协议或分包意向协议中约定各方承担的货物和服务内容以及各方的合同份额，并在</w:t>
      </w:r>
      <w:r>
        <w:rPr>
          <w:rFonts w:hint="eastAsia" w:ascii="仿宋" w:hAnsi="仿宋" w:eastAsia="仿宋" w:cs="仿宋"/>
          <w:b w:val="0"/>
          <w:bCs w:val="0"/>
          <w:color w:val="auto"/>
          <w:sz w:val="24"/>
          <w:highlight w:val="none"/>
        </w:rPr>
        <w:t>《中小企业声明函》</w:t>
      </w:r>
      <w:r>
        <w:rPr>
          <w:rFonts w:hint="eastAsia" w:ascii="仿宋" w:hAnsi="仿宋" w:eastAsia="仿宋" w:cs="仿宋"/>
          <w:b w:val="0"/>
          <w:bCs w:val="0"/>
          <w:color w:val="auto"/>
          <w:sz w:val="24"/>
          <w:highlight w:val="none"/>
          <w:lang w:eastAsia="zh-CN"/>
        </w:rPr>
        <w:t>中</w:t>
      </w:r>
      <w:r>
        <w:rPr>
          <w:rFonts w:hint="eastAsia" w:ascii="仿宋" w:hAnsi="仿宋" w:eastAsia="仿宋" w:cs="仿宋"/>
          <w:b w:val="0"/>
          <w:bCs w:val="0"/>
          <w:color w:val="auto"/>
          <w:sz w:val="24"/>
          <w:highlight w:val="none"/>
        </w:rPr>
        <w:t>填写</w:t>
      </w:r>
      <w:r>
        <w:rPr>
          <w:rFonts w:hint="eastAsia" w:ascii="仿宋" w:hAnsi="仿宋" w:eastAsia="仿宋" w:cs="仿宋"/>
          <w:b w:val="0"/>
          <w:bCs w:val="0"/>
          <w:color w:val="auto"/>
          <w:sz w:val="24"/>
          <w:highlight w:val="none"/>
          <w:lang w:eastAsia="zh-CN"/>
        </w:rPr>
        <w:t>服务承接商</w:t>
      </w:r>
      <w:r>
        <w:rPr>
          <w:rFonts w:hint="eastAsia" w:ascii="仿宋" w:hAnsi="仿宋" w:eastAsia="仿宋" w:cs="仿宋"/>
          <w:b w:val="0"/>
          <w:bCs w:val="0"/>
          <w:color w:val="auto"/>
          <w:sz w:val="24"/>
          <w:highlight w:val="none"/>
        </w:rPr>
        <w:t>的小微企业相关信息</w:t>
      </w:r>
      <w:r>
        <w:rPr>
          <w:rFonts w:hint="eastAsia" w:ascii="仿宋" w:hAnsi="仿宋" w:eastAsia="仿宋" w:cs="仿宋"/>
          <w:b w:val="0"/>
          <w:bCs w:val="0"/>
          <w:color w:val="auto"/>
          <w:sz w:val="24"/>
          <w:highlight w:val="none"/>
          <w:lang w:eastAsia="zh-CN"/>
        </w:rPr>
        <w:t>，否则不予享受价格扣除</w:t>
      </w:r>
      <w:r>
        <w:rPr>
          <w:rFonts w:hint="eastAsia" w:ascii="仿宋" w:hAnsi="仿宋" w:eastAsia="仿宋" w:cs="仿宋"/>
          <w:b w:val="0"/>
          <w:bCs w:val="0"/>
          <w:color w:val="auto"/>
          <w:sz w:val="24"/>
          <w:highlight w:val="none"/>
        </w:rPr>
        <w:t>。</w:t>
      </w:r>
    </w:p>
    <w:p w14:paraId="41CA19E2">
      <w:pPr>
        <w:snapToGrid w:val="0"/>
        <w:spacing w:line="420" w:lineRule="exact"/>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组成联合体或者接受分包的小微企业与联合体内其他企业、分包企业之间存在直接控股、管理关系的，不享受价格扣除优惠政策。</w:t>
      </w:r>
    </w:p>
    <w:p w14:paraId="4A870428">
      <w:pPr>
        <w:snapToGrid w:val="0"/>
        <w:spacing w:line="440" w:lineRule="exact"/>
        <w:ind w:firstLine="480" w:firstLineChars="200"/>
        <w:jc w:val="left"/>
        <w:rPr>
          <w:rFonts w:hint="eastAsia" w:ascii="仿宋" w:hAnsi="仿宋" w:eastAsia="仿宋" w:cs="仿宋"/>
          <w:b w:val="0"/>
          <w:bCs w:val="0"/>
          <w:color w:val="auto"/>
          <w:sz w:val="24"/>
          <w:highlight w:val="none"/>
        </w:rPr>
      </w:pPr>
      <w:r>
        <w:rPr>
          <w:rFonts w:hint="eastAsia" w:ascii="仿宋" w:hAnsi="仿宋" w:eastAsia="仿宋" w:cs="仿宋"/>
          <w:color w:val="auto"/>
          <w:sz w:val="24"/>
          <w:highlight w:val="none"/>
        </w:rPr>
        <w:t>符合《关于促进残疾人就业政府采购政策的通知》（财库〔2017〕141号）规定的条件并按照采购文件的格式要求提供《残疾人福利性单位声明函》的</w:t>
      </w:r>
      <w:r>
        <w:rPr>
          <w:rFonts w:hint="eastAsia" w:ascii="仿宋" w:hAnsi="仿宋" w:eastAsia="仿宋" w:cs="仿宋"/>
          <w:b w:val="0"/>
          <w:bCs w:val="0"/>
          <w:color w:val="auto"/>
          <w:sz w:val="24"/>
          <w:highlight w:val="none"/>
        </w:rPr>
        <w:t>残疾人福利性单位视同小型、微型企业。供应商提供由省级以上监狱管理局、戒毒管理局（含新疆生产建设兵团）出具的属于监狱企业的证明文件（格式自拟），视同为小型和微型企业。</w:t>
      </w:r>
    </w:p>
    <w:p w14:paraId="25CE849A">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3.3节能环保政策</w:t>
      </w:r>
    </w:p>
    <w:p w14:paraId="2C10B61B">
      <w:pPr>
        <w:snapToGrid w:val="0"/>
        <w:spacing w:line="420" w:lineRule="exact"/>
        <w:ind w:left="0"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本次采购的货物中有属于政府强制采购节能产品的（详见《关于印发节能产品政府采购品目清单的通知》财库〔2019〕19号），供应商须提供获得节能产品认证的货物。参与实施政府采购节能（环境标志）产品认证机构详见《市场监</w:t>
      </w:r>
      <w:r>
        <w:rPr>
          <w:rFonts w:hint="eastAsia" w:ascii="仿宋" w:hAnsi="仿宋" w:eastAsia="仿宋" w:cs="仿宋"/>
          <w:color w:val="auto"/>
          <w:sz w:val="24"/>
          <w:highlight w:val="none"/>
          <w:lang w:val="en-US" w:eastAsia="zh-CN"/>
        </w:rPr>
        <w:t>管</w:t>
      </w:r>
      <w:r>
        <w:rPr>
          <w:rFonts w:hint="eastAsia" w:ascii="仿宋" w:hAnsi="仿宋" w:eastAsia="仿宋" w:cs="仿宋"/>
          <w:color w:val="auto"/>
          <w:sz w:val="24"/>
          <w:highlight w:val="none"/>
        </w:rPr>
        <w:t>总局关于发布参与实施政府采购节能产品、环境标志产品认证机构名录的公告》（2019第16号）；</w:t>
      </w:r>
    </w:p>
    <w:p w14:paraId="3A0DCD64">
      <w:pPr>
        <w:snapToGrid w:val="0"/>
        <w:spacing w:line="440" w:lineRule="exact"/>
        <w:ind w:left="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3.4优先采购创新产品</w:t>
      </w:r>
    </w:p>
    <w:p w14:paraId="5EFCE12B">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供应商所投核心产品中有被省级及省级以上主管部门认定为“首台套产品”或“制造精品”的，自认定之日起3年内视同已具备相应销售业绩，参加政府采购活动时该供应商的业绩分为满分。</w:t>
      </w:r>
    </w:p>
    <w:p w14:paraId="199946FE">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4.采购文件的澄清与修改</w:t>
      </w:r>
    </w:p>
    <w:p w14:paraId="53C749B0">
      <w:pPr>
        <w:pStyle w:val="7"/>
        <w:widowControl w:val="0"/>
        <w:numPr>
          <w:ilvl w:val="0"/>
          <w:numId w:val="0"/>
        </w:numPr>
        <w:spacing w:after="0" w:afterLines="0" w:line="440" w:lineRule="exact"/>
        <w:rPr>
          <w:rFonts w:hint="eastAsia" w:ascii="仿宋" w:hAnsi="仿宋" w:eastAsia="仿宋" w:cs="仿宋"/>
          <w:color w:val="auto"/>
          <w:highlight w:val="none"/>
        </w:rPr>
      </w:pPr>
      <w:r>
        <w:rPr>
          <w:rFonts w:hint="eastAsia" w:ascii="仿宋" w:hAnsi="仿宋" w:eastAsia="仿宋" w:cs="仿宋"/>
          <w:color w:val="auto"/>
          <w:highlight w:val="none"/>
        </w:rPr>
        <w:t>4.1采购人如对采购文件进行澄清、补充、变更的，或者在投标截止时间前规定时间内，招标人需要对采购文件进行补充或修改的，采购人将会通过浙江省政府采购网（</w:t>
      </w:r>
      <w:r>
        <w:rPr>
          <w:rFonts w:hint="eastAsia" w:ascii="仿宋" w:hAnsi="仿宋" w:eastAsia="仿宋" w:cs="仿宋"/>
          <w:color w:val="auto"/>
          <w:spacing w:val="-4"/>
          <w:sz w:val="24"/>
          <w:highlight w:val="none"/>
        </w:rPr>
        <w:t>http://zfcg.czt.zj.gov.cn/</w:t>
      </w:r>
      <w:r>
        <w:rPr>
          <w:rFonts w:hint="eastAsia" w:ascii="仿宋" w:hAnsi="仿宋" w:eastAsia="仿宋" w:cs="仿宋"/>
          <w:color w:val="auto"/>
          <w:highlight w:val="none"/>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w:t>
      </w:r>
    </w:p>
    <w:p w14:paraId="4740E3B7">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4.2为使投标人有足够的时间按更正公告要求修改投标文件，招标人可酌情推迟投标截止时间和开标时间，并将此变更以更正公告的形式通过上述途径通知投标人。</w:t>
      </w:r>
    </w:p>
    <w:p w14:paraId="0E13B702">
      <w:pPr>
        <w:snapToGrid w:val="0"/>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5、参考品牌</w:t>
      </w:r>
    </w:p>
    <w:p w14:paraId="659C5CA0">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5F67C9EC">
      <w:pPr>
        <w:pStyle w:val="3"/>
        <w:spacing w:line="415" w:lineRule="auto"/>
        <w:jc w:val="center"/>
        <w:rPr>
          <w:rFonts w:hint="eastAsia" w:ascii="仿宋" w:hAnsi="仿宋" w:eastAsia="仿宋" w:cs="仿宋"/>
          <w:color w:val="auto"/>
          <w:highlight w:val="none"/>
        </w:rPr>
      </w:pPr>
      <w:bookmarkStart w:id="37" w:name="_Toc18718"/>
      <w:r>
        <w:rPr>
          <w:rFonts w:hint="eastAsia" w:ascii="仿宋" w:hAnsi="仿宋" w:eastAsia="仿宋" w:cs="仿宋"/>
          <w:color w:val="auto"/>
          <w:highlight w:val="none"/>
        </w:rPr>
        <w:t>三、投标文件</w:t>
      </w:r>
      <w:bookmarkEnd w:id="37"/>
    </w:p>
    <w:p w14:paraId="70D49816">
      <w:pPr>
        <w:numPr>
          <w:ilvl w:val="0"/>
          <w:numId w:val="8"/>
        </w:num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投标文件的语言及货币单位</w:t>
      </w:r>
    </w:p>
    <w:p w14:paraId="21B0E6AC">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1.1投标文件以及有关投标事宜的所有来往函电均应以中文书写，专业术语和外文证明材料除外。</w:t>
      </w:r>
    </w:p>
    <w:p w14:paraId="73784D98">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1.2投标文件以人民币元报价或以下浮率（优惠率）报价，具体详见《开标一览表》。</w:t>
      </w:r>
    </w:p>
    <w:p w14:paraId="310CFC66">
      <w:pPr>
        <w:numPr>
          <w:ilvl w:val="0"/>
          <w:numId w:val="8"/>
        </w:num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投标文件的组成</w:t>
      </w:r>
      <w:r>
        <w:rPr>
          <w:rFonts w:hint="eastAsia" w:ascii="仿宋" w:hAnsi="仿宋" w:eastAsia="仿宋" w:cs="仿宋"/>
          <w:bCs/>
          <w:color w:val="auto"/>
          <w:sz w:val="24"/>
          <w:highlight w:val="none"/>
          <w:lang w:bidi="ar-SA"/>
        </w:rPr>
        <w:t>（</w:t>
      </w:r>
      <w:r>
        <w:rPr>
          <w:rFonts w:hint="eastAsia" w:ascii="仿宋" w:hAnsi="仿宋" w:eastAsia="仿宋" w:cs="仿宋"/>
          <w:b/>
          <w:bCs/>
          <w:color w:val="auto"/>
          <w:sz w:val="24"/>
          <w:highlight w:val="none"/>
          <w:lang w:bidi="ar-SA"/>
        </w:rPr>
        <w:t>格式详见第六章附件</w:t>
      </w:r>
      <w:r>
        <w:rPr>
          <w:rFonts w:hint="eastAsia" w:ascii="仿宋" w:hAnsi="仿宋" w:eastAsia="仿宋" w:cs="仿宋"/>
          <w:bCs/>
          <w:color w:val="auto"/>
          <w:sz w:val="24"/>
          <w:highlight w:val="none"/>
          <w:lang w:bidi="ar-SA"/>
        </w:rPr>
        <w:t>）</w:t>
      </w:r>
    </w:p>
    <w:p w14:paraId="18A7567C">
      <w:pPr>
        <w:snapToGrid w:val="0"/>
        <w:spacing w:line="440" w:lineRule="exact"/>
        <w:ind w:firstLine="479"/>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本项目投标文件由“资格文件”、“商务和技术文件”、“报价文件”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电子投标文件”四</w:t>
      </w:r>
      <w:r>
        <w:rPr>
          <w:rFonts w:hint="eastAsia" w:ascii="仿宋" w:hAnsi="仿宋" w:eastAsia="仿宋" w:cs="仿宋"/>
          <w:color w:val="auto"/>
          <w:sz w:val="24"/>
          <w:highlight w:val="none"/>
        </w:rPr>
        <w:t>部分组成：</w:t>
      </w:r>
    </w:p>
    <w:p w14:paraId="5FCD4841">
      <w:pPr>
        <w:snapToGrid w:val="0"/>
        <w:spacing w:line="440" w:lineRule="exact"/>
        <w:ind w:left="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2.1“资格文件”包括以下内容：</w:t>
      </w:r>
    </w:p>
    <w:p w14:paraId="6C517226">
      <w:pPr>
        <w:snapToGrid w:val="0"/>
        <w:spacing w:line="440" w:lineRule="exact"/>
        <w:ind w:left="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rPr>
        <w:t>2.1.1投标声明函；</w:t>
      </w:r>
    </w:p>
    <w:p w14:paraId="77235EA5">
      <w:pPr>
        <w:snapToGrid w:val="0"/>
        <w:spacing w:line="440" w:lineRule="exact"/>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法定代表人授权委托书（个体工商户需经营者参与投标，不得授权）</w:t>
      </w:r>
      <w:r>
        <w:rPr>
          <w:rFonts w:hint="eastAsia" w:ascii="仿宋" w:hAnsi="仿宋" w:eastAsia="仿宋" w:cs="仿宋"/>
          <w:bCs/>
          <w:color w:val="auto"/>
          <w:sz w:val="24"/>
          <w:highlight w:val="none"/>
          <w:lang w:bidi="ar-SA"/>
        </w:rPr>
        <w:t>；</w:t>
      </w:r>
    </w:p>
    <w:p w14:paraId="692BE730">
      <w:pPr>
        <w:snapToGrid w:val="0"/>
        <w:spacing w:line="440" w:lineRule="exact"/>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法定代表人及其授权代表的身份证；</w:t>
      </w:r>
    </w:p>
    <w:p w14:paraId="008A7A7B">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资格条件证明材料：</w:t>
      </w:r>
    </w:p>
    <w:p w14:paraId="4DBA4315">
      <w:pPr>
        <w:snapToGrid w:val="0"/>
        <w:spacing w:line="440" w:lineRule="exact"/>
        <w:ind w:firstLine="600" w:firstLineChars="2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.1营业执照或事业单位法人登记证书；</w:t>
      </w:r>
    </w:p>
    <w:p w14:paraId="69BE74B3">
      <w:pPr>
        <w:snapToGrid w:val="0"/>
        <w:spacing w:line="440" w:lineRule="exact"/>
        <w:ind w:firstLine="600" w:firstLineChars="2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.2特定资格条件证明材料（如有）。</w:t>
      </w:r>
    </w:p>
    <w:p w14:paraId="5683C887">
      <w:pPr>
        <w:bidi w:val="0"/>
        <w:spacing w:line="240" w:lineRule="auto"/>
        <w:rPr>
          <w:rFonts w:hint="eastAsia" w:ascii="仿宋" w:hAnsi="仿宋" w:eastAsia="仿宋" w:cs="仿宋"/>
          <w:b/>
          <w:bCs/>
          <w:color w:val="auto"/>
          <w:sz w:val="32"/>
          <w:szCs w:val="32"/>
          <w:highlight w:val="none"/>
          <w:u w:val="single"/>
        </w:rPr>
      </w:pPr>
      <w:r>
        <w:rPr>
          <w:rFonts w:hint="eastAsia" w:ascii="仿宋" w:hAnsi="仿宋" w:eastAsia="仿宋" w:cs="仿宋"/>
          <w:b/>
          <w:bCs/>
          <w:color w:val="auto"/>
          <w:sz w:val="32"/>
          <w:szCs w:val="32"/>
          <w:highlight w:val="none"/>
          <w:u w:val="single"/>
        </w:rPr>
        <w:t>注：“资格文件”需按采购文件要求的内容制作，复印件需加盖供应商公章。未按第六章附件的要求签字、盖章或内容实质性偏离的，资格审查不通过。</w:t>
      </w:r>
    </w:p>
    <w:p w14:paraId="48916C61">
      <w:pPr>
        <w:snapToGrid w:val="0"/>
        <w:spacing w:line="440" w:lineRule="exact"/>
        <w:ind w:left="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2.2“商务和技术文件”包括以下内容：</w:t>
      </w:r>
    </w:p>
    <w:p w14:paraId="54D5540E">
      <w:pPr>
        <w:snapToGrid w:val="0"/>
        <w:spacing w:line="440" w:lineRule="exact"/>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2.2.1</w:t>
      </w:r>
      <w:r>
        <w:rPr>
          <w:rFonts w:hint="eastAsia" w:ascii="仿宋" w:hAnsi="仿宋" w:eastAsia="仿宋" w:cs="仿宋"/>
          <w:color w:val="auto"/>
          <w:sz w:val="24"/>
          <w:highlight w:val="none"/>
          <w:lang w:val="en-US" w:eastAsia="zh-CN"/>
        </w:rPr>
        <w:t>评分对应表</w:t>
      </w:r>
      <w:r>
        <w:rPr>
          <w:rFonts w:hint="eastAsia" w:ascii="仿宋" w:hAnsi="仿宋" w:eastAsia="仿宋" w:cs="仿宋"/>
          <w:color w:val="auto"/>
          <w:sz w:val="24"/>
          <w:highlight w:val="none"/>
        </w:rPr>
        <w:t>；</w:t>
      </w:r>
    </w:p>
    <w:p w14:paraId="3916F84D">
      <w:pPr>
        <w:snapToGrid w:val="0"/>
        <w:spacing w:line="440" w:lineRule="exact"/>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2.2.2项目明细清单；</w:t>
      </w:r>
    </w:p>
    <w:p w14:paraId="59693683">
      <w:pPr>
        <w:snapToGrid w:val="0"/>
        <w:spacing w:line="440" w:lineRule="exact"/>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2.2.3技术响应表（投标人在技术响应表中，</w:t>
      </w:r>
      <w:r>
        <w:rPr>
          <w:rFonts w:hint="eastAsia" w:ascii="仿宋" w:hAnsi="仿宋" w:eastAsia="仿宋" w:cs="仿宋"/>
          <w:color w:val="auto"/>
          <w:kern w:val="0"/>
          <w:sz w:val="24"/>
          <w:highlight w:val="none"/>
          <w:lang w:val="zh-CN"/>
        </w:rPr>
        <w:t>应对</w:t>
      </w:r>
      <w:r>
        <w:rPr>
          <w:rFonts w:hint="eastAsia" w:ascii="仿宋" w:hAnsi="仿宋" w:eastAsia="仿宋" w:cs="仿宋"/>
          <w:color w:val="auto"/>
          <w:sz w:val="24"/>
          <w:highlight w:val="none"/>
        </w:rPr>
        <w:t>采购需求中的各项技术规范</w:t>
      </w:r>
      <w:r>
        <w:rPr>
          <w:rFonts w:hint="eastAsia" w:ascii="仿宋" w:hAnsi="仿宋" w:eastAsia="仿宋" w:cs="仿宋"/>
          <w:color w:val="auto"/>
          <w:kern w:val="0"/>
          <w:sz w:val="24"/>
          <w:highlight w:val="none"/>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hAnsi="仿宋" w:eastAsia="仿宋" w:cs="仿宋"/>
          <w:color w:val="auto"/>
          <w:sz w:val="24"/>
          <w:highlight w:val="none"/>
        </w:rPr>
        <w:t>）；</w:t>
      </w:r>
    </w:p>
    <w:p w14:paraId="647E9370">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2.2.4商务响应表（需对采购文件中付款方式、服务期限等商务要求进行逐一答复、说明和解释，</w:t>
      </w:r>
      <w:r>
        <w:rPr>
          <w:rFonts w:hint="eastAsia" w:ascii="仿宋" w:hAnsi="仿宋" w:eastAsia="仿宋" w:cs="仿宋"/>
          <w:color w:val="auto"/>
          <w:kern w:val="0"/>
          <w:sz w:val="24"/>
          <w:highlight w:val="none"/>
          <w:lang w:val="zh-CN"/>
        </w:rPr>
        <w:t>正偏离的需详细说明）；</w:t>
      </w:r>
    </w:p>
    <w:p w14:paraId="486C7F83">
      <w:pPr>
        <w:snapToGrid w:val="0"/>
        <w:spacing w:line="440" w:lineRule="exact"/>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2.2.5项目实施方案；</w:t>
      </w:r>
    </w:p>
    <w:p w14:paraId="1223577F">
      <w:pPr>
        <w:pStyle w:val="41"/>
        <w:spacing w:line="360" w:lineRule="auto"/>
        <w:ind w:firstLine="0" w:firstLineChars="0"/>
        <w:jc w:val="left"/>
        <w:rPr>
          <w:rFonts w:hint="eastAsia" w:ascii="仿宋" w:hAnsi="仿宋" w:eastAsia="仿宋" w:cs="仿宋"/>
          <w:color w:val="auto"/>
          <w:szCs w:val="20"/>
          <w:highlight w:val="none"/>
        </w:rPr>
      </w:pPr>
      <w:r>
        <w:rPr>
          <w:rFonts w:hint="eastAsia" w:ascii="仿宋" w:hAnsi="仿宋" w:eastAsia="仿宋" w:cs="仿宋"/>
          <w:color w:val="auto"/>
          <w:szCs w:val="20"/>
          <w:highlight w:val="none"/>
        </w:rPr>
        <w:t>2.2.6</w:t>
      </w:r>
      <w:r>
        <w:rPr>
          <w:rFonts w:hint="eastAsia" w:ascii="仿宋" w:hAnsi="仿宋" w:eastAsia="仿宋" w:cs="仿宋"/>
          <w:color w:val="auto"/>
          <w:sz w:val="24"/>
          <w:highlight w:val="none"/>
        </w:rPr>
        <w:t>项目实施人员清单；</w:t>
      </w:r>
    </w:p>
    <w:p w14:paraId="6F4BFA33">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.7类似业绩一览表（附业绩证明材料）（如有）；</w:t>
      </w:r>
    </w:p>
    <w:p w14:paraId="0BDDEEFA">
      <w:pPr>
        <w:pStyle w:val="41"/>
        <w:spacing w:line="360" w:lineRule="auto"/>
        <w:ind w:firstLine="0" w:firstLineChars="0"/>
        <w:jc w:val="left"/>
        <w:rPr>
          <w:rFonts w:hint="eastAsia" w:ascii="仿宋" w:hAnsi="仿宋" w:eastAsia="仿宋" w:cs="仿宋"/>
          <w:color w:val="auto"/>
          <w:szCs w:val="20"/>
          <w:highlight w:val="none"/>
        </w:rPr>
      </w:pPr>
      <w:r>
        <w:rPr>
          <w:rFonts w:hint="eastAsia" w:ascii="仿宋" w:hAnsi="仿宋" w:eastAsia="仿宋" w:cs="仿宋"/>
          <w:color w:val="auto"/>
          <w:szCs w:val="20"/>
          <w:highlight w:val="none"/>
          <w:lang w:val="zh-CN"/>
        </w:rPr>
        <w:t>2.2.8优惠条件及其他额外承诺；</w:t>
      </w:r>
    </w:p>
    <w:p w14:paraId="6A186A00">
      <w:pPr>
        <w:snapToGrid w:val="0"/>
        <w:spacing w:line="440" w:lineRule="exact"/>
        <w:ind w:left="0"/>
        <w:jc w:val="left"/>
        <w:rPr>
          <w:rFonts w:hint="eastAsia" w:ascii="仿宋" w:hAnsi="仿宋" w:eastAsia="仿宋" w:cs="仿宋"/>
          <w:b/>
          <w:bCs/>
          <w:color w:val="auto"/>
          <w:kern w:val="0"/>
          <w:sz w:val="24"/>
          <w:highlight w:val="none"/>
          <w:lang w:val="zh-CN"/>
        </w:rPr>
      </w:pPr>
      <w:r>
        <w:rPr>
          <w:rFonts w:hint="eastAsia" w:ascii="仿宋" w:hAnsi="仿宋" w:eastAsia="仿宋" w:cs="仿宋"/>
          <w:b/>
          <w:bCs/>
          <w:color w:val="auto"/>
          <w:kern w:val="0"/>
          <w:sz w:val="24"/>
          <w:highlight w:val="none"/>
          <w:lang w:val="zh-CN"/>
        </w:rPr>
        <w:t>2.2.9按评分细则中要求提供的其他资料（重要）；</w:t>
      </w:r>
    </w:p>
    <w:p w14:paraId="0C219166">
      <w:pPr>
        <w:snapToGrid w:val="0"/>
        <w:spacing w:line="440" w:lineRule="exact"/>
        <w:ind w:left="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2.2.10其他投标人认为需要提供的材料，如投标人简介等，格式自拟。</w:t>
      </w:r>
    </w:p>
    <w:p w14:paraId="4DBE6823">
      <w:pPr>
        <w:snapToGrid w:val="0"/>
        <w:spacing w:line="440" w:lineRule="exact"/>
        <w:ind w:left="0"/>
        <w:jc w:val="left"/>
        <w:rPr>
          <w:rFonts w:hint="eastAsia" w:ascii="仿宋" w:hAnsi="仿宋" w:eastAsia="仿宋" w:cs="仿宋"/>
          <w:b/>
          <w:bCs/>
          <w:color w:val="auto"/>
          <w:sz w:val="32"/>
          <w:szCs w:val="32"/>
          <w:highlight w:val="none"/>
          <w:u w:val="single"/>
        </w:rPr>
      </w:pPr>
      <w:r>
        <w:rPr>
          <w:rFonts w:hint="eastAsia" w:ascii="仿宋" w:hAnsi="仿宋" w:eastAsia="仿宋" w:cs="仿宋"/>
          <w:b/>
          <w:bCs/>
          <w:color w:val="auto"/>
          <w:sz w:val="32"/>
          <w:szCs w:val="32"/>
          <w:highlight w:val="none"/>
          <w:u w:val="single"/>
        </w:rPr>
        <w:t>注：</w:t>
      </w:r>
      <w:r>
        <w:rPr>
          <w:rFonts w:hint="eastAsia" w:ascii="仿宋" w:hAnsi="仿宋" w:eastAsia="仿宋" w:cs="仿宋"/>
          <w:b/>
          <w:bCs/>
          <w:color w:val="auto"/>
          <w:sz w:val="32"/>
          <w:szCs w:val="32"/>
          <w:highlight w:val="none"/>
          <w:u w:val="single"/>
          <w:lang w:val="en-US" w:eastAsia="zh-CN"/>
        </w:rPr>
        <w:t>供应商可对上述内容的</w:t>
      </w:r>
      <w:r>
        <w:rPr>
          <w:rFonts w:hint="eastAsia" w:ascii="仿宋" w:hAnsi="仿宋" w:eastAsia="仿宋" w:cs="仿宋"/>
          <w:b/>
          <w:bCs/>
          <w:color w:val="auto"/>
          <w:sz w:val="32"/>
          <w:szCs w:val="32"/>
          <w:highlight w:val="none"/>
          <w:u w:val="single"/>
        </w:rPr>
        <w:t>格式</w:t>
      </w:r>
      <w:r>
        <w:rPr>
          <w:rFonts w:hint="eastAsia" w:ascii="仿宋" w:hAnsi="仿宋" w:eastAsia="仿宋" w:cs="仿宋"/>
          <w:b/>
          <w:bCs/>
          <w:color w:val="auto"/>
          <w:sz w:val="32"/>
          <w:szCs w:val="32"/>
          <w:highlight w:val="none"/>
          <w:u w:val="single"/>
          <w:lang w:val="en-US" w:eastAsia="zh-CN"/>
        </w:rPr>
        <w:t>和内容</w:t>
      </w:r>
      <w:r>
        <w:rPr>
          <w:rFonts w:hint="eastAsia" w:ascii="仿宋" w:hAnsi="仿宋" w:eastAsia="仿宋" w:cs="仿宋"/>
          <w:b/>
          <w:bCs/>
          <w:color w:val="auto"/>
          <w:sz w:val="32"/>
          <w:szCs w:val="32"/>
          <w:highlight w:val="none"/>
          <w:u w:val="single"/>
          <w:lang w:eastAsia="zh-CN"/>
        </w:rPr>
        <w:t>进行调整</w:t>
      </w:r>
      <w:r>
        <w:rPr>
          <w:rFonts w:hint="eastAsia" w:ascii="仿宋" w:hAnsi="仿宋" w:eastAsia="仿宋" w:cs="仿宋"/>
          <w:b/>
          <w:bCs/>
          <w:color w:val="auto"/>
          <w:sz w:val="32"/>
          <w:szCs w:val="32"/>
          <w:highlight w:val="none"/>
          <w:u w:val="single"/>
        </w:rPr>
        <w:t>，以使“商务和技术文件”内容更加完备。</w:t>
      </w:r>
    </w:p>
    <w:p w14:paraId="696CA7B2">
      <w:pPr>
        <w:snapToGrid w:val="0"/>
        <w:spacing w:line="440" w:lineRule="exact"/>
        <w:ind w:left="0"/>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w:t>
      </w: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rPr>
        <w:t>“报价文件”包括以下内容：</w:t>
      </w:r>
    </w:p>
    <w:p w14:paraId="3E31DB1C">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开标一览表；</w:t>
      </w:r>
    </w:p>
    <w:p w14:paraId="5A78936F">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3.2</w:t>
      </w:r>
      <w:r>
        <w:rPr>
          <w:rFonts w:hint="eastAsia" w:ascii="仿宋" w:hAnsi="仿宋" w:eastAsia="仿宋" w:cs="仿宋"/>
          <w:color w:val="auto"/>
          <w:sz w:val="24"/>
          <w:highlight w:val="none"/>
        </w:rPr>
        <w:t>中小企业声明函（如有）；</w:t>
      </w:r>
    </w:p>
    <w:p w14:paraId="397257A1">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3.3</w:t>
      </w:r>
      <w:r>
        <w:rPr>
          <w:rFonts w:hint="eastAsia" w:ascii="仿宋" w:hAnsi="仿宋" w:eastAsia="仿宋" w:cs="仿宋"/>
          <w:color w:val="auto"/>
          <w:sz w:val="24"/>
          <w:highlight w:val="none"/>
        </w:rPr>
        <w:t>残疾人福利性单位声明函（如有）；</w:t>
      </w:r>
    </w:p>
    <w:p w14:paraId="13E711D1">
      <w:pPr>
        <w:keepNext w:val="0"/>
        <w:keepLines w:val="0"/>
        <w:pageBreakBefore w:val="0"/>
        <w:kinsoku/>
        <w:wordWrap/>
        <w:overflowPunct/>
        <w:topLinePunct w:val="0"/>
        <w:autoSpaceDE/>
        <w:autoSpaceDN/>
        <w:bidi w:val="0"/>
        <w:adjustRightInd/>
        <w:snapToGrid w:val="0"/>
        <w:spacing w:line="44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关于报价的其他说明（如有，格式自拟）。</w:t>
      </w:r>
    </w:p>
    <w:p w14:paraId="6BB6030D">
      <w:pPr>
        <w:keepNext w:val="0"/>
        <w:keepLines w:val="0"/>
        <w:pageBreakBefore w:val="0"/>
        <w:kinsoku/>
        <w:wordWrap/>
        <w:overflowPunct/>
        <w:topLinePunct w:val="0"/>
        <w:autoSpaceDE/>
        <w:autoSpaceDN/>
        <w:bidi w:val="0"/>
        <w:adjustRightInd/>
        <w:snapToGrid w:val="0"/>
        <w:spacing w:line="440" w:lineRule="exact"/>
        <w:jc w:val="left"/>
        <w:textAlignment w:val="auto"/>
        <w:rPr>
          <w:rFonts w:hint="eastAsia" w:ascii="仿宋" w:hAnsi="仿宋" w:eastAsia="仿宋" w:cs="仿宋"/>
          <w:b/>
          <w:bCs/>
          <w:color w:val="auto"/>
          <w:sz w:val="32"/>
          <w:szCs w:val="32"/>
          <w:highlight w:val="none"/>
          <w:u w:val="single"/>
        </w:rPr>
      </w:pPr>
      <w:r>
        <w:rPr>
          <w:rFonts w:hint="eastAsia" w:ascii="仿宋" w:hAnsi="仿宋" w:eastAsia="仿宋" w:cs="仿宋"/>
          <w:b/>
          <w:bCs/>
          <w:color w:val="auto"/>
          <w:sz w:val="32"/>
          <w:szCs w:val="32"/>
          <w:highlight w:val="none"/>
          <w:u w:val="single"/>
        </w:rPr>
        <w:t>注：“</w:t>
      </w:r>
      <w:r>
        <w:rPr>
          <w:rFonts w:hint="eastAsia" w:ascii="仿宋" w:hAnsi="仿宋" w:eastAsia="仿宋" w:cs="仿宋"/>
          <w:b/>
          <w:bCs/>
          <w:color w:val="auto"/>
          <w:sz w:val="32"/>
          <w:szCs w:val="32"/>
          <w:highlight w:val="none"/>
          <w:u w:val="single"/>
          <w:lang w:eastAsia="zh-CN"/>
        </w:rPr>
        <w:t>开标一览表</w:t>
      </w:r>
      <w:r>
        <w:rPr>
          <w:rFonts w:hint="eastAsia" w:ascii="仿宋" w:hAnsi="仿宋" w:eastAsia="仿宋" w:cs="仿宋"/>
          <w:b/>
          <w:bCs/>
          <w:color w:val="auto"/>
          <w:sz w:val="32"/>
          <w:szCs w:val="32"/>
          <w:highlight w:val="none"/>
          <w:u w:val="single"/>
        </w:rPr>
        <w:t>”按采购文件第六章规定的内容填写</w:t>
      </w:r>
      <w:r>
        <w:rPr>
          <w:rFonts w:hint="eastAsia" w:ascii="仿宋" w:hAnsi="仿宋" w:eastAsia="仿宋" w:cs="仿宋"/>
          <w:b/>
          <w:bCs/>
          <w:color w:val="auto"/>
          <w:sz w:val="32"/>
          <w:szCs w:val="32"/>
          <w:highlight w:val="none"/>
          <w:u w:val="single"/>
          <w:lang w:eastAsia="zh-CN"/>
        </w:rPr>
        <w:t>、签字和盖章</w:t>
      </w:r>
      <w:r>
        <w:rPr>
          <w:rFonts w:hint="eastAsia" w:ascii="仿宋" w:hAnsi="仿宋" w:eastAsia="仿宋" w:cs="仿宋"/>
          <w:b/>
          <w:bCs/>
          <w:color w:val="auto"/>
          <w:sz w:val="32"/>
          <w:szCs w:val="32"/>
          <w:highlight w:val="none"/>
          <w:u w:val="single"/>
        </w:rPr>
        <w:t>，内容有实质性偏离的作无效投标处理。</w:t>
      </w:r>
    </w:p>
    <w:p w14:paraId="10C9190C">
      <w:pPr>
        <w:pStyle w:val="13"/>
        <w:keepNext w:val="0"/>
        <w:keepLines w:val="0"/>
        <w:pageBreakBefore w:val="0"/>
        <w:kinsoku/>
        <w:wordWrap/>
        <w:overflowPunct/>
        <w:topLinePunct w:val="0"/>
        <w:autoSpaceDE/>
        <w:autoSpaceDN/>
        <w:bidi w:val="0"/>
        <w:adjustRightInd/>
        <w:spacing w:line="440" w:lineRule="exact"/>
        <w:ind w:left="0" w:leftChars="0" w:firstLine="0" w:firstLineChars="0"/>
        <w:textAlignment w:val="auto"/>
        <w:rPr>
          <w:rFonts w:hint="eastAsia"/>
          <w:color w:val="auto"/>
          <w:highlight w:val="none"/>
        </w:rPr>
      </w:pPr>
      <w:r>
        <w:rPr>
          <w:rFonts w:hint="eastAsia" w:ascii="仿宋" w:hAnsi="仿宋" w:eastAsia="仿宋" w:cs="仿宋"/>
          <w:b w:val="0"/>
          <w:bCs w:val="0"/>
          <w:color w:val="auto"/>
          <w:sz w:val="24"/>
          <w:highlight w:val="none"/>
          <w:lang w:val="en-US" w:eastAsia="zh-CN"/>
        </w:rPr>
        <w:t>2.4</w:t>
      </w:r>
      <w:r>
        <w:rPr>
          <w:rFonts w:hint="eastAsia" w:ascii="仿宋" w:hAnsi="仿宋" w:eastAsia="仿宋" w:cs="仿宋"/>
          <w:bCs/>
          <w:color w:val="auto"/>
          <w:sz w:val="24"/>
          <w:highlight w:val="none"/>
        </w:rPr>
        <w:t>电子投标文件（pdf扫描件）</w:t>
      </w:r>
      <w:r>
        <w:rPr>
          <w:rFonts w:hint="eastAsia" w:ascii="仿宋" w:hAnsi="仿宋" w:eastAsia="仿宋" w:cs="仿宋"/>
          <w:color w:val="auto"/>
          <w:sz w:val="24"/>
          <w:highlight w:val="none"/>
        </w:rPr>
        <w:t>，以U盘形式单独密封递交</w:t>
      </w:r>
      <w:r>
        <w:rPr>
          <w:rFonts w:hint="eastAsia" w:ascii="仿宋" w:hAnsi="仿宋" w:eastAsia="仿宋" w:cs="仿宋"/>
          <w:b w:val="0"/>
          <w:bCs w:val="0"/>
          <w:color w:val="auto"/>
          <w:sz w:val="24"/>
          <w:highlight w:val="none"/>
        </w:rPr>
        <w:t>。</w:t>
      </w:r>
    </w:p>
    <w:p w14:paraId="433DCF3B">
      <w:pPr>
        <w:numPr>
          <w:ilvl w:val="0"/>
          <w:numId w:val="8"/>
        </w:num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投标文件的制作要求</w:t>
      </w:r>
    </w:p>
    <w:p w14:paraId="6DF57D9E">
      <w:pPr>
        <w:widowControl/>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3.1封包要求：“资格文件”“商务和技术文件”和“报价文件”需装订成册，分三部分分别密封封装。</w:t>
      </w:r>
      <w:r>
        <w:rPr>
          <w:rFonts w:hint="eastAsia" w:ascii="仿宋" w:hAnsi="仿宋" w:eastAsia="仿宋" w:cs="仿宋"/>
          <w:color w:val="auto"/>
          <w:sz w:val="24"/>
          <w:highlight w:val="none"/>
          <w:lang w:val="en-US" w:eastAsia="zh-CN"/>
        </w:rPr>
        <w:t>同时提供</w:t>
      </w:r>
      <w:r>
        <w:rPr>
          <w:rFonts w:hint="eastAsia" w:ascii="仿宋" w:hAnsi="仿宋" w:eastAsia="仿宋" w:cs="仿宋"/>
          <w:b/>
          <w:bCs/>
          <w:color w:val="auto"/>
          <w:sz w:val="24"/>
          <w:highlight w:val="none"/>
          <w:lang w:val="en-US" w:eastAsia="zh-CN"/>
        </w:rPr>
        <w:t>电子投标文件一份（U盘），电子投标文件为投标文件正本扫描件，单独密封封装。</w:t>
      </w:r>
      <w:r>
        <w:rPr>
          <w:rFonts w:hint="eastAsia" w:ascii="仿宋" w:hAnsi="仿宋" w:eastAsia="仿宋" w:cs="仿宋"/>
          <w:color w:val="auto"/>
          <w:sz w:val="24"/>
          <w:highlight w:val="none"/>
        </w:rPr>
        <w:t>封装表面至少标注项目名称、项目编号、投标人名称、标段编号并加盖供应商公章，若要修改须在修改处加盖单位公章或其授权代表签字或盖章。未按照招标文件规定制作、密封封装的投标文件可不予接收。</w:t>
      </w:r>
    </w:p>
    <w:p w14:paraId="6074E4B5">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3.2签署要求：授权代表按采购文件第六章“投标文件格式附件”各表单要求签署。</w:t>
      </w:r>
    </w:p>
    <w:p w14:paraId="7B4D5E69">
      <w:pPr>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3.3制作要求：建议采用A4幅面，编制页码，制作目录，提倡双面打印。</w:t>
      </w:r>
    </w:p>
    <w:p w14:paraId="35137A71">
      <w:pPr>
        <w:widowControl/>
        <w:snapToGrid w:val="0"/>
        <w:spacing w:line="440" w:lineRule="exact"/>
        <w:rPr>
          <w:rFonts w:hint="eastAsia" w:ascii="仿宋" w:hAnsi="仿宋" w:eastAsia="仿宋" w:cs="仿宋"/>
          <w:b/>
          <w:color w:val="auto"/>
          <w:kern w:val="0"/>
          <w:sz w:val="24"/>
          <w:highlight w:val="none"/>
        </w:rPr>
      </w:pPr>
      <w:r>
        <w:rPr>
          <w:rFonts w:hint="eastAsia" w:ascii="仿宋" w:hAnsi="仿宋" w:eastAsia="仿宋" w:cs="仿宋"/>
          <w:b/>
          <w:color w:val="auto"/>
          <w:sz w:val="24"/>
          <w:highlight w:val="none"/>
        </w:rPr>
        <w:t>4．</w:t>
      </w:r>
      <w:r>
        <w:rPr>
          <w:rFonts w:hint="eastAsia" w:ascii="仿宋" w:hAnsi="仿宋" w:eastAsia="仿宋" w:cs="仿宋"/>
          <w:b/>
          <w:color w:val="auto"/>
          <w:kern w:val="0"/>
          <w:sz w:val="24"/>
          <w:highlight w:val="none"/>
        </w:rPr>
        <w:t>投标文件的补充和修改</w:t>
      </w:r>
    </w:p>
    <w:p w14:paraId="69BF10CD">
      <w:pPr>
        <w:widowControl/>
        <w:snapToGrid w:val="0"/>
        <w:spacing w:line="440" w:lineRule="exact"/>
        <w:ind w:firstLine="482" w:firstLineChars="20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投标截止时间前</w:t>
      </w:r>
      <w:r>
        <w:rPr>
          <w:rFonts w:hint="eastAsia" w:ascii="仿宋" w:hAnsi="仿宋" w:eastAsia="仿宋" w:cs="仿宋"/>
          <w:color w:val="auto"/>
          <w:kern w:val="0"/>
          <w:sz w:val="24"/>
          <w:highlight w:val="none"/>
        </w:rPr>
        <w:t>，供应商可以以书面形式提出对投标文件进行补充和修改，相应部分以最后的补充和修改为准。若修改和补充为书面材料的应当密封，</w:t>
      </w:r>
      <w:r>
        <w:rPr>
          <w:rFonts w:hint="eastAsia" w:ascii="仿宋" w:hAnsi="仿宋" w:eastAsia="仿宋" w:cs="仿宋"/>
          <w:color w:val="auto"/>
          <w:sz w:val="24"/>
          <w:highlight w:val="none"/>
        </w:rPr>
        <w:t>并明确注明“资格文件（或</w:t>
      </w:r>
      <w:r>
        <w:rPr>
          <w:rFonts w:hint="eastAsia" w:ascii="仿宋" w:hAnsi="仿宋" w:eastAsia="仿宋" w:cs="仿宋"/>
          <w:color w:val="auto"/>
          <w:kern w:val="0"/>
          <w:sz w:val="24"/>
          <w:highlight w:val="none"/>
        </w:rPr>
        <w:t>商务和技术文件或报价文件）修改（或补充）材料、项目名称或项目（标段）编号、供应商名称</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字样</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同时由</w:t>
      </w:r>
      <w:r>
        <w:rPr>
          <w:rFonts w:hint="eastAsia" w:ascii="仿宋" w:hAnsi="仿宋" w:eastAsia="仿宋" w:cs="仿宋"/>
          <w:color w:val="auto"/>
          <w:sz w:val="24"/>
          <w:highlight w:val="none"/>
        </w:rPr>
        <w:t>法定代表人或其授权代表签字或盖章</w:t>
      </w:r>
      <w:r>
        <w:rPr>
          <w:rFonts w:hint="eastAsia" w:ascii="仿宋" w:hAnsi="仿宋" w:eastAsia="仿宋" w:cs="仿宋"/>
          <w:color w:val="auto"/>
          <w:kern w:val="0"/>
          <w:sz w:val="24"/>
          <w:highlight w:val="none"/>
        </w:rPr>
        <w:t>。未按上述规则制作的补充和修改材料将被拒收。</w:t>
      </w:r>
    </w:p>
    <w:p w14:paraId="18090B36">
      <w:pPr>
        <w:pStyle w:val="7"/>
        <w:numPr>
          <w:ilvl w:val="0"/>
          <w:numId w:val="0"/>
        </w:numPr>
        <w:spacing w:after="0" w:afterLines="0" w:line="440" w:lineRule="atLeast"/>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5.投标文件的有效期</w:t>
      </w:r>
    </w:p>
    <w:p w14:paraId="20BB3DB2">
      <w:pPr>
        <w:pStyle w:val="7"/>
        <w:numPr>
          <w:ilvl w:val="0"/>
          <w:numId w:val="0"/>
        </w:numPr>
        <w:spacing w:after="0" w:afterLines="0" w:line="440" w:lineRule="atLeast"/>
        <w:rPr>
          <w:rFonts w:hint="eastAsia" w:ascii="仿宋" w:hAnsi="仿宋" w:eastAsia="仿宋" w:cs="仿宋"/>
          <w:color w:val="auto"/>
          <w:szCs w:val="24"/>
          <w:highlight w:val="none"/>
        </w:rPr>
      </w:pPr>
      <w:r>
        <w:rPr>
          <w:rFonts w:hint="eastAsia" w:ascii="仿宋" w:hAnsi="仿宋" w:eastAsia="仿宋" w:cs="仿宋"/>
          <w:color w:val="auto"/>
          <w:szCs w:val="24"/>
          <w:highlight w:val="none"/>
        </w:rPr>
        <w:t>5.1</w:t>
      </w:r>
      <w:r>
        <w:rPr>
          <w:rFonts w:hint="eastAsia" w:ascii="仿宋" w:hAnsi="仿宋" w:eastAsia="仿宋" w:cs="仿宋"/>
          <w:color w:val="auto"/>
          <w:highlight w:val="none"/>
        </w:rPr>
        <w:t>投标文件有效期详见前附表。投标有效期内，投标人不得撤销或更换投标文件。</w:t>
      </w:r>
    </w:p>
    <w:p w14:paraId="5A9042D8">
      <w:pPr>
        <w:pStyle w:val="7"/>
        <w:numPr>
          <w:ilvl w:val="0"/>
          <w:numId w:val="0"/>
        </w:numPr>
        <w:spacing w:after="0" w:afterLines="0" w:line="440" w:lineRule="atLeast"/>
        <w:rPr>
          <w:rFonts w:hint="eastAsia" w:ascii="仿宋" w:hAnsi="仿宋" w:eastAsia="仿宋" w:cs="仿宋"/>
          <w:color w:val="auto"/>
          <w:szCs w:val="24"/>
          <w:highlight w:val="none"/>
        </w:rPr>
      </w:pPr>
      <w:r>
        <w:rPr>
          <w:rFonts w:hint="eastAsia" w:ascii="仿宋" w:hAnsi="仿宋" w:eastAsia="仿宋" w:cs="仿宋"/>
          <w:color w:val="auto"/>
          <w:szCs w:val="24"/>
          <w:highlight w:val="none"/>
        </w:rPr>
        <w:t>5.2投标有效期内未完成开评标及与中标人签订合同的，采购人需与投标人书面协商延长投标书的有效期。</w:t>
      </w:r>
    </w:p>
    <w:p w14:paraId="001B42D5">
      <w:pPr>
        <w:pStyle w:val="7"/>
        <w:numPr>
          <w:ilvl w:val="0"/>
          <w:numId w:val="0"/>
        </w:numPr>
        <w:spacing w:after="0" w:afterLines="0" w:line="440" w:lineRule="atLeast"/>
        <w:rPr>
          <w:rFonts w:hint="eastAsia" w:ascii="仿宋" w:hAnsi="仿宋" w:eastAsia="仿宋" w:cs="仿宋"/>
          <w:color w:val="auto"/>
          <w:szCs w:val="24"/>
          <w:highlight w:val="none"/>
        </w:rPr>
      </w:pPr>
      <w:r>
        <w:rPr>
          <w:rFonts w:hint="eastAsia" w:ascii="仿宋" w:hAnsi="仿宋" w:eastAsia="仿宋" w:cs="仿宋"/>
          <w:color w:val="auto"/>
          <w:szCs w:val="24"/>
          <w:highlight w:val="none"/>
        </w:rPr>
        <w:t>5.3投标人可拒绝接受延期要求。同意延长有效期的投标人不能修改投标文件。</w:t>
      </w:r>
    </w:p>
    <w:p w14:paraId="220BA5B9">
      <w:pPr>
        <w:pStyle w:val="7"/>
        <w:numPr>
          <w:ilvl w:val="0"/>
          <w:numId w:val="0"/>
        </w:numPr>
        <w:spacing w:after="0" w:afterLines="0" w:line="440" w:lineRule="atLeast"/>
        <w:rPr>
          <w:rFonts w:hint="eastAsia" w:ascii="仿宋" w:hAnsi="仿宋" w:eastAsia="仿宋" w:cs="仿宋"/>
          <w:color w:val="auto"/>
          <w:szCs w:val="24"/>
          <w:highlight w:val="none"/>
        </w:rPr>
      </w:pPr>
      <w:r>
        <w:rPr>
          <w:rFonts w:hint="eastAsia" w:ascii="仿宋" w:hAnsi="仿宋" w:eastAsia="仿宋" w:cs="仿宋"/>
          <w:color w:val="auto"/>
          <w:szCs w:val="24"/>
          <w:highlight w:val="none"/>
        </w:rPr>
        <w:t>5.4投标文件不予退还。</w:t>
      </w:r>
    </w:p>
    <w:p w14:paraId="147A1B07">
      <w:pPr>
        <w:pStyle w:val="3"/>
        <w:spacing w:line="415" w:lineRule="auto"/>
        <w:jc w:val="center"/>
        <w:rPr>
          <w:rFonts w:hint="eastAsia" w:ascii="仿宋" w:hAnsi="仿宋" w:eastAsia="仿宋" w:cs="仿宋"/>
          <w:color w:val="auto"/>
          <w:highlight w:val="none"/>
        </w:rPr>
      </w:pPr>
      <w:bookmarkStart w:id="38" w:name="_Toc7885"/>
      <w:r>
        <w:rPr>
          <w:rFonts w:hint="eastAsia" w:ascii="仿宋" w:hAnsi="仿宋" w:eastAsia="仿宋" w:cs="仿宋"/>
          <w:color w:val="auto"/>
          <w:highlight w:val="none"/>
        </w:rPr>
        <w:t>四、开标评标</w:t>
      </w:r>
      <w:bookmarkEnd w:id="38"/>
    </w:p>
    <w:p w14:paraId="3C956BFE">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1．开标出席</w:t>
      </w:r>
    </w:p>
    <w:p w14:paraId="6DE57922">
      <w:pPr>
        <w:snapToGrid w:val="0"/>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 投标供应商法定代表人或其授权代表或个体工商户经营者</w:t>
      </w:r>
      <w:r>
        <w:rPr>
          <w:rFonts w:hint="eastAsia" w:ascii="仿宋" w:hAnsi="仿宋" w:eastAsia="仿宋" w:cs="仿宋"/>
          <w:b/>
          <w:bCs/>
          <w:color w:val="auto"/>
          <w:sz w:val="24"/>
          <w:highlight w:val="none"/>
          <w:lang w:val="en-US" w:eastAsia="zh-CN"/>
        </w:rPr>
        <w:t>无</w:t>
      </w:r>
      <w:r>
        <w:rPr>
          <w:rFonts w:hint="eastAsia" w:ascii="仿宋" w:hAnsi="仿宋" w:eastAsia="仿宋" w:cs="仿宋"/>
          <w:b/>
          <w:bCs/>
          <w:color w:val="auto"/>
          <w:sz w:val="24"/>
          <w:highlight w:val="none"/>
        </w:rPr>
        <w:t>需出席开标会议，</w:t>
      </w:r>
    </w:p>
    <w:p w14:paraId="436B8C95">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2．投标文件的提交</w:t>
      </w:r>
    </w:p>
    <w:p w14:paraId="65226B3C">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2.1投标文件递交地点以招标文件载明的开标室为准，递交时间以开标室的电子时钟显示为准，逾期不予接受。</w:t>
      </w:r>
    </w:p>
    <w:p w14:paraId="74D139EE">
      <w:pPr>
        <w:snapToGrid w:val="0"/>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2.2供应商在投标截止时间后不得在开标室外补充提交标书、各类证书证明等材料。</w:t>
      </w:r>
    </w:p>
    <w:p w14:paraId="5D1FD37C">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2.3投标截止时间前，供应商有权对投标文件包封、签署、盖章进行完善。</w:t>
      </w:r>
    </w:p>
    <w:p w14:paraId="59CBE0E8">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2.4投标文件提交后，供应商应当签署《投标（响应）文件签收登记表》。</w:t>
      </w:r>
    </w:p>
    <w:p w14:paraId="0B4FBD74">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3．开标大会程序</w:t>
      </w:r>
    </w:p>
    <w:p w14:paraId="4418345D">
      <w:pPr>
        <w:snapToGrid w:val="0"/>
        <w:spacing w:line="440" w:lineRule="exact"/>
        <w:jc w:val="left"/>
        <w:rPr>
          <w:rFonts w:hint="eastAsia" w:ascii="仿宋" w:hAnsi="仿宋" w:eastAsia="仿宋" w:cs="仿宋"/>
          <w:color w:val="auto"/>
          <w:sz w:val="24"/>
          <w:highlight w:val="none"/>
          <w:u w:val="none"/>
        </w:rPr>
      </w:pPr>
      <w:r>
        <w:rPr>
          <w:rFonts w:hint="eastAsia" w:ascii="仿宋" w:hAnsi="仿宋" w:eastAsia="仿宋" w:cs="仿宋"/>
          <w:b w:val="0"/>
          <w:bCs w:val="0"/>
          <w:color w:val="auto"/>
          <w:sz w:val="24"/>
          <w:highlight w:val="none"/>
          <w:u w:val="none" w:color="auto"/>
        </w:rPr>
        <w:t>开标大会由采购代理机构主持。</w:t>
      </w:r>
    </w:p>
    <w:p w14:paraId="5BE735E8">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3.1主持人宣布开标会开始，介绍到会单位和人员。</w:t>
      </w:r>
    </w:p>
    <w:p w14:paraId="506E4C70">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3.2采购代理机构核对、宣读完成标书提交并签到的供应商名单。</w:t>
      </w:r>
    </w:p>
    <w:p w14:paraId="049B067C">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3.3采购代理机构组织代表相互检查投标文件包封情况，不满足采购文件规定的将予以拒收。</w:t>
      </w:r>
    </w:p>
    <w:p w14:paraId="08407610">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3.4采购代理机构组织各供应商法定代表人或其授权代表签署《采购活动现场确认声明书》。</w:t>
      </w:r>
    </w:p>
    <w:p w14:paraId="1570D28C">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3.5启封“资格文件”，</w:t>
      </w:r>
      <w:r>
        <w:rPr>
          <w:rFonts w:hint="eastAsia" w:ascii="仿宋" w:hAnsi="仿宋" w:eastAsia="仿宋" w:cs="仿宋"/>
          <w:color w:val="auto"/>
          <w:sz w:val="24"/>
          <w:highlight w:val="none"/>
          <w:lang w:val="en-US" w:eastAsia="zh-CN"/>
        </w:rPr>
        <w:t>采购人或采购人委托的评审小组或采购代理机构</w:t>
      </w:r>
      <w:r>
        <w:rPr>
          <w:rFonts w:hint="eastAsia" w:ascii="仿宋" w:hAnsi="仿宋" w:eastAsia="仿宋" w:cs="仿宋"/>
          <w:color w:val="auto"/>
          <w:sz w:val="24"/>
          <w:highlight w:val="none"/>
        </w:rPr>
        <w:t>对“资格文件”进行资格审查，公布审查结果。</w:t>
      </w:r>
    </w:p>
    <w:p w14:paraId="4AC4385D">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3.6启封“商务和技术文件”，交由评审委员会评审。如有演示要求，组织各供应商逐一演示，具体详见《前附表》中的演示要求。</w:t>
      </w:r>
    </w:p>
    <w:p w14:paraId="3DF2D7AA">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3.7主持人宣布商务和技术文件得分情况及无效（废）投标情形（如有）。</w:t>
      </w:r>
    </w:p>
    <w:p w14:paraId="338370D8">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3.8启封“报价文件”，宣读供应商名称、投标报价等内容。</w:t>
      </w:r>
    </w:p>
    <w:p w14:paraId="62A0209B">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3.9评审委员会对“报价文件”进行评审，计算评标价及价格分，汇总商务技术分、价格分，根据得分排序确定中标候选人。</w:t>
      </w:r>
    </w:p>
    <w:p w14:paraId="4DC88A57">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3.10主持人公布评审结果。</w:t>
      </w:r>
    </w:p>
    <w:p w14:paraId="2C29E514">
      <w:pPr>
        <w:snapToGrid w:val="0"/>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以上程序在不违反公开、公平、公正原则的基础上，可适当调整。</w:t>
      </w:r>
    </w:p>
    <w:p w14:paraId="36CD8C37">
      <w:pPr>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4</w:t>
      </w:r>
      <w:r>
        <w:rPr>
          <w:rFonts w:hint="eastAsia" w:ascii="仿宋" w:hAnsi="仿宋" w:eastAsia="仿宋" w:cs="仿宋"/>
          <w:b/>
          <w:bCs/>
          <w:color w:val="auto"/>
          <w:sz w:val="24"/>
          <w:highlight w:val="none"/>
        </w:rPr>
        <w:t>.评审委员会的组成</w:t>
      </w:r>
    </w:p>
    <w:p w14:paraId="2A7D79D3">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1评审委员会由采购单位依法组建，负责评标活动及协助处理质疑投诉。参与本项目进口论证的专家不得作为采购评审专家参与同一项目的采购评审工作。</w:t>
      </w:r>
    </w:p>
    <w:p w14:paraId="1FF67CDD">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.2评审委员会由采购人代表和有关方面的专家组成，成员人数为五人及以上单数。预算金额在1000万及以上的，成员人数为七人及以上单数。</w:t>
      </w:r>
    </w:p>
    <w:p w14:paraId="0671B99F">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.3采购人代表不担任评审组长。</w:t>
      </w:r>
    </w:p>
    <w:p w14:paraId="42CF2F5A">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.4经采购监督部门同意，由于专家库无相应专业专家或技术复杂等原因允许采购人自行组建或推荐抽取评审专家，相关操作规则需符合法律规定。</w:t>
      </w:r>
    </w:p>
    <w:p w14:paraId="2C5223CD">
      <w:pPr>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rPr>
        <w:t>.评审</w:t>
      </w:r>
    </w:p>
    <w:p w14:paraId="6A7BB12E">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.1评审程序：</w:t>
      </w:r>
    </w:p>
    <w:p w14:paraId="17759389">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.1.1资格审查：</w:t>
      </w:r>
      <w:r>
        <w:rPr>
          <w:rFonts w:hint="eastAsia" w:ascii="仿宋" w:hAnsi="仿宋" w:eastAsia="仿宋" w:cs="仿宋"/>
          <w:color w:val="auto"/>
          <w:sz w:val="24"/>
          <w:highlight w:val="none"/>
          <w:lang w:val="en-US" w:eastAsia="zh-CN"/>
        </w:rPr>
        <w:t>采购人或采购人委托的评审小组或采购代理机构</w:t>
      </w:r>
      <w:r>
        <w:rPr>
          <w:rFonts w:hint="eastAsia" w:ascii="仿宋" w:hAnsi="仿宋" w:eastAsia="仿宋" w:cs="仿宋"/>
          <w:color w:val="auto"/>
          <w:sz w:val="24"/>
          <w:highlight w:val="none"/>
        </w:rPr>
        <w:t>依据法律、法规和采购文件规定，对投标文件中“资格文件”等进行审查，以确定投标人是否具备投标资格。</w:t>
      </w:r>
    </w:p>
    <w:p w14:paraId="517FFFB0">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1.2“商务和技术文件”的符合性审查：评定每份投标文件是否在实质上响应了采购文件要求，审查范围包括实质性响应条款、采购文件规定的无效投标条款、违反法律法规的行为以及评审委员会认为的对采购文件构成重大偏差的内容。</w:t>
      </w:r>
    </w:p>
    <w:p w14:paraId="734A2C0A">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.1.3商务技术评分：对“商务和技术文件”中的响应情况进行评分。</w:t>
      </w:r>
    </w:p>
    <w:p w14:paraId="1ED83829">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.1.4“报价文件”的符合性审查：审查范围包括报价有效性、准确性等。</w:t>
      </w:r>
    </w:p>
    <w:p w14:paraId="52D7AA7A">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.1.5报价评分：根据评审价格和价格分计算公式计算各投标人价格分。</w:t>
      </w:r>
    </w:p>
    <w:p w14:paraId="7D66EC8B">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.2评审委员会不负责解释投标人的得分高低和失分情况。</w:t>
      </w:r>
    </w:p>
    <w:p w14:paraId="2B99DA19">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.3评审委员会不得依据投标文件（包括样品、演示）以外的资料评分。</w:t>
      </w:r>
    </w:p>
    <w:p w14:paraId="72DD6552">
      <w:pPr>
        <w:spacing w:line="480" w:lineRule="exact"/>
        <w:jc w:val="left"/>
        <w:rPr>
          <w:rFonts w:hint="eastAsia" w:ascii="仿宋" w:hAnsi="仿宋" w:eastAsia="仿宋" w:cs="仿宋"/>
          <w:b/>
          <w:bCs/>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4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w:t>
      </w:r>
      <w:r>
        <w:rPr>
          <w:rFonts w:hint="eastAsia" w:ascii="仿宋" w:hAnsi="仿宋" w:eastAsia="仿宋" w:cs="仿宋"/>
          <w:b/>
          <w:bCs/>
          <w:color w:val="auto"/>
          <w:sz w:val="24"/>
          <w:highlight w:val="none"/>
        </w:rPr>
        <w:t>不接受投标人提出的主动澄清。</w:t>
      </w:r>
    </w:p>
    <w:p w14:paraId="5629F493">
      <w:pPr>
        <w:widowControl/>
        <w:snapToGrid w:val="0"/>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.5评审委员会不向落标方解释落标的原因，不退还投标文件。</w:t>
      </w:r>
    </w:p>
    <w:p w14:paraId="0060C994">
      <w:pPr>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rPr>
        <w:t>.报价修正规则</w:t>
      </w:r>
    </w:p>
    <w:p w14:paraId="44A46D5D">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.1投标文件中开标一览表（报价表）内容与投标文件中相应内容不一致的，以开标一览表（报价表）为准；</w:t>
      </w:r>
    </w:p>
    <w:p w14:paraId="269A7F6F">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.2大写金额和小写金额不一致的，以大写金额为准；</w:t>
      </w:r>
    </w:p>
    <w:p w14:paraId="5EF800B2">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.3单价金额小数点或者百分比有明显错位的，以开标一览表的总价为准，并修改单价；</w:t>
      </w:r>
    </w:p>
    <w:p w14:paraId="036465A0">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.4总价金额与按单价汇总金额不一致的，以单价金额计算结果为准。</w:t>
      </w:r>
    </w:p>
    <w:p w14:paraId="7F147D99">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同时出现两种以上不一致的，按照前款规定的顺序修正。</w:t>
      </w:r>
      <w:r>
        <w:rPr>
          <w:rFonts w:hint="eastAsia" w:ascii="仿宋" w:hAnsi="仿宋" w:eastAsia="仿宋" w:cs="仿宋"/>
          <w:bCs/>
          <w:color w:val="auto"/>
          <w:sz w:val="24"/>
          <w:highlight w:val="none"/>
        </w:rPr>
        <w:t>修正后的报价按照财政部公布第87号令 《政府采购货物和服务招标投标管理办法》</w:t>
      </w:r>
      <w:r>
        <w:rPr>
          <w:rFonts w:hint="eastAsia" w:ascii="仿宋" w:hAnsi="仿宋" w:eastAsia="仿宋" w:cs="仿宋"/>
          <w:color w:val="auto"/>
          <w:sz w:val="24"/>
          <w:highlight w:val="none"/>
        </w:rPr>
        <w:t>第五十一条第二款的规定经投标人确认后产生约束力，投标人不确认的，其投标无效。</w:t>
      </w:r>
    </w:p>
    <w:p w14:paraId="7FA58793">
      <w:pPr>
        <w:pStyle w:val="16"/>
        <w:snapToGrid w:val="0"/>
        <w:spacing w:line="44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．无效投标的情形</w:t>
      </w:r>
    </w:p>
    <w:p w14:paraId="0D6BF7E4">
      <w:pPr>
        <w:tabs>
          <w:tab w:val="left" w:pos="4085"/>
        </w:tabs>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投标响应文件有下列情形之一的作无效投标处理：</w:t>
      </w:r>
    </w:p>
    <w:p w14:paraId="07AE2774">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7</w:t>
      </w:r>
      <w:r>
        <w:rPr>
          <w:rFonts w:hint="eastAsia" w:ascii="仿宋" w:hAnsi="仿宋" w:eastAsia="仿宋" w:cs="仿宋"/>
          <w:b/>
          <w:color w:val="auto"/>
          <w:sz w:val="24"/>
          <w:highlight w:val="none"/>
        </w:rPr>
        <w:t>.1单位负责人为同一人或者存在直接控股、管理关系的不同供应商参加同一合同项（标项）下的政府采购活动的（双方均作无效投标处理）；</w:t>
      </w:r>
    </w:p>
    <w:p w14:paraId="0378B1AF">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7</w:t>
      </w:r>
      <w:r>
        <w:rPr>
          <w:rFonts w:hint="eastAsia" w:ascii="仿宋" w:hAnsi="仿宋" w:eastAsia="仿宋" w:cs="仿宋"/>
          <w:b/>
          <w:color w:val="auto"/>
          <w:sz w:val="24"/>
          <w:highlight w:val="none"/>
        </w:rPr>
        <w:t xml:space="preserve">.2为采购项目提供整体设计、规范编制或者项目管理、监理、检测等服务的供应商再参加该采购项目的其他采购活动的（单一来源采购除外）； </w:t>
      </w:r>
    </w:p>
    <w:p w14:paraId="56FF2E97">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7</w:t>
      </w:r>
      <w:r>
        <w:rPr>
          <w:rFonts w:hint="eastAsia" w:ascii="仿宋" w:hAnsi="仿宋" w:eastAsia="仿宋" w:cs="仿宋"/>
          <w:b/>
          <w:color w:val="auto"/>
          <w:sz w:val="24"/>
          <w:highlight w:val="none"/>
        </w:rPr>
        <w:t>.3投标人不具备采购文件中规定的资格要求的（投标人未按采购文件要求提供资格文件的，视为投标人不具备采购文件中规定的资格要求）；</w:t>
      </w:r>
    </w:p>
    <w:p w14:paraId="2BB2AC2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lang w:eastAsia="zh-CN"/>
        </w:rPr>
        <w:t>7</w:t>
      </w:r>
      <w:r>
        <w:rPr>
          <w:rFonts w:hint="eastAsia" w:ascii="仿宋" w:hAnsi="仿宋" w:eastAsia="仿宋" w:cs="仿宋"/>
          <w:b/>
          <w:color w:val="auto"/>
          <w:kern w:val="0"/>
          <w:sz w:val="24"/>
          <w:highlight w:val="none"/>
        </w:rPr>
        <w:t>.4</w:t>
      </w:r>
      <w:r>
        <w:rPr>
          <w:rFonts w:hint="eastAsia" w:ascii="仿宋" w:hAnsi="仿宋" w:eastAsia="仿宋" w:cs="仿宋"/>
          <w:b/>
          <w:caps w:val="0"/>
          <w:smallCaps w:val="0"/>
          <w:vanish w:val="0"/>
          <w:color w:val="auto"/>
          <w:kern w:val="0"/>
          <w:sz w:val="24"/>
          <w:szCs w:val="24"/>
          <w:highlight w:val="none"/>
          <w:vertAlign w:val="baseline"/>
        </w:rPr>
        <w:t>《中小企业声明函》、《残疾人福利性单位声明函》提供不实信息的</w:t>
      </w:r>
      <w:r>
        <w:rPr>
          <w:rFonts w:hint="eastAsia" w:ascii="仿宋" w:hAnsi="仿宋" w:eastAsia="仿宋" w:cs="仿宋"/>
          <w:b/>
          <w:color w:val="auto"/>
          <w:kern w:val="0"/>
          <w:sz w:val="24"/>
          <w:highlight w:val="none"/>
        </w:rPr>
        <w:t>；</w:t>
      </w:r>
    </w:p>
    <w:p w14:paraId="4D197E8D">
      <w:pPr>
        <w:snapToGrid w:val="0"/>
        <w:spacing w:line="440" w:lineRule="exact"/>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lang w:eastAsia="zh-CN"/>
        </w:rPr>
        <w:t>7</w:t>
      </w:r>
      <w:r>
        <w:rPr>
          <w:rFonts w:hint="eastAsia" w:ascii="仿宋" w:hAnsi="仿宋" w:eastAsia="仿宋" w:cs="仿宋"/>
          <w:b/>
          <w:color w:val="auto"/>
          <w:kern w:val="0"/>
          <w:sz w:val="24"/>
          <w:highlight w:val="none"/>
        </w:rPr>
        <w:t>.5投标文件制作出现如下情况：</w:t>
      </w:r>
    </w:p>
    <w:p w14:paraId="0767C36F">
      <w:pPr>
        <w:snapToGrid w:val="0"/>
        <w:spacing w:line="44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7</w:t>
      </w:r>
      <w:r>
        <w:rPr>
          <w:rFonts w:hint="eastAsia" w:ascii="仿宋" w:hAnsi="仿宋" w:eastAsia="仿宋" w:cs="仿宋"/>
          <w:color w:val="auto"/>
          <w:kern w:val="0"/>
          <w:sz w:val="24"/>
          <w:highlight w:val="none"/>
        </w:rPr>
        <w:t>.5.1未按采购文件要求制作“资格文件”的；</w:t>
      </w:r>
    </w:p>
    <w:p w14:paraId="5219C1D6">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.5.2报价一经涂改，未在涂改处加盖投标单位公章或者未经法定代表人或其授权代表签字或盖章的；</w:t>
      </w:r>
    </w:p>
    <w:p w14:paraId="53CBDE17">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.5.3“资格文件”或“商务和技术文件”部分中出现用于价格分评审的投标报价的（采购文件另有规定的参与“商务和技术文件”评审的报价除外）；</w:t>
      </w:r>
    </w:p>
    <w:p w14:paraId="1B9DD3C4">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szCs w:val="20"/>
          <w:highlight w:val="none"/>
          <w:lang w:eastAsia="zh-CN"/>
        </w:rPr>
        <w:t>7</w:t>
      </w:r>
      <w:r>
        <w:rPr>
          <w:rFonts w:hint="eastAsia" w:ascii="仿宋" w:hAnsi="仿宋" w:eastAsia="仿宋" w:cs="仿宋"/>
          <w:color w:val="auto"/>
          <w:sz w:val="24"/>
          <w:szCs w:val="20"/>
          <w:highlight w:val="none"/>
        </w:rPr>
        <w:t>.5.4对招标</w:t>
      </w:r>
      <w:r>
        <w:rPr>
          <w:rFonts w:hint="eastAsia" w:ascii="仿宋" w:hAnsi="仿宋" w:eastAsia="仿宋" w:cs="仿宋"/>
          <w:color w:val="auto"/>
          <w:sz w:val="24"/>
          <w:highlight w:val="none"/>
        </w:rPr>
        <w:t>服务或技术或产品等要求</w:t>
      </w:r>
      <w:r>
        <w:rPr>
          <w:rFonts w:hint="eastAsia" w:ascii="仿宋" w:hAnsi="仿宋" w:eastAsia="仿宋" w:cs="仿宋"/>
          <w:color w:val="auto"/>
          <w:sz w:val="24"/>
          <w:szCs w:val="20"/>
          <w:highlight w:val="none"/>
        </w:rPr>
        <w:t>未详细应答或应答</w:t>
      </w:r>
      <w:r>
        <w:rPr>
          <w:rFonts w:hint="eastAsia" w:ascii="仿宋" w:hAnsi="仿宋" w:eastAsia="仿宋" w:cs="仿宋"/>
          <w:color w:val="auto"/>
          <w:sz w:val="24"/>
          <w:highlight w:val="none"/>
        </w:rPr>
        <w:t>内容不全、有缺失的,经评审委员会认定为无法评审的；</w:t>
      </w:r>
    </w:p>
    <w:p w14:paraId="6D7CA1CC">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.5.5关键信息填写不完整或字迹不能辨认或有漏项的，经评审委员会认定属于重大偏差的；</w:t>
      </w:r>
    </w:p>
    <w:p w14:paraId="4558EDF8">
      <w:pPr>
        <w:snapToGrid w:val="0"/>
        <w:spacing w:line="44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.5.6未按采购文件规定要求签署盖章的。</w:t>
      </w:r>
    </w:p>
    <w:p w14:paraId="7F5F5DB2">
      <w:pPr>
        <w:snapToGrid w:val="0"/>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在</w:t>
      </w:r>
      <w:r>
        <w:rPr>
          <w:rFonts w:hint="eastAsia" w:ascii="仿宋" w:hAnsi="仿宋" w:eastAsia="仿宋" w:cs="仿宋"/>
          <w:color w:val="auto"/>
          <w:sz w:val="24"/>
          <w:highlight w:val="none"/>
          <w:lang w:eastAsia="zh-CN"/>
        </w:rPr>
        <w:t>《开标一览表》</w:t>
      </w:r>
      <w:r>
        <w:rPr>
          <w:rFonts w:hint="eastAsia" w:ascii="仿宋" w:hAnsi="仿宋" w:eastAsia="仿宋" w:cs="仿宋"/>
          <w:color w:val="auto"/>
          <w:sz w:val="24"/>
          <w:highlight w:val="none"/>
        </w:rPr>
        <w:t>中有2个（含）以上的报价或方案</w:t>
      </w:r>
      <w:r>
        <w:rPr>
          <w:rFonts w:hint="eastAsia" w:ascii="仿宋" w:hAnsi="仿宋" w:eastAsia="仿宋" w:cs="仿宋"/>
          <w:color w:val="auto"/>
          <w:sz w:val="24"/>
          <w:highlight w:val="none"/>
          <w:lang w:eastAsia="zh-CN"/>
        </w:rPr>
        <w:t>的。</w:t>
      </w:r>
    </w:p>
    <w:p w14:paraId="01C97C09">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7</w:t>
      </w:r>
      <w:r>
        <w:rPr>
          <w:rFonts w:hint="eastAsia" w:ascii="仿宋" w:hAnsi="仿宋" w:eastAsia="仿宋" w:cs="仿宋"/>
          <w:color w:val="auto"/>
          <w:kern w:val="0"/>
          <w:sz w:val="24"/>
          <w:highlight w:val="none"/>
        </w:rPr>
        <w:t>.6</w:t>
      </w:r>
      <w:r>
        <w:rPr>
          <w:rFonts w:hint="eastAsia" w:ascii="仿宋" w:hAnsi="仿宋" w:eastAsia="仿宋" w:cs="仿宋"/>
          <w:color w:val="auto"/>
          <w:sz w:val="24"/>
          <w:highlight w:val="none"/>
        </w:rPr>
        <w:t>投标人递交的投标文件与项目不符或内容严重不全的；</w:t>
      </w:r>
    </w:p>
    <w:p w14:paraId="1F0460C7">
      <w:pPr>
        <w:pStyle w:val="16"/>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7</w:t>
      </w:r>
      <w:r>
        <w:rPr>
          <w:rFonts w:hint="eastAsia" w:ascii="仿宋" w:hAnsi="仿宋" w:eastAsia="仿宋" w:cs="仿宋"/>
          <w:color w:val="auto"/>
          <w:sz w:val="24"/>
          <w:szCs w:val="24"/>
          <w:highlight w:val="none"/>
        </w:rPr>
        <w:t>.7重要信息前后不一致，经评审委员会询标后仍然无法评审的；</w:t>
      </w:r>
    </w:p>
    <w:p w14:paraId="058FC355">
      <w:pPr>
        <w:tabs>
          <w:tab w:val="left" w:pos="3870"/>
          <w:tab w:val="left" w:pos="4085"/>
        </w:tabs>
        <w:snapToGrid w:val="0"/>
        <w:spacing w:line="440" w:lineRule="exact"/>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.8</w:t>
      </w:r>
      <w:r>
        <w:rPr>
          <w:rFonts w:hint="eastAsia" w:ascii="仿宋" w:hAnsi="仿宋" w:eastAsia="仿宋" w:cs="仿宋"/>
          <w:color w:val="auto"/>
          <w:kern w:val="0"/>
          <w:sz w:val="24"/>
          <w:highlight w:val="none"/>
        </w:rPr>
        <w:t>投标响应文件含有采购人不能接受的附加条件；</w:t>
      </w:r>
    </w:p>
    <w:p w14:paraId="32441B3F">
      <w:pPr>
        <w:tabs>
          <w:tab w:val="left" w:pos="3870"/>
          <w:tab w:val="left" w:pos="4085"/>
        </w:tabs>
        <w:snapToGrid w:val="0"/>
        <w:spacing w:line="44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7</w:t>
      </w:r>
      <w:r>
        <w:rPr>
          <w:rFonts w:hint="eastAsia" w:ascii="仿宋" w:hAnsi="仿宋" w:eastAsia="仿宋" w:cs="仿宋"/>
          <w:color w:val="auto"/>
          <w:kern w:val="0"/>
          <w:sz w:val="24"/>
          <w:highlight w:val="none"/>
        </w:rPr>
        <w:t>.9</w:t>
      </w:r>
      <w:r>
        <w:rPr>
          <w:rFonts w:hint="eastAsia" w:ascii="仿宋" w:hAnsi="仿宋" w:eastAsia="仿宋" w:cs="仿宋"/>
          <w:color w:val="auto"/>
          <w:sz w:val="24"/>
          <w:highlight w:val="none"/>
        </w:rPr>
        <w:t>供应商的报价低于项目预算50%</w:t>
      </w:r>
      <w:r>
        <w:rPr>
          <w:rFonts w:hint="eastAsia" w:ascii="仿宋" w:hAnsi="仿宋" w:eastAsia="仿宋" w:cs="仿宋"/>
          <w:color w:val="auto"/>
          <w:sz w:val="24"/>
          <w:highlight w:val="none"/>
          <w:lang w:eastAsia="zh-CN"/>
        </w:rPr>
        <w:t>，但未能在报价文件中详细阐述不影响产品质量或者诚信履约的具体原因或具体原因未被评审委员会认可的；</w:t>
      </w:r>
    </w:p>
    <w:p w14:paraId="659F7727">
      <w:pPr>
        <w:tabs>
          <w:tab w:val="left" w:pos="3870"/>
          <w:tab w:val="left" w:pos="4085"/>
        </w:tabs>
        <w:snapToGrid w:val="0"/>
        <w:spacing w:line="440" w:lineRule="exact"/>
        <w:jc w:val="left"/>
        <w:rPr>
          <w:rFonts w:hint="eastAsia" w:ascii="仿宋" w:hAnsi="仿宋" w:eastAsia="仿宋" w:cs="仿宋"/>
          <w:color w:val="auto"/>
          <w:sz w:val="24"/>
          <w:szCs w:val="21"/>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.10报价超过采购文件中规定的预算金额或最高限价（包括单价限价等采购文件规定的各类限价）的；</w:t>
      </w:r>
    </w:p>
    <w:p w14:paraId="77FC0AFC">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szCs w:val="21"/>
          <w:highlight w:val="none"/>
          <w:lang w:eastAsia="zh-CN"/>
        </w:rPr>
        <w:t>7</w:t>
      </w:r>
      <w:r>
        <w:rPr>
          <w:rFonts w:hint="eastAsia" w:ascii="仿宋" w:hAnsi="仿宋" w:eastAsia="仿宋" w:cs="仿宋"/>
          <w:color w:val="auto"/>
          <w:sz w:val="24"/>
          <w:szCs w:val="21"/>
          <w:highlight w:val="none"/>
        </w:rPr>
        <w:t>.1</w:t>
      </w:r>
      <w:r>
        <w:rPr>
          <w:rFonts w:hint="eastAsia" w:ascii="仿宋" w:hAnsi="仿宋" w:eastAsia="仿宋" w:cs="仿宋"/>
          <w:color w:val="auto"/>
          <w:sz w:val="24"/>
          <w:szCs w:val="21"/>
          <w:highlight w:val="none"/>
          <w:lang w:val="en-US" w:eastAsia="zh-CN"/>
        </w:rPr>
        <w:t>1</w:t>
      </w:r>
      <w:r>
        <w:rPr>
          <w:rFonts w:hint="eastAsia" w:ascii="仿宋" w:hAnsi="仿宋" w:eastAsia="仿宋" w:cs="仿宋"/>
          <w:color w:val="auto"/>
          <w:sz w:val="24"/>
          <w:highlight w:val="none"/>
        </w:rPr>
        <w:t>评审委员会认定有重大偏差或实质性不响应采购文件要求的；</w:t>
      </w:r>
    </w:p>
    <w:p w14:paraId="77FC7F40">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投标人对根据修正原则修正后的报价不确认的；</w:t>
      </w:r>
    </w:p>
    <w:p w14:paraId="4F9CB17D">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投标人提供虚假材料投标的（包括但不限于以下情节）：</w:t>
      </w:r>
    </w:p>
    <w:p w14:paraId="38DCA2D7">
      <w:pPr>
        <w:tabs>
          <w:tab w:val="left" w:pos="3870"/>
          <w:tab w:val="left" w:pos="4085"/>
        </w:tabs>
        <w:snapToGrid w:val="0"/>
        <w:spacing w:line="440" w:lineRule="exact"/>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.1使用伪造、变造的许可证件、资质证书；</w:t>
      </w:r>
    </w:p>
    <w:p w14:paraId="4379D1A7">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.2提供虚假的财务状况或者业绩；</w:t>
      </w:r>
    </w:p>
    <w:p w14:paraId="1EB05AF5">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.3提供虚假的项目负责人或者主要项目实施人员简历、劳动关系证明；</w:t>
      </w:r>
    </w:p>
    <w:p w14:paraId="481EDDD5">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.4提供虚假的信用状况；</w:t>
      </w:r>
    </w:p>
    <w:p w14:paraId="028146B8">
      <w:pPr>
        <w:tabs>
          <w:tab w:val="left" w:pos="3870"/>
          <w:tab w:val="left" w:pos="4085"/>
        </w:tabs>
        <w:snapToGrid w:val="0"/>
        <w:spacing w:line="440" w:lineRule="exact"/>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.5其他弄虚作假的行为。</w:t>
      </w:r>
    </w:p>
    <w:p w14:paraId="2488369A">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w:t>
      </w:r>
      <w:r>
        <w:rPr>
          <w:rFonts w:hint="default" w:ascii="仿宋" w:eastAsia="仿宋"/>
          <w:color w:val="auto"/>
          <w:sz w:val="24"/>
          <w:highlight w:val="none"/>
        </w:rPr>
        <w:t>供应商</w:t>
      </w:r>
      <w:r>
        <w:rPr>
          <w:rFonts w:hint="eastAsia" w:ascii="仿宋" w:eastAsia="仿宋"/>
          <w:color w:val="auto"/>
          <w:sz w:val="24"/>
          <w:highlight w:val="none"/>
        </w:rPr>
        <w:t>串通投标的。</w:t>
      </w:r>
    </w:p>
    <w:p w14:paraId="3325D4D5">
      <w:pPr>
        <w:tabs>
          <w:tab w:val="left" w:pos="3870"/>
          <w:tab w:val="left" w:pos="4085"/>
        </w:tabs>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lang w:eastAsia="zh"/>
        </w:rPr>
        <w:t>参与同一个采购包（标段）的供应商</w:t>
      </w:r>
      <w:r>
        <w:rPr>
          <w:rFonts w:hint="eastAsia" w:ascii="仿宋" w:eastAsia="仿宋"/>
          <w:color w:val="auto"/>
          <w:sz w:val="24"/>
          <w:highlight w:val="none"/>
        </w:rPr>
        <w:t>有下列情形之一</w:t>
      </w:r>
      <w:r>
        <w:rPr>
          <w:rFonts w:hint="eastAsia" w:ascii="仿宋" w:eastAsia="仿宋"/>
          <w:color w:val="auto"/>
          <w:sz w:val="24"/>
          <w:highlight w:val="none"/>
          <w:lang w:eastAsia="zh"/>
        </w:rPr>
        <w:t>且无法合理解释</w:t>
      </w:r>
      <w:r>
        <w:rPr>
          <w:rFonts w:hint="eastAsia" w:ascii="仿宋" w:eastAsia="仿宋"/>
          <w:color w:val="auto"/>
          <w:sz w:val="24"/>
          <w:highlight w:val="none"/>
        </w:rPr>
        <w:t>的，视为</w:t>
      </w:r>
      <w:r>
        <w:rPr>
          <w:rFonts w:hint="default" w:ascii="仿宋" w:eastAsia="仿宋"/>
          <w:color w:val="auto"/>
          <w:sz w:val="24"/>
          <w:highlight w:val="none"/>
        </w:rPr>
        <w:t>供应商</w:t>
      </w:r>
      <w:r>
        <w:rPr>
          <w:rFonts w:hint="eastAsia" w:ascii="仿宋" w:eastAsia="仿宋"/>
          <w:color w:val="auto"/>
          <w:sz w:val="24"/>
          <w:highlight w:val="none"/>
        </w:rPr>
        <w:t>串通投标，其投标</w:t>
      </w:r>
      <w:r>
        <w:rPr>
          <w:rFonts w:hint="eastAsia" w:ascii="仿宋" w:eastAsia="仿宋"/>
          <w:color w:val="auto"/>
          <w:sz w:val="24"/>
          <w:highlight w:val="none"/>
          <w:lang w:eastAsia="zh"/>
        </w:rPr>
        <w:t>（响应）</w:t>
      </w:r>
      <w:r>
        <w:rPr>
          <w:rFonts w:hint="eastAsia" w:ascii="仿宋" w:eastAsia="仿宋"/>
          <w:color w:val="auto"/>
          <w:sz w:val="24"/>
          <w:highlight w:val="none"/>
        </w:rPr>
        <w:t>无效：</w:t>
      </w:r>
    </w:p>
    <w:p w14:paraId="4C677230">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lang w:val="en-US" w:eastAsia="zh-CN"/>
        </w:rPr>
        <w:t>7.14.1</w:t>
      </w:r>
      <w:r>
        <w:rPr>
          <w:rFonts w:hint="eastAsia" w:ascii="仿宋" w:eastAsia="仿宋"/>
          <w:color w:val="auto"/>
          <w:sz w:val="24"/>
          <w:highlight w:val="none"/>
        </w:rPr>
        <w:t>不同</w:t>
      </w:r>
      <w:r>
        <w:rPr>
          <w:rFonts w:hint="default" w:ascii="仿宋" w:eastAsia="仿宋"/>
          <w:color w:val="auto"/>
          <w:sz w:val="24"/>
          <w:highlight w:val="none"/>
        </w:rPr>
        <w:t>供应商</w:t>
      </w:r>
      <w:r>
        <w:rPr>
          <w:rFonts w:hint="eastAsia" w:ascii="仿宋" w:eastAsia="仿宋"/>
          <w:color w:val="auto"/>
          <w:sz w:val="24"/>
          <w:highlight w:val="none"/>
        </w:rPr>
        <w:t>委托同一单位或者个人办理投标事宜；</w:t>
      </w:r>
    </w:p>
    <w:p w14:paraId="43E281A2">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lang w:val="en-US" w:eastAsia="zh-CN"/>
        </w:rPr>
        <w:t>7.14.2</w:t>
      </w:r>
      <w:r>
        <w:rPr>
          <w:rFonts w:hint="eastAsia" w:ascii="仿宋" w:eastAsia="仿宋"/>
          <w:color w:val="auto"/>
          <w:sz w:val="24"/>
          <w:highlight w:val="none"/>
        </w:rPr>
        <w:t>不同</w:t>
      </w:r>
      <w:r>
        <w:rPr>
          <w:rFonts w:hint="default" w:ascii="仿宋" w:eastAsia="仿宋"/>
          <w:color w:val="auto"/>
          <w:sz w:val="24"/>
          <w:highlight w:val="none"/>
        </w:rPr>
        <w:t>供应商</w:t>
      </w:r>
      <w:r>
        <w:rPr>
          <w:rFonts w:hint="eastAsia" w:ascii="仿宋" w:eastAsia="仿宋"/>
          <w:color w:val="auto"/>
          <w:sz w:val="24"/>
          <w:highlight w:val="none"/>
        </w:rPr>
        <w:t>的</w:t>
      </w:r>
      <w:r>
        <w:rPr>
          <w:rFonts w:hint="eastAsia" w:ascii="仿宋" w:eastAsia="仿宋"/>
          <w:color w:val="auto"/>
          <w:sz w:val="24"/>
          <w:highlight w:val="none"/>
          <w:lang w:eastAsia="zh"/>
        </w:rPr>
        <w:t>投标（响应）</w:t>
      </w:r>
      <w:r>
        <w:rPr>
          <w:rFonts w:hint="eastAsia" w:ascii="仿宋" w:eastAsia="仿宋"/>
          <w:color w:val="auto"/>
          <w:sz w:val="24"/>
          <w:highlight w:val="none"/>
        </w:rPr>
        <w:t>文件载明的项目管理成员或者联系人员为同一人</w:t>
      </w:r>
      <w:r>
        <w:rPr>
          <w:rFonts w:hint="eastAsia" w:ascii="仿宋" w:eastAsia="仿宋"/>
          <w:color w:val="auto"/>
          <w:sz w:val="24"/>
          <w:highlight w:val="none"/>
          <w:lang w:eastAsia="zh"/>
        </w:rPr>
        <w:t>，或不同联系人的联系电话一致的</w:t>
      </w:r>
      <w:r>
        <w:rPr>
          <w:rFonts w:hint="eastAsia" w:ascii="仿宋" w:eastAsia="仿宋"/>
          <w:color w:val="auto"/>
          <w:sz w:val="24"/>
          <w:highlight w:val="none"/>
        </w:rPr>
        <w:t>；</w:t>
      </w:r>
    </w:p>
    <w:p w14:paraId="2D1504A3">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lang w:val="en-US" w:eastAsia="zh-CN"/>
        </w:rPr>
        <w:t>7.14.3</w:t>
      </w:r>
      <w:r>
        <w:rPr>
          <w:rFonts w:hint="eastAsia" w:ascii="仿宋" w:eastAsia="仿宋"/>
          <w:color w:val="auto"/>
          <w:sz w:val="24"/>
          <w:highlight w:val="none"/>
        </w:rPr>
        <w:t>不同</w:t>
      </w:r>
      <w:r>
        <w:rPr>
          <w:rFonts w:hint="default" w:ascii="仿宋" w:eastAsia="仿宋"/>
          <w:color w:val="auto"/>
          <w:sz w:val="24"/>
          <w:highlight w:val="none"/>
        </w:rPr>
        <w:t>供应商</w:t>
      </w:r>
      <w:r>
        <w:rPr>
          <w:rFonts w:hint="eastAsia" w:ascii="仿宋" w:eastAsia="仿宋"/>
          <w:color w:val="auto"/>
          <w:sz w:val="24"/>
          <w:highlight w:val="none"/>
        </w:rPr>
        <w:t>的</w:t>
      </w:r>
      <w:r>
        <w:rPr>
          <w:rFonts w:hint="eastAsia" w:ascii="仿宋" w:eastAsia="仿宋"/>
          <w:color w:val="auto"/>
          <w:sz w:val="24"/>
          <w:highlight w:val="none"/>
          <w:lang w:eastAsia="zh"/>
        </w:rPr>
        <w:t>投标（响应）</w:t>
      </w:r>
      <w:r>
        <w:rPr>
          <w:rFonts w:hint="eastAsia" w:ascii="仿宋" w:eastAsia="仿宋"/>
          <w:color w:val="auto"/>
          <w:sz w:val="24"/>
          <w:highlight w:val="none"/>
        </w:rPr>
        <w:t>文件异常一致或者投标报价呈规律性差异</w:t>
      </w:r>
      <w:r>
        <w:rPr>
          <w:rFonts w:hint="eastAsia" w:ascii="仿宋" w:eastAsia="仿宋"/>
          <w:color w:val="auto"/>
          <w:sz w:val="24"/>
          <w:highlight w:val="none"/>
          <w:lang w:eastAsia="zh"/>
        </w:rPr>
        <w:t>，包括但不仅限于不同供应商的投标（响应）文件的内容存在3处（含）以上错误一致的</w:t>
      </w:r>
      <w:r>
        <w:rPr>
          <w:rFonts w:hint="eastAsia" w:ascii="仿宋" w:eastAsia="仿宋"/>
          <w:color w:val="auto"/>
          <w:sz w:val="24"/>
          <w:highlight w:val="none"/>
        </w:rPr>
        <w:t>；</w:t>
      </w:r>
    </w:p>
    <w:p w14:paraId="03D8FAB4">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lang w:val="en-US" w:eastAsia="zh-CN"/>
        </w:rPr>
        <w:t>7.14.4</w:t>
      </w:r>
      <w:r>
        <w:rPr>
          <w:rFonts w:hint="eastAsia" w:ascii="仿宋" w:eastAsia="仿宋"/>
          <w:color w:val="auto"/>
          <w:sz w:val="24"/>
          <w:highlight w:val="none"/>
        </w:rPr>
        <w:t>不同</w:t>
      </w:r>
      <w:r>
        <w:rPr>
          <w:rFonts w:hint="default" w:ascii="仿宋" w:eastAsia="仿宋"/>
          <w:color w:val="auto"/>
          <w:sz w:val="24"/>
          <w:highlight w:val="none"/>
        </w:rPr>
        <w:t>供应商</w:t>
      </w:r>
      <w:r>
        <w:rPr>
          <w:rFonts w:hint="eastAsia" w:ascii="仿宋" w:eastAsia="仿宋"/>
          <w:color w:val="auto"/>
          <w:sz w:val="24"/>
          <w:highlight w:val="none"/>
        </w:rPr>
        <w:t>的</w:t>
      </w:r>
      <w:r>
        <w:rPr>
          <w:rFonts w:hint="eastAsia" w:ascii="仿宋" w:eastAsia="仿宋"/>
          <w:color w:val="auto"/>
          <w:sz w:val="24"/>
          <w:highlight w:val="none"/>
          <w:lang w:eastAsia="zh"/>
        </w:rPr>
        <w:t>投标（响应）</w:t>
      </w:r>
      <w:r>
        <w:rPr>
          <w:rFonts w:hint="eastAsia" w:ascii="仿宋" w:eastAsia="仿宋"/>
          <w:color w:val="auto"/>
          <w:sz w:val="24"/>
          <w:highlight w:val="none"/>
        </w:rPr>
        <w:t>文件相互混装</w:t>
      </w:r>
      <w:r>
        <w:rPr>
          <w:rFonts w:hint="eastAsia" w:ascii="仿宋" w:eastAsia="仿宋"/>
          <w:color w:val="auto"/>
          <w:sz w:val="24"/>
          <w:highlight w:val="none"/>
          <w:lang w:eastAsia="zh"/>
        </w:rPr>
        <w:t>，包括但不仅限于加盖本项目其他投标（响应）供应商的印章的</w:t>
      </w:r>
      <w:r>
        <w:rPr>
          <w:rFonts w:hint="eastAsia" w:ascii="仿宋" w:eastAsia="仿宋"/>
          <w:color w:val="auto"/>
          <w:sz w:val="24"/>
          <w:highlight w:val="none"/>
        </w:rPr>
        <w:t>；</w:t>
      </w:r>
    </w:p>
    <w:p w14:paraId="758E235F">
      <w:pPr>
        <w:tabs>
          <w:tab w:val="left" w:pos="3870"/>
          <w:tab w:val="left" w:pos="4085"/>
        </w:tabs>
        <w:snapToGrid w:val="0"/>
        <w:spacing w:line="440" w:lineRule="exact"/>
        <w:ind w:firstLine="422" w:firstLineChars="176"/>
        <w:jc w:val="left"/>
        <w:rPr>
          <w:rFonts w:hint="eastAsia" w:ascii="仿宋" w:hAnsi="仿宋" w:eastAsia="仿宋" w:cs="仿宋"/>
          <w:color w:val="auto"/>
          <w:sz w:val="24"/>
          <w:highlight w:val="none"/>
        </w:rPr>
      </w:pPr>
      <w:r>
        <w:rPr>
          <w:rFonts w:hint="eastAsia" w:ascii="仿宋" w:eastAsia="仿宋"/>
          <w:color w:val="auto"/>
          <w:sz w:val="24"/>
          <w:highlight w:val="none"/>
          <w:lang w:val="en-US" w:eastAsia="zh-CN"/>
        </w:rPr>
        <w:t>7.14.5</w:t>
      </w:r>
      <w:r>
        <w:rPr>
          <w:rFonts w:hint="eastAsia" w:ascii="仿宋" w:eastAsia="仿宋"/>
          <w:color w:val="auto"/>
          <w:sz w:val="24"/>
          <w:highlight w:val="none"/>
        </w:rPr>
        <w:t>法律规定的其他串通投标情形。</w:t>
      </w:r>
    </w:p>
    <w:p w14:paraId="19E522E0">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属于《中华人民共和国政府采购法实施条例》第七十四条规定的恶意串通情形的，其投标无效；</w:t>
      </w:r>
    </w:p>
    <w:p w14:paraId="70D22EE7">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联合体投标的，联合体各方在同一招标项目中以自己名义单独投标或者参加其他联合体投标的，相关投标均无效；</w:t>
      </w:r>
    </w:p>
    <w:p w14:paraId="34329F84">
      <w:pPr>
        <w:tabs>
          <w:tab w:val="left" w:pos="3870"/>
          <w:tab w:val="left" w:pos="4085"/>
        </w:tabs>
        <w:snapToGrid w:val="0"/>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供应商违反政府采购</w:t>
      </w:r>
      <w:r>
        <w:rPr>
          <w:rFonts w:hint="eastAsia" w:ascii="仿宋" w:hAnsi="仿宋" w:eastAsia="仿宋" w:cs="仿宋"/>
          <w:color w:val="auto"/>
          <w:sz w:val="24"/>
          <w:highlight w:val="none"/>
          <w:lang w:eastAsia="zh-CN"/>
        </w:rPr>
        <w:t>强制执行的</w:t>
      </w:r>
      <w:r>
        <w:rPr>
          <w:rFonts w:hint="eastAsia" w:ascii="仿宋" w:hAnsi="仿宋" w:eastAsia="仿宋" w:cs="仿宋"/>
          <w:color w:val="auto"/>
          <w:sz w:val="24"/>
          <w:highlight w:val="none"/>
        </w:rPr>
        <w:t>政策性规定</w:t>
      </w:r>
      <w:r>
        <w:rPr>
          <w:rFonts w:hint="eastAsia" w:ascii="仿宋" w:hAnsi="仿宋" w:eastAsia="仿宋" w:cs="仿宋"/>
          <w:color w:val="auto"/>
          <w:sz w:val="24"/>
          <w:highlight w:val="none"/>
          <w:lang w:eastAsia="zh-CN"/>
        </w:rPr>
        <w:t>的</w:t>
      </w:r>
      <w:r>
        <w:rPr>
          <w:rFonts w:hint="eastAsia" w:ascii="仿宋" w:hAnsi="仿宋" w:eastAsia="仿宋" w:cs="仿宋"/>
          <w:color w:val="auto"/>
          <w:sz w:val="24"/>
          <w:highlight w:val="none"/>
        </w:rPr>
        <w:t>；</w:t>
      </w:r>
    </w:p>
    <w:p w14:paraId="546B1AE1">
      <w:pPr>
        <w:tabs>
          <w:tab w:val="left" w:pos="3870"/>
          <w:tab w:val="left" w:pos="4085"/>
        </w:tabs>
        <w:snapToGrid w:val="0"/>
        <w:spacing w:line="440" w:lineRule="exact"/>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7.18未提供样品或提供的样品不满足采购需求实质性要求的；</w:t>
      </w:r>
    </w:p>
    <w:p w14:paraId="1A2ED505">
      <w:pPr>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7</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违反法律、法规及本</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文件规定的其他无效</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情形。</w:t>
      </w:r>
    </w:p>
    <w:p w14:paraId="52446D1D">
      <w:pPr>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8</w:t>
      </w:r>
      <w:r>
        <w:rPr>
          <w:rFonts w:hint="eastAsia" w:ascii="仿宋" w:hAnsi="仿宋" w:eastAsia="仿宋" w:cs="仿宋"/>
          <w:b/>
          <w:bCs/>
          <w:color w:val="auto"/>
          <w:sz w:val="24"/>
          <w:highlight w:val="none"/>
        </w:rPr>
        <w:t>.定标</w:t>
      </w:r>
    </w:p>
    <w:p w14:paraId="141FD9F1">
      <w:pPr>
        <w:widowControl/>
        <w:snapToGrid w:val="0"/>
        <w:spacing w:line="480" w:lineRule="exact"/>
        <w:ind w:left="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w:t>
      </w:r>
      <w:r>
        <w:rPr>
          <w:rFonts w:hint="eastAsia" w:ascii="仿宋" w:hAnsi="仿宋" w:eastAsia="仿宋" w:cs="仿宋"/>
          <w:color w:val="auto"/>
          <w:sz w:val="24"/>
          <w:highlight w:val="none"/>
        </w:rPr>
        <w:t>.1采购人在收到评标报告之日起5个工作日内在评审报告推荐的中标或成交候选人中按顺序确定中标或成交供应商。</w:t>
      </w:r>
    </w:p>
    <w:p w14:paraId="61482FAD">
      <w:pPr>
        <w:widowControl/>
        <w:snapToGrid w:val="0"/>
        <w:spacing w:line="480" w:lineRule="exact"/>
        <w:ind w:left="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8</w:t>
      </w:r>
      <w:r>
        <w:rPr>
          <w:rFonts w:hint="eastAsia" w:ascii="仿宋" w:hAnsi="仿宋" w:eastAsia="仿宋" w:cs="仿宋"/>
          <w:color w:val="auto"/>
          <w:sz w:val="24"/>
          <w:highlight w:val="none"/>
        </w:rPr>
        <w:t>.2采购代理机构在采购人确认中标或成交供应商后2个工作日内发布中标公告。中标公告与采购公告发布网址一致。中标公告期限为一个工作日。</w:t>
      </w:r>
    </w:p>
    <w:p w14:paraId="281CA38E">
      <w:pPr>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9</w:t>
      </w:r>
      <w:r>
        <w:rPr>
          <w:rFonts w:hint="eastAsia" w:ascii="仿宋" w:hAnsi="仿宋" w:eastAsia="仿宋" w:cs="仿宋"/>
          <w:b/>
          <w:bCs/>
          <w:color w:val="auto"/>
          <w:sz w:val="24"/>
          <w:highlight w:val="none"/>
        </w:rPr>
        <w:t>.中标通知书的申领</w:t>
      </w:r>
    </w:p>
    <w:p w14:paraId="6EEE845A">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.1本项目中标通知书在采购代理机构处领取。</w:t>
      </w:r>
    </w:p>
    <w:p w14:paraId="6C684432">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.2中标通知书在中标公告发布的同时发出。</w:t>
      </w:r>
    </w:p>
    <w:p w14:paraId="78ED3FB8">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.3中标通知书发出后，采购人不得违法改变中标结果，中标人无正当理由不得放弃中标。</w:t>
      </w:r>
    </w:p>
    <w:p w14:paraId="5C4DD399">
      <w:pPr>
        <w:widowControl/>
        <w:snapToGrid w:val="0"/>
        <w:spacing w:line="480" w:lineRule="exac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val="en-US" w:eastAsia="zh-CN"/>
        </w:rPr>
        <w:t>9</w:t>
      </w:r>
      <w:r>
        <w:rPr>
          <w:rFonts w:hint="eastAsia" w:ascii="仿宋" w:hAnsi="仿宋" w:eastAsia="仿宋" w:cs="仿宋"/>
          <w:b/>
          <w:bCs/>
          <w:color w:val="auto"/>
          <w:kern w:val="0"/>
          <w:sz w:val="24"/>
          <w:highlight w:val="none"/>
        </w:rPr>
        <w:t>.4中标通知书的领取不妨碍相关质疑投诉的提出和处置，中标结果在法定情形内允许改变。在处理完针对中标结果的质疑或投诉前，原则上不签订采购合同。</w:t>
      </w:r>
    </w:p>
    <w:p w14:paraId="4CB1CE80">
      <w:pPr>
        <w:widowControl/>
        <w:snapToGrid w:val="0"/>
        <w:spacing w:line="480" w:lineRule="exact"/>
        <w:ind w:firstLine="488"/>
        <w:rPr>
          <w:rFonts w:hint="eastAsia" w:ascii="仿宋" w:hAnsi="仿宋" w:eastAsia="仿宋" w:cs="仿宋"/>
          <w:color w:val="auto"/>
          <w:kern w:val="0"/>
          <w:sz w:val="24"/>
          <w:highlight w:val="none"/>
        </w:rPr>
      </w:pPr>
    </w:p>
    <w:p w14:paraId="1743C7A8">
      <w:pPr>
        <w:pStyle w:val="3"/>
        <w:spacing w:line="415" w:lineRule="auto"/>
        <w:jc w:val="center"/>
        <w:rPr>
          <w:rFonts w:hint="eastAsia" w:ascii="仿宋" w:hAnsi="仿宋" w:eastAsia="仿宋" w:cs="仿宋"/>
          <w:color w:val="auto"/>
          <w:highlight w:val="none"/>
        </w:rPr>
      </w:pPr>
      <w:bookmarkStart w:id="39" w:name="_Toc14262"/>
      <w:r>
        <w:rPr>
          <w:rFonts w:hint="eastAsia" w:ascii="仿宋" w:hAnsi="仿宋" w:eastAsia="仿宋" w:cs="仿宋"/>
          <w:color w:val="auto"/>
          <w:highlight w:val="none"/>
        </w:rPr>
        <w:t>五、合同签订及履约</w:t>
      </w:r>
      <w:bookmarkEnd w:id="39"/>
    </w:p>
    <w:p w14:paraId="28F83BE3">
      <w:pPr>
        <w:spacing w:line="48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1.合同签订</w:t>
      </w:r>
    </w:p>
    <w:p w14:paraId="4688D58A">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677472EF">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1.2采购人和中标人不得向对方提出任何不合理的要求作为签订合同的条件。</w:t>
      </w:r>
    </w:p>
    <w:p w14:paraId="0B476A4C">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1.3采购人和中标人需在投标有效期内签订采购合同。投标有效期允许延长，但需征得中标人同意。</w:t>
      </w:r>
    </w:p>
    <w:p w14:paraId="7E50A706">
      <w:pPr>
        <w:numPr>
          <w:ilvl w:val="0"/>
          <w:numId w:val="9"/>
        </w:numPr>
        <w:spacing w:line="440" w:lineRule="exact"/>
        <w:jc w:val="left"/>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履约保证金</w:t>
      </w:r>
      <w:r>
        <w:rPr>
          <w:rFonts w:hint="eastAsia" w:ascii="仿宋" w:hAnsi="仿宋" w:eastAsia="仿宋" w:cs="仿宋"/>
          <w:b/>
          <w:color w:val="auto"/>
          <w:sz w:val="24"/>
          <w:highlight w:val="none"/>
          <w:lang w:eastAsia="zh-CN"/>
        </w:rPr>
        <w:t>：</w:t>
      </w:r>
      <w:r>
        <w:rPr>
          <w:rFonts w:hint="eastAsia" w:ascii="仿宋" w:hAnsi="仿宋" w:eastAsia="仿宋" w:cs="仿宋"/>
          <w:color w:val="auto"/>
          <w:sz w:val="24"/>
          <w:highlight w:val="none"/>
          <w:lang w:val="en-US" w:eastAsia="zh-CN"/>
        </w:rPr>
        <w:t>无</w:t>
      </w:r>
    </w:p>
    <w:p w14:paraId="15210AD9">
      <w:pPr>
        <w:numPr>
          <w:ilvl w:val="0"/>
          <w:numId w:val="0"/>
        </w:num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3．合同备案</w:t>
      </w:r>
    </w:p>
    <w:p w14:paraId="73DF81E2">
      <w:pPr>
        <w:spacing w:line="44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3.1中标人应当自采购合同签订之日起3个工作日内，将采购合同原件报采购代理机构备案存档。</w:t>
      </w:r>
    </w:p>
    <w:p w14:paraId="50DF6288">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4.履约验收</w:t>
      </w:r>
    </w:p>
    <w:p w14:paraId="36CFB565">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4.1采购人自行组织或委托采购代理机构对供应商进行履约验收，出具验收书，存档备查。如果发现与合同中要求不符，供应商须承担由此发生的一切损失和费用，并承担相应的法律责任。</w:t>
      </w:r>
    </w:p>
    <w:p w14:paraId="2F81B9BE">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4.2服务类项目，可以根据项目特点对服务期内的服务实施情况进行分期考核，结合考核情况和服务效果进行验收。工程类项目应当按照行业管理部门规定的标准、方法和内容进行验收。</w:t>
      </w:r>
    </w:p>
    <w:p w14:paraId="2D022B10">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4.3采购人可以邀请参加本项目的其他投标人或者第三方机构参与验收。参与验收的投标人或者第三方机构的意见作为验收书的参考资料一并存档。</w:t>
      </w:r>
    </w:p>
    <w:p w14:paraId="31A04423">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4.4政府向社会公众提供的公共服务项目验收时应当邀请服务对象参与并出具意见，验收结果应当向社会公告。</w:t>
      </w:r>
    </w:p>
    <w:p w14:paraId="2F53A890">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4.5 采购合同的履行、违约责任和解决争议的方式等适用《中华人民共和国民法典》。</w:t>
      </w:r>
    </w:p>
    <w:p w14:paraId="48C049D1">
      <w:pPr>
        <w:spacing w:line="44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4.6供应商在履约过程中有政府采购法律法规规定的违法违规情形的，采购人应当及时报告本级财政部门。</w:t>
      </w:r>
    </w:p>
    <w:p w14:paraId="0904E6E2">
      <w:pPr>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5.履约检查</w:t>
      </w:r>
    </w:p>
    <w:p w14:paraId="0FD82B61">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机构将联合政府采购监管部门不定期对合同的履约情况进行检查，发现未按合同规定进行履约的，有弄虚作假，偷工减料，以次充好、服务不达标等情形，达不到国家、行业有关标准和采购文件规定或有违采购合同的，一经查实，由政府采购监督管理部门给予相应处罚。</w:t>
      </w:r>
    </w:p>
    <w:p w14:paraId="1F09573B">
      <w:pPr>
        <w:widowControl/>
        <w:snapToGrid w:val="0"/>
        <w:spacing w:line="480" w:lineRule="exact"/>
        <w:rPr>
          <w:rFonts w:hint="eastAsia" w:ascii="仿宋" w:hAnsi="仿宋" w:eastAsia="仿宋" w:cs="仿宋"/>
          <w:color w:val="auto"/>
          <w:kern w:val="0"/>
          <w:sz w:val="24"/>
          <w:highlight w:val="none"/>
        </w:rPr>
      </w:pPr>
    </w:p>
    <w:p w14:paraId="6CEEE238">
      <w:pPr>
        <w:widowControl/>
        <w:snapToGrid w:val="0"/>
        <w:spacing w:line="480" w:lineRule="exact"/>
        <w:rPr>
          <w:rFonts w:hint="eastAsia" w:ascii="仿宋" w:hAnsi="仿宋" w:eastAsia="仿宋" w:cs="仿宋"/>
          <w:color w:val="auto"/>
          <w:kern w:val="0"/>
          <w:sz w:val="24"/>
          <w:highlight w:val="none"/>
        </w:rPr>
      </w:pPr>
    </w:p>
    <w:p w14:paraId="2B193E7E">
      <w:pPr>
        <w:widowControl/>
        <w:snapToGrid w:val="0"/>
        <w:spacing w:line="480" w:lineRule="exact"/>
        <w:rPr>
          <w:rFonts w:hint="eastAsia" w:ascii="仿宋" w:hAnsi="仿宋" w:eastAsia="仿宋" w:cs="仿宋"/>
          <w:color w:val="auto"/>
          <w:kern w:val="0"/>
          <w:sz w:val="24"/>
          <w:highlight w:val="none"/>
        </w:rPr>
      </w:pPr>
    </w:p>
    <w:p w14:paraId="65D59CB6">
      <w:pPr>
        <w:widowControl/>
        <w:snapToGrid w:val="0"/>
        <w:spacing w:line="480" w:lineRule="exact"/>
        <w:rPr>
          <w:rFonts w:hint="eastAsia" w:ascii="仿宋" w:hAnsi="仿宋" w:eastAsia="仿宋" w:cs="仿宋"/>
          <w:color w:val="auto"/>
          <w:kern w:val="0"/>
          <w:sz w:val="24"/>
          <w:highlight w:val="none"/>
        </w:rPr>
      </w:pPr>
    </w:p>
    <w:p w14:paraId="48F31662">
      <w:pPr>
        <w:widowControl/>
        <w:snapToGrid w:val="0"/>
        <w:spacing w:line="480" w:lineRule="exact"/>
        <w:rPr>
          <w:rFonts w:hint="eastAsia" w:ascii="仿宋" w:hAnsi="仿宋" w:eastAsia="仿宋" w:cs="仿宋"/>
          <w:color w:val="auto"/>
          <w:kern w:val="0"/>
          <w:sz w:val="24"/>
          <w:highlight w:val="none"/>
        </w:rPr>
      </w:pPr>
    </w:p>
    <w:p w14:paraId="4D72697B">
      <w:pPr>
        <w:widowControl/>
        <w:snapToGrid w:val="0"/>
        <w:spacing w:line="480" w:lineRule="exact"/>
        <w:rPr>
          <w:rFonts w:hint="eastAsia" w:ascii="仿宋" w:hAnsi="仿宋" w:eastAsia="仿宋" w:cs="仿宋"/>
          <w:color w:val="auto"/>
          <w:kern w:val="0"/>
          <w:sz w:val="24"/>
          <w:highlight w:val="none"/>
        </w:rPr>
      </w:pPr>
    </w:p>
    <w:p w14:paraId="14DD2748">
      <w:pPr>
        <w:widowControl/>
        <w:snapToGrid w:val="0"/>
        <w:spacing w:line="480" w:lineRule="exact"/>
        <w:rPr>
          <w:rFonts w:hint="eastAsia" w:ascii="仿宋" w:hAnsi="仿宋" w:eastAsia="仿宋" w:cs="仿宋"/>
          <w:color w:val="auto"/>
          <w:kern w:val="0"/>
          <w:sz w:val="24"/>
          <w:highlight w:val="none"/>
        </w:rPr>
      </w:pPr>
    </w:p>
    <w:p w14:paraId="750431B6">
      <w:pPr>
        <w:widowControl/>
        <w:snapToGrid w:val="0"/>
        <w:spacing w:line="480" w:lineRule="exact"/>
        <w:rPr>
          <w:rFonts w:hint="eastAsia" w:ascii="仿宋" w:hAnsi="仿宋" w:eastAsia="仿宋" w:cs="仿宋"/>
          <w:color w:val="auto"/>
          <w:kern w:val="0"/>
          <w:sz w:val="24"/>
          <w:highlight w:val="none"/>
        </w:rPr>
      </w:pPr>
    </w:p>
    <w:p w14:paraId="28CBFAF1">
      <w:pPr>
        <w:widowControl/>
        <w:snapToGrid w:val="0"/>
        <w:spacing w:line="480" w:lineRule="exact"/>
        <w:rPr>
          <w:rFonts w:hint="eastAsia" w:ascii="仿宋" w:hAnsi="仿宋" w:eastAsia="仿宋" w:cs="仿宋"/>
          <w:color w:val="auto"/>
          <w:kern w:val="0"/>
          <w:sz w:val="24"/>
          <w:highlight w:val="none"/>
        </w:rPr>
      </w:pPr>
    </w:p>
    <w:p w14:paraId="409E649D">
      <w:pPr>
        <w:widowControl/>
        <w:snapToGrid w:val="0"/>
        <w:spacing w:line="480" w:lineRule="exact"/>
        <w:rPr>
          <w:rFonts w:hint="eastAsia" w:ascii="仿宋" w:hAnsi="仿宋" w:eastAsia="仿宋" w:cs="仿宋"/>
          <w:color w:val="auto"/>
          <w:kern w:val="0"/>
          <w:sz w:val="24"/>
          <w:highlight w:val="none"/>
        </w:rPr>
      </w:pPr>
    </w:p>
    <w:p w14:paraId="6EE645CA">
      <w:pPr>
        <w:widowControl/>
        <w:snapToGrid w:val="0"/>
        <w:spacing w:line="480" w:lineRule="exact"/>
        <w:rPr>
          <w:rFonts w:hint="eastAsia" w:ascii="仿宋" w:hAnsi="仿宋" w:eastAsia="仿宋" w:cs="仿宋"/>
          <w:color w:val="auto"/>
          <w:kern w:val="0"/>
          <w:sz w:val="24"/>
          <w:highlight w:val="none"/>
        </w:rPr>
      </w:pPr>
    </w:p>
    <w:p w14:paraId="10710F46">
      <w:pPr>
        <w:widowControl/>
        <w:snapToGrid w:val="0"/>
        <w:spacing w:line="480" w:lineRule="exact"/>
        <w:rPr>
          <w:rFonts w:hint="eastAsia" w:ascii="仿宋" w:hAnsi="仿宋" w:eastAsia="仿宋" w:cs="仿宋"/>
          <w:color w:val="auto"/>
          <w:kern w:val="0"/>
          <w:sz w:val="24"/>
          <w:highlight w:val="none"/>
        </w:rPr>
      </w:pPr>
    </w:p>
    <w:p w14:paraId="333985D2">
      <w:pPr>
        <w:widowControl/>
        <w:snapToGrid w:val="0"/>
        <w:spacing w:line="480" w:lineRule="exact"/>
        <w:rPr>
          <w:rFonts w:hint="eastAsia" w:ascii="仿宋" w:hAnsi="仿宋" w:eastAsia="仿宋" w:cs="仿宋"/>
          <w:color w:val="auto"/>
          <w:kern w:val="0"/>
          <w:sz w:val="24"/>
          <w:highlight w:val="none"/>
        </w:rPr>
      </w:pPr>
    </w:p>
    <w:p w14:paraId="1C97C06C">
      <w:pPr>
        <w:widowControl/>
        <w:snapToGrid w:val="0"/>
        <w:spacing w:line="480" w:lineRule="exact"/>
        <w:rPr>
          <w:rFonts w:hint="eastAsia" w:ascii="仿宋" w:hAnsi="仿宋" w:eastAsia="仿宋" w:cs="仿宋"/>
          <w:color w:val="auto"/>
          <w:kern w:val="0"/>
          <w:sz w:val="24"/>
          <w:highlight w:val="none"/>
        </w:rPr>
      </w:pPr>
    </w:p>
    <w:p w14:paraId="0785DAAC">
      <w:pPr>
        <w:widowControl/>
        <w:snapToGrid w:val="0"/>
        <w:spacing w:line="480" w:lineRule="exact"/>
        <w:rPr>
          <w:rFonts w:hint="eastAsia" w:ascii="仿宋" w:hAnsi="仿宋" w:eastAsia="仿宋" w:cs="仿宋"/>
          <w:color w:val="auto"/>
          <w:kern w:val="0"/>
          <w:sz w:val="24"/>
          <w:highlight w:val="none"/>
        </w:rPr>
      </w:pPr>
    </w:p>
    <w:p w14:paraId="7849E21E">
      <w:pPr>
        <w:widowControl/>
        <w:snapToGrid w:val="0"/>
        <w:spacing w:line="480" w:lineRule="exact"/>
        <w:rPr>
          <w:rFonts w:hint="eastAsia" w:ascii="仿宋" w:hAnsi="仿宋" w:eastAsia="仿宋" w:cs="仿宋"/>
          <w:color w:val="auto"/>
          <w:kern w:val="0"/>
          <w:sz w:val="24"/>
          <w:highlight w:val="none"/>
        </w:rPr>
      </w:pPr>
    </w:p>
    <w:p w14:paraId="1221246D">
      <w:pPr>
        <w:rPr>
          <w:rFonts w:hint="eastAsia" w:ascii="仿宋" w:hAnsi="仿宋" w:eastAsia="仿宋" w:cs="仿宋"/>
          <w:color w:val="auto"/>
          <w:highlight w:val="none"/>
        </w:rPr>
      </w:pPr>
      <w:bookmarkStart w:id="40" w:name="_Toc15113"/>
      <w:r>
        <w:rPr>
          <w:rFonts w:hint="eastAsia" w:ascii="仿宋" w:hAnsi="仿宋" w:eastAsia="仿宋" w:cs="仿宋"/>
          <w:color w:val="auto"/>
          <w:highlight w:val="none"/>
        </w:rPr>
        <w:br w:type="page"/>
      </w:r>
    </w:p>
    <w:p w14:paraId="7C6E98D9">
      <w:pPr>
        <w:pStyle w:val="2"/>
        <w:jc w:val="center"/>
        <w:rPr>
          <w:rFonts w:hint="eastAsia" w:ascii="仿宋" w:hAnsi="仿宋" w:eastAsia="仿宋" w:cs="仿宋"/>
          <w:color w:val="auto"/>
          <w:highlight w:val="none"/>
        </w:rPr>
      </w:pPr>
      <w:r>
        <w:rPr>
          <w:rFonts w:hint="eastAsia" w:ascii="仿宋" w:hAnsi="仿宋" w:eastAsia="仿宋" w:cs="仿宋"/>
          <w:color w:val="auto"/>
          <w:highlight w:val="none"/>
        </w:rPr>
        <w:t>第三章  采购需求</w:t>
      </w:r>
      <w:bookmarkEnd w:id="40"/>
    </w:p>
    <w:p w14:paraId="688FF6FC">
      <w:pPr>
        <w:pStyle w:val="3"/>
        <w:rPr>
          <w:rFonts w:hint="eastAsia" w:ascii="仿宋" w:hAnsi="仿宋" w:eastAsia="仿宋" w:cs="仿宋"/>
          <w:color w:val="auto"/>
          <w:highlight w:val="none"/>
        </w:rPr>
      </w:pPr>
      <w:bookmarkStart w:id="41" w:name="_Toc83838335"/>
      <w:r>
        <w:rPr>
          <w:rFonts w:hint="eastAsia" w:ascii="仿宋" w:hAnsi="仿宋" w:eastAsia="仿宋" w:cs="仿宋"/>
          <w:color w:val="auto"/>
          <w:highlight w:val="none"/>
        </w:rPr>
        <w:t>一、服务清单及要求</w:t>
      </w:r>
      <w:bookmarkEnd w:id="41"/>
    </w:p>
    <w:p w14:paraId="67B789A9">
      <w:pPr>
        <w:autoSpaceDE w:val="0"/>
        <w:spacing w:line="360" w:lineRule="auto"/>
        <w:ind w:firstLine="480" w:firstLineChars="200"/>
        <w:rPr>
          <w:rFonts w:hint="eastAsia" w:ascii="仿宋" w:hAnsi="仿宋" w:eastAsia="仿宋" w:cs="仿宋"/>
          <w:bCs/>
          <w:color w:val="auto"/>
          <w:sz w:val="24"/>
          <w:szCs w:val="24"/>
          <w:highlight w:val="none"/>
        </w:rPr>
      </w:pPr>
      <w:bookmarkStart w:id="42" w:name="_Toc83838336"/>
      <w:r>
        <w:rPr>
          <w:rFonts w:hint="eastAsia" w:ascii="仿宋" w:hAnsi="仿宋" w:eastAsia="仿宋" w:cs="仿宋"/>
          <w:bCs/>
          <w:color w:val="auto"/>
          <w:sz w:val="24"/>
          <w:szCs w:val="24"/>
          <w:highlight w:val="none"/>
        </w:rPr>
        <w:t>1.项目名称</w:t>
      </w:r>
    </w:p>
    <w:p w14:paraId="2EC309FD">
      <w:pPr>
        <w:autoSpaceDE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绍兴市越城区斗门街道社区卫生服务中心202</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eastAsia="zh-CN"/>
        </w:rPr>
        <w:t>年度职工疗休养项目</w:t>
      </w:r>
    </w:p>
    <w:p w14:paraId="66F7F5B7">
      <w:pPr>
        <w:autoSpaceDE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2.项目概况</w:t>
      </w:r>
    </w:p>
    <w:p w14:paraId="402FA912">
      <w:pPr>
        <w:widowControl/>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2.1本次招标范围为</w:t>
      </w:r>
      <w:r>
        <w:rPr>
          <w:rFonts w:hint="eastAsia" w:ascii="仿宋" w:hAnsi="仿宋" w:eastAsia="仿宋" w:cs="仿宋"/>
          <w:bCs/>
          <w:color w:val="auto"/>
          <w:sz w:val="24"/>
          <w:szCs w:val="24"/>
          <w:highlight w:val="none"/>
          <w:lang w:eastAsia="zh-CN"/>
        </w:rPr>
        <w:t>绍兴市越城区斗门街道社区卫生服务中心202</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eastAsia="zh-CN"/>
        </w:rPr>
        <w:t>年度</w:t>
      </w:r>
      <w:r>
        <w:rPr>
          <w:rFonts w:hint="eastAsia" w:ascii="仿宋" w:hAnsi="仿宋" w:eastAsia="仿宋" w:cs="仿宋"/>
          <w:bCs/>
          <w:color w:val="auto"/>
          <w:sz w:val="24"/>
          <w:szCs w:val="24"/>
          <w:highlight w:val="none"/>
        </w:rPr>
        <w:t>的职工疗休养</w:t>
      </w:r>
      <w:r>
        <w:rPr>
          <w:rFonts w:hint="eastAsia" w:ascii="仿宋" w:hAnsi="仿宋" w:eastAsia="仿宋" w:cs="仿宋"/>
          <w:bCs/>
          <w:color w:val="auto"/>
          <w:sz w:val="24"/>
          <w:szCs w:val="24"/>
          <w:highlight w:val="none"/>
        </w:rPr>
        <w:t>，提供旅游策划、线路安排、旅游服务保障、及疗休养结束后的发票报销衔接等一系列疗休养相关服务。每批参加疗休养的实际人数和具体疗休养时间、地点由采购人安排确定。</w:t>
      </w:r>
    </w:p>
    <w:p w14:paraId="4901B9E1">
      <w:pPr>
        <w:widowControl/>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2.2职工疗休养具体内容：</w:t>
      </w:r>
    </w:p>
    <w:p w14:paraId="324341FE">
      <w:pPr>
        <w:widowControl/>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2.2.1疗休养线路：</w:t>
      </w:r>
      <w:r>
        <w:rPr>
          <w:rFonts w:hint="eastAsia" w:ascii="仿宋" w:hAnsi="仿宋" w:eastAsia="仿宋" w:cs="仿宋"/>
          <w:color w:val="auto"/>
          <w:sz w:val="24"/>
          <w:szCs w:val="24"/>
          <w:highlight w:val="none"/>
          <w:shd w:val="clear" w:color="auto" w:fill="FFFFFF"/>
          <w:lang w:eastAsia="zh-CN"/>
        </w:rPr>
        <w:t>舟山-岱山/杭州线-富阳桐庐/福州-平潭岛</w:t>
      </w:r>
      <w:r>
        <w:rPr>
          <w:rFonts w:hint="eastAsia" w:ascii="仿宋" w:hAnsi="仿宋" w:eastAsia="仿宋" w:cs="仿宋"/>
          <w:bCs/>
          <w:color w:val="auto"/>
          <w:sz w:val="24"/>
          <w:szCs w:val="24"/>
          <w:highlight w:val="none"/>
        </w:rPr>
        <w:t>每次疗休养时间不超过5天4夜计算，其疗休养费用不超过3000元</w:t>
      </w:r>
      <w:r>
        <w:rPr>
          <w:rFonts w:hint="eastAsia" w:ascii="仿宋" w:hAnsi="仿宋" w:eastAsia="仿宋" w:cs="仿宋"/>
          <w:bCs/>
          <w:color w:val="auto"/>
          <w:sz w:val="24"/>
          <w:szCs w:val="24"/>
          <w:highlight w:val="none"/>
          <w:lang w:eastAsia="zh-CN"/>
        </w:rPr>
        <w:t>（不作下浮），</w:t>
      </w:r>
      <w:r>
        <w:rPr>
          <w:rFonts w:hint="eastAsia" w:ascii="仿宋" w:hAnsi="仿宋" w:eastAsia="仿宋" w:cs="仿宋"/>
          <w:color w:val="auto"/>
          <w:sz w:val="24"/>
          <w:szCs w:val="24"/>
          <w:highlight w:val="none"/>
        </w:rPr>
        <w:t>包含食、宿、景点门票、交通、保险等所有费用</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新疆阿克苏 巴音布鲁克 赛里木湖线路（</w:t>
      </w:r>
      <w:r>
        <w:rPr>
          <w:rFonts w:hint="eastAsia" w:ascii="仿宋" w:hAnsi="仿宋" w:eastAsia="仿宋" w:cs="仿宋"/>
          <w:bCs/>
          <w:color w:val="auto"/>
          <w:kern w:val="0"/>
          <w:sz w:val="24"/>
          <w:szCs w:val="24"/>
          <w:highlight w:val="none"/>
          <w:lang w:val="en-US" w:eastAsia="zh-CN"/>
        </w:rPr>
        <w:t>暂定为8月中下旬或9月初），</w:t>
      </w:r>
      <w:r>
        <w:rPr>
          <w:rFonts w:hint="eastAsia" w:ascii="仿宋" w:hAnsi="仿宋" w:eastAsia="仿宋" w:cs="仿宋"/>
          <w:bCs/>
          <w:color w:val="auto"/>
          <w:sz w:val="24"/>
          <w:szCs w:val="24"/>
          <w:highlight w:val="none"/>
        </w:rPr>
        <w:t>疗休养时间不超过</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天</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rPr>
        <w:t>夜</w:t>
      </w:r>
      <w:r>
        <w:rPr>
          <w:rFonts w:hint="eastAsia" w:ascii="仿宋" w:hAnsi="仿宋" w:eastAsia="仿宋" w:cs="仿宋"/>
          <w:bCs/>
          <w:color w:val="auto"/>
          <w:sz w:val="24"/>
          <w:szCs w:val="24"/>
          <w:highlight w:val="none"/>
          <w:lang w:val="en-US" w:eastAsia="zh-CN"/>
        </w:rPr>
        <w:t>，其疗休养费用不超过10000元，</w:t>
      </w:r>
      <w:r>
        <w:rPr>
          <w:rFonts w:hint="eastAsia" w:ascii="仿宋" w:hAnsi="仿宋" w:eastAsia="仿宋" w:cs="仿宋"/>
          <w:color w:val="auto"/>
          <w:sz w:val="24"/>
          <w:szCs w:val="24"/>
          <w:highlight w:val="none"/>
        </w:rPr>
        <w:t>包含食、宿、景点门票、交通、保险等所有费用。</w:t>
      </w:r>
    </w:p>
    <w:p w14:paraId="55C4F90C">
      <w:pPr>
        <w:widowControl/>
        <w:adjustRightInd w:val="0"/>
        <w:snapToGrid w:val="0"/>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rPr>
        <w:t>实际结算价按中标单位的投标</w:t>
      </w:r>
      <w:r>
        <w:rPr>
          <w:rFonts w:hint="eastAsia" w:ascii="仿宋" w:hAnsi="仿宋" w:eastAsia="仿宋" w:cs="仿宋"/>
          <w:b/>
          <w:bCs/>
          <w:color w:val="auto"/>
          <w:kern w:val="0"/>
          <w:sz w:val="24"/>
          <w:szCs w:val="24"/>
          <w:highlight w:val="none"/>
          <w:lang w:val="en-US" w:eastAsia="zh-CN"/>
        </w:rPr>
        <w:t>报</w:t>
      </w:r>
      <w:r>
        <w:rPr>
          <w:rFonts w:hint="eastAsia" w:ascii="仿宋" w:hAnsi="仿宋" w:eastAsia="仿宋" w:cs="仿宋"/>
          <w:b/>
          <w:bCs/>
          <w:color w:val="auto"/>
          <w:kern w:val="0"/>
          <w:sz w:val="24"/>
          <w:szCs w:val="24"/>
          <w:highlight w:val="none"/>
        </w:rPr>
        <w:t>价进行结算，若费用超出3000元/人部分</w:t>
      </w:r>
      <w:r>
        <w:rPr>
          <w:rFonts w:hint="eastAsia" w:ascii="仿宋" w:hAnsi="仿宋" w:eastAsia="仿宋" w:cs="仿宋"/>
          <w:b/>
          <w:bCs/>
          <w:color w:val="auto"/>
          <w:kern w:val="0"/>
          <w:sz w:val="24"/>
          <w:szCs w:val="24"/>
          <w:highlight w:val="none"/>
          <w:lang w:val="en-US" w:eastAsia="zh-CN"/>
        </w:rPr>
        <w:t>个人自行承担。</w:t>
      </w:r>
    </w:p>
    <w:p w14:paraId="2F48C100">
      <w:pPr>
        <w:widowControl/>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kern w:val="0"/>
          <w:sz w:val="24"/>
          <w:szCs w:val="24"/>
          <w:highlight w:val="none"/>
          <w:lang w:val="en-US" w:eastAsia="zh-CN"/>
        </w:rPr>
        <w:t>2.2.</w:t>
      </w:r>
      <w:r>
        <w:rPr>
          <w:rFonts w:hint="eastAsia" w:ascii="仿宋" w:hAnsi="仿宋" w:eastAsia="仿宋" w:cs="仿宋"/>
          <w:bCs/>
          <w:color w:val="auto"/>
          <w:kern w:val="0"/>
          <w:sz w:val="24"/>
          <w:szCs w:val="24"/>
          <w:highlight w:val="none"/>
          <w:lang w:eastAsia="zh-CN"/>
        </w:rPr>
        <w:t>2</w:t>
      </w:r>
      <w:r>
        <w:rPr>
          <w:rFonts w:hint="eastAsia" w:ascii="仿宋" w:hAnsi="仿宋" w:eastAsia="仿宋" w:cs="仿宋"/>
          <w:bCs/>
          <w:color w:val="auto"/>
          <w:sz w:val="24"/>
          <w:szCs w:val="24"/>
          <w:highlight w:val="none"/>
        </w:rPr>
        <w:t>疗休养</w:t>
      </w:r>
      <w:r>
        <w:rPr>
          <w:rFonts w:hint="eastAsia" w:ascii="仿宋" w:hAnsi="仿宋" w:eastAsia="仿宋" w:cs="仿宋"/>
          <w:bCs/>
          <w:color w:val="auto"/>
          <w:sz w:val="24"/>
          <w:szCs w:val="24"/>
          <w:highlight w:val="none"/>
          <w:lang w:eastAsia="zh-CN"/>
        </w:rPr>
        <w:t>人数约</w:t>
      </w:r>
      <w:r>
        <w:rPr>
          <w:rFonts w:hint="eastAsia" w:ascii="仿宋" w:hAnsi="仿宋" w:eastAsia="仿宋" w:cs="仿宋"/>
          <w:bCs/>
          <w:color w:val="auto"/>
          <w:sz w:val="24"/>
          <w:szCs w:val="24"/>
          <w:highlight w:val="none"/>
          <w:lang w:val="en-US" w:eastAsia="zh-CN"/>
        </w:rPr>
        <w:t>173人，</w:t>
      </w:r>
      <w:r>
        <w:rPr>
          <w:rFonts w:hint="eastAsia" w:ascii="仿宋" w:hAnsi="仿宋" w:eastAsia="仿宋" w:cs="仿宋"/>
          <w:b/>
          <w:color w:val="auto"/>
          <w:sz w:val="24"/>
          <w:szCs w:val="24"/>
          <w:highlight w:val="none"/>
        </w:rPr>
        <w:t>根据医院职工个人意愿分批出行，</w:t>
      </w:r>
      <w:r>
        <w:rPr>
          <w:rFonts w:hint="eastAsia" w:ascii="仿宋" w:hAnsi="仿宋" w:eastAsia="仿宋" w:cs="仿宋"/>
          <w:color w:val="auto"/>
          <w:sz w:val="24"/>
          <w:szCs w:val="24"/>
          <w:highlight w:val="none"/>
        </w:rPr>
        <w:t>出行具体时间、批次、总人数根据医院实际需求。</w:t>
      </w:r>
    </w:p>
    <w:p w14:paraId="39BE7255">
      <w:pPr>
        <w:widowControl/>
        <w:snapToGrid w:val="0"/>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2.2.3线路安排(省内2条、省外</w:t>
      </w:r>
      <w:r>
        <w:rPr>
          <w:rFonts w:hint="eastAsia" w:ascii="仿宋" w:hAnsi="仿宋" w:eastAsia="仿宋" w:cs="仿宋"/>
          <w:bCs/>
          <w:color w:val="auto"/>
          <w:kern w:val="0"/>
          <w:sz w:val="24"/>
          <w:szCs w:val="24"/>
          <w:highlight w:val="none"/>
          <w:lang w:val="en-US" w:eastAsia="zh-CN"/>
        </w:rPr>
        <w:t>2</w:t>
      </w:r>
      <w:r>
        <w:rPr>
          <w:rFonts w:hint="eastAsia" w:ascii="仿宋" w:hAnsi="仿宋" w:eastAsia="仿宋" w:cs="仿宋"/>
          <w:bCs/>
          <w:color w:val="auto"/>
          <w:kern w:val="0"/>
          <w:sz w:val="24"/>
          <w:szCs w:val="24"/>
          <w:highlight w:val="none"/>
        </w:rPr>
        <w:t>条</w:t>
      </w:r>
      <w:r>
        <w:rPr>
          <w:rFonts w:hint="eastAsia" w:ascii="仿宋" w:hAnsi="仿宋" w:eastAsia="仿宋" w:cs="仿宋"/>
          <w:bCs/>
          <w:color w:val="auto"/>
          <w:kern w:val="0"/>
          <w:sz w:val="24"/>
          <w:szCs w:val="24"/>
          <w:highlight w:val="none"/>
          <w:lang w:eastAsia="zh-CN"/>
        </w:rPr>
        <w:t>）</w:t>
      </w:r>
      <w:r>
        <w:rPr>
          <w:rFonts w:hint="eastAsia" w:ascii="仿宋" w:hAnsi="仿宋" w:eastAsia="仿宋" w:cs="仿宋"/>
          <w:bCs/>
          <w:color w:val="auto"/>
          <w:kern w:val="0"/>
          <w:sz w:val="24"/>
          <w:szCs w:val="24"/>
          <w:highlight w:val="none"/>
        </w:rPr>
        <w:t>，投标文件中提供具体线路安排，具体实施时间按招标单位要求定，线路如需调整，中标单位要按投标的同等优惠价格及时配合做好招标单位线路调整和相关衔接工作)：</w:t>
      </w:r>
    </w:p>
    <w:p w14:paraId="3AFA8437">
      <w:pPr>
        <w:widowControl/>
        <w:snapToGrid w:val="0"/>
        <w:spacing w:line="360" w:lineRule="auto"/>
        <w:ind w:firstLine="480"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lang w:val="en-US" w:eastAsia="zh-CN"/>
        </w:rPr>
        <w:t>2.2.</w:t>
      </w:r>
      <w:r>
        <w:rPr>
          <w:rFonts w:hint="eastAsia" w:ascii="仿宋" w:hAnsi="仿宋" w:eastAsia="仿宋" w:cs="仿宋"/>
          <w:bCs/>
          <w:color w:val="auto"/>
          <w:kern w:val="0"/>
          <w:sz w:val="24"/>
          <w:szCs w:val="24"/>
          <w:highlight w:val="none"/>
          <w:lang w:eastAsia="zh-CN"/>
        </w:rPr>
        <w:t>3</w:t>
      </w:r>
      <w:r>
        <w:rPr>
          <w:rFonts w:hint="eastAsia" w:ascii="仿宋" w:hAnsi="仿宋" w:eastAsia="仿宋" w:cs="仿宋"/>
          <w:bCs/>
          <w:color w:val="auto"/>
          <w:kern w:val="0"/>
          <w:sz w:val="24"/>
          <w:szCs w:val="24"/>
          <w:highlight w:val="none"/>
          <w:lang w:val="en-US" w:eastAsia="zh-CN"/>
        </w:rPr>
        <w:t>.</w:t>
      </w:r>
      <w:r>
        <w:rPr>
          <w:rFonts w:hint="eastAsia" w:ascii="仿宋" w:hAnsi="仿宋" w:eastAsia="仿宋" w:cs="仿宋"/>
          <w:bCs/>
          <w:color w:val="auto"/>
          <w:kern w:val="0"/>
          <w:sz w:val="24"/>
          <w:szCs w:val="24"/>
          <w:highlight w:val="none"/>
        </w:rPr>
        <w:t>1</w:t>
      </w:r>
      <w:r>
        <w:rPr>
          <w:rFonts w:hint="eastAsia" w:ascii="仿宋" w:hAnsi="仿宋" w:eastAsia="仿宋" w:cs="仿宋"/>
          <w:color w:val="auto"/>
          <w:sz w:val="24"/>
          <w:szCs w:val="24"/>
          <w:highlight w:val="none"/>
          <w:shd w:val="clear" w:color="auto" w:fill="FFFFFF"/>
          <w:lang w:eastAsia="zh-CN"/>
        </w:rPr>
        <w:t>舟山-岱山/杭州线-富阳桐庐/福州-平潭岛</w:t>
      </w:r>
      <w:r>
        <w:rPr>
          <w:rFonts w:hint="eastAsia" w:ascii="仿宋" w:hAnsi="仿宋" w:eastAsia="仿宋" w:cs="仿宋"/>
          <w:color w:val="auto"/>
          <w:kern w:val="0"/>
          <w:sz w:val="24"/>
          <w:szCs w:val="24"/>
          <w:highlight w:val="none"/>
          <w:lang w:val="en-US" w:eastAsia="zh-CN"/>
        </w:rPr>
        <w:t>疗</w:t>
      </w:r>
      <w:r>
        <w:rPr>
          <w:rFonts w:hint="eastAsia" w:ascii="仿宋" w:hAnsi="仿宋" w:eastAsia="仿宋" w:cs="仿宋"/>
          <w:bCs/>
          <w:color w:val="auto"/>
          <w:kern w:val="0"/>
          <w:sz w:val="24"/>
          <w:szCs w:val="24"/>
          <w:highlight w:val="none"/>
        </w:rPr>
        <w:t>休养五日游；</w:t>
      </w:r>
    </w:p>
    <w:p w14:paraId="5B7BAE3E">
      <w:pPr>
        <w:spacing w:before="0" w:after="0" w:line="360" w:lineRule="auto"/>
        <w:ind w:firstLine="56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shd w:val="clear" w:color="auto" w:fill="FFFFFF"/>
          <w:lang w:eastAsia="zh-CN"/>
        </w:rPr>
        <w:t>舟山-岱山</w:t>
      </w:r>
      <w:r>
        <w:rPr>
          <w:rFonts w:hint="eastAsia" w:ascii="仿宋" w:hAnsi="仿宋" w:eastAsia="仿宋" w:cs="仿宋"/>
          <w:color w:val="auto"/>
          <w:sz w:val="24"/>
          <w:szCs w:val="24"/>
          <w:highlight w:val="none"/>
          <w:shd w:val="clear" w:color="auto" w:fill="FFFFFF"/>
          <w:lang w:val="en-US" w:eastAsia="zh-CN"/>
        </w:rPr>
        <w:t>线路</w:t>
      </w:r>
      <w:r>
        <w:rPr>
          <w:rFonts w:hint="eastAsia" w:ascii="仿宋" w:hAnsi="仿宋" w:eastAsia="仿宋" w:cs="仿宋"/>
          <w:bCs/>
          <w:color w:val="auto"/>
          <w:kern w:val="0"/>
          <w:sz w:val="24"/>
          <w:szCs w:val="24"/>
          <w:highlight w:val="none"/>
          <w:lang w:val="en-US" w:eastAsia="zh-CN"/>
        </w:rPr>
        <w:t>：</w:t>
      </w:r>
      <w:r>
        <w:rPr>
          <w:rFonts w:hint="eastAsia" w:ascii="仿宋" w:hAnsi="仿宋" w:eastAsia="仿宋" w:cs="仿宋"/>
          <w:color w:val="auto"/>
          <w:sz w:val="24"/>
          <w:szCs w:val="24"/>
          <w:highlight w:val="none"/>
        </w:rPr>
        <w:t>交通方式：旅游大巴车、轮船。</w:t>
      </w:r>
      <w:r>
        <w:rPr>
          <w:rFonts w:hint="eastAsia" w:ascii="仿宋" w:hAnsi="仿宋" w:eastAsia="仿宋" w:cs="仿宋"/>
          <w:color w:val="auto"/>
          <w:sz w:val="24"/>
          <w:szCs w:val="24"/>
          <w:highlight w:val="none"/>
          <w:lang w:val="en-US" w:eastAsia="zh-CN"/>
        </w:rPr>
        <w:t>推荐</w:t>
      </w:r>
      <w:r>
        <w:rPr>
          <w:rFonts w:hint="eastAsia" w:ascii="仿宋" w:hAnsi="仿宋" w:eastAsia="仿宋" w:cs="仿宋"/>
          <w:color w:val="auto"/>
          <w:sz w:val="24"/>
          <w:szCs w:val="24"/>
          <w:highlight w:val="none"/>
        </w:rPr>
        <w:t>景点：蓬莱茶园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望海亭中望“海上千岛湖”美景</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台风博物馆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爱琴海沙滩·蓝白小镇等。</w:t>
      </w:r>
    </w:p>
    <w:p w14:paraId="44CFF3D0">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br w:type="page"/>
      </w:r>
    </w:p>
    <w:p w14:paraId="6CAE6B5D">
      <w:pPr>
        <w:spacing w:before="0" w:after="0" w:line="360" w:lineRule="auto"/>
        <w:ind w:firstLine="56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杭州线-富阳桐庐</w:t>
      </w:r>
      <w:r>
        <w:rPr>
          <w:rFonts w:hint="eastAsia" w:ascii="仿宋" w:hAnsi="仿宋" w:eastAsia="仿宋" w:cs="仿宋"/>
          <w:color w:val="auto"/>
          <w:sz w:val="24"/>
          <w:szCs w:val="24"/>
          <w:highlight w:val="none"/>
          <w:shd w:val="clear" w:color="auto" w:fill="FFFFFF"/>
          <w:lang w:val="en-US" w:eastAsia="zh-CN"/>
        </w:rPr>
        <w:t>线路</w:t>
      </w:r>
      <w:r>
        <w:rPr>
          <w:rFonts w:hint="eastAsia" w:ascii="仿宋" w:hAnsi="仿宋" w:eastAsia="仿宋" w:cs="仿宋"/>
          <w:bCs/>
          <w:color w:val="auto"/>
          <w:kern w:val="0"/>
          <w:sz w:val="24"/>
          <w:szCs w:val="24"/>
          <w:highlight w:val="none"/>
          <w:lang w:val="en-US" w:eastAsia="zh-CN"/>
        </w:rPr>
        <w:t>：</w:t>
      </w:r>
      <w:r>
        <w:rPr>
          <w:rFonts w:hint="eastAsia" w:ascii="仿宋" w:hAnsi="仿宋" w:eastAsia="仿宋" w:cs="仿宋"/>
          <w:color w:val="auto"/>
          <w:sz w:val="24"/>
          <w:szCs w:val="24"/>
          <w:highlight w:val="none"/>
        </w:rPr>
        <w:t>交通方式：</w:t>
      </w:r>
      <w:r>
        <w:rPr>
          <w:rFonts w:hint="eastAsia" w:ascii="仿宋" w:hAnsi="仿宋" w:eastAsia="仿宋" w:cs="仿宋"/>
          <w:color w:val="auto"/>
          <w:sz w:val="24"/>
          <w:szCs w:val="24"/>
          <w:highlight w:val="none"/>
          <w:lang w:val="en-US" w:eastAsia="zh-CN"/>
        </w:rPr>
        <w:t>动车</w:t>
      </w:r>
      <w:r>
        <w:rPr>
          <w:rFonts w:hint="eastAsia" w:ascii="仿宋" w:hAnsi="仿宋" w:eastAsia="仿宋" w:cs="仿宋"/>
          <w:color w:val="auto"/>
          <w:sz w:val="24"/>
          <w:szCs w:val="24"/>
          <w:highlight w:val="none"/>
        </w:rPr>
        <w:t>、旅游大巴车。</w:t>
      </w:r>
      <w:r>
        <w:rPr>
          <w:rFonts w:hint="eastAsia" w:ascii="仿宋" w:hAnsi="仿宋" w:eastAsia="仿宋" w:cs="仿宋"/>
          <w:color w:val="auto"/>
          <w:sz w:val="24"/>
          <w:szCs w:val="24"/>
          <w:highlight w:val="none"/>
          <w:lang w:val="en-US" w:eastAsia="zh-CN"/>
        </w:rPr>
        <w:t>推荐</w:t>
      </w:r>
      <w:r>
        <w:rPr>
          <w:rFonts w:hint="eastAsia" w:ascii="仿宋" w:hAnsi="仿宋" w:eastAsia="仿宋" w:cs="仿宋"/>
          <w:color w:val="auto"/>
          <w:sz w:val="24"/>
          <w:szCs w:val="24"/>
          <w:highlight w:val="none"/>
        </w:rPr>
        <w:t>景点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大奇山森林公园、深澳古村、瑶琳仙境、马岭古道。</w:t>
      </w:r>
    </w:p>
    <w:p w14:paraId="4C792797">
      <w:pPr>
        <w:spacing w:before="0" w:after="0" w:line="360" w:lineRule="auto"/>
        <w:ind w:firstLine="561"/>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福州-平潭岛</w:t>
      </w:r>
      <w:r>
        <w:rPr>
          <w:rFonts w:hint="eastAsia" w:ascii="仿宋" w:hAnsi="仿宋" w:eastAsia="仿宋" w:cs="仿宋"/>
          <w:color w:val="auto"/>
          <w:sz w:val="24"/>
          <w:szCs w:val="24"/>
          <w:highlight w:val="none"/>
          <w:shd w:val="clear" w:color="auto" w:fill="FFFFFF"/>
          <w:lang w:val="en-US" w:eastAsia="zh-CN"/>
        </w:rPr>
        <w:t>线路</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交通方式：</w:t>
      </w:r>
      <w:r>
        <w:rPr>
          <w:rFonts w:hint="eastAsia" w:ascii="仿宋" w:hAnsi="仿宋" w:eastAsia="仿宋" w:cs="仿宋"/>
          <w:color w:val="auto"/>
          <w:sz w:val="24"/>
          <w:szCs w:val="24"/>
          <w:highlight w:val="none"/>
          <w:lang w:val="en-US" w:eastAsia="zh-CN"/>
        </w:rPr>
        <w:t>动车</w:t>
      </w:r>
      <w:r>
        <w:rPr>
          <w:rFonts w:hint="eastAsia" w:ascii="仿宋" w:hAnsi="仿宋" w:eastAsia="仿宋" w:cs="仿宋"/>
          <w:color w:val="auto"/>
          <w:sz w:val="24"/>
          <w:szCs w:val="24"/>
          <w:highlight w:val="none"/>
        </w:rPr>
        <w:t>、旅游大巴车。</w:t>
      </w:r>
      <w:r>
        <w:rPr>
          <w:rFonts w:hint="eastAsia" w:ascii="仿宋" w:hAnsi="仿宋" w:eastAsia="仿宋" w:cs="仿宋"/>
          <w:color w:val="auto"/>
          <w:sz w:val="24"/>
          <w:szCs w:val="24"/>
          <w:highlight w:val="none"/>
          <w:lang w:val="en-US" w:eastAsia="zh-CN"/>
        </w:rPr>
        <w:t>推荐景点</w:t>
      </w:r>
      <w:r>
        <w:rPr>
          <w:rFonts w:hint="eastAsia" w:ascii="仿宋" w:hAnsi="仿宋" w:eastAsia="仿宋" w:cs="仿宋"/>
          <w:color w:val="auto"/>
          <w:sz w:val="24"/>
          <w:szCs w:val="24"/>
          <w:highlight w:val="none"/>
        </w:rPr>
        <w:t>：北港村</w:t>
      </w:r>
      <w:r>
        <w:rPr>
          <w:rFonts w:hint="eastAsia" w:ascii="仿宋" w:hAnsi="仿宋" w:eastAsia="仿宋" w:cs="仿宋"/>
          <w:color w:val="auto"/>
          <w:sz w:val="24"/>
          <w:szCs w:val="24"/>
          <w:highlight w:val="none"/>
          <w:lang w:eastAsia="zh-CN"/>
        </w:rPr>
        <w:t>、最美风力发电田长江澳、将军山、东海仙境-仙人井、</w:t>
      </w:r>
      <w:r>
        <w:rPr>
          <w:rFonts w:hint="eastAsia" w:ascii="仿宋" w:hAnsi="仿宋" w:eastAsia="仿宋" w:cs="仿宋"/>
          <w:color w:val="auto"/>
          <w:sz w:val="24"/>
          <w:szCs w:val="24"/>
          <w:highlight w:val="none"/>
          <w:lang w:val="en-US" w:eastAsia="zh-CN"/>
        </w:rPr>
        <w:t>三坊七巷-南后街等</w:t>
      </w:r>
    </w:p>
    <w:p w14:paraId="68AE2939">
      <w:pPr>
        <w:widowControl/>
        <w:snapToGrid w:val="0"/>
        <w:spacing w:line="360" w:lineRule="auto"/>
        <w:ind w:firstLine="480" w:firstLineChars="200"/>
        <w:jc w:val="left"/>
        <w:rPr>
          <w:rFonts w:hint="eastAsia" w:ascii="仿宋" w:hAnsi="仿宋" w:eastAsia="仿宋" w:cs="仿宋"/>
          <w:bCs/>
          <w:color w:val="auto"/>
          <w:kern w:val="0"/>
          <w:sz w:val="24"/>
          <w:szCs w:val="24"/>
          <w:highlight w:val="none"/>
          <w:lang w:eastAsia="zh-CN"/>
        </w:rPr>
      </w:pPr>
      <w:r>
        <w:rPr>
          <w:rFonts w:hint="eastAsia" w:ascii="仿宋" w:hAnsi="仿宋" w:eastAsia="仿宋" w:cs="仿宋"/>
          <w:bCs/>
          <w:color w:val="auto"/>
          <w:kern w:val="0"/>
          <w:sz w:val="24"/>
          <w:szCs w:val="24"/>
          <w:highlight w:val="none"/>
          <w:lang w:val="en-US" w:eastAsia="zh-CN"/>
        </w:rPr>
        <w:t>2.2.</w:t>
      </w:r>
      <w:r>
        <w:rPr>
          <w:rFonts w:hint="eastAsia" w:ascii="仿宋" w:hAnsi="仿宋" w:eastAsia="仿宋" w:cs="仿宋"/>
          <w:bCs/>
          <w:color w:val="auto"/>
          <w:kern w:val="0"/>
          <w:sz w:val="24"/>
          <w:szCs w:val="24"/>
          <w:highlight w:val="none"/>
          <w:lang w:eastAsia="zh-CN"/>
        </w:rPr>
        <w:t>3</w:t>
      </w:r>
      <w:r>
        <w:rPr>
          <w:rFonts w:hint="eastAsia" w:ascii="仿宋" w:hAnsi="仿宋" w:eastAsia="仿宋" w:cs="仿宋"/>
          <w:bCs/>
          <w:color w:val="auto"/>
          <w:kern w:val="0"/>
          <w:sz w:val="24"/>
          <w:szCs w:val="24"/>
          <w:highlight w:val="none"/>
          <w:lang w:val="en-US" w:eastAsia="zh-CN"/>
        </w:rPr>
        <w:t>.</w:t>
      </w:r>
      <w:r>
        <w:rPr>
          <w:rFonts w:hint="eastAsia" w:ascii="仿宋" w:hAnsi="仿宋" w:eastAsia="仿宋" w:cs="仿宋"/>
          <w:bCs/>
          <w:color w:val="auto"/>
          <w:kern w:val="0"/>
          <w:sz w:val="24"/>
          <w:szCs w:val="24"/>
          <w:highlight w:val="none"/>
        </w:rPr>
        <w:t>2</w:t>
      </w:r>
      <w:r>
        <w:rPr>
          <w:rFonts w:hint="eastAsia" w:ascii="仿宋" w:hAnsi="仿宋" w:eastAsia="仿宋" w:cs="仿宋"/>
          <w:bCs/>
          <w:color w:val="auto"/>
          <w:sz w:val="24"/>
          <w:szCs w:val="24"/>
          <w:highlight w:val="none"/>
          <w:lang w:val="en-US" w:eastAsia="zh-CN"/>
        </w:rPr>
        <w:t>新疆阿克苏 巴音布鲁克 赛里木湖</w:t>
      </w:r>
      <w:r>
        <w:rPr>
          <w:rFonts w:hint="eastAsia" w:ascii="仿宋" w:hAnsi="仿宋" w:eastAsia="仿宋" w:cs="仿宋"/>
          <w:color w:val="auto"/>
          <w:kern w:val="0"/>
          <w:sz w:val="24"/>
          <w:szCs w:val="24"/>
          <w:highlight w:val="none"/>
          <w:lang w:val="en-US" w:eastAsia="zh-CN"/>
        </w:rPr>
        <w:t>疗</w:t>
      </w:r>
      <w:r>
        <w:rPr>
          <w:rFonts w:hint="eastAsia" w:ascii="仿宋" w:hAnsi="仿宋" w:eastAsia="仿宋" w:cs="仿宋"/>
          <w:bCs/>
          <w:color w:val="auto"/>
          <w:kern w:val="0"/>
          <w:sz w:val="24"/>
          <w:szCs w:val="24"/>
          <w:highlight w:val="none"/>
        </w:rPr>
        <w:t>休养</w:t>
      </w:r>
      <w:r>
        <w:rPr>
          <w:rFonts w:hint="eastAsia" w:ascii="仿宋" w:hAnsi="仿宋" w:eastAsia="仿宋" w:cs="仿宋"/>
          <w:bCs/>
          <w:color w:val="auto"/>
          <w:kern w:val="0"/>
          <w:sz w:val="24"/>
          <w:szCs w:val="24"/>
          <w:highlight w:val="none"/>
          <w:lang w:val="en-US" w:eastAsia="zh-CN"/>
        </w:rPr>
        <w:t>7</w:t>
      </w:r>
      <w:r>
        <w:rPr>
          <w:rFonts w:hint="eastAsia" w:ascii="仿宋" w:hAnsi="仿宋" w:eastAsia="仿宋" w:cs="仿宋"/>
          <w:bCs/>
          <w:color w:val="auto"/>
          <w:kern w:val="0"/>
          <w:sz w:val="24"/>
          <w:szCs w:val="24"/>
          <w:highlight w:val="none"/>
        </w:rPr>
        <w:t>日游（具体时间按实际情</w:t>
      </w:r>
      <w:r>
        <w:rPr>
          <w:rFonts w:hint="eastAsia" w:ascii="仿宋" w:hAnsi="仿宋" w:eastAsia="仿宋" w:cs="仿宋"/>
          <w:bCs/>
          <w:color w:val="auto"/>
          <w:kern w:val="0"/>
          <w:sz w:val="24"/>
          <w:szCs w:val="24"/>
          <w:highlight w:val="none"/>
        </w:rPr>
        <w:t>况调整）</w:t>
      </w:r>
      <w:r>
        <w:rPr>
          <w:rFonts w:hint="eastAsia" w:ascii="仿宋" w:hAnsi="仿宋" w:eastAsia="仿宋" w:cs="仿宋"/>
          <w:bCs/>
          <w:color w:val="auto"/>
          <w:kern w:val="0"/>
          <w:sz w:val="24"/>
          <w:szCs w:val="24"/>
          <w:highlight w:val="none"/>
          <w:lang w:eastAsia="zh-CN"/>
        </w:rPr>
        <w:t>；</w:t>
      </w:r>
    </w:p>
    <w:p w14:paraId="3416D220">
      <w:pPr>
        <w:widowControl/>
        <w:snapToGrid w:val="0"/>
        <w:spacing w:line="360" w:lineRule="auto"/>
        <w:ind w:firstLine="480" w:firstLineChars="200"/>
        <w:jc w:val="left"/>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eastAsia="zh-CN"/>
        </w:rPr>
        <w:t>新疆阿克苏 巴音布鲁克 赛里木湖</w:t>
      </w:r>
      <w:r>
        <w:rPr>
          <w:rFonts w:hint="eastAsia" w:ascii="仿宋" w:hAnsi="仿宋" w:eastAsia="仿宋" w:cs="仿宋"/>
          <w:b w:val="0"/>
          <w:bCs/>
          <w:color w:val="auto"/>
          <w:sz w:val="24"/>
          <w:szCs w:val="24"/>
          <w:highlight w:val="none"/>
          <w:shd w:val="clear" w:color="auto" w:fill="FFFFFF"/>
          <w:lang w:val="en-US" w:eastAsia="zh-CN"/>
        </w:rPr>
        <w:t>线路：</w:t>
      </w:r>
      <w:r>
        <w:rPr>
          <w:rFonts w:hint="eastAsia" w:ascii="仿宋" w:hAnsi="仿宋" w:eastAsia="仿宋" w:cs="仿宋"/>
          <w:b w:val="0"/>
          <w:bCs/>
          <w:color w:val="auto"/>
          <w:sz w:val="24"/>
          <w:szCs w:val="24"/>
          <w:highlight w:val="none"/>
        </w:rPr>
        <w:t>交通方式</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双飞一动、旅游大巴。推荐景点</w:t>
      </w:r>
      <w:r>
        <w:rPr>
          <w:rFonts w:hint="eastAsia" w:ascii="仿宋" w:hAnsi="仿宋" w:eastAsia="仿宋" w:cs="仿宋"/>
          <w:b w:val="0"/>
          <w:bCs/>
          <w:color w:val="auto"/>
          <w:sz w:val="24"/>
          <w:szCs w:val="24"/>
          <w:highlight w:val="none"/>
        </w:rPr>
        <w:t>：温宿大峡谷</w:t>
      </w:r>
      <w:r>
        <w:rPr>
          <w:rFonts w:hint="eastAsia" w:ascii="仿宋" w:hAnsi="仿宋" w:eastAsia="仿宋" w:cs="仿宋"/>
          <w:b w:val="0"/>
          <w:bCs/>
          <w:color w:val="auto"/>
          <w:sz w:val="24"/>
          <w:szCs w:val="24"/>
          <w:highlight w:val="none"/>
          <w:lang w:val="en-US" w:eastAsia="zh-CN"/>
        </w:rPr>
        <w:t>、烈焰泉、</w:t>
      </w:r>
      <w:r>
        <w:rPr>
          <w:rFonts w:hint="eastAsia" w:ascii="仿宋" w:hAnsi="仿宋" w:eastAsia="仿宋" w:cs="仿宋"/>
          <w:b w:val="0"/>
          <w:bCs/>
          <w:color w:val="auto"/>
          <w:kern w:val="2"/>
          <w:sz w:val="24"/>
          <w:szCs w:val="24"/>
          <w:highlight w:val="none"/>
          <w:lang w:val="en-US" w:eastAsia="zh-CN" w:bidi="zh-CN"/>
        </w:rPr>
        <w:t>巴音布鲁克大草原</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kern w:val="2"/>
          <w:sz w:val="24"/>
          <w:szCs w:val="24"/>
          <w:highlight w:val="none"/>
          <w:lang w:val="en-US" w:eastAsia="zh-CN" w:bidi="zh-CN"/>
        </w:rPr>
        <w:t>九曲十八弯</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kern w:val="2"/>
          <w:sz w:val="24"/>
          <w:szCs w:val="24"/>
          <w:highlight w:val="none"/>
          <w:lang w:val="en-US" w:eastAsia="zh-CN" w:bidi="zh-CN"/>
        </w:rPr>
        <w:t>赛里木湖等</w:t>
      </w:r>
    </w:p>
    <w:p w14:paraId="5A0C1E0E">
      <w:pPr>
        <w:autoSpaceDE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rPr>
        <w:t>3.服务要求：</w:t>
      </w:r>
    </w:p>
    <w:p w14:paraId="02BDC2BB">
      <w:pPr>
        <w:autoSpaceDE w:val="0"/>
        <w:adjustRightInd w:val="0"/>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3.1门票：包含景区内所有景点门票、景区内所有交通费（如：索道等）、游轮等票。</w:t>
      </w:r>
    </w:p>
    <w:p w14:paraId="38DDDEF3">
      <w:pPr>
        <w:autoSpaceDE w:val="0"/>
        <w:adjustRightInd w:val="0"/>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3.2导游：全程陪同及专业导游讲解服务（含导游讲解费）。</w:t>
      </w:r>
      <w:r>
        <w:rPr>
          <w:rFonts w:hint="eastAsia" w:ascii="仿宋" w:hAnsi="仿宋" w:eastAsia="仿宋" w:cs="仿宋"/>
          <w:color w:val="auto"/>
          <w:sz w:val="24"/>
          <w:szCs w:val="24"/>
          <w:highlight w:val="none"/>
        </w:rPr>
        <w:t>告知具体行程安排，各项服务内容及标准，当地的风俗习惯，安全避险措施，应急联络方式。</w:t>
      </w:r>
    </w:p>
    <w:p w14:paraId="339928E7">
      <w:pPr>
        <w:autoSpaceDE w:val="0"/>
        <w:adjustRightInd w:val="0"/>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3.3购物：零购物，无强制性消费。</w:t>
      </w:r>
    </w:p>
    <w:p w14:paraId="436BC56E">
      <w:pPr>
        <w:autoSpaceDE w:val="0"/>
        <w:adjustRightInd w:val="0"/>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3.4交通：按疗休养人数提供座位充足的豪华空调旅游车、要求车况好，空调</w:t>
      </w:r>
      <w:r>
        <w:rPr>
          <w:rFonts w:hint="eastAsia" w:ascii="仿宋" w:hAnsi="仿宋" w:eastAsia="仿宋" w:cs="仿宋"/>
          <w:bCs/>
          <w:color w:val="auto"/>
          <w:sz w:val="24"/>
          <w:szCs w:val="24"/>
          <w:highlight w:val="none"/>
        </w:rPr>
        <w:t>效果好，司机服务态度好、技术好，确保行程内所有交通安全；当地旅游车指定地点到疗养地点接送、景区交通等全过程交通出行工具；若是高铁前往的，提供的座位须为二等座位票以上（含）。</w:t>
      </w:r>
    </w:p>
    <w:p w14:paraId="186D21BC">
      <w:pPr>
        <w:autoSpaceDE w:val="0"/>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3.5</w:t>
      </w:r>
      <w:r>
        <w:rPr>
          <w:rFonts w:hint="eastAsia" w:ascii="仿宋" w:hAnsi="仿宋" w:eastAsia="仿宋" w:cs="仿宋"/>
          <w:bCs/>
          <w:color w:val="auto"/>
          <w:sz w:val="24"/>
          <w:szCs w:val="24"/>
          <w:highlight w:val="none"/>
          <w:lang w:val="en-US" w:eastAsia="zh-CN"/>
        </w:rPr>
        <w:t>所有线路</w:t>
      </w:r>
      <w:r>
        <w:rPr>
          <w:rFonts w:hint="eastAsia" w:ascii="仿宋" w:hAnsi="仿宋" w:eastAsia="仿宋" w:cs="仿宋"/>
          <w:bCs/>
          <w:color w:val="auto"/>
          <w:sz w:val="24"/>
          <w:szCs w:val="24"/>
          <w:highlight w:val="none"/>
        </w:rPr>
        <w:t>住宿：除回程当天不安排住宿，其余均安排在挂牌四星或同等标准的度假村、农（渔）家乐（星级的农（渔）家不能等同于酒店标准）及以上双人标准间</w:t>
      </w:r>
      <w:r>
        <w:rPr>
          <w:rFonts w:hint="eastAsia" w:ascii="仿宋" w:hAnsi="仿宋" w:eastAsia="仿宋" w:cs="仿宋"/>
          <w:bCs/>
          <w:color w:val="auto"/>
          <w:sz w:val="24"/>
          <w:szCs w:val="24"/>
          <w:highlight w:val="none"/>
          <w:lang w:eastAsia="zh-CN"/>
        </w:rPr>
        <w:t>，中途</w:t>
      </w:r>
      <w:r>
        <w:rPr>
          <w:rFonts w:hint="eastAsia" w:ascii="仿宋" w:hAnsi="仿宋" w:eastAsia="仿宋" w:cs="仿宋"/>
          <w:bCs/>
          <w:color w:val="auto"/>
          <w:sz w:val="24"/>
          <w:szCs w:val="24"/>
          <w:highlight w:val="none"/>
        </w:rPr>
        <w:t>尽量不换酒店。</w:t>
      </w:r>
      <w:r>
        <w:rPr>
          <w:rFonts w:hint="eastAsia" w:ascii="仿宋" w:hAnsi="仿宋" w:eastAsia="仿宋" w:cs="仿宋"/>
          <w:color w:val="auto"/>
          <w:sz w:val="24"/>
          <w:szCs w:val="24"/>
          <w:highlight w:val="none"/>
        </w:rPr>
        <w:t>若团队中出现单男单女，个人不补住房差价，由中标供应商安排并承担；个人要求单住房，需要补交个人房差价）。</w:t>
      </w:r>
    </w:p>
    <w:p w14:paraId="24070ED9">
      <w:pPr>
        <w:autoSpaceDE w:val="0"/>
        <w:adjustRightInd w:val="0"/>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3.6</w:t>
      </w:r>
      <w:r>
        <w:rPr>
          <w:rFonts w:hint="eastAsia" w:ascii="仿宋" w:hAnsi="仿宋" w:eastAsia="仿宋" w:cs="仿宋"/>
          <w:bCs/>
          <w:color w:val="auto"/>
          <w:sz w:val="24"/>
          <w:szCs w:val="24"/>
          <w:highlight w:val="none"/>
          <w:lang w:val="en-US" w:eastAsia="zh-CN"/>
        </w:rPr>
        <w:t>所有线路</w:t>
      </w:r>
      <w:r>
        <w:rPr>
          <w:rFonts w:hint="eastAsia" w:ascii="仿宋" w:hAnsi="仿宋" w:eastAsia="仿宋" w:cs="仿宋"/>
          <w:bCs/>
          <w:color w:val="auto"/>
          <w:sz w:val="24"/>
          <w:szCs w:val="24"/>
          <w:highlight w:val="none"/>
        </w:rPr>
        <w:t>早餐自助，中、晚餐全部桌餐。省内每天正餐餐标不低于120元/人·天，省外每天正餐餐标不低于110元/人·天</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午、晚餐均配备饮料，食物要求新鲜、安全，适合职工口味。要求菜品多样。餐厅交通便利，环境较好。具体餐标以投标人编制并获得采购人认可的方案为准。</w:t>
      </w:r>
    </w:p>
    <w:p w14:paraId="7AAE3429">
      <w:pPr>
        <w:autoSpaceDE w:val="0"/>
        <w:adjustRightInd w:val="0"/>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3.7保险：为每位参加人员购买保障金额不低于100万元的人身意外保险（人身意外险包括意外伤害、突发性疾病、伤害医疗、突发性医疗等），乘坐飞机、火车、客车等公共交通工具的，必须购买公共交通意外保险（以上保险费用含在投标报价中）。</w:t>
      </w:r>
    </w:p>
    <w:p w14:paraId="381A581B">
      <w:pPr>
        <w:autoSpaceDE w:val="0"/>
        <w:adjustRightInd w:val="0"/>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3.8职工家属自行和旅行社洽商并签订合同，其费用自理，责任自负。（家属费用：成人不得高于中标价；儿童按市场行情享受优惠价）；若中标线路不成团，即取消相应疗休养线路且不执行中标结果，并不得以任何理由要求采购人承担赔偿等。</w:t>
      </w:r>
    </w:p>
    <w:p w14:paraId="5500A682">
      <w:pPr>
        <w:autoSpaceDE w:val="0"/>
        <w:adjustRightInd w:val="0"/>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rPr>
        <w:t>项目实施方案中标后一周内报采购人做确认，如遇恶劣天气等特殊情况，无法成团出行目的地的，需及时调整出行方案，采购人认可后可调整目的地或视情况取消出行。</w:t>
      </w:r>
    </w:p>
    <w:p w14:paraId="1611B6E7">
      <w:pPr>
        <w:autoSpaceDE w:val="0"/>
        <w:adjustRightInd w:val="0"/>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r>
        <w:rPr>
          <w:rFonts w:hint="eastAsia" w:ascii="仿宋" w:hAnsi="仿宋" w:eastAsia="仿宋" w:cs="仿宋"/>
          <w:bCs/>
          <w:color w:val="auto"/>
          <w:sz w:val="24"/>
          <w:szCs w:val="24"/>
          <w:highlight w:val="none"/>
          <w:lang w:val="en-US" w:eastAsia="zh-CN"/>
        </w:rPr>
        <w:t>10</w:t>
      </w:r>
      <w:r>
        <w:rPr>
          <w:rFonts w:hint="eastAsia" w:ascii="仿宋" w:hAnsi="仿宋" w:eastAsia="仿宋" w:cs="仿宋"/>
          <w:bCs/>
          <w:color w:val="auto"/>
          <w:sz w:val="24"/>
          <w:szCs w:val="24"/>
          <w:highlight w:val="none"/>
        </w:rPr>
        <w:t>参加疗休养人员名单和个人信息不得外泄。</w:t>
      </w:r>
    </w:p>
    <w:p w14:paraId="22301974">
      <w:pPr>
        <w:autoSpaceDE w:val="0"/>
        <w:adjustRightInd w:val="0"/>
        <w:spacing w:line="360" w:lineRule="auto"/>
        <w:ind w:firstLine="480" w:firstLineChars="20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4.服务考核</w:t>
      </w:r>
    </w:p>
    <w:p w14:paraId="1FE97E79">
      <w:pPr>
        <w:autoSpaceDE w:val="0"/>
        <w:adjustRightInd w:val="0"/>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rPr>
        <w:t>考核方式：每次完成疗养服务回程后，采购人对全体参加疗休养人员发放《满意度调查表》，出行职工对本次出行计划、酒店、就餐等情况进行满意度评分并填写《满意度调查表》（调查表选项填写不全或赋分不在设定范围的无效），满意度调查结果由采购人反馈给</w:t>
      </w:r>
      <w:r>
        <w:rPr>
          <w:rFonts w:hint="eastAsia" w:ascii="仿宋" w:hAnsi="仿宋" w:eastAsia="仿宋" w:cs="仿宋"/>
          <w:bCs/>
          <w:color w:val="auto"/>
          <w:sz w:val="24"/>
          <w:szCs w:val="24"/>
          <w:highlight w:val="none"/>
          <w:lang w:val="en-US" w:eastAsia="zh-CN"/>
        </w:rPr>
        <w:t>中标人</w:t>
      </w:r>
      <w:r>
        <w:rPr>
          <w:rFonts w:hint="eastAsia" w:ascii="仿宋" w:hAnsi="仿宋" w:eastAsia="仿宋" w:cs="仿宋"/>
          <w:bCs/>
          <w:color w:val="auto"/>
          <w:sz w:val="24"/>
          <w:szCs w:val="24"/>
          <w:highlight w:val="none"/>
        </w:rPr>
        <w:t>，采购人将根据满意度平均分确认当次疗休养费用。</w:t>
      </w:r>
    </w:p>
    <w:p w14:paraId="0A68FEAB">
      <w:pPr>
        <w:autoSpaceDE w:val="0"/>
        <w:adjustRightInd w:val="0"/>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rPr>
        <w:t>考核标准：当次满意度平均分高于85分（含），支付当次疗休养费用的100%；当次满意度平均分高于75分（含）低于85分，扣减当次疗休养费用5%；当次满意度平均分低75分，扣减当次疗休养费用10%。</w:t>
      </w:r>
    </w:p>
    <w:p w14:paraId="36608A2A">
      <w:pPr>
        <w:pStyle w:val="16"/>
        <w:jc w:val="left"/>
        <w:rPr>
          <w:rFonts w:hint="eastAsia" w:ascii="仿宋" w:hAnsi="仿宋" w:eastAsia="仿宋" w:cs="仿宋"/>
          <w:b/>
          <w:color w:val="auto"/>
          <w:sz w:val="24"/>
          <w:szCs w:val="24"/>
          <w:highlight w:val="none"/>
        </w:rPr>
      </w:pPr>
    </w:p>
    <w:p w14:paraId="0EE8BAC1">
      <w:pPr>
        <w:pStyle w:val="16"/>
        <w:jc w:val="left"/>
        <w:rPr>
          <w:rFonts w:hint="eastAsia" w:ascii="仿宋" w:hAnsi="仿宋" w:eastAsia="仿宋" w:cs="仿宋"/>
          <w:b/>
          <w:color w:val="auto"/>
          <w:sz w:val="24"/>
          <w:szCs w:val="24"/>
          <w:highlight w:val="none"/>
        </w:rPr>
      </w:pPr>
    </w:p>
    <w:p w14:paraId="2A93011F">
      <w:pPr>
        <w:pStyle w:val="16"/>
        <w:jc w:val="left"/>
        <w:rPr>
          <w:rFonts w:hint="eastAsia" w:ascii="仿宋" w:hAnsi="仿宋" w:eastAsia="仿宋" w:cs="仿宋"/>
          <w:b/>
          <w:color w:val="auto"/>
          <w:sz w:val="24"/>
          <w:szCs w:val="24"/>
          <w:highlight w:val="none"/>
        </w:rPr>
      </w:pPr>
    </w:p>
    <w:p w14:paraId="4F3AB748">
      <w:pPr>
        <w:pStyle w:val="16"/>
        <w:jc w:val="left"/>
        <w:rPr>
          <w:rFonts w:hint="eastAsia" w:ascii="仿宋" w:hAnsi="仿宋" w:eastAsia="仿宋" w:cs="仿宋"/>
          <w:b/>
          <w:color w:val="auto"/>
          <w:sz w:val="24"/>
          <w:szCs w:val="24"/>
          <w:highlight w:val="none"/>
        </w:rPr>
      </w:pPr>
    </w:p>
    <w:p w14:paraId="507B520B">
      <w:pPr>
        <w:pStyle w:val="16"/>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附件：</w:t>
      </w:r>
    </w:p>
    <w:tbl>
      <w:tblPr>
        <w:tblStyle w:val="26"/>
        <w:tblW w:w="10084" w:type="dxa"/>
        <w:jc w:val="center"/>
        <w:tblLayout w:type="fixed"/>
        <w:tblCellMar>
          <w:top w:w="0" w:type="dxa"/>
          <w:left w:w="108" w:type="dxa"/>
          <w:bottom w:w="0" w:type="dxa"/>
          <w:right w:w="108" w:type="dxa"/>
        </w:tblCellMar>
      </w:tblPr>
      <w:tblGrid>
        <w:gridCol w:w="1006"/>
        <w:gridCol w:w="5028"/>
        <w:gridCol w:w="1245"/>
        <w:gridCol w:w="885"/>
        <w:gridCol w:w="870"/>
        <w:gridCol w:w="1050"/>
      </w:tblGrid>
      <w:tr w14:paraId="0BAE7DE0">
        <w:tblPrEx>
          <w:tblCellMar>
            <w:top w:w="0" w:type="dxa"/>
            <w:left w:w="108" w:type="dxa"/>
            <w:bottom w:w="0" w:type="dxa"/>
            <w:right w:w="108" w:type="dxa"/>
          </w:tblCellMar>
        </w:tblPrEx>
        <w:trPr>
          <w:trHeight w:val="567" w:hRule="exact"/>
          <w:jc w:val="center"/>
        </w:trPr>
        <w:tc>
          <w:tcPr>
            <w:tcW w:w="10084" w:type="dxa"/>
            <w:gridSpan w:val="6"/>
            <w:tcBorders>
              <w:top w:val="single" w:color="auto" w:sz="4" w:space="0"/>
              <w:left w:val="single" w:color="auto" w:sz="4" w:space="0"/>
              <w:bottom w:val="single" w:color="auto" w:sz="4" w:space="0"/>
              <w:right w:val="single" w:color="auto" w:sz="4" w:space="0"/>
            </w:tcBorders>
            <w:vAlign w:val="center"/>
          </w:tcPr>
          <w:p w14:paraId="222BCC94">
            <w:pPr>
              <w:widowControl/>
              <w:spacing w:before="156" w:line="400" w:lineRule="exac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职工疗休养服务评分反馈表</w:t>
            </w:r>
          </w:p>
        </w:tc>
      </w:tr>
      <w:tr w14:paraId="086A79E1">
        <w:tblPrEx>
          <w:tblCellMar>
            <w:top w:w="0" w:type="dxa"/>
            <w:left w:w="108" w:type="dxa"/>
            <w:bottom w:w="0" w:type="dxa"/>
            <w:right w:w="108" w:type="dxa"/>
          </w:tblCellMar>
        </w:tblPrEx>
        <w:trPr>
          <w:trHeight w:val="755" w:hRule="exact"/>
          <w:jc w:val="center"/>
        </w:trPr>
        <w:tc>
          <w:tcPr>
            <w:tcW w:w="10084" w:type="dxa"/>
            <w:gridSpan w:val="6"/>
            <w:tcBorders>
              <w:top w:val="single" w:color="auto" w:sz="4" w:space="0"/>
              <w:left w:val="single" w:color="auto" w:sz="4" w:space="0"/>
              <w:bottom w:val="single" w:color="auto" w:sz="4" w:space="0"/>
              <w:right w:val="single" w:color="auto" w:sz="4" w:space="0"/>
            </w:tcBorders>
            <w:vAlign w:val="center"/>
          </w:tcPr>
          <w:p w14:paraId="3B036057">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感谢您对旅行社的服务情况进行评分反馈。希望您能认真、详实地填写。同时为耽误您的宝贵时间表示歉意。</w:t>
            </w:r>
          </w:p>
        </w:tc>
      </w:tr>
      <w:tr w14:paraId="40BA650F">
        <w:tblPrEx>
          <w:tblCellMar>
            <w:top w:w="0" w:type="dxa"/>
            <w:left w:w="108" w:type="dxa"/>
            <w:bottom w:w="0" w:type="dxa"/>
            <w:right w:w="108" w:type="dxa"/>
          </w:tblCellMar>
        </w:tblPrEx>
        <w:trPr>
          <w:trHeight w:val="417" w:hRule="exact"/>
          <w:jc w:val="center"/>
        </w:trPr>
        <w:tc>
          <w:tcPr>
            <w:tcW w:w="10084" w:type="dxa"/>
            <w:gridSpan w:val="6"/>
            <w:tcBorders>
              <w:top w:val="single" w:color="auto" w:sz="4" w:space="0"/>
              <w:left w:val="single" w:color="auto" w:sz="4" w:space="0"/>
              <w:bottom w:val="single" w:color="auto" w:sz="4" w:space="0"/>
              <w:right w:val="single" w:color="auto" w:sz="4" w:space="0"/>
            </w:tcBorders>
            <w:vAlign w:val="center"/>
          </w:tcPr>
          <w:p w14:paraId="6DD1FB3D">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为您服务的旅行社名称：                           疗休养线路：</w:t>
            </w:r>
          </w:p>
        </w:tc>
      </w:tr>
      <w:tr w14:paraId="24A31035">
        <w:tblPrEx>
          <w:tblCellMar>
            <w:top w:w="0" w:type="dxa"/>
            <w:left w:w="108" w:type="dxa"/>
            <w:bottom w:w="0" w:type="dxa"/>
            <w:right w:w="108" w:type="dxa"/>
          </w:tblCellMar>
        </w:tblPrEx>
        <w:trPr>
          <w:trHeight w:val="409" w:hRule="exact"/>
          <w:jc w:val="center"/>
        </w:trPr>
        <w:tc>
          <w:tcPr>
            <w:tcW w:w="10084" w:type="dxa"/>
            <w:gridSpan w:val="6"/>
            <w:tcBorders>
              <w:top w:val="single" w:color="auto" w:sz="4" w:space="0"/>
              <w:left w:val="single" w:color="auto" w:sz="4" w:space="0"/>
              <w:bottom w:val="single" w:color="auto" w:sz="4" w:space="0"/>
              <w:right w:val="single" w:color="auto" w:sz="4" w:space="0"/>
            </w:tcBorders>
            <w:vAlign w:val="center"/>
          </w:tcPr>
          <w:p w14:paraId="10F46201">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请根据您的实际感受对以下各项进行评分：</w:t>
            </w:r>
          </w:p>
        </w:tc>
      </w:tr>
      <w:tr w14:paraId="3B941FB2">
        <w:tblPrEx>
          <w:tblCellMar>
            <w:top w:w="0" w:type="dxa"/>
            <w:left w:w="108" w:type="dxa"/>
            <w:bottom w:w="0" w:type="dxa"/>
            <w:right w:w="108" w:type="dxa"/>
          </w:tblCellMar>
        </w:tblPrEx>
        <w:trPr>
          <w:trHeight w:val="330" w:hRule="atLeast"/>
          <w:jc w:val="center"/>
        </w:trPr>
        <w:tc>
          <w:tcPr>
            <w:tcW w:w="6034" w:type="dxa"/>
            <w:gridSpan w:val="2"/>
            <w:vMerge w:val="restart"/>
            <w:tcBorders>
              <w:top w:val="single" w:color="auto" w:sz="4" w:space="0"/>
              <w:left w:val="single" w:color="auto" w:sz="4" w:space="0"/>
              <w:bottom w:val="single" w:color="auto" w:sz="4" w:space="0"/>
              <w:right w:val="single" w:color="auto" w:sz="4" w:space="0"/>
            </w:tcBorders>
            <w:vAlign w:val="center"/>
          </w:tcPr>
          <w:p w14:paraId="0F151E75">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评价内容</w:t>
            </w:r>
          </w:p>
        </w:tc>
        <w:tc>
          <w:tcPr>
            <w:tcW w:w="4050" w:type="dxa"/>
            <w:gridSpan w:val="4"/>
            <w:tcBorders>
              <w:top w:val="single" w:color="auto" w:sz="4" w:space="0"/>
              <w:left w:val="nil"/>
              <w:bottom w:val="single" w:color="auto" w:sz="4" w:space="0"/>
              <w:right w:val="single" w:color="auto" w:sz="4" w:space="0"/>
            </w:tcBorders>
            <w:vAlign w:val="center"/>
          </w:tcPr>
          <w:p w14:paraId="7B5FF22E">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满意度评分（0-100分）</w:t>
            </w:r>
          </w:p>
        </w:tc>
      </w:tr>
      <w:tr w14:paraId="06E27FA5">
        <w:tblPrEx>
          <w:tblCellMar>
            <w:top w:w="0" w:type="dxa"/>
            <w:left w:w="108" w:type="dxa"/>
            <w:bottom w:w="0" w:type="dxa"/>
            <w:right w:w="108" w:type="dxa"/>
          </w:tblCellMar>
        </w:tblPrEx>
        <w:trPr>
          <w:trHeight w:val="318" w:hRule="atLeast"/>
          <w:jc w:val="center"/>
        </w:trPr>
        <w:tc>
          <w:tcPr>
            <w:tcW w:w="6034" w:type="dxa"/>
            <w:gridSpan w:val="2"/>
            <w:vMerge w:val="continue"/>
            <w:tcBorders>
              <w:top w:val="single" w:color="auto" w:sz="4" w:space="0"/>
              <w:left w:val="single" w:color="auto" w:sz="4" w:space="0"/>
              <w:bottom w:val="single" w:color="auto" w:sz="4" w:space="0"/>
              <w:right w:val="single" w:color="auto" w:sz="4" w:space="0"/>
            </w:tcBorders>
            <w:vAlign w:val="center"/>
          </w:tcPr>
          <w:p w14:paraId="2DA35533">
            <w:pPr>
              <w:widowControl/>
              <w:spacing w:before="156" w:line="240" w:lineRule="exact"/>
              <w:rPr>
                <w:rFonts w:hint="eastAsia" w:ascii="仿宋" w:hAnsi="仿宋" w:eastAsia="仿宋" w:cs="仿宋"/>
                <w:color w:val="auto"/>
                <w:kern w:val="0"/>
                <w:sz w:val="24"/>
                <w:szCs w:val="24"/>
                <w:highlight w:val="none"/>
              </w:rPr>
            </w:pPr>
          </w:p>
        </w:tc>
        <w:tc>
          <w:tcPr>
            <w:tcW w:w="1245" w:type="dxa"/>
            <w:tcBorders>
              <w:top w:val="nil"/>
              <w:left w:val="nil"/>
              <w:bottom w:val="single" w:color="auto" w:sz="4" w:space="0"/>
              <w:right w:val="single" w:color="auto" w:sz="4" w:space="0"/>
            </w:tcBorders>
            <w:vAlign w:val="center"/>
          </w:tcPr>
          <w:p w14:paraId="3A158D45">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非常满意</w:t>
            </w:r>
          </w:p>
        </w:tc>
        <w:tc>
          <w:tcPr>
            <w:tcW w:w="885" w:type="dxa"/>
            <w:tcBorders>
              <w:top w:val="nil"/>
              <w:left w:val="nil"/>
              <w:bottom w:val="single" w:color="auto" w:sz="4" w:space="0"/>
              <w:right w:val="single" w:color="auto" w:sz="4" w:space="0"/>
            </w:tcBorders>
            <w:vAlign w:val="center"/>
          </w:tcPr>
          <w:p w14:paraId="06719A72">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满意</w:t>
            </w:r>
          </w:p>
        </w:tc>
        <w:tc>
          <w:tcPr>
            <w:tcW w:w="870" w:type="dxa"/>
            <w:tcBorders>
              <w:top w:val="nil"/>
              <w:left w:val="nil"/>
              <w:bottom w:val="single" w:color="auto" w:sz="4" w:space="0"/>
              <w:right w:val="single" w:color="auto" w:sz="4" w:space="0"/>
            </w:tcBorders>
            <w:vAlign w:val="center"/>
          </w:tcPr>
          <w:p w14:paraId="2F5549B8">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一般</w:t>
            </w:r>
          </w:p>
        </w:tc>
        <w:tc>
          <w:tcPr>
            <w:tcW w:w="1050" w:type="dxa"/>
            <w:tcBorders>
              <w:top w:val="nil"/>
              <w:left w:val="nil"/>
              <w:bottom w:val="single" w:color="auto" w:sz="4" w:space="0"/>
              <w:right w:val="single" w:color="auto" w:sz="4" w:space="0"/>
            </w:tcBorders>
            <w:vAlign w:val="center"/>
          </w:tcPr>
          <w:p w14:paraId="361DA5B4">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不满意</w:t>
            </w:r>
          </w:p>
        </w:tc>
      </w:tr>
      <w:tr w14:paraId="026B57E4">
        <w:tblPrEx>
          <w:tblCellMar>
            <w:top w:w="0" w:type="dxa"/>
            <w:left w:w="108" w:type="dxa"/>
            <w:bottom w:w="0" w:type="dxa"/>
            <w:right w:w="108" w:type="dxa"/>
          </w:tblCellMar>
        </w:tblPrEx>
        <w:trPr>
          <w:trHeight w:val="330" w:hRule="atLeast"/>
          <w:jc w:val="center"/>
        </w:trPr>
        <w:tc>
          <w:tcPr>
            <w:tcW w:w="6034" w:type="dxa"/>
            <w:gridSpan w:val="2"/>
            <w:tcBorders>
              <w:top w:val="single" w:color="auto" w:sz="4" w:space="0"/>
              <w:left w:val="single" w:color="auto" w:sz="4" w:space="0"/>
              <w:bottom w:val="single" w:color="auto" w:sz="4" w:space="0"/>
              <w:right w:val="single" w:color="auto" w:sz="4" w:space="0"/>
            </w:tcBorders>
            <w:vAlign w:val="center"/>
          </w:tcPr>
          <w:p w14:paraId="499EADC5">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分值</w:t>
            </w:r>
          </w:p>
        </w:tc>
        <w:tc>
          <w:tcPr>
            <w:tcW w:w="1245" w:type="dxa"/>
            <w:tcBorders>
              <w:top w:val="nil"/>
              <w:left w:val="nil"/>
              <w:bottom w:val="single" w:color="auto" w:sz="4" w:space="0"/>
              <w:right w:val="single" w:color="auto" w:sz="4" w:space="0"/>
            </w:tcBorders>
            <w:vAlign w:val="center"/>
          </w:tcPr>
          <w:p w14:paraId="502A3CD0">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885" w:type="dxa"/>
            <w:tcBorders>
              <w:top w:val="nil"/>
              <w:left w:val="nil"/>
              <w:bottom w:val="single" w:color="auto" w:sz="4" w:space="0"/>
              <w:right w:val="single" w:color="auto" w:sz="4" w:space="0"/>
            </w:tcBorders>
            <w:vAlign w:val="center"/>
          </w:tcPr>
          <w:p w14:paraId="0C7C684F">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870" w:type="dxa"/>
            <w:tcBorders>
              <w:top w:val="nil"/>
              <w:left w:val="nil"/>
              <w:bottom w:val="single" w:color="auto" w:sz="4" w:space="0"/>
              <w:right w:val="single" w:color="auto" w:sz="4" w:space="0"/>
            </w:tcBorders>
            <w:vAlign w:val="center"/>
          </w:tcPr>
          <w:p w14:paraId="56CD671E">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1050" w:type="dxa"/>
            <w:tcBorders>
              <w:top w:val="nil"/>
              <w:left w:val="nil"/>
              <w:bottom w:val="single" w:color="auto" w:sz="4" w:space="0"/>
              <w:right w:val="single" w:color="auto" w:sz="4" w:space="0"/>
            </w:tcBorders>
            <w:vAlign w:val="center"/>
          </w:tcPr>
          <w:p w14:paraId="41E037DE">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w:t>
            </w:r>
          </w:p>
        </w:tc>
      </w:tr>
      <w:tr w14:paraId="4789D82E">
        <w:tblPrEx>
          <w:tblCellMar>
            <w:top w:w="0" w:type="dxa"/>
            <w:left w:w="108" w:type="dxa"/>
            <w:bottom w:w="0" w:type="dxa"/>
            <w:right w:w="108" w:type="dxa"/>
          </w:tblCellMar>
        </w:tblPrEx>
        <w:trPr>
          <w:trHeight w:val="405" w:hRule="atLeast"/>
          <w:jc w:val="center"/>
        </w:trPr>
        <w:tc>
          <w:tcPr>
            <w:tcW w:w="1006" w:type="dxa"/>
            <w:vMerge w:val="restart"/>
            <w:tcBorders>
              <w:top w:val="nil"/>
              <w:left w:val="single" w:color="auto" w:sz="4" w:space="0"/>
              <w:bottom w:val="single" w:color="auto" w:sz="4" w:space="0"/>
              <w:right w:val="single" w:color="auto" w:sz="4" w:space="0"/>
            </w:tcBorders>
            <w:vAlign w:val="center"/>
          </w:tcPr>
          <w:p w14:paraId="02A163D9">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交</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安</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排</w:t>
            </w:r>
          </w:p>
        </w:tc>
        <w:tc>
          <w:tcPr>
            <w:tcW w:w="5028" w:type="dxa"/>
            <w:tcBorders>
              <w:top w:val="nil"/>
              <w:left w:val="nil"/>
              <w:bottom w:val="single" w:color="auto" w:sz="4" w:space="0"/>
              <w:right w:val="single" w:color="auto" w:sz="4" w:space="0"/>
            </w:tcBorders>
            <w:vAlign w:val="center"/>
          </w:tcPr>
          <w:p w14:paraId="50A4A4AA">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车况及性能</w:t>
            </w:r>
          </w:p>
        </w:tc>
        <w:tc>
          <w:tcPr>
            <w:tcW w:w="1245" w:type="dxa"/>
            <w:tcBorders>
              <w:top w:val="nil"/>
              <w:left w:val="nil"/>
              <w:bottom w:val="single" w:color="auto" w:sz="4" w:space="0"/>
              <w:right w:val="single" w:color="auto" w:sz="4" w:space="0"/>
            </w:tcBorders>
            <w:vAlign w:val="center"/>
          </w:tcPr>
          <w:p w14:paraId="5095076B">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85" w:type="dxa"/>
            <w:tcBorders>
              <w:top w:val="nil"/>
              <w:left w:val="nil"/>
              <w:bottom w:val="single" w:color="auto" w:sz="4" w:space="0"/>
              <w:right w:val="single" w:color="auto" w:sz="4" w:space="0"/>
            </w:tcBorders>
            <w:vAlign w:val="center"/>
          </w:tcPr>
          <w:p w14:paraId="173FA3BC">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70" w:type="dxa"/>
            <w:tcBorders>
              <w:top w:val="nil"/>
              <w:left w:val="nil"/>
              <w:bottom w:val="single" w:color="auto" w:sz="4" w:space="0"/>
              <w:right w:val="single" w:color="auto" w:sz="4" w:space="0"/>
            </w:tcBorders>
            <w:vAlign w:val="center"/>
          </w:tcPr>
          <w:p w14:paraId="2E39E876">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50" w:type="dxa"/>
            <w:tcBorders>
              <w:top w:val="nil"/>
              <w:left w:val="nil"/>
              <w:bottom w:val="single" w:color="auto" w:sz="4" w:space="0"/>
              <w:right w:val="single" w:color="auto" w:sz="4" w:space="0"/>
            </w:tcBorders>
            <w:vAlign w:val="center"/>
          </w:tcPr>
          <w:p w14:paraId="6F7236FA">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5FDC5DEC">
        <w:tblPrEx>
          <w:tblCellMar>
            <w:top w:w="0" w:type="dxa"/>
            <w:left w:w="108" w:type="dxa"/>
            <w:bottom w:w="0" w:type="dxa"/>
            <w:right w:w="108" w:type="dxa"/>
          </w:tblCellMar>
        </w:tblPrEx>
        <w:trPr>
          <w:trHeight w:val="405" w:hRule="atLeast"/>
          <w:jc w:val="center"/>
        </w:trPr>
        <w:tc>
          <w:tcPr>
            <w:tcW w:w="1006" w:type="dxa"/>
            <w:vMerge w:val="continue"/>
            <w:tcBorders>
              <w:top w:val="nil"/>
              <w:left w:val="single" w:color="auto" w:sz="4" w:space="0"/>
              <w:bottom w:val="single" w:color="auto" w:sz="4" w:space="0"/>
              <w:right w:val="single" w:color="auto" w:sz="4" w:space="0"/>
            </w:tcBorders>
            <w:vAlign w:val="center"/>
          </w:tcPr>
          <w:p w14:paraId="13B1EAFC">
            <w:pPr>
              <w:widowControl/>
              <w:spacing w:before="156" w:line="240" w:lineRule="exact"/>
              <w:rPr>
                <w:rFonts w:hint="eastAsia" w:ascii="仿宋" w:hAnsi="仿宋" w:eastAsia="仿宋" w:cs="仿宋"/>
                <w:color w:val="auto"/>
                <w:kern w:val="0"/>
                <w:sz w:val="24"/>
                <w:szCs w:val="24"/>
                <w:highlight w:val="none"/>
              </w:rPr>
            </w:pPr>
          </w:p>
        </w:tc>
        <w:tc>
          <w:tcPr>
            <w:tcW w:w="5028" w:type="dxa"/>
            <w:tcBorders>
              <w:top w:val="nil"/>
              <w:left w:val="nil"/>
              <w:bottom w:val="single" w:color="auto" w:sz="4" w:space="0"/>
              <w:right w:val="single" w:color="auto" w:sz="4" w:space="0"/>
            </w:tcBorders>
            <w:vAlign w:val="center"/>
          </w:tcPr>
          <w:p w14:paraId="231B82EB">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到点准时</w:t>
            </w:r>
          </w:p>
        </w:tc>
        <w:tc>
          <w:tcPr>
            <w:tcW w:w="1245" w:type="dxa"/>
            <w:tcBorders>
              <w:top w:val="nil"/>
              <w:left w:val="nil"/>
              <w:bottom w:val="single" w:color="auto" w:sz="4" w:space="0"/>
              <w:right w:val="single" w:color="auto" w:sz="4" w:space="0"/>
            </w:tcBorders>
            <w:vAlign w:val="center"/>
          </w:tcPr>
          <w:p w14:paraId="7280EE90">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85" w:type="dxa"/>
            <w:tcBorders>
              <w:top w:val="nil"/>
              <w:left w:val="nil"/>
              <w:bottom w:val="single" w:color="auto" w:sz="4" w:space="0"/>
              <w:right w:val="single" w:color="auto" w:sz="4" w:space="0"/>
            </w:tcBorders>
            <w:vAlign w:val="center"/>
          </w:tcPr>
          <w:p w14:paraId="3E48BEC0">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70" w:type="dxa"/>
            <w:tcBorders>
              <w:top w:val="nil"/>
              <w:left w:val="nil"/>
              <w:bottom w:val="single" w:color="auto" w:sz="4" w:space="0"/>
              <w:right w:val="single" w:color="auto" w:sz="4" w:space="0"/>
            </w:tcBorders>
            <w:vAlign w:val="center"/>
          </w:tcPr>
          <w:p w14:paraId="394F6154">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50" w:type="dxa"/>
            <w:tcBorders>
              <w:top w:val="nil"/>
              <w:left w:val="nil"/>
              <w:bottom w:val="single" w:color="auto" w:sz="4" w:space="0"/>
              <w:right w:val="single" w:color="auto" w:sz="4" w:space="0"/>
            </w:tcBorders>
            <w:vAlign w:val="center"/>
          </w:tcPr>
          <w:p w14:paraId="5734753D">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57D234EE">
        <w:tblPrEx>
          <w:tblCellMar>
            <w:top w:w="0" w:type="dxa"/>
            <w:left w:w="108" w:type="dxa"/>
            <w:bottom w:w="0" w:type="dxa"/>
            <w:right w:w="108" w:type="dxa"/>
          </w:tblCellMar>
        </w:tblPrEx>
        <w:trPr>
          <w:trHeight w:val="405" w:hRule="atLeast"/>
          <w:jc w:val="center"/>
        </w:trPr>
        <w:tc>
          <w:tcPr>
            <w:tcW w:w="1006" w:type="dxa"/>
            <w:vMerge w:val="continue"/>
            <w:tcBorders>
              <w:top w:val="nil"/>
              <w:left w:val="single" w:color="auto" w:sz="4" w:space="0"/>
              <w:bottom w:val="single" w:color="auto" w:sz="4" w:space="0"/>
              <w:right w:val="single" w:color="auto" w:sz="4" w:space="0"/>
            </w:tcBorders>
            <w:vAlign w:val="center"/>
          </w:tcPr>
          <w:p w14:paraId="047E12B2">
            <w:pPr>
              <w:widowControl/>
              <w:spacing w:before="156" w:line="240" w:lineRule="exact"/>
              <w:rPr>
                <w:rFonts w:hint="eastAsia" w:ascii="仿宋" w:hAnsi="仿宋" w:eastAsia="仿宋" w:cs="仿宋"/>
                <w:color w:val="auto"/>
                <w:kern w:val="0"/>
                <w:sz w:val="24"/>
                <w:szCs w:val="24"/>
                <w:highlight w:val="none"/>
              </w:rPr>
            </w:pPr>
          </w:p>
        </w:tc>
        <w:tc>
          <w:tcPr>
            <w:tcW w:w="5028" w:type="dxa"/>
            <w:tcBorders>
              <w:top w:val="nil"/>
              <w:left w:val="nil"/>
              <w:bottom w:val="single" w:color="auto" w:sz="4" w:space="0"/>
              <w:right w:val="single" w:color="auto" w:sz="4" w:space="0"/>
            </w:tcBorders>
            <w:vAlign w:val="center"/>
          </w:tcPr>
          <w:p w14:paraId="205F41D3">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司机态度及技术</w:t>
            </w:r>
          </w:p>
        </w:tc>
        <w:tc>
          <w:tcPr>
            <w:tcW w:w="1245" w:type="dxa"/>
            <w:tcBorders>
              <w:top w:val="nil"/>
              <w:left w:val="nil"/>
              <w:bottom w:val="single" w:color="auto" w:sz="4" w:space="0"/>
              <w:right w:val="single" w:color="auto" w:sz="4" w:space="0"/>
            </w:tcBorders>
            <w:vAlign w:val="center"/>
          </w:tcPr>
          <w:p w14:paraId="23861246">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85" w:type="dxa"/>
            <w:tcBorders>
              <w:top w:val="nil"/>
              <w:left w:val="nil"/>
              <w:bottom w:val="single" w:color="auto" w:sz="4" w:space="0"/>
              <w:right w:val="single" w:color="auto" w:sz="4" w:space="0"/>
            </w:tcBorders>
            <w:vAlign w:val="center"/>
          </w:tcPr>
          <w:p w14:paraId="7038792E">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70" w:type="dxa"/>
            <w:tcBorders>
              <w:top w:val="nil"/>
              <w:left w:val="nil"/>
              <w:bottom w:val="single" w:color="auto" w:sz="4" w:space="0"/>
              <w:right w:val="single" w:color="auto" w:sz="4" w:space="0"/>
            </w:tcBorders>
            <w:vAlign w:val="center"/>
          </w:tcPr>
          <w:p w14:paraId="5FFBDE19">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50" w:type="dxa"/>
            <w:tcBorders>
              <w:top w:val="nil"/>
              <w:left w:val="nil"/>
              <w:bottom w:val="single" w:color="auto" w:sz="4" w:space="0"/>
              <w:right w:val="single" w:color="auto" w:sz="4" w:space="0"/>
            </w:tcBorders>
            <w:vAlign w:val="center"/>
          </w:tcPr>
          <w:p w14:paraId="0F789241">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432B5707">
        <w:tblPrEx>
          <w:tblCellMar>
            <w:top w:w="0" w:type="dxa"/>
            <w:left w:w="108" w:type="dxa"/>
            <w:bottom w:w="0" w:type="dxa"/>
            <w:right w:w="108" w:type="dxa"/>
          </w:tblCellMar>
        </w:tblPrEx>
        <w:trPr>
          <w:trHeight w:val="405" w:hRule="atLeast"/>
          <w:jc w:val="center"/>
        </w:trPr>
        <w:tc>
          <w:tcPr>
            <w:tcW w:w="1006" w:type="dxa"/>
            <w:vMerge w:val="continue"/>
            <w:tcBorders>
              <w:top w:val="nil"/>
              <w:left w:val="single" w:color="auto" w:sz="4" w:space="0"/>
              <w:bottom w:val="single" w:color="auto" w:sz="4" w:space="0"/>
              <w:right w:val="single" w:color="auto" w:sz="4" w:space="0"/>
            </w:tcBorders>
            <w:vAlign w:val="center"/>
          </w:tcPr>
          <w:p w14:paraId="1FC81924">
            <w:pPr>
              <w:widowControl/>
              <w:spacing w:before="156" w:line="240" w:lineRule="exact"/>
              <w:rPr>
                <w:rFonts w:hint="eastAsia" w:ascii="仿宋" w:hAnsi="仿宋" w:eastAsia="仿宋" w:cs="仿宋"/>
                <w:color w:val="auto"/>
                <w:kern w:val="0"/>
                <w:sz w:val="24"/>
                <w:szCs w:val="24"/>
                <w:highlight w:val="none"/>
              </w:rPr>
            </w:pPr>
          </w:p>
        </w:tc>
        <w:tc>
          <w:tcPr>
            <w:tcW w:w="5028" w:type="dxa"/>
            <w:tcBorders>
              <w:top w:val="nil"/>
              <w:left w:val="nil"/>
              <w:bottom w:val="single" w:color="auto" w:sz="4" w:space="0"/>
              <w:right w:val="single" w:color="auto" w:sz="4" w:space="0"/>
            </w:tcBorders>
            <w:vAlign w:val="center"/>
          </w:tcPr>
          <w:p w14:paraId="5D7EE73A">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全程交通衔接及总体满意程度</w:t>
            </w:r>
          </w:p>
        </w:tc>
        <w:tc>
          <w:tcPr>
            <w:tcW w:w="1245" w:type="dxa"/>
            <w:tcBorders>
              <w:top w:val="nil"/>
              <w:left w:val="nil"/>
              <w:bottom w:val="single" w:color="auto" w:sz="4" w:space="0"/>
              <w:right w:val="single" w:color="auto" w:sz="4" w:space="0"/>
            </w:tcBorders>
            <w:vAlign w:val="center"/>
          </w:tcPr>
          <w:p w14:paraId="05E6CE33">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85" w:type="dxa"/>
            <w:tcBorders>
              <w:top w:val="nil"/>
              <w:left w:val="nil"/>
              <w:bottom w:val="single" w:color="auto" w:sz="4" w:space="0"/>
              <w:right w:val="single" w:color="auto" w:sz="4" w:space="0"/>
            </w:tcBorders>
            <w:vAlign w:val="center"/>
          </w:tcPr>
          <w:p w14:paraId="04E9CFEC">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70" w:type="dxa"/>
            <w:tcBorders>
              <w:top w:val="nil"/>
              <w:left w:val="nil"/>
              <w:bottom w:val="single" w:color="auto" w:sz="4" w:space="0"/>
              <w:right w:val="single" w:color="auto" w:sz="4" w:space="0"/>
            </w:tcBorders>
            <w:vAlign w:val="center"/>
          </w:tcPr>
          <w:p w14:paraId="3F5727B8">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50" w:type="dxa"/>
            <w:tcBorders>
              <w:top w:val="nil"/>
              <w:left w:val="nil"/>
              <w:bottom w:val="single" w:color="auto" w:sz="4" w:space="0"/>
              <w:right w:val="single" w:color="auto" w:sz="4" w:space="0"/>
            </w:tcBorders>
            <w:vAlign w:val="center"/>
          </w:tcPr>
          <w:p w14:paraId="50E280F4">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3C56CF74">
        <w:tblPrEx>
          <w:tblCellMar>
            <w:top w:w="0" w:type="dxa"/>
            <w:left w:w="108" w:type="dxa"/>
            <w:bottom w:w="0" w:type="dxa"/>
            <w:right w:w="108" w:type="dxa"/>
          </w:tblCellMar>
        </w:tblPrEx>
        <w:trPr>
          <w:trHeight w:val="405" w:hRule="atLeast"/>
          <w:jc w:val="center"/>
        </w:trPr>
        <w:tc>
          <w:tcPr>
            <w:tcW w:w="1006" w:type="dxa"/>
            <w:vMerge w:val="restart"/>
            <w:tcBorders>
              <w:top w:val="nil"/>
              <w:left w:val="single" w:color="auto" w:sz="4" w:space="0"/>
              <w:bottom w:val="single" w:color="auto" w:sz="4" w:space="0"/>
              <w:right w:val="single" w:color="auto" w:sz="4" w:space="0"/>
            </w:tcBorders>
            <w:vAlign w:val="center"/>
          </w:tcPr>
          <w:p w14:paraId="358A13F9">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住</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宿</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安</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排</w:t>
            </w:r>
          </w:p>
        </w:tc>
        <w:tc>
          <w:tcPr>
            <w:tcW w:w="5028" w:type="dxa"/>
            <w:tcBorders>
              <w:top w:val="nil"/>
              <w:left w:val="nil"/>
              <w:bottom w:val="single" w:color="auto" w:sz="4" w:space="0"/>
              <w:right w:val="single" w:color="auto" w:sz="4" w:space="0"/>
            </w:tcBorders>
            <w:vAlign w:val="center"/>
          </w:tcPr>
          <w:p w14:paraId="2566A649">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周边环境安全，客房卫生整洁</w:t>
            </w:r>
          </w:p>
        </w:tc>
        <w:tc>
          <w:tcPr>
            <w:tcW w:w="1245" w:type="dxa"/>
            <w:tcBorders>
              <w:top w:val="nil"/>
              <w:left w:val="nil"/>
              <w:bottom w:val="single" w:color="auto" w:sz="4" w:space="0"/>
              <w:right w:val="single" w:color="auto" w:sz="4" w:space="0"/>
            </w:tcBorders>
            <w:vAlign w:val="center"/>
          </w:tcPr>
          <w:p w14:paraId="686724DA">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85" w:type="dxa"/>
            <w:tcBorders>
              <w:top w:val="nil"/>
              <w:left w:val="nil"/>
              <w:bottom w:val="single" w:color="auto" w:sz="4" w:space="0"/>
              <w:right w:val="single" w:color="auto" w:sz="4" w:space="0"/>
            </w:tcBorders>
            <w:vAlign w:val="center"/>
          </w:tcPr>
          <w:p w14:paraId="684B0007">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70" w:type="dxa"/>
            <w:tcBorders>
              <w:top w:val="nil"/>
              <w:left w:val="nil"/>
              <w:bottom w:val="single" w:color="auto" w:sz="4" w:space="0"/>
              <w:right w:val="single" w:color="auto" w:sz="4" w:space="0"/>
            </w:tcBorders>
            <w:vAlign w:val="center"/>
          </w:tcPr>
          <w:p w14:paraId="3EDBEE5C">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50" w:type="dxa"/>
            <w:tcBorders>
              <w:top w:val="nil"/>
              <w:left w:val="nil"/>
              <w:bottom w:val="single" w:color="auto" w:sz="4" w:space="0"/>
              <w:right w:val="single" w:color="auto" w:sz="4" w:space="0"/>
            </w:tcBorders>
            <w:vAlign w:val="center"/>
          </w:tcPr>
          <w:p w14:paraId="4B3C37B7">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0E5161C6">
        <w:tblPrEx>
          <w:tblCellMar>
            <w:top w:w="0" w:type="dxa"/>
            <w:left w:w="108" w:type="dxa"/>
            <w:bottom w:w="0" w:type="dxa"/>
            <w:right w:w="108" w:type="dxa"/>
          </w:tblCellMar>
        </w:tblPrEx>
        <w:trPr>
          <w:trHeight w:val="405" w:hRule="atLeast"/>
          <w:jc w:val="center"/>
        </w:trPr>
        <w:tc>
          <w:tcPr>
            <w:tcW w:w="1006" w:type="dxa"/>
            <w:vMerge w:val="continue"/>
            <w:tcBorders>
              <w:top w:val="nil"/>
              <w:left w:val="single" w:color="auto" w:sz="4" w:space="0"/>
              <w:bottom w:val="single" w:color="auto" w:sz="4" w:space="0"/>
              <w:right w:val="single" w:color="auto" w:sz="4" w:space="0"/>
            </w:tcBorders>
            <w:vAlign w:val="center"/>
          </w:tcPr>
          <w:p w14:paraId="685692DE">
            <w:pPr>
              <w:widowControl/>
              <w:spacing w:before="156" w:line="240" w:lineRule="exact"/>
              <w:rPr>
                <w:rFonts w:hint="eastAsia" w:ascii="仿宋" w:hAnsi="仿宋" w:eastAsia="仿宋" w:cs="仿宋"/>
                <w:color w:val="auto"/>
                <w:kern w:val="0"/>
                <w:sz w:val="24"/>
                <w:szCs w:val="24"/>
                <w:highlight w:val="none"/>
              </w:rPr>
            </w:pPr>
          </w:p>
        </w:tc>
        <w:tc>
          <w:tcPr>
            <w:tcW w:w="5028" w:type="dxa"/>
            <w:tcBorders>
              <w:top w:val="nil"/>
              <w:left w:val="nil"/>
              <w:bottom w:val="single" w:color="auto" w:sz="4" w:space="0"/>
              <w:right w:val="single" w:color="auto" w:sz="4" w:space="0"/>
            </w:tcBorders>
            <w:vAlign w:val="center"/>
          </w:tcPr>
          <w:p w14:paraId="470AB7C9">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住宿地点交通便捷</w:t>
            </w:r>
          </w:p>
        </w:tc>
        <w:tc>
          <w:tcPr>
            <w:tcW w:w="1245" w:type="dxa"/>
            <w:tcBorders>
              <w:top w:val="nil"/>
              <w:left w:val="nil"/>
              <w:bottom w:val="single" w:color="auto" w:sz="4" w:space="0"/>
              <w:right w:val="single" w:color="auto" w:sz="4" w:space="0"/>
            </w:tcBorders>
            <w:vAlign w:val="center"/>
          </w:tcPr>
          <w:p w14:paraId="4A3E5414">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85" w:type="dxa"/>
            <w:tcBorders>
              <w:top w:val="nil"/>
              <w:left w:val="nil"/>
              <w:bottom w:val="single" w:color="auto" w:sz="4" w:space="0"/>
              <w:right w:val="single" w:color="auto" w:sz="4" w:space="0"/>
            </w:tcBorders>
            <w:vAlign w:val="center"/>
          </w:tcPr>
          <w:p w14:paraId="57660088">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70" w:type="dxa"/>
            <w:tcBorders>
              <w:top w:val="nil"/>
              <w:left w:val="nil"/>
              <w:bottom w:val="single" w:color="auto" w:sz="4" w:space="0"/>
              <w:right w:val="single" w:color="auto" w:sz="4" w:space="0"/>
            </w:tcBorders>
            <w:vAlign w:val="center"/>
          </w:tcPr>
          <w:p w14:paraId="18E4CD19">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50" w:type="dxa"/>
            <w:tcBorders>
              <w:top w:val="nil"/>
              <w:left w:val="nil"/>
              <w:bottom w:val="single" w:color="auto" w:sz="4" w:space="0"/>
              <w:right w:val="single" w:color="auto" w:sz="4" w:space="0"/>
            </w:tcBorders>
            <w:vAlign w:val="center"/>
          </w:tcPr>
          <w:p w14:paraId="0DE854EB">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56D01BE8">
        <w:tblPrEx>
          <w:tblCellMar>
            <w:top w:w="0" w:type="dxa"/>
            <w:left w:w="108" w:type="dxa"/>
            <w:bottom w:w="0" w:type="dxa"/>
            <w:right w:w="108" w:type="dxa"/>
          </w:tblCellMar>
        </w:tblPrEx>
        <w:trPr>
          <w:trHeight w:val="405" w:hRule="atLeast"/>
          <w:jc w:val="center"/>
        </w:trPr>
        <w:tc>
          <w:tcPr>
            <w:tcW w:w="1006" w:type="dxa"/>
            <w:vMerge w:val="continue"/>
            <w:tcBorders>
              <w:top w:val="nil"/>
              <w:left w:val="single" w:color="auto" w:sz="4" w:space="0"/>
              <w:bottom w:val="single" w:color="auto" w:sz="4" w:space="0"/>
              <w:right w:val="single" w:color="auto" w:sz="4" w:space="0"/>
            </w:tcBorders>
            <w:vAlign w:val="center"/>
          </w:tcPr>
          <w:p w14:paraId="51EBC087">
            <w:pPr>
              <w:widowControl/>
              <w:spacing w:before="156" w:line="240" w:lineRule="exact"/>
              <w:rPr>
                <w:rFonts w:hint="eastAsia" w:ascii="仿宋" w:hAnsi="仿宋" w:eastAsia="仿宋" w:cs="仿宋"/>
                <w:color w:val="auto"/>
                <w:kern w:val="0"/>
                <w:sz w:val="24"/>
                <w:szCs w:val="24"/>
                <w:highlight w:val="none"/>
              </w:rPr>
            </w:pPr>
          </w:p>
        </w:tc>
        <w:tc>
          <w:tcPr>
            <w:tcW w:w="5028" w:type="dxa"/>
            <w:tcBorders>
              <w:top w:val="nil"/>
              <w:left w:val="nil"/>
              <w:bottom w:val="single" w:color="auto" w:sz="4" w:space="0"/>
              <w:right w:val="single" w:color="auto" w:sz="4" w:space="0"/>
            </w:tcBorders>
            <w:vAlign w:val="center"/>
          </w:tcPr>
          <w:p w14:paraId="24C1E53E">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宾馆设施及使用性能</w:t>
            </w:r>
          </w:p>
        </w:tc>
        <w:tc>
          <w:tcPr>
            <w:tcW w:w="1245" w:type="dxa"/>
            <w:tcBorders>
              <w:top w:val="nil"/>
              <w:left w:val="nil"/>
              <w:bottom w:val="single" w:color="auto" w:sz="4" w:space="0"/>
              <w:right w:val="single" w:color="auto" w:sz="4" w:space="0"/>
            </w:tcBorders>
            <w:vAlign w:val="center"/>
          </w:tcPr>
          <w:p w14:paraId="08520A31">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85" w:type="dxa"/>
            <w:tcBorders>
              <w:top w:val="nil"/>
              <w:left w:val="nil"/>
              <w:bottom w:val="single" w:color="auto" w:sz="4" w:space="0"/>
              <w:right w:val="single" w:color="auto" w:sz="4" w:space="0"/>
            </w:tcBorders>
            <w:vAlign w:val="center"/>
          </w:tcPr>
          <w:p w14:paraId="036FBEC6">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70" w:type="dxa"/>
            <w:tcBorders>
              <w:top w:val="nil"/>
              <w:left w:val="nil"/>
              <w:bottom w:val="single" w:color="auto" w:sz="4" w:space="0"/>
              <w:right w:val="single" w:color="auto" w:sz="4" w:space="0"/>
            </w:tcBorders>
            <w:vAlign w:val="center"/>
          </w:tcPr>
          <w:p w14:paraId="58637AE0">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50" w:type="dxa"/>
            <w:tcBorders>
              <w:top w:val="nil"/>
              <w:left w:val="nil"/>
              <w:bottom w:val="single" w:color="auto" w:sz="4" w:space="0"/>
              <w:right w:val="single" w:color="auto" w:sz="4" w:space="0"/>
            </w:tcBorders>
            <w:vAlign w:val="center"/>
          </w:tcPr>
          <w:p w14:paraId="016ABCA0">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7B5834AA">
        <w:tblPrEx>
          <w:tblCellMar>
            <w:top w:w="0" w:type="dxa"/>
            <w:left w:w="108" w:type="dxa"/>
            <w:bottom w:w="0" w:type="dxa"/>
            <w:right w:w="108" w:type="dxa"/>
          </w:tblCellMar>
        </w:tblPrEx>
        <w:trPr>
          <w:trHeight w:val="405" w:hRule="atLeast"/>
          <w:jc w:val="center"/>
        </w:trPr>
        <w:tc>
          <w:tcPr>
            <w:tcW w:w="1006" w:type="dxa"/>
            <w:vMerge w:val="continue"/>
            <w:tcBorders>
              <w:top w:val="nil"/>
              <w:left w:val="single" w:color="auto" w:sz="4" w:space="0"/>
              <w:bottom w:val="single" w:color="auto" w:sz="4" w:space="0"/>
              <w:right w:val="single" w:color="auto" w:sz="4" w:space="0"/>
            </w:tcBorders>
            <w:vAlign w:val="center"/>
          </w:tcPr>
          <w:p w14:paraId="198FFCEA">
            <w:pPr>
              <w:widowControl/>
              <w:spacing w:before="156" w:line="240" w:lineRule="exact"/>
              <w:rPr>
                <w:rFonts w:hint="eastAsia" w:ascii="仿宋" w:hAnsi="仿宋" w:eastAsia="仿宋" w:cs="仿宋"/>
                <w:color w:val="auto"/>
                <w:kern w:val="0"/>
                <w:sz w:val="24"/>
                <w:szCs w:val="24"/>
                <w:highlight w:val="none"/>
              </w:rPr>
            </w:pPr>
          </w:p>
        </w:tc>
        <w:tc>
          <w:tcPr>
            <w:tcW w:w="5028" w:type="dxa"/>
            <w:tcBorders>
              <w:top w:val="nil"/>
              <w:left w:val="nil"/>
              <w:bottom w:val="single" w:color="auto" w:sz="4" w:space="0"/>
              <w:right w:val="single" w:color="auto" w:sz="4" w:space="0"/>
            </w:tcBorders>
            <w:vAlign w:val="center"/>
          </w:tcPr>
          <w:p w14:paraId="4DD390B7">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服务水平及态度</w:t>
            </w:r>
          </w:p>
        </w:tc>
        <w:tc>
          <w:tcPr>
            <w:tcW w:w="1245" w:type="dxa"/>
            <w:tcBorders>
              <w:top w:val="nil"/>
              <w:left w:val="nil"/>
              <w:bottom w:val="single" w:color="auto" w:sz="4" w:space="0"/>
              <w:right w:val="single" w:color="auto" w:sz="4" w:space="0"/>
            </w:tcBorders>
            <w:vAlign w:val="center"/>
          </w:tcPr>
          <w:p w14:paraId="31672B5F">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85" w:type="dxa"/>
            <w:tcBorders>
              <w:top w:val="nil"/>
              <w:left w:val="nil"/>
              <w:bottom w:val="single" w:color="auto" w:sz="4" w:space="0"/>
              <w:right w:val="single" w:color="auto" w:sz="4" w:space="0"/>
            </w:tcBorders>
            <w:vAlign w:val="center"/>
          </w:tcPr>
          <w:p w14:paraId="590AC9D4">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70" w:type="dxa"/>
            <w:tcBorders>
              <w:top w:val="nil"/>
              <w:left w:val="nil"/>
              <w:bottom w:val="single" w:color="auto" w:sz="4" w:space="0"/>
              <w:right w:val="single" w:color="auto" w:sz="4" w:space="0"/>
            </w:tcBorders>
            <w:vAlign w:val="center"/>
          </w:tcPr>
          <w:p w14:paraId="11908687">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50" w:type="dxa"/>
            <w:tcBorders>
              <w:top w:val="nil"/>
              <w:left w:val="nil"/>
              <w:bottom w:val="single" w:color="auto" w:sz="4" w:space="0"/>
              <w:right w:val="single" w:color="auto" w:sz="4" w:space="0"/>
            </w:tcBorders>
            <w:vAlign w:val="center"/>
          </w:tcPr>
          <w:p w14:paraId="3005A6D7">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256BD11F">
        <w:tblPrEx>
          <w:tblCellMar>
            <w:top w:w="0" w:type="dxa"/>
            <w:left w:w="108" w:type="dxa"/>
            <w:bottom w:w="0" w:type="dxa"/>
            <w:right w:w="108" w:type="dxa"/>
          </w:tblCellMar>
        </w:tblPrEx>
        <w:trPr>
          <w:trHeight w:val="405" w:hRule="atLeast"/>
          <w:jc w:val="center"/>
        </w:trPr>
        <w:tc>
          <w:tcPr>
            <w:tcW w:w="1006" w:type="dxa"/>
            <w:vMerge w:val="continue"/>
            <w:tcBorders>
              <w:top w:val="nil"/>
              <w:left w:val="single" w:color="auto" w:sz="4" w:space="0"/>
              <w:bottom w:val="single" w:color="auto" w:sz="4" w:space="0"/>
              <w:right w:val="single" w:color="auto" w:sz="4" w:space="0"/>
            </w:tcBorders>
            <w:vAlign w:val="center"/>
          </w:tcPr>
          <w:p w14:paraId="72B24F2E">
            <w:pPr>
              <w:widowControl/>
              <w:spacing w:before="156" w:line="240" w:lineRule="exact"/>
              <w:rPr>
                <w:rFonts w:hint="eastAsia" w:ascii="仿宋" w:hAnsi="仿宋" w:eastAsia="仿宋" w:cs="仿宋"/>
                <w:color w:val="auto"/>
                <w:kern w:val="0"/>
                <w:sz w:val="24"/>
                <w:szCs w:val="24"/>
                <w:highlight w:val="none"/>
              </w:rPr>
            </w:pPr>
          </w:p>
        </w:tc>
        <w:tc>
          <w:tcPr>
            <w:tcW w:w="5028" w:type="dxa"/>
            <w:tcBorders>
              <w:top w:val="nil"/>
              <w:left w:val="nil"/>
              <w:bottom w:val="single" w:color="auto" w:sz="4" w:space="0"/>
              <w:right w:val="single" w:color="auto" w:sz="4" w:space="0"/>
            </w:tcBorders>
            <w:vAlign w:val="center"/>
          </w:tcPr>
          <w:p w14:paraId="15C987FF">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住宿安排总体满意程度</w:t>
            </w:r>
          </w:p>
        </w:tc>
        <w:tc>
          <w:tcPr>
            <w:tcW w:w="1245" w:type="dxa"/>
            <w:tcBorders>
              <w:top w:val="nil"/>
              <w:left w:val="nil"/>
              <w:bottom w:val="single" w:color="auto" w:sz="4" w:space="0"/>
              <w:right w:val="single" w:color="auto" w:sz="4" w:space="0"/>
            </w:tcBorders>
            <w:vAlign w:val="center"/>
          </w:tcPr>
          <w:p w14:paraId="7EF2BF77">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85" w:type="dxa"/>
            <w:tcBorders>
              <w:top w:val="nil"/>
              <w:left w:val="nil"/>
              <w:bottom w:val="single" w:color="auto" w:sz="4" w:space="0"/>
              <w:right w:val="single" w:color="auto" w:sz="4" w:space="0"/>
            </w:tcBorders>
            <w:vAlign w:val="center"/>
          </w:tcPr>
          <w:p w14:paraId="4BF8EE6A">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70" w:type="dxa"/>
            <w:tcBorders>
              <w:top w:val="nil"/>
              <w:left w:val="nil"/>
              <w:bottom w:val="single" w:color="auto" w:sz="4" w:space="0"/>
              <w:right w:val="single" w:color="auto" w:sz="4" w:space="0"/>
            </w:tcBorders>
            <w:vAlign w:val="center"/>
          </w:tcPr>
          <w:p w14:paraId="2ED1E095">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50" w:type="dxa"/>
            <w:tcBorders>
              <w:top w:val="nil"/>
              <w:left w:val="nil"/>
              <w:bottom w:val="single" w:color="auto" w:sz="4" w:space="0"/>
              <w:right w:val="single" w:color="auto" w:sz="4" w:space="0"/>
            </w:tcBorders>
            <w:vAlign w:val="center"/>
          </w:tcPr>
          <w:p w14:paraId="626A3E9A">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2A652E4F">
        <w:tblPrEx>
          <w:tblCellMar>
            <w:top w:w="0" w:type="dxa"/>
            <w:left w:w="108" w:type="dxa"/>
            <w:bottom w:w="0" w:type="dxa"/>
            <w:right w:w="108" w:type="dxa"/>
          </w:tblCellMar>
        </w:tblPrEx>
        <w:trPr>
          <w:trHeight w:val="405" w:hRule="atLeast"/>
          <w:jc w:val="center"/>
        </w:trPr>
        <w:tc>
          <w:tcPr>
            <w:tcW w:w="1006" w:type="dxa"/>
            <w:vMerge w:val="restart"/>
            <w:tcBorders>
              <w:top w:val="nil"/>
              <w:left w:val="single" w:color="auto" w:sz="4" w:space="0"/>
              <w:bottom w:val="single" w:color="auto" w:sz="4" w:space="0"/>
              <w:right w:val="single" w:color="auto" w:sz="4" w:space="0"/>
            </w:tcBorders>
            <w:vAlign w:val="center"/>
          </w:tcPr>
          <w:p w14:paraId="7CD06695">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餐</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饮</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安</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排</w:t>
            </w:r>
          </w:p>
        </w:tc>
        <w:tc>
          <w:tcPr>
            <w:tcW w:w="5028" w:type="dxa"/>
            <w:tcBorders>
              <w:top w:val="nil"/>
              <w:left w:val="nil"/>
              <w:bottom w:val="single" w:color="auto" w:sz="4" w:space="0"/>
              <w:right w:val="single" w:color="auto" w:sz="4" w:space="0"/>
            </w:tcBorders>
            <w:vAlign w:val="center"/>
          </w:tcPr>
          <w:p w14:paraId="3CD17704">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就餐环境</w:t>
            </w:r>
          </w:p>
        </w:tc>
        <w:tc>
          <w:tcPr>
            <w:tcW w:w="1245" w:type="dxa"/>
            <w:tcBorders>
              <w:top w:val="nil"/>
              <w:left w:val="nil"/>
              <w:bottom w:val="single" w:color="auto" w:sz="4" w:space="0"/>
              <w:right w:val="single" w:color="auto" w:sz="4" w:space="0"/>
            </w:tcBorders>
            <w:vAlign w:val="center"/>
          </w:tcPr>
          <w:p w14:paraId="0E15CA49">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85" w:type="dxa"/>
            <w:tcBorders>
              <w:top w:val="nil"/>
              <w:left w:val="nil"/>
              <w:bottom w:val="single" w:color="auto" w:sz="4" w:space="0"/>
              <w:right w:val="single" w:color="auto" w:sz="4" w:space="0"/>
            </w:tcBorders>
            <w:vAlign w:val="center"/>
          </w:tcPr>
          <w:p w14:paraId="1E4D8763">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70" w:type="dxa"/>
            <w:tcBorders>
              <w:top w:val="nil"/>
              <w:left w:val="nil"/>
              <w:bottom w:val="single" w:color="auto" w:sz="4" w:space="0"/>
              <w:right w:val="single" w:color="auto" w:sz="4" w:space="0"/>
            </w:tcBorders>
            <w:vAlign w:val="center"/>
          </w:tcPr>
          <w:p w14:paraId="0EF19907">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50" w:type="dxa"/>
            <w:tcBorders>
              <w:top w:val="nil"/>
              <w:left w:val="nil"/>
              <w:bottom w:val="single" w:color="auto" w:sz="4" w:space="0"/>
              <w:right w:val="single" w:color="auto" w:sz="4" w:space="0"/>
            </w:tcBorders>
            <w:vAlign w:val="center"/>
          </w:tcPr>
          <w:p w14:paraId="70CDDE07">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6FA92D65">
        <w:tblPrEx>
          <w:tblCellMar>
            <w:top w:w="0" w:type="dxa"/>
            <w:left w:w="108" w:type="dxa"/>
            <w:bottom w:w="0" w:type="dxa"/>
            <w:right w:w="108" w:type="dxa"/>
          </w:tblCellMar>
        </w:tblPrEx>
        <w:trPr>
          <w:trHeight w:val="405" w:hRule="atLeast"/>
          <w:jc w:val="center"/>
        </w:trPr>
        <w:tc>
          <w:tcPr>
            <w:tcW w:w="1006" w:type="dxa"/>
            <w:vMerge w:val="continue"/>
            <w:tcBorders>
              <w:top w:val="nil"/>
              <w:left w:val="single" w:color="auto" w:sz="4" w:space="0"/>
              <w:bottom w:val="single" w:color="auto" w:sz="4" w:space="0"/>
              <w:right w:val="single" w:color="auto" w:sz="4" w:space="0"/>
            </w:tcBorders>
            <w:vAlign w:val="center"/>
          </w:tcPr>
          <w:p w14:paraId="593F291D">
            <w:pPr>
              <w:widowControl/>
              <w:spacing w:before="156" w:line="240" w:lineRule="exact"/>
              <w:rPr>
                <w:rFonts w:hint="eastAsia" w:ascii="仿宋" w:hAnsi="仿宋" w:eastAsia="仿宋" w:cs="仿宋"/>
                <w:color w:val="auto"/>
                <w:kern w:val="0"/>
                <w:sz w:val="24"/>
                <w:szCs w:val="24"/>
                <w:highlight w:val="none"/>
              </w:rPr>
            </w:pPr>
          </w:p>
        </w:tc>
        <w:tc>
          <w:tcPr>
            <w:tcW w:w="5028" w:type="dxa"/>
            <w:tcBorders>
              <w:top w:val="nil"/>
              <w:left w:val="nil"/>
              <w:bottom w:val="single" w:color="auto" w:sz="4" w:space="0"/>
              <w:right w:val="single" w:color="auto" w:sz="4" w:space="0"/>
            </w:tcBorders>
            <w:vAlign w:val="center"/>
          </w:tcPr>
          <w:p w14:paraId="27A11AF0">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菜肴卫生</w:t>
            </w:r>
          </w:p>
        </w:tc>
        <w:tc>
          <w:tcPr>
            <w:tcW w:w="1245" w:type="dxa"/>
            <w:tcBorders>
              <w:top w:val="nil"/>
              <w:left w:val="nil"/>
              <w:bottom w:val="single" w:color="auto" w:sz="4" w:space="0"/>
              <w:right w:val="single" w:color="auto" w:sz="4" w:space="0"/>
            </w:tcBorders>
            <w:vAlign w:val="center"/>
          </w:tcPr>
          <w:p w14:paraId="622C3AC2">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85" w:type="dxa"/>
            <w:tcBorders>
              <w:top w:val="nil"/>
              <w:left w:val="nil"/>
              <w:bottom w:val="single" w:color="auto" w:sz="4" w:space="0"/>
              <w:right w:val="single" w:color="auto" w:sz="4" w:space="0"/>
            </w:tcBorders>
            <w:vAlign w:val="center"/>
          </w:tcPr>
          <w:p w14:paraId="56C7C662">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70" w:type="dxa"/>
            <w:tcBorders>
              <w:top w:val="nil"/>
              <w:left w:val="nil"/>
              <w:bottom w:val="single" w:color="auto" w:sz="4" w:space="0"/>
              <w:right w:val="single" w:color="auto" w:sz="4" w:space="0"/>
            </w:tcBorders>
            <w:vAlign w:val="center"/>
          </w:tcPr>
          <w:p w14:paraId="48AB7185">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50" w:type="dxa"/>
            <w:tcBorders>
              <w:top w:val="nil"/>
              <w:left w:val="nil"/>
              <w:bottom w:val="single" w:color="auto" w:sz="4" w:space="0"/>
              <w:right w:val="single" w:color="auto" w:sz="4" w:space="0"/>
            </w:tcBorders>
            <w:vAlign w:val="center"/>
          </w:tcPr>
          <w:p w14:paraId="59AF82A9">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545EFD16">
        <w:tblPrEx>
          <w:tblCellMar>
            <w:top w:w="0" w:type="dxa"/>
            <w:left w:w="108" w:type="dxa"/>
            <w:bottom w:w="0" w:type="dxa"/>
            <w:right w:w="108" w:type="dxa"/>
          </w:tblCellMar>
        </w:tblPrEx>
        <w:trPr>
          <w:trHeight w:val="405" w:hRule="atLeast"/>
          <w:jc w:val="center"/>
        </w:trPr>
        <w:tc>
          <w:tcPr>
            <w:tcW w:w="1006" w:type="dxa"/>
            <w:vMerge w:val="continue"/>
            <w:tcBorders>
              <w:top w:val="nil"/>
              <w:left w:val="single" w:color="auto" w:sz="4" w:space="0"/>
              <w:bottom w:val="single" w:color="auto" w:sz="4" w:space="0"/>
              <w:right w:val="single" w:color="auto" w:sz="4" w:space="0"/>
            </w:tcBorders>
            <w:vAlign w:val="center"/>
          </w:tcPr>
          <w:p w14:paraId="2767CA13">
            <w:pPr>
              <w:widowControl/>
              <w:spacing w:before="156" w:line="240" w:lineRule="exact"/>
              <w:rPr>
                <w:rFonts w:hint="eastAsia" w:ascii="仿宋" w:hAnsi="仿宋" w:eastAsia="仿宋" w:cs="仿宋"/>
                <w:color w:val="auto"/>
                <w:kern w:val="0"/>
                <w:sz w:val="24"/>
                <w:szCs w:val="24"/>
                <w:highlight w:val="none"/>
              </w:rPr>
            </w:pPr>
          </w:p>
        </w:tc>
        <w:tc>
          <w:tcPr>
            <w:tcW w:w="5028" w:type="dxa"/>
            <w:tcBorders>
              <w:top w:val="nil"/>
              <w:left w:val="nil"/>
              <w:bottom w:val="single" w:color="auto" w:sz="4" w:space="0"/>
              <w:right w:val="single" w:color="auto" w:sz="4" w:space="0"/>
            </w:tcBorders>
            <w:vAlign w:val="center"/>
          </w:tcPr>
          <w:p w14:paraId="2E9B2C64">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餐饮安排总体满意程度</w:t>
            </w:r>
          </w:p>
        </w:tc>
        <w:tc>
          <w:tcPr>
            <w:tcW w:w="1245" w:type="dxa"/>
            <w:tcBorders>
              <w:top w:val="nil"/>
              <w:left w:val="nil"/>
              <w:bottom w:val="single" w:color="auto" w:sz="4" w:space="0"/>
              <w:right w:val="single" w:color="auto" w:sz="4" w:space="0"/>
            </w:tcBorders>
            <w:vAlign w:val="center"/>
          </w:tcPr>
          <w:p w14:paraId="5441AE64">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85" w:type="dxa"/>
            <w:tcBorders>
              <w:top w:val="nil"/>
              <w:left w:val="nil"/>
              <w:bottom w:val="single" w:color="auto" w:sz="4" w:space="0"/>
              <w:right w:val="single" w:color="auto" w:sz="4" w:space="0"/>
            </w:tcBorders>
            <w:vAlign w:val="center"/>
          </w:tcPr>
          <w:p w14:paraId="4B07E75E">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70" w:type="dxa"/>
            <w:tcBorders>
              <w:top w:val="nil"/>
              <w:left w:val="nil"/>
              <w:bottom w:val="single" w:color="auto" w:sz="4" w:space="0"/>
              <w:right w:val="single" w:color="auto" w:sz="4" w:space="0"/>
            </w:tcBorders>
            <w:vAlign w:val="center"/>
          </w:tcPr>
          <w:p w14:paraId="388CD88F">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50" w:type="dxa"/>
            <w:tcBorders>
              <w:top w:val="nil"/>
              <w:left w:val="nil"/>
              <w:bottom w:val="single" w:color="auto" w:sz="4" w:space="0"/>
              <w:right w:val="single" w:color="auto" w:sz="4" w:space="0"/>
            </w:tcBorders>
            <w:vAlign w:val="center"/>
          </w:tcPr>
          <w:p w14:paraId="1F96B4E9">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13DA9844">
        <w:tblPrEx>
          <w:tblCellMar>
            <w:top w:w="0" w:type="dxa"/>
            <w:left w:w="108" w:type="dxa"/>
            <w:bottom w:w="0" w:type="dxa"/>
            <w:right w:w="108" w:type="dxa"/>
          </w:tblCellMar>
        </w:tblPrEx>
        <w:trPr>
          <w:trHeight w:val="405" w:hRule="atLeast"/>
          <w:jc w:val="center"/>
        </w:trPr>
        <w:tc>
          <w:tcPr>
            <w:tcW w:w="1006" w:type="dxa"/>
            <w:vMerge w:val="restart"/>
            <w:tcBorders>
              <w:top w:val="nil"/>
              <w:left w:val="single" w:color="auto" w:sz="4" w:space="0"/>
              <w:bottom w:val="single" w:color="auto" w:sz="4" w:space="0"/>
              <w:right w:val="single" w:color="auto" w:sz="4" w:space="0"/>
            </w:tcBorders>
            <w:vAlign w:val="center"/>
          </w:tcPr>
          <w:p w14:paraId="0F3EF65F">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景</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点</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安</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排</w:t>
            </w:r>
          </w:p>
        </w:tc>
        <w:tc>
          <w:tcPr>
            <w:tcW w:w="5028" w:type="dxa"/>
            <w:tcBorders>
              <w:top w:val="nil"/>
              <w:left w:val="nil"/>
              <w:bottom w:val="single" w:color="auto" w:sz="4" w:space="0"/>
              <w:right w:val="single" w:color="auto" w:sz="4" w:space="0"/>
            </w:tcBorders>
            <w:vAlign w:val="center"/>
          </w:tcPr>
          <w:p w14:paraId="70D7DF42">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景点地方特色</w:t>
            </w:r>
          </w:p>
        </w:tc>
        <w:tc>
          <w:tcPr>
            <w:tcW w:w="1245" w:type="dxa"/>
            <w:tcBorders>
              <w:top w:val="nil"/>
              <w:left w:val="nil"/>
              <w:bottom w:val="single" w:color="auto" w:sz="4" w:space="0"/>
              <w:right w:val="single" w:color="auto" w:sz="4" w:space="0"/>
            </w:tcBorders>
            <w:vAlign w:val="center"/>
          </w:tcPr>
          <w:p w14:paraId="11662354">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85" w:type="dxa"/>
            <w:tcBorders>
              <w:top w:val="nil"/>
              <w:left w:val="nil"/>
              <w:bottom w:val="single" w:color="auto" w:sz="4" w:space="0"/>
              <w:right w:val="single" w:color="auto" w:sz="4" w:space="0"/>
            </w:tcBorders>
            <w:vAlign w:val="center"/>
          </w:tcPr>
          <w:p w14:paraId="7FEFDE9A">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70" w:type="dxa"/>
            <w:tcBorders>
              <w:top w:val="nil"/>
              <w:left w:val="nil"/>
              <w:bottom w:val="single" w:color="auto" w:sz="4" w:space="0"/>
              <w:right w:val="single" w:color="auto" w:sz="4" w:space="0"/>
            </w:tcBorders>
            <w:vAlign w:val="center"/>
          </w:tcPr>
          <w:p w14:paraId="76766D48">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50" w:type="dxa"/>
            <w:tcBorders>
              <w:top w:val="nil"/>
              <w:left w:val="nil"/>
              <w:bottom w:val="single" w:color="auto" w:sz="4" w:space="0"/>
              <w:right w:val="single" w:color="auto" w:sz="4" w:space="0"/>
            </w:tcBorders>
            <w:vAlign w:val="center"/>
          </w:tcPr>
          <w:p w14:paraId="51944EA5">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0416D180">
        <w:tblPrEx>
          <w:tblCellMar>
            <w:top w:w="0" w:type="dxa"/>
            <w:left w:w="108" w:type="dxa"/>
            <w:bottom w:w="0" w:type="dxa"/>
            <w:right w:w="108" w:type="dxa"/>
          </w:tblCellMar>
        </w:tblPrEx>
        <w:trPr>
          <w:trHeight w:val="405" w:hRule="atLeast"/>
          <w:jc w:val="center"/>
        </w:trPr>
        <w:tc>
          <w:tcPr>
            <w:tcW w:w="1006" w:type="dxa"/>
            <w:vMerge w:val="continue"/>
            <w:tcBorders>
              <w:top w:val="nil"/>
              <w:left w:val="single" w:color="auto" w:sz="4" w:space="0"/>
              <w:bottom w:val="single" w:color="auto" w:sz="4" w:space="0"/>
              <w:right w:val="single" w:color="auto" w:sz="4" w:space="0"/>
            </w:tcBorders>
            <w:vAlign w:val="center"/>
          </w:tcPr>
          <w:p w14:paraId="48581ABA">
            <w:pPr>
              <w:widowControl/>
              <w:spacing w:before="156" w:line="240" w:lineRule="exact"/>
              <w:rPr>
                <w:rFonts w:hint="eastAsia" w:ascii="仿宋" w:hAnsi="仿宋" w:eastAsia="仿宋" w:cs="仿宋"/>
                <w:color w:val="auto"/>
                <w:kern w:val="0"/>
                <w:sz w:val="24"/>
                <w:szCs w:val="24"/>
                <w:highlight w:val="none"/>
              </w:rPr>
            </w:pPr>
          </w:p>
        </w:tc>
        <w:tc>
          <w:tcPr>
            <w:tcW w:w="5028" w:type="dxa"/>
            <w:tcBorders>
              <w:top w:val="nil"/>
              <w:left w:val="nil"/>
              <w:bottom w:val="single" w:color="auto" w:sz="4" w:space="0"/>
              <w:right w:val="single" w:color="auto" w:sz="4" w:space="0"/>
            </w:tcBorders>
            <w:vAlign w:val="center"/>
          </w:tcPr>
          <w:p w14:paraId="434B00A3">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讲解内容完整</w:t>
            </w:r>
          </w:p>
        </w:tc>
        <w:tc>
          <w:tcPr>
            <w:tcW w:w="1245" w:type="dxa"/>
            <w:tcBorders>
              <w:top w:val="nil"/>
              <w:left w:val="nil"/>
              <w:bottom w:val="single" w:color="auto" w:sz="4" w:space="0"/>
              <w:right w:val="single" w:color="auto" w:sz="4" w:space="0"/>
            </w:tcBorders>
            <w:vAlign w:val="center"/>
          </w:tcPr>
          <w:p w14:paraId="42E1C1CE">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85" w:type="dxa"/>
            <w:tcBorders>
              <w:top w:val="nil"/>
              <w:left w:val="nil"/>
              <w:bottom w:val="single" w:color="auto" w:sz="4" w:space="0"/>
              <w:right w:val="single" w:color="auto" w:sz="4" w:space="0"/>
            </w:tcBorders>
            <w:vAlign w:val="center"/>
          </w:tcPr>
          <w:p w14:paraId="2133D4A3">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70" w:type="dxa"/>
            <w:tcBorders>
              <w:top w:val="nil"/>
              <w:left w:val="nil"/>
              <w:bottom w:val="single" w:color="auto" w:sz="4" w:space="0"/>
              <w:right w:val="single" w:color="auto" w:sz="4" w:space="0"/>
            </w:tcBorders>
            <w:vAlign w:val="center"/>
          </w:tcPr>
          <w:p w14:paraId="0015CD50">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50" w:type="dxa"/>
            <w:tcBorders>
              <w:top w:val="nil"/>
              <w:left w:val="nil"/>
              <w:bottom w:val="single" w:color="auto" w:sz="4" w:space="0"/>
              <w:right w:val="single" w:color="auto" w:sz="4" w:space="0"/>
            </w:tcBorders>
            <w:vAlign w:val="center"/>
          </w:tcPr>
          <w:p w14:paraId="7E543077">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1F952885">
        <w:tblPrEx>
          <w:tblCellMar>
            <w:top w:w="0" w:type="dxa"/>
            <w:left w:w="108" w:type="dxa"/>
            <w:bottom w:w="0" w:type="dxa"/>
            <w:right w:w="108" w:type="dxa"/>
          </w:tblCellMar>
        </w:tblPrEx>
        <w:trPr>
          <w:trHeight w:val="405" w:hRule="atLeast"/>
          <w:jc w:val="center"/>
        </w:trPr>
        <w:tc>
          <w:tcPr>
            <w:tcW w:w="1006" w:type="dxa"/>
            <w:vMerge w:val="continue"/>
            <w:tcBorders>
              <w:top w:val="nil"/>
              <w:left w:val="single" w:color="auto" w:sz="4" w:space="0"/>
              <w:bottom w:val="single" w:color="auto" w:sz="4" w:space="0"/>
              <w:right w:val="single" w:color="auto" w:sz="4" w:space="0"/>
            </w:tcBorders>
            <w:vAlign w:val="center"/>
          </w:tcPr>
          <w:p w14:paraId="3CAD1B71">
            <w:pPr>
              <w:widowControl/>
              <w:spacing w:before="156" w:line="240" w:lineRule="exact"/>
              <w:rPr>
                <w:rFonts w:hint="eastAsia" w:ascii="仿宋" w:hAnsi="仿宋" w:eastAsia="仿宋" w:cs="仿宋"/>
                <w:color w:val="auto"/>
                <w:kern w:val="0"/>
                <w:sz w:val="24"/>
                <w:szCs w:val="24"/>
                <w:highlight w:val="none"/>
              </w:rPr>
            </w:pPr>
          </w:p>
        </w:tc>
        <w:tc>
          <w:tcPr>
            <w:tcW w:w="5028" w:type="dxa"/>
            <w:tcBorders>
              <w:top w:val="nil"/>
              <w:left w:val="nil"/>
              <w:bottom w:val="single" w:color="auto" w:sz="4" w:space="0"/>
              <w:right w:val="single" w:color="auto" w:sz="4" w:space="0"/>
            </w:tcBorders>
            <w:vAlign w:val="center"/>
          </w:tcPr>
          <w:p w14:paraId="1C543B27">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讲解语言美感</w:t>
            </w:r>
          </w:p>
        </w:tc>
        <w:tc>
          <w:tcPr>
            <w:tcW w:w="1245" w:type="dxa"/>
            <w:tcBorders>
              <w:top w:val="nil"/>
              <w:left w:val="nil"/>
              <w:bottom w:val="single" w:color="auto" w:sz="4" w:space="0"/>
              <w:right w:val="single" w:color="auto" w:sz="4" w:space="0"/>
            </w:tcBorders>
            <w:vAlign w:val="center"/>
          </w:tcPr>
          <w:p w14:paraId="30DDC699">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85" w:type="dxa"/>
            <w:tcBorders>
              <w:top w:val="nil"/>
              <w:left w:val="nil"/>
              <w:bottom w:val="single" w:color="auto" w:sz="4" w:space="0"/>
              <w:right w:val="single" w:color="auto" w:sz="4" w:space="0"/>
            </w:tcBorders>
            <w:vAlign w:val="center"/>
          </w:tcPr>
          <w:p w14:paraId="127B3BD4">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70" w:type="dxa"/>
            <w:tcBorders>
              <w:top w:val="nil"/>
              <w:left w:val="nil"/>
              <w:bottom w:val="single" w:color="auto" w:sz="4" w:space="0"/>
              <w:right w:val="single" w:color="auto" w:sz="4" w:space="0"/>
            </w:tcBorders>
            <w:vAlign w:val="center"/>
          </w:tcPr>
          <w:p w14:paraId="43EBAE75">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50" w:type="dxa"/>
            <w:tcBorders>
              <w:top w:val="nil"/>
              <w:left w:val="nil"/>
              <w:bottom w:val="single" w:color="auto" w:sz="4" w:space="0"/>
              <w:right w:val="single" w:color="auto" w:sz="4" w:space="0"/>
            </w:tcBorders>
            <w:vAlign w:val="center"/>
          </w:tcPr>
          <w:p w14:paraId="66DEE21E">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5ED46247">
        <w:tblPrEx>
          <w:tblCellMar>
            <w:top w:w="0" w:type="dxa"/>
            <w:left w:w="108" w:type="dxa"/>
            <w:bottom w:w="0" w:type="dxa"/>
            <w:right w:w="108" w:type="dxa"/>
          </w:tblCellMar>
        </w:tblPrEx>
        <w:trPr>
          <w:trHeight w:val="405" w:hRule="atLeast"/>
          <w:jc w:val="center"/>
        </w:trPr>
        <w:tc>
          <w:tcPr>
            <w:tcW w:w="1006" w:type="dxa"/>
            <w:vMerge w:val="continue"/>
            <w:tcBorders>
              <w:top w:val="nil"/>
              <w:left w:val="single" w:color="auto" w:sz="4" w:space="0"/>
              <w:bottom w:val="single" w:color="auto" w:sz="4" w:space="0"/>
              <w:right w:val="single" w:color="auto" w:sz="4" w:space="0"/>
            </w:tcBorders>
            <w:vAlign w:val="center"/>
          </w:tcPr>
          <w:p w14:paraId="0351177B">
            <w:pPr>
              <w:widowControl/>
              <w:spacing w:before="156" w:line="240" w:lineRule="exact"/>
              <w:rPr>
                <w:rFonts w:hint="eastAsia" w:ascii="仿宋" w:hAnsi="仿宋" w:eastAsia="仿宋" w:cs="仿宋"/>
                <w:color w:val="auto"/>
                <w:kern w:val="0"/>
                <w:sz w:val="24"/>
                <w:szCs w:val="24"/>
                <w:highlight w:val="none"/>
              </w:rPr>
            </w:pPr>
          </w:p>
        </w:tc>
        <w:tc>
          <w:tcPr>
            <w:tcW w:w="5028" w:type="dxa"/>
            <w:tcBorders>
              <w:top w:val="nil"/>
              <w:left w:val="nil"/>
              <w:bottom w:val="nil"/>
              <w:right w:val="single" w:color="auto" w:sz="4" w:space="0"/>
            </w:tcBorders>
            <w:vAlign w:val="center"/>
          </w:tcPr>
          <w:p w14:paraId="75BE5E71">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景点内时间安排合理</w:t>
            </w:r>
          </w:p>
        </w:tc>
        <w:tc>
          <w:tcPr>
            <w:tcW w:w="1245" w:type="dxa"/>
            <w:tcBorders>
              <w:top w:val="nil"/>
              <w:left w:val="nil"/>
              <w:bottom w:val="nil"/>
              <w:right w:val="single" w:color="auto" w:sz="4" w:space="0"/>
            </w:tcBorders>
            <w:vAlign w:val="center"/>
          </w:tcPr>
          <w:p w14:paraId="3B8DAB26">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85" w:type="dxa"/>
            <w:tcBorders>
              <w:top w:val="nil"/>
              <w:left w:val="nil"/>
              <w:bottom w:val="nil"/>
              <w:right w:val="single" w:color="auto" w:sz="4" w:space="0"/>
            </w:tcBorders>
            <w:vAlign w:val="center"/>
          </w:tcPr>
          <w:p w14:paraId="473E4CD6">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70" w:type="dxa"/>
            <w:tcBorders>
              <w:top w:val="nil"/>
              <w:left w:val="nil"/>
              <w:bottom w:val="nil"/>
              <w:right w:val="single" w:color="auto" w:sz="4" w:space="0"/>
            </w:tcBorders>
            <w:vAlign w:val="center"/>
          </w:tcPr>
          <w:p w14:paraId="7DE3D403">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50" w:type="dxa"/>
            <w:tcBorders>
              <w:top w:val="nil"/>
              <w:left w:val="nil"/>
              <w:bottom w:val="nil"/>
              <w:right w:val="single" w:color="auto" w:sz="4" w:space="0"/>
            </w:tcBorders>
            <w:vAlign w:val="center"/>
          </w:tcPr>
          <w:p w14:paraId="24A6CF22">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2789D835">
        <w:tblPrEx>
          <w:tblCellMar>
            <w:top w:w="0" w:type="dxa"/>
            <w:left w:w="108" w:type="dxa"/>
            <w:bottom w:w="0" w:type="dxa"/>
            <w:right w:w="108" w:type="dxa"/>
          </w:tblCellMar>
        </w:tblPrEx>
        <w:trPr>
          <w:trHeight w:val="405" w:hRule="atLeast"/>
          <w:jc w:val="center"/>
        </w:trPr>
        <w:tc>
          <w:tcPr>
            <w:tcW w:w="1006" w:type="dxa"/>
            <w:vMerge w:val="restart"/>
            <w:tcBorders>
              <w:top w:val="nil"/>
              <w:left w:val="single" w:color="auto" w:sz="4" w:space="0"/>
              <w:bottom w:val="single" w:color="auto" w:sz="4" w:space="0"/>
              <w:right w:val="single" w:color="auto" w:sz="4" w:space="0"/>
            </w:tcBorders>
            <w:vAlign w:val="center"/>
          </w:tcPr>
          <w:p w14:paraId="7A765731">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导</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游</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服</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务</w:t>
            </w:r>
          </w:p>
        </w:tc>
        <w:tc>
          <w:tcPr>
            <w:tcW w:w="5028" w:type="dxa"/>
            <w:tcBorders>
              <w:top w:val="single" w:color="auto" w:sz="4" w:space="0"/>
              <w:left w:val="nil"/>
              <w:bottom w:val="single" w:color="auto" w:sz="4" w:space="0"/>
              <w:right w:val="single" w:color="auto" w:sz="4" w:space="0"/>
            </w:tcBorders>
            <w:vAlign w:val="center"/>
          </w:tcPr>
          <w:p w14:paraId="3CB07E39">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佩带有效证件上岗，全程服务不迟到早退</w:t>
            </w:r>
          </w:p>
        </w:tc>
        <w:tc>
          <w:tcPr>
            <w:tcW w:w="1245" w:type="dxa"/>
            <w:tcBorders>
              <w:top w:val="single" w:color="auto" w:sz="4" w:space="0"/>
              <w:left w:val="nil"/>
              <w:bottom w:val="single" w:color="auto" w:sz="4" w:space="0"/>
              <w:right w:val="single" w:color="auto" w:sz="4" w:space="0"/>
            </w:tcBorders>
            <w:vAlign w:val="center"/>
          </w:tcPr>
          <w:p w14:paraId="2743B5CD">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85" w:type="dxa"/>
            <w:tcBorders>
              <w:top w:val="single" w:color="auto" w:sz="4" w:space="0"/>
              <w:left w:val="nil"/>
              <w:bottom w:val="single" w:color="auto" w:sz="4" w:space="0"/>
              <w:right w:val="single" w:color="auto" w:sz="4" w:space="0"/>
            </w:tcBorders>
            <w:vAlign w:val="center"/>
          </w:tcPr>
          <w:p w14:paraId="2DA61E26">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70" w:type="dxa"/>
            <w:tcBorders>
              <w:top w:val="single" w:color="auto" w:sz="4" w:space="0"/>
              <w:left w:val="nil"/>
              <w:bottom w:val="single" w:color="auto" w:sz="4" w:space="0"/>
              <w:right w:val="single" w:color="auto" w:sz="4" w:space="0"/>
            </w:tcBorders>
            <w:vAlign w:val="center"/>
          </w:tcPr>
          <w:p w14:paraId="5B2E9156">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50" w:type="dxa"/>
            <w:tcBorders>
              <w:top w:val="single" w:color="auto" w:sz="4" w:space="0"/>
              <w:left w:val="nil"/>
              <w:bottom w:val="single" w:color="auto" w:sz="4" w:space="0"/>
              <w:right w:val="single" w:color="auto" w:sz="4" w:space="0"/>
            </w:tcBorders>
            <w:vAlign w:val="center"/>
          </w:tcPr>
          <w:p w14:paraId="5EA9EBB7">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1FD16D07">
        <w:tblPrEx>
          <w:tblCellMar>
            <w:top w:w="0" w:type="dxa"/>
            <w:left w:w="108" w:type="dxa"/>
            <w:bottom w:w="0" w:type="dxa"/>
            <w:right w:w="108" w:type="dxa"/>
          </w:tblCellMar>
        </w:tblPrEx>
        <w:trPr>
          <w:trHeight w:val="405" w:hRule="atLeast"/>
          <w:jc w:val="center"/>
        </w:trPr>
        <w:tc>
          <w:tcPr>
            <w:tcW w:w="1006" w:type="dxa"/>
            <w:vMerge w:val="continue"/>
            <w:tcBorders>
              <w:top w:val="nil"/>
              <w:left w:val="single" w:color="auto" w:sz="4" w:space="0"/>
              <w:bottom w:val="single" w:color="auto" w:sz="4" w:space="0"/>
              <w:right w:val="single" w:color="auto" w:sz="4" w:space="0"/>
            </w:tcBorders>
            <w:vAlign w:val="center"/>
          </w:tcPr>
          <w:p w14:paraId="5197B1CC">
            <w:pPr>
              <w:widowControl/>
              <w:spacing w:before="156" w:line="240" w:lineRule="exact"/>
              <w:rPr>
                <w:rFonts w:hint="eastAsia" w:ascii="仿宋" w:hAnsi="仿宋" w:eastAsia="仿宋" w:cs="仿宋"/>
                <w:color w:val="auto"/>
                <w:kern w:val="0"/>
                <w:sz w:val="24"/>
                <w:szCs w:val="24"/>
                <w:highlight w:val="none"/>
              </w:rPr>
            </w:pPr>
          </w:p>
        </w:tc>
        <w:tc>
          <w:tcPr>
            <w:tcW w:w="5028" w:type="dxa"/>
            <w:tcBorders>
              <w:top w:val="nil"/>
              <w:left w:val="nil"/>
              <w:bottom w:val="single" w:color="auto" w:sz="4" w:space="0"/>
              <w:right w:val="single" w:color="auto" w:sz="4" w:space="0"/>
            </w:tcBorders>
            <w:vAlign w:val="center"/>
          </w:tcPr>
          <w:p w14:paraId="365CA97B">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无擅自增减旅游项目或擅自终止导游活动或无过度推销产品</w:t>
            </w:r>
          </w:p>
        </w:tc>
        <w:tc>
          <w:tcPr>
            <w:tcW w:w="1245" w:type="dxa"/>
            <w:tcBorders>
              <w:top w:val="nil"/>
              <w:left w:val="nil"/>
              <w:bottom w:val="single" w:color="auto" w:sz="4" w:space="0"/>
              <w:right w:val="single" w:color="auto" w:sz="4" w:space="0"/>
            </w:tcBorders>
            <w:vAlign w:val="center"/>
          </w:tcPr>
          <w:p w14:paraId="4F926EA7">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85" w:type="dxa"/>
            <w:tcBorders>
              <w:top w:val="nil"/>
              <w:left w:val="nil"/>
              <w:bottom w:val="single" w:color="auto" w:sz="4" w:space="0"/>
              <w:right w:val="single" w:color="auto" w:sz="4" w:space="0"/>
            </w:tcBorders>
            <w:vAlign w:val="center"/>
          </w:tcPr>
          <w:p w14:paraId="237A8914">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70" w:type="dxa"/>
            <w:tcBorders>
              <w:top w:val="nil"/>
              <w:left w:val="nil"/>
              <w:bottom w:val="single" w:color="auto" w:sz="4" w:space="0"/>
              <w:right w:val="single" w:color="auto" w:sz="4" w:space="0"/>
            </w:tcBorders>
            <w:vAlign w:val="center"/>
          </w:tcPr>
          <w:p w14:paraId="051D647B">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50" w:type="dxa"/>
            <w:tcBorders>
              <w:top w:val="nil"/>
              <w:left w:val="nil"/>
              <w:bottom w:val="single" w:color="auto" w:sz="4" w:space="0"/>
              <w:right w:val="single" w:color="auto" w:sz="4" w:space="0"/>
            </w:tcBorders>
            <w:vAlign w:val="center"/>
          </w:tcPr>
          <w:p w14:paraId="0F5E7720">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266DCABF">
        <w:tblPrEx>
          <w:tblCellMar>
            <w:top w:w="0" w:type="dxa"/>
            <w:left w:w="108" w:type="dxa"/>
            <w:bottom w:w="0" w:type="dxa"/>
            <w:right w:w="108" w:type="dxa"/>
          </w:tblCellMar>
        </w:tblPrEx>
        <w:trPr>
          <w:trHeight w:val="405" w:hRule="atLeast"/>
          <w:jc w:val="center"/>
        </w:trPr>
        <w:tc>
          <w:tcPr>
            <w:tcW w:w="1006" w:type="dxa"/>
            <w:vMerge w:val="continue"/>
            <w:tcBorders>
              <w:top w:val="nil"/>
              <w:left w:val="single" w:color="auto" w:sz="4" w:space="0"/>
              <w:bottom w:val="single" w:color="auto" w:sz="4" w:space="0"/>
              <w:right w:val="single" w:color="auto" w:sz="4" w:space="0"/>
            </w:tcBorders>
            <w:vAlign w:val="center"/>
          </w:tcPr>
          <w:p w14:paraId="3A4347C1">
            <w:pPr>
              <w:widowControl/>
              <w:spacing w:before="156" w:line="240" w:lineRule="exact"/>
              <w:rPr>
                <w:rFonts w:hint="eastAsia" w:ascii="仿宋" w:hAnsi="仿宋" w:eastAsia="仿宋" w:cs="仿宋"/>
                <w:color w:val="auto"/>
                <w:kern w:val="0"/>
                <w:sz w:val="24"/>
                <w:szCs w:val="24"/>
                <w:highlight w:val="none"/>
              </w:rPr>
            </w:pPr>
          </w:p>
        </w:tc>
        <w:tc>
          <w:tcPr>
            <w:tcW w:w="5028" w:type="dxa"/>
            <w:tcBorders>
              <w:top w:val="nil"/>
              <w:left w:val="nil"/>
              <w:bottom w:val="single" w:color="auto" w:sz="4" w:space="0"/>
              <w:right w:val="single" w:color="auto" w:sz="4" w:space="0"/>
            </w:tcBorders>
            <w:vAlign w:val="center"/>
          </w:tcPr>
          <w:p w14:paraId="2197D5EF">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对可预见的情况有警示说明及防范措施</w:t>
            </w:r>
          </w:p>
        </w:tc>
        <w:tc>
          <w:tcPr>
            <w:tcW w:w="1245" w:type="dxa"/>
            <w:tcBorders>
              <w:top w:val="nil"/>
              <w:left w:val="nil"/>
              <w:bottom w:val="single" w:color="auto" w:sz="4" w:space="0"/>
              <w:right w:val="single" w:color="auto" w:sz="4" w:space="0"/>
            </w:tcBorders>
            <w:vAlign w:val="center"/>
          </w:tcPr>
          <w:p w14:paraId="3F3D0BBB">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85" w:type="dxa"/>
            <w:tcBorders>
              <w:top w:val="nil"/>
              <w:left w:val="nil"/>
              <w:bottom w:val="single" w:color="auto" w:sz="4" w:space="0"/>
              <w:right w:val="single" w:color="auto" w:sz="4" w:space="0"/>
            </w:tcBorders>
            <w:vAlign w:val="center"/>
          </w:tcPr>
          <w:p w14:paraId="71558BC7">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70" w:type="dxa"/>
            <w:tcBorders>
              <w:top w:val="nil"/>
              <w:left w:val="nil"/>
              <w:bottom w:val="single" w:color="auto" w:sz="4" w:space="0"/>
              <w:right w:val="single" w:color="auto" w:sz="4" w:space="0"/>
            </w:tcBorders>
            <w:vAlign w:val="center"/>
          </w:tcPr>
          <w:p w14:paraId="2ECFE224">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50" w:type="dxa"/>
            <w:tcBorders>
              <w:top w:val="nil"/>
              <w:left w:val="nil"/>
              <w:bottom w:val="single" w:color="auto" w:sz="4" w:space="0"/>
              <w:right w:val="single" w:color="auto" w:sz="4" w:space="0"/>
            </w:tcBorders>
            <w:vAlign w:val="center"/>
          </w:tcPr>
          <w:p w14:paraId="092D6416">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52C7372B">
        <w:tblPrEx>
          <w:tblCellMar>
            <w:top w:w="0" w:type="dxa"/>
            <w:left w:w="108" w:type="dxa"/>
            <w:bottom w:w="0" w:type="dxa"/>
            <w:right w:w="108" w:type="dxa"/>
          </w:tblCellMar>
        </w:tblPrEx>
        <w:trPr>
          <w:trHeight w:val="405" w:hRule="atLeast"/>
          <w:jc w:val="center"/>
        </w:trPr>
        <w:tc>
          <w:tcPr>
            <w:tcW w:w="1006" w:type="dxa"/>
            <w:vMerge w:val="continue"/>
            <w:tcBorders>
              <w:top w:val="nil"/>
              <w:left w:val="single" w:color="auto" w:sz="4" w:space="0"/>
              <w:bottom w:val="single" w:color="auto" w:sz="4" w:space="0"/>
              <w:right w:val="single" w:color="auto" w:sz="4" w:space="0"/>
            </w:tcBorders>
            <w:vAlign w:val="center"/>
          </w:tcPr>
          <w:p w14:paraId="311FD804">
            <w:pPr>
              <w:widowControl/>
              <w:spacing w:before="156" w:line="240" w:lineRule="exact"/>
              <w:rPr>
                <w:rFonts w:hint="eastAsia" w:ascii="仿宋" w:hAnsi="仿宋" w:eastAsia="仿宋" w:cs="仿宋"/>
                <w:color w:val="auto"/>
                <w:kern w:val="0"/>
                <w:sz w:val="24"/>
                <w:szCs w:val="24"/>
                <w:highlight w:val="none"/>
              </w:rPr>
            </w:pPr>
          </w:p>
        </w:tc>
        <w:tc>
          <w:tcPr>
            <w:tcW w:w="5028" w:type="dxa"/>
            <w:tcBorders>
              <w:top w:val="nil"/>
              <w:left w:val="nil"/>
              <w:bottom w:val="single" w:color="auto" w:sz="4" w:space="0"/>
              <w:right w:val="single" w:color="auto" w:sz="4" w:space="0"/>
            </w:tcBorders>
            <w:vAlign w:val="center"/>
          </w:tcPr>
          <w:p w14:paraId="021B92EF">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语言表达能力、沟通能力及专业知识掌握</w:t>
            </w:r>
          </w:p>
        </w:tc>
        <w:tc>
          <w:tcPr>
            <w:tcW w:w="1245" w:type="dxa"/>
            <w:tcBorders>
              <w:top w:val="nil"/>
              <w:left w:val="nil"/>
              <w:bottom w:val="single" w:color="auto" w:sz="4" w:space="0"/>
              <w:right w:val="single" w:color="auto" w:sz="4" w:space="0"/>
            </w:tcBorders>
            <w:vAlign w:val="center"/>
          </w:tcPr>
          <w:p w14:paraId="572BE65C">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85" w:type="dxa"/>
            <w:tcBorders>
              <w:top w:val="nil"/>
              <w:left w:val="nil"/>
              <w:bottom w:val="single" w:color="auto" w:sz="4" w:space="0"/>
              <w:right w:val="single" w:color="auto" w:sz="4" w:space="0"/>
            </w:tcBorders>
            <w:vAlign w:val="center"/>
          </w:tcPr>
          <w:p w14:paraId="7236CD94">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870" w:type="dxa"/>
            <w:tcBorders>
              <w:top w:val="nil"/>
              <w:left w:val="nil"/>
              <w:bottom w:val="single" w:color="auto" w:sz="4" w:space="0"/>
              <w:right w:val="single" w:color="auto" w:sz="4" w:space="0"/>
            </w:tcBorders>
            <w:vAlign w:val="center"/>
          </w:tcPr>
          <w:p w14:paraId="12D7D0A3">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050" w:type="dxa"/>
            <w:tcBorders>
              <w:top w:val="nil"/>
              <w:left w:val="nil"/>
              <w:bottom w:val="single" w:color="auto" w:sz="4" w:space="0"/>
              <w:right w:val="single" w:color="auto" w:sz="4" w:space="0"/>
            </w:tcBorders>
            <w:vAlign w:val="center"/>
          </w:tcPr>
          <w:p w14:paraId="37916A5B">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3F1D183D">
        <w:tblPrEx>
          <w:tblCellMar>
            <w:top w:w="0" w:type="dxa"/>
            <w:left w:w="108" w:type="dxa"/>
            <w:bottom w:w="0" w:type="dxa"/>
            <w:right w:w="108" w:type="dxa"/>
          </w:tblCellMar>
        </w:tblPrEx>
        <w:trPr>
          <w:trHeight w:val="275" w:hRule="atLeast"/>
          <w:jc w:val="center"/>
        </w:trPr>
        <w:tc>
          <w:tcPr>
            <w:tcW w:w="6034" w:type="dxa"/>
            <w:gridSpan w:val="2"/>
            <w:tcBorders>
              <w:top w:val="nil"/>
              <w:left w:val="single" w:color="auto" w:sz="4" w:space="0"/>
              <w:bottom w:val="single" w:color="auto" w:sz="4" w:space="0"/>
              <w:right w:val="single" w:color="auto" w:sz="4" w:space="0"/>
            </w:tcBorders>
            <w:vAlign w:val="center"/>
          </w:tcPr>
          <w:p w14:paraId="75AFFB54">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合计</w:t>
            </w:r>
          </w:p>
        </w:tc>
        <w:tc>
          <w:tcPr>
            <w:tcW w:w="1245" w:type="dxa"/>
            <w:tcBorders>
              <w:top w:val="nil"/>
              <w:left w:val="nil"/>
              <w:bottom w:val="single" w:color="auto" w:sz="4" w:space="0"/>
              <w:right w:val="single" w:color="auto" w:sz="4" w:space="0"/>
            </w:tcBorders>
            <w:vAlign w:val="center"/>
          </w:tcPr>
          <w:p w14:paraId="4A4D682F">
            <w:pPr>
              <w:widowControl/>
              <w:spacing w:before="156" w:line="240" w:lineRule="exact"/>
              <w:rPr>
                <w:rFonts w:hint="eastAsia" w:ascii="仿宋" w:hAnsi="仿宋" w:eastAsia="仿宋" w:cs="仿宋"/>
                <w:color w:val="auto"/>
                <w:kern w:val="0"/>
                <w:sz w:val="24"/>
                <w:szCs w:val="24"/>
                <w:highlight w:val="none"/>
              </w:rPr>
            </w:pPr>
          </w:p>
        </w:tc>
        <w:tc>
          <w:tcPr>
            <w:tcW w:w="885" w:type="dxa"/>
            <w:tcBorders>
              <w:top w:val="nil"/>
              <w:left w:val="nil"/>
              <w:bottom w:val="single" w:color="auto" w:sz="4" w:space="0"/>
              <w:right w:val="single" w:color="auto" w:sz="4" w:space="0"/>
            </w:tcBorders>
            <w:vAlign w:val="center"/>
          </w:tcPr>
          <w:p w14:paraId="50B1F729">
            <w:pPr>
              <w:widowControl/>
              <w:spacing w:before="156" w:line="240" w:lineRule="exact"/>
              <w:rPr>
                <w:rFonts w:hint="eastAsia" w:ascii="仿宋" w:hAnsi="仿宋" w:eastAsia="仿宋" w:cs="仿宋"/>
                <w:color w:val="auto"/>
                <w:kern w:val="0"/>
                <w:sz w:val="24"/>
                <w:szCs w:val="24"/>
                <w:highlight w:val="none"/>
              </w:rPr>
            </w:pPr>
          </w:p>
        </w:tc>
        <w:tc>
          <w:tcPr>
            <w:tcW w:w="870" w:type="dxa"/>
            <w:tcBorders>
              <w:top w:val="nil"/>
              <w:left w:val="nil"/>
              <w:bottom w:val="single" w:color="auto" w:sz="4" w:space="0"/>
              <w:right w:val="single" w:color="auto" w:sz="4" w:space="0"/>
            </w:tcBorders>
            <w:vAlign w:val="center"/>
          </w:tcPr>
          <w:p w14:paraId="28E17FE1">
            <w:pPr>
              <w:widowControl/>
              <w:spacing w:before="156" w:line="240" w:lineRule="exact"/>
              <w:rPr>
                <w:rFonts w:hint="eastAsia" w:ascii="仿宋" w:hAnsi="仿宋" w:eastAsia="仿宋" w:cs="仿宋"/>
                <w:color w:val="auto"/>
                <w:kern w:val="0"/>
                <w:sz w:val="24"/>
                <w:szCs w:val="24"/>
                <w:highlight w:val="none"/>
              </w:rPr>
            </w:pPr>
          </w:p>
        </w:tc>
        <w:tc>
          <w:tcPr>
            <w:tcW w:w="1050" w:type="dxa"/>
            <w:tcBorders>
              <w:top w:val="nil"/>
              <w:left w:val="nil"/>
              <w:bottom w:val="single" w:color="auto" w:sz="4" w:space="0"/>
              <w:right w:val="single" w:color="auto" w:sz="4" w:space="0"/>
            </w:tcBorders>
            <w:vAlign w:val="center"/>
          </w:tcPr>
          <w:p w14:paraId="5E0FB08F">
            <w:pPr>
              <w:widowControl/>
              <w:spacing w:before="156" w:line="240" w:lineRule="exact"/>
              <w:rPr>
                <w:rFonts w:hint="eastAsia" w:ascii="仿宋" w:hAnsi="仿宋" w:eastAsia="仿宋" w:cs="仿宋"/>
                <w:color w:val="auto"/>
                <w:kern w:val="0"/>
                <w:sz w:val="24"/>
                <w:szCs w:val="24"/>
                <w:highlight w:val="none"/>
              </w:rPr>
            </w:pPr>
          </w:p>
        </w:tc>
      </w:tr>
      <w:tr w14:paraId="249359FF">
        <w:tblPrEx>
          <w:tblCellMar>
            <w:top w:w="0" w:type="dxa"/>
            <w:left w:w="108" w:type="dxa"/>
            <w:bottom w:w="0" w:type="dxa"/>
            <w:right w:w="108" w:type="dxa"/>
          </w:tblCellMar>
        </w:tblPrEx>
        <w:trPr>
          <w:trHeight w:val="720" w:hRule="atLeast"/>
          <w:jc w:val="center"/>
        </w:trPr>
        <w:tc>
          <w:tcPr>
            <w:tcW w:w="10084" w:type="dxa"/>
            <w:gridSpan w:val="6"/>
            <w:tcBorders>
              <w:top w:val="single" w:color="auto" w:sz="4" w:space="0"/>
              <w:left w:val="nil"/>
              <w:bottom w:val="nil"/>
              <w:right w:val="nil"/>
            </w:tcBorders>
            <w:vAlign w:val="center"/>
          </w:tcPr>
          <w:p w14:paraId="644F1BF0">
            <w:pPr>
              <w:widowControl/>
              <w:spacing w:before="156" w:line="24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您需要补充的意见和建议：</w:t>
            </w:r>
          </w:p>
          <w:p w14:paraId="532E788C">
            <w:pPr>
              <w:rPr>
                <w:rFonts w:hint="eastAsia" w:ascii="仿宋" w:hAnsi="仿宋" w:eastAsia="仿宋" w:cs="仿宋"/>
                <w:color w:val="auto"/>
                <w:sz w:val="24"/>
                <w:szCs w:val="24"/>
                <w:highlight w:val="none"/>
              </w:rPr>
            </w:pPr>
          </w:p>
        </w:tc>
      </w:tr>
    </w:tbl>
    <w:p w14:paraId="481D6B49">
      <w:pPr>
        <w:autoSpaceDE w:val="0"/>
        <w:adjustRightInd w:val="0"/>
        <w:spacing w:line="360" w:lineRule="auto"/>
        <w:ind w:firstLine="480" w:firstLineChars="200"/>
        <w:jc w:val="left"/>
        <w:rPr>
          <w:rFonts w:hint="eastAsia" w:ascii="仿宋" w:hAnsi="仿宋" w:eastAsia="仿宋" w:cs="仿宋"/>
          <w:bCs/>
          <w:color w:val="auto"/>
          <w:sz w:val="24"/>
          <w:szCs w:val="24"/>
          <w:highlight w:val="none"/>
          <w:lang w:val="en-US" w:eastAsia="zh-CN"/>
        </w:rPr>
      </w:pPr>
    </w:p>
    <w:p w14:paraId="36C8913C">
      <w:pPr>
        <w:pStyle w:val="3"/>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二、商务要求</w:t>
      </w:r>
      <w:bookmarkEnd w:id="42"/>
    </w:p>
    <w:p w14:paraId="6C46EB04">
      <w:pPr>
        <w:widowControl/>
        <w:snapToGrid w:val="0"/>
        <w:spacing w:line="480" w:lineRule="exac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★2.1服务期限</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一</w:t>
      </w:r>
      <w:r>
        <w:rPr>
          <w:rFonts w:hint="eastAsia" w:ascii="仿宋" w:hAnsi="仿宋" w:eastAsia="仿宋" w:cs="仿宋"/>
          <w:b/>
          <w:bCs/>
          <w:color w:val="auto"/>
          <w:kern w:val="0"/>
          <w:sz w:val="24"/>
          <w:szCs w:val="24"/>
          <w:highlight w:val="none"/>
        </w:rPr>
        <w:t>年。疗养时间根据实际情况决定，若遇到国家相关政策或者政府部门要求等原因及其他不可抗力因素的，业主有权取消本次疗休养项目，中标单位不得要求赔偿。具体按采购人要求执行。</w:t>
      </w:r>
    </w:p>
    <w:p w14:paraId="79C02953">
      <w:pPr>
        <w:widowControl/>
        <w:snapToGrid w:val="0"/>
        <w:spacing w:line="480" w:lineRule="exac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★2.2质量要求</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优质服务且必须符合国家法律法规、行业标准及本表文所有条款要求。</w:t>
      </w:r>
    </w:p>
    <w:p w14:paraId="4D66A0D4">
      <w:pPr>
        <w:widowControl/>
        <w:snapToGrid w:val="0"/>
        <w:spacing w:line="480" w:lineRule="exact"/>
        <w:rPr>
          <w:rFonts w:hint="eastAsia" w:ascii="仿宋" w:hAnsi="仿宋" w:eastAsia="仿宋" w:cs="仿宋"/>
          <w:bCs/>
          <w:color w:val="auto"/>
          <w:kern w:val="0"/>
          <w:sz w:val="24"/>
          <w:szCs w:val="24"/>
          <w:highlight w:val="none"/>
        </w:rPr>
      </w:pPr>
      <w:r>
        <w:rPr>
          <w:rFonts w:hint="eastAsia" w:ascii="仿宋" w:hAnsi="仿宋" w:eastAsia="仿宋" w:cs="仿宋"/>
          <w:b/>
          <w:bCs/>
          <w:color w:val="auto"/>
          <w:kern w:val="0"/>
          <w:sz w:val="24"/>
          <w:szCs w:val="24"/>
          <w:highlight w:val="none"/>
        </w:rPr>
        <w:t>2.3数量调整</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Cs/>
          <w:color w:val="auto"/>
          <w:kern w:val="0"/>
          <w:sz w:val="24"/>
          <w:szCs w:val="24"/>
          <w:highlight w:val="none"/>
          <w:lang w:eastAsia="zh-CN"/>
        </w:rPr>
        <w:t>采购人</w:t>
      </w:r>
      <w:r>
        <w:rPr>
          <w:rFonts w:hint="eastAsia" w:ascii="仿宋" w:hAnsi="仿宋" w:eastAsia="仿宋" w:cs="仿宋"/>
          <w:bCs/>
          <w:color w:val="auto"/>
          <w:kern w:val="0"/>
          <w:sz w:val="24"/>
          <w:szCs w:val="24"/>
          <w:highlight w:val="none"/>
        </w:rPr>
        <w:t>保留在签约时微调部分服务的权力，投标人应对服务类别明细报价，按投标单价不变的前提下进行调整，双方不得拒绝。如遇本次招标没有涉及的设备或服务时，由中标人提供申请，</w:t>
      </w:r>
      <w:r>
        <w:rPr>
          <w:rFonts w:hint="eastAsia" w:ascii="仿宋" w:hAnsi="仿宋" w:eastAsia="仿宋" w:cs="仿宋"/>
          <w:bCs/>
          <w:color w:val="auto"/>
          <w:kern w:val="0"/>
          <w:sz w:val="24"/>
          <w:szCs w:val="24"/>
          <w:highlight w:val="none"/>
          <w:lang w:eastAsia="zh-CN"/>
        </w:rPr>
        <w:t>采购人</w:t>
      </w:r>
      <w:r>
        <w:rPr>
          <w:rFonts w:hint="eastAsia" w:ascii="仿宋" w:hAnsi="仿宋" w:eastAsia="仿宋" w:cs="仿宋"/>
          <w:bCs/>
          <w:color w:val="auto"/>
          <w:kern w:val="0"/>
          <w:sz w:val="24"/>
          <w:szCs w:val="24"/>
          <w:highlight w:val="none"/>
        </w:rPr>
        <w:t>确认后实施。</w:t>
      </w:r>
    </w:p>
    <w:p w14:paraId="416C2492">
      <w:pPr>
        <w:widowControl/>
        <w:snapToGrid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2.4验收</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color w:val="auto"/>
          <w:kern w:val="0"/>
          <w:sz w:val="24"/>
          <w:szCs w:val="24"/>
          <w:highlight w:val="none"/>
        </w:rPr>
        <w:t>验收按国家有关规范标准（国家无验收规范标准的按双方合同规定的要</w:t>
      </w:r>
      <w:r>
        <w:rPr>
          <w:rFonts w:hint="eastAsia" w:ascii="仿宋" w:hAnsi="仿宋" w:eastAsia="仿宋" w:cs="仿宋"/>
          <w:color w:val="auto"/>
          <w:kern w:val="0"/>
          <w:sz w:val="24"/>
          <w:szCs w:val="24"/>
          <w:highlight w:val="none"/>
        </w:rPr>
        <w:t>求）进行。采购人保留邀请参加本项目的其他投标人或者第三方机构或相关技术专家</w:t>
      </w:r>
      <w:r>
        <w:rPr>
          <w:rFonts w:hint="eastAsia" w:ascii="仿宋" w:hAnsi="仿宋" w:eastAsia="仿宋" w:cs="仿宋"/>
          <w:color w:val="auto"/>
          <w:kern w:val="0"/>
          <w:sz w:val="24"/>
          <w:szCs w:val="24"/>
          <w:highlight w:val="none"/>
        </w:rPr>
        <w:t>参与验收的权利。参与验收的投标人或者第三方机构的意见作为验收书的参考资料一并存档。</w:t>
      </w:r>
    </w:p>
    <w:p w14:paraId="05F92C8A">
      <w:pPr>
        <w:widowControl/>
        <w:snapToGrid w:val="0"/>
        <w:spacing w:line="480" w:lineRule="exact"/>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rPr>
        <w:t>★2.5付款方式</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color w:val="auto"/>
          <w:sz w:val="24"/>
          <w:szCs w:val="24"/>
          <w:highlight w:val="none"/>
        </w:rPr>
        <w:t>根据采购人要求，疗休养活动全部结束后凭发票90天内按实际参加疗休养人数结算。中标单位必须出具与本单位完全一致的正规统一税务发票，发票项目为疗休养费，注明含交通费、住宿费、伙食费等。中标单位不得随意改动行程，按照方案要求提供优质服务，否则视为违约，</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有权延期付款或拒付</w:t>
      </w:r>
      <w:r>
        <w:rPr>
          <w:rFonts w:hint="eastAsia" w:ascii="仿宋" w:hAnsi="仿宋" w:eastAsia="仿宋" w:cs="仿宋"/>
          <w:color w:val="auto"/>
          <w:sz w:val="24"/>
          <w:szCs w:val="24"/>
          <w:highlight w:val="none"/>
        </w:rPr>
        <w:t>。</w:t>
      </w:r>
    </w:p>
    <w:p w14:paraId="1E06716D">
      <w:pPr>
        <w:widowControl/>
        <w:snapToGrid w:val="0"/>
        <w:spacing w:line="480" w:lineRule="exact"/>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rPr>
        <w:t>★2.6</w:t>
      </w:r>
      <w:r>
        <w:rPr>
          <w:rFonts w:hint="eastAsia" w:ascii="仿宋" w:hAnsi="仿宋" w:eastAsia="仿宋" w:cs="仿宋"/>
          <w:b/>
          <w:color w:val="auto"/>
          <w:kern w:val="0"/>
          <w:sz w:val="24"/>
          <w:szCs w:val="24"/>
          <w:highlight w:val="none"/>
        </w:rPr>
        <w:t>结算原则</w:t>
      </w:r>
      <w:r>
        <w:rPr>
          <w:rFonts w:hint="eastAsia" w:ascii="仿宋" w:hAnsi="仿宋" w:eastAsia="仿宋" w:cs="仿宋"/>
          <w:b/>
          <w:color w:val="auto"/>
          <w:kern w:val="0"/>
          <w:sz w:val="24"/>
          <w:szCs w:val="24"/>
          <w:highlight w:val="none"/>
          <w:lang w:eastAsia="zh-CN"/>
        </w:rPr>
        <w:t>：</w:t>
      </w:r>
      <w:r>
        <w:rPr>
          <w:rFonts w:hint="eastAsia" w:ascii="仿宋" w:hAnsi="仿宋" w:eastAsia="仿宋" w:cs="仿宋"/>
          <w:color w:val="auto"/>
          <w:sz w:val="24"/>
          <w:szCs w:val="24"/>
          <w:highlight w:val="none"/>
        </w:rPr>
        <w:t>合同金额按相关文件规定的标准签订，结算根据实际疗养人数进行。疗休养活动结束后凭疗休养费用结算确认单、正式发票集中结算，</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受理后完成审核、核对及付款。</w:t>
      </w:r>
    </w:p>
    <w:p w14:paraId="056E30F8">
      <w:pPr>
        <w:widowControl/>
        <w:snapToGrid w:val="0"/>
        <w:spacing w:line="48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sz w:val="24"/>
          <w:szCs w:val="24"/>
          <w:highlight w:val="none"/>
        </w:rPr>
        <w:t>2.7</w:t>
      </w:r>
      <w:r>
        <w:rPr>
          <w:rFonts w:hint="eastAsia" w:ascii="仿宋" w:hAnsi="仿宋" w:eastAsia="仿宋" w:cs="仿宋"/>
          <w:b/>
          <w:bCs/>
          <w:color w:val="auto"/>
          <w:kern w:val="0"/>
          <w:sz w:val="24"/>
          <w:szCs w:val="24"/>
          <w:highlight w:val="none"/>
        </w:rPr>
        <w:t>违约</w:t>
      </w:r>
      <w:r>
        <w:rPr>
          <w:rFonts w:hint="eastAsia" w:ascii="仿宋" w:hAnsi="仿宋" w:eastAsia="仿宋" w:cs="仿宋"/>
          <w:b/>
          <w:bCs/>
          <w:color w:val="auto"/>
          <w:sz w:val="24"/>
          <w:szCs w:val="24"/>
          <w:highlight w:val="none"/>
        </w:rPr>
        <w:t>责任</w:t>
      </w:r>
    </w:p>
    <w:p w14:paraId="66CB5E67">
      <w:pPr>
        <w:widowControl/>
        <w:snapToGrid w:val="0"/>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2.7.1若中标人违法合同规定导致本合同无法履行，</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有权终止合同，并对由此造成的损失有权要求赔偿。</w:t>
      </w:r>
    </w:p>
    <w:p w14:paraId="17A29AEA">
      <w:pPr>
        <w:widowControl/>
        <w:snapToGrid w:val="0"/>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2.7.2每起经</w:t>
      </w:r>
      <w:r>
        <w:rPr>
          <w:rFonts w:hint="eastAsia" w:ascii="仿宋" w:hAnsi="仿宋" w:eastAsia="仿宋" w:cs="仿宋"/>
          <w:color w:val="auto"/>
          <w:sz w:val="24"/>
          <w:szCs w:val="24"/>
          <w:highlight w:val="none"/>
          <w:lang w:val="en-US" w:eastAsia="zh-CN"/>
        </w:rPr>
        <w:t>采购人及中标人</w:t>
      </w:r>
      <w:r>
        <w:rPr>
          <w:rFonts w:hint="eastAsia" w:ascii="仿宋" w:hAnsi="仿宋" w:eastAsia="仿宋" w:cs="仿宋"/>
          <w:color w:val="auto"/>
          <w:sz w:val="24"/>
          <w:szCs w:val="24"/>
          <w:highlight w:val="none"/>
        </w:rPr>
        <w:t>双方调查确认后的参加休养人员的正当合理投诉，</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有权按每团次(或每人)休养费</w:t>
      </w:r>
      <w:r>
        <w:rPr>
          <w:rFonts w:hint="eastAsia" w:ascii="仿宋" w:hAnsi="仿宋" w:eastAsia="仿宋" w:cs="仿宋"/>
          <w:color w:val="auto"/>
          <w:sz w:val="24"/>
          <w:szCs w:val="24"/>
          <w:highlight w:val="none"/>
          <w:lang w:eastAsia="zh-CN"/>
        </w:rPr>
        <w:t>用</w:t>
      </w:r>
      <w:r>
        <w:rPr>
          <w:rFonts w:hint="eastAsia" w:ascii="仿宋" w:hAnsi="仿宋" w:eastAsia="仿宋" w:cs="仿宋"/>
          <w:color w:val="auto"/>
          <w:sz w:val="24"/>
          <w:szCs w:val="24"/>
          <w:highlight w:val="none"/>
        </w:rPr>
        <w:t>的10%收取违约金，并从当期应结算休养费中予以扣除。出现重大事故的，</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有权追究中标人法律责任，并按上述约定收取违约金，违约金不足以弥补</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损失的，中标人应赔偿</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因此所遭受的一切损失。</w:t>
      </w:r>
    </w:p>
    <w:p w14:paraId="251F93C3">
      <w:pPr>
        <w:widowControl/>
        <w:snapToGrid w:val="0"/>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2.7.3若因中标人违约造成对方不良社会影响或经济损失，则</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有权追究违约方责任，并要求相应的经济赔偿，直至终止本合同。</w:t>
      </w:r>
    </w:p>
    <w:p w14:paraId="538F30C3">
      <w:pPr>
        <w:widowControl/>
        <w:snapToGrid w:val="0"/>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2.7.4中标人因违约而须承担的违约金和经济赔偿等，</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有权从</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rPr>
        <w:t>服务费中直接扣减。</w:t>
      </w:r>
    </w:p>
    <w:p w14:paraId="5721F663">
      <w:pPr>
        <w:widowControl/>
        <w:snapToGrid w:val="0"/>
        <w:spacing w:line="48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2.7.5</w:t>
      </w:r>
      <w:r>
        <w:rPr>
          <w:rFonts w:hint="eastAsia" w:ascii="仿宋" w:hAnsi="仿宋" w:eastAsia="仿宋" w:cs="仿宋"/>
          <w:color w:val="auto"/>
          <w:sz w:val="24"/>
          <w:szCs w:val="24"/>
          <w:highlight w:val="none"/>
        </w:rPr>
        <w:t>中标人必须遵守劳动法相关规定，与每位员工签订劳动合同，出现劳动纠纷事件一律与</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无关，并加强对员工的培训、教育，爱护公共财物，确保安全工作，杜绝各类事故。</w:t>
      </w:r>
    </w:p>
    <w:p w14:paraId="623FD3E3">
      <w:pPr>
        <w:widowControl/>
        <w:snapToGrid w:val="0"/>
        <w:spacing w:line="48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2.7.6</w:t>
      </w:r>
      <w:r>
        <w:rPr>
          <w:rFonts w:hint="eastAsia" w:ascii="仿宋" w:hAnsi="仿宋" w:eastAsia="仿宋" w:cs="仿宋"/>
          <w:color w:val="auto"/>
          <w:sz w:val="24"/>
          <w:szCs w:val="24"/>
          <w:highlight w:val="none"/>
        </w:rPr>
        <w:t>中标人工作人员的日常管理及人身安全和发生的安全事故等均由中标人管理和承担，出现安全事件一律与</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无关。</w:t>
      </w:r>
    </w:p>
    <w:p w14:paraId="5AD06BB5">
      <w:pPr>
        <w:widowControl/>
        <w:snapToGrid w:val="0"/>
        <w:spacing w:line="48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2.7.7</w:t>
      </w:r>
      <w:r>
        <w:rPr>
          <w:rFonts w:hint="eastAsia" w:ascii="仿宋" w:hAnsi="仿宋" w:eastAsia="仿宋" w:cs="仿宋"/>
          <w:color w:val="auto"/>
          <w:sz w:val="24"/>
          <w:szCs w:val="24"/>
          <w:highlight w:val="none"/>
        </w:rPr>
        <w:t>中标人应自觉接受、配合</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的考核。</w:t>
      </w:r>
    </w:p>
    <w:p w14:paraId="4FB389DF">
      <w:pPr>
        <w:widowControl/>
        <w:snapToGrid w:val="0"/>
        <w:spacing w:line="48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2.7.8</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保留对本项目使用设备确认、审查的权利。</w:t>
      </w:r>
    </w:p>
    <w:p w14:paraId="28506F9E">
      <w:pPr>
        <w:widowControl/>
        <w:snapToGrid w:val="0"/>
        <w:spacing w:line="48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2.7.9中标人</w:t>
      </w:r>
      <w:r>
        <w:rPr>
          <w:rFonts w:hint="eastAsia" w:ascii="仿宋" w:hAnsi="仿宋" w:eastAsia="仿宋" w:cs="仿宋"/>
          <w:color w:val="auto"/>
          <w:sz w:val="24"/>
          <w:szCs w:val="24"/>
          <w:highlight w:val="none"/>
        </w:rPr>
        <w:t>必须根据设计方案，严格按照方案要求安排，达到预期效果。</w:t>
      </w:r>
    </w:p>
    <w:p w14:paraId="23E64F98">
      <w:pPr>
        <w:widowControl/>
        <w:snapToGrid w:val="0"/>
        <w:spacing w:line="48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2.7.10中标人</w:t>
      </w:r>
      <w:r>
        <w:rPr>
          <w:rFonts w:hint="eastAsia" w:ascii="仿宋" w:hAnsi="仿宋" w:eastAsia="仿宋" w:cs="仿宋"/>
          <w:color w:val="auto"/>
          <w:sz w:val="24"/>
          <w:szCs w:val="24"/>
          <w:highlight w:val="none"/>
        </w:rPr>
        <w:t>要充分考虑疗养活动时间和疗养活动安全，如果疗养活动期间发生安全事故，一切后果均由中标人负责。</w:t>
      </w:r>
    </w:p>
    <w:p w14:paraId="5D2068CE">
      <w:pPr>
        <w:widowControl/>
        <w:snapToGrid w:val="0"/>
        <w:spacing w:line="48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2.7.11</w:t>
      </w:r>
      <w:r>
        <w:rPr>
          <w:rFonts w:hint="eastAsia" w:ascii="仿宋" w:hAnsi="仿宋" w:eastAsia="仿宋" w:cs="仿宋"/>
          <w:color w:val="auto"/>
          <w:sz w:val="24"/>
          <w:szCs w:val="24"/>
          <w:highlight w:val="none"/>
        </w:rPr>
        <w:t>因中标人违约造成疗养者误机（车、船），中标人应承担疗养者直接经济损失。</w:t>
      </w:r>
    </w:p>
    <w:p w14:paraId="19E6DAEE">
      <w:pPr>
        <w:widowControl/>
        <w:snapToGrid w:val="0"/>
        <w:spacing w:line="48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2.7.12</w:t>
      </w:r>
      <w:r>
        <w:rPr>
          <w:rFonts w:hint="eastAsia" w:ascii="仿宋" w:hAnsi="仿宋" w:eastAsia="仿宋" w:cs="仿宋"/>
          <w:color w:val="auto"/>
          <w:sz w:val="24"/>
          <w:szCs w:val="24"/>
          <w:highlight w:val="none"/>
        </w:rPr>
        <w:t>中标人安排的餐饮未达到约定标准的，未达标一次应承担疗养费用4％的违约金。</w:t>
      </w:r>
    </w:p>
    <w:p w14:paraId="62892AB9">
      <w:pPr>
        <w:widowControl/>
        <w:snapToGrid w:val="0"/>
        <w:spacing w:line="48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2.7.13</w:t>
      </w:r>
      <w:r>
        <w:rPr>
          <w:rFonts w:hint="eastAsia" w:ascii="仿宋" w:hAnsi="仿宋" w:eastAsia="仿宋" w:cs="仿宋"/>
          <w:color w:val="auto"/>
          <w:sz w:val="24"/>
          <w:szCs w:val="24"/>
          <w:highlight w:val="none"/>
        </w:rPr>
        <w:t>中标人安排的交通工具未达到约定标准的，未达标一次应承担疗养费用4％的违约金。</w:t>
      </w:r>
    </w:p>
    <w:p w14:paraId="1B6947A9">
      <w:pPr>
        <w:widowControl/>
        <w:snapToGrid w:val="0"/>
        <w:spacing w:line="48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2.7.14</w:t>
      </w:r>
      <w:r>
        <w:rPr>
          <w:rFonts w:hint="eastAsia" w:ascii="仿宋" w:hAnsi="仿宋" w:eastAsia="仿宋" w:cs="仿宋"/>
          <w:color w:val="auto"/>
          <w:sz w:val="24"/>
          <w:szCs w:val="24"/>
          <w:highlight w:val="none"/>
        </w:rPr>
        <w:t>中标人安排的住宿未达到约定标准的，未达标一次应承担疗养费用6％的违约金。</w:t>
      </w:r>
    </w:p>
    <w:p w14:paraId="333D989F">
      <w:pPr>
        <w:widowControl/>
        <w:snapToGrid w:val="0"/>
        <w:spacing w:line="48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2.7.15</w:t>
      </w:r>
      <w:r>
        <w:rPr>
          <w:rFonts w:hint="eastAsia" w:ascii="仿宋" w:hAnsi="仿宋" w:eastAsia="仿宋" w:cs="仿宋"/>
          <w:color w:val="auto"/>
          <w:sz w:val="24"/>
          <w:szCs w:val="24"/>
          <w:highlight w:val="none"/>
        </w:rPr>
        <w:t>因不可归责于中标人和疗养者的原因而减少疗养项目的，中标人可与疗养者协商提供替代项目，如协商不成中标人应退还该项目的费用及相应的导服费用。</w:t>
      </w:r>
    </w:p>
    <w:p w14:paraId="45AAF633">
      <w:pPr>
        <w:widowControl/>
        <w:snapToGrid w:val="0"/>
        <w:spacing w:line="48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2.7.16</w:t>
      </w:r>
      <w:r>
        <w:rPr>
          <w:rFonts w:hint="eastAsia" w:ascii="仿宋" w:hAnsi="仿宋" w:eastAsia="仿宋" w:cs="仿宋"/>
          <w:color w:val="auto"/>
          <w:sz w:val="24"/>
          <w:szCs w:val="24"/>
          <w:highlight w:val="none"/>
        </w:rPr>
        <w:t>中标人擅自变更或减少疗养项目的，每变更一项应支付疗养费用5％的违约金，并退还因项目变更而减少支出的费用；每减少一项应支付疗养费用5％的违约金，并退还相应疗养项目的导服费、门票等各项费用。</w:t>
      </w:r>
    </w:p>
    <w:p w14:paraId="428229F4">
      <w:pPr>
        <w:widowControl/>
        <w:snapToGrid w:val="0"/>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2.7.17</w:t>
      </w:r>
      <w:r>
        <w:rPr>
          <w:rFonts w:hint="eastAsia" w:ascii="仿宋" w:hAnsi="仿宋" w:eastAsia="仿宋" w:cs="仿宋"/>
          <w:color w:val="auto"/>
          <w:sz w:val="24"/>
          <w:szCs w:val="24"/>
          <w:highlight w:val="none"/>
        </w:rPr>
        <w:t>中标人擅自增加购物次数的，每增加一次应向疗养者支付疗养</w:t>
      </w:r>
      <w:r>
        <w:rPr>
          <w:rFonts w:hint="eastAsia" w:ascii="仿宋" w:hAnsi="仿宋" w:eastAsia="仿宋" w:cs="仿宋"/>
          <w:color w:val="auto"/>
          <w:sz w:val="24"/>
          <w:szCs w:val="24"/>
          <w:highlight w:val="none"/>
          <w:lang w:eastAsia="zh-CN"/>
        </w:rPr>
        <w:t>总</w:t>
      </w:r>
      <w:r>
        <w:rPr>
          <w:rFonts w:hint="eastAsia" w:ascii="仿宋" w:hAnsi="仿宋" w:eastAsia="仿宋" w:cs="仿宋"/>
          <w:color w:val="auto"/>
          <w:sz w:val="24"/>
          <w:szCs w:val="24"/>
          <w:highlight w:val="none"/>
        </w:rPr>
        <w:t>费用5％的违约金。</w:t>
      </w:r>
    </w:p>
    <w:p w14:paraId="619DA847">
      <w:pPr>
        <w:widowControl/>
        <w:snapToGrid w:val="0"/>
        <w:spacing w:line="48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2.7.18</w:t>
      </w:r>
      <w:r>
        <w:rPr>
          <w:rFonts w:hint="eastAsia" w:ascii="仿宋" w:hAnsi="仿宋" w:eastAsia="仿宋" w:cs="仿宋"/>
          <w:color w:val="auto"/>
          <w:sz w:val="24"/>
          <w:szCs w:val="24"/>
          <w:highlight w:val="none"/>
        </w:rPr>
        <w:t>中标人擅自缩短游览时间或擅自延长购物时间的，每一次应向疗养者支付疗养</w:t>
      </w:r>
      <w:r>
        <w:rPr>
          <w:rFonts w:hint="eastAsia" w:ascii="仿宋" w:hAnsi="仿宋" w:eastAsia="仿宋" w:cs="仿宋"/>
          <w:color w:val="auto"/>
          <w:sz w:val="24"/>
          <w:szCs w:val="24"/>
          <w:highlight w:val="none"/>
          <w:lang w:eastAsia="zh-CN"/>
        </w:rPr>
        <w:t>总</w:t>
      </w:r>
      <w:r>
        <w:rPr>
          <w:rFonts w:hint="eastAsia" w:ascii="仿宋" w:hAnsi="仿宋" w:eastAsia="仿宋" w:cs="仿宋"/>
          <w:color w:val="auto"/>
          <w:sz w:val="24"/>
          <w:szCs w:val="24"/>
          <w:highlight w:val="none"/>
        </w:rPr>
        <w:t>费用5％的违约金。</w:t>
      </w:r>
    </w:p>
    <w:p w14:paraId="29971F09">
      <w:pPr>
        <w:widowControl/>
        <w:snapToGrid w:val="0"/>
        <w:spacing w:line="48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2.7.19</w:t>
      </w:r>
      <w:r>
        <w:rPr>
          <w:rFonts w:hint="eastAsia" w:ascii="仿宋" w:hAnsi="仿宋" w:eastAsia="仿宋" w:cs="仿宋"/>
          <w:color w:val="auto"/>
          <w:sz w:val="24"/>
          <w:szCs w:val="24"/>
          <w:highlight w:val="none"/>
        </w:rPr>
        <w:t>导游无故离开疗养团队致疗养者无人照管的，中标人应承担疗养者因此自行支出的食宿交通费等直接费用，并支付疗养</w:t>
      </w:r>
      <w:r>
        <w:rPr>
          <w:rFonts w:hint="eastAsia" w:ascii="仿宋" w:hAnsi="仿宋" w:eastAsia="仿宋" w:cs="仿宋"/>
          <w:color w:val="auto"/>
          <w:sz w:val="24"/>
          <w:szCs w:val="24"/>
          <w:highlight w:val="none"/>
          <w:lang w:eastAsia="zh-CN"/>
        </w:rPr>
        <w:t>总</w:t>
      </w:r>
      <w:r>
        <w:rPr>
          <w:rFonts w:hint="eastAsia" w:ascii="仿宋" w:hAnsi="仿宋" w:eastAsia="仿宋" w:cs="仿宋"/>
          <w:color w:val="auto"/>
          <w:sz w:val="24"/>
          <w:szCs w:val="24"/>
          <w:highlight w:val="none"/>
        </w:rPr>
        <w:t>费用20%的违约金。</w:t>
      </w:r>
    </w:p>
    <w:p w14:paraId="1971ADA2">
      <w:pPr>
        <w:widowControl/>
        <w:snapToGrid w:val="0"/>
        <w:spacing w:line="48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2.7.20</w:t>
      </w:r>
      <w:r>
        <w:rPr>
          <w:rFonts w:hint="eastAsia" w:ascii="仿宋" w:hAnsi="仿宋" w:eastAsia="仿宋" w:cs="仿宋"/>
          <w:color w:val="auto"/>
          <w:sz w:val="24"/>
          <w:szCs w:val="24"/>
          <w:highlight w:val="none"/>
        </w:rPr>
        <w:t>因违约导致的实际损失超过违约金的，依据实际损失赔偿。</w:t>
      </w:r>
    </w:p>
    <w:p w14:paraId="7A12DE6A">
      <w:pPr>
        <w:widowControl/>
        <w:snapToGrid w:val="0"/>
        <w:spacing w:line="480" w:lineRule="exact"/>
        <w:ind w:firstLine="0"/>
        <w:rPr>
          <w:rFonts w:hint="eastAsia" w:ascii="仿宋" w:hAnsi="仿宋" w:eastAsia="仿宋" w:cs="仿宋"/>
          <w:color w:val="auto"/>
          <w:kern w:val="0"/>
          <w:sz w:val="24"/>
          <w:highlight w:val="none"/>
        </w:rPr>
      </w:pPr>
      <w:r>
        <w:rPr>
          <w:rFonts w:hint="eastAsia" w:ascii="仿宋" w:hAnsi="仿宋" w:eastAsia="仿宋" w:cs="仿宋"/>
          <w:color w:val="auto"/>
          <w:sz w:val="24"/>
          <w:szCs w:val="24"/>
          <w:highlight w:val="none"/>
          <w:lang w:val="en-US" w:eastAsia="zh-CN"/>
        </w:rPr>
        <w:t>2.7.21</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职工在</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rPr>
        <w:t>安排的购物点所购物品，经专业权威部门认定属假冒伪劣商品或存在质量问题的，</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rPr>
        <w:t>应当积极协助退换。</w:t>
      </w:r>
    </w:p>
    <w:p w14:paraId="6D9491C7">
      <w:pPr>
        <w:widowControl/>
        <w:snapToGrid w:val="0"/>
        <w:spacing w:line="480" w:lineRule="exact"/>
        <w:ind w:firstLine="0"/>
        <w:rPr>
          <w:rFonts w:hint="eastAsia" w:ascii="仿宋" w:hAnsi="仿宋" w:eastAsia="仿宋" w:cs="仿宋"/>
          <w:color w:val="auto"/>
          <w:kern w:val="0"/>
          <w:sz w:val="24"/>
          <w:highlight w:val="none"/>
        </w:rPr>
      </w:pPr>
    </w:p>
    <w:p w14:paraId="3C4BBDF2">
      <w:pPr>
        <w:widowControl/>
        <w:snapToGrid w:val="0"/>
        <w:spacing w:line="480" w:lineRule="exact"/>
        <w:ind w:firstLine="0"/>
        <w:rPr>
          <w:rFonts w:hint="eastAsia" w:ascii="仿宋" w:hAnsi="仿宋" w:eastAsia="仿宋" w:cs="仿宋"/>
          <w:color w:val="auto"/>
          <w:kern w:val="0"/>
          <w:sz w:val="24"/>
          <w:highlight w:val="none"/>
        </w:rPr>
      </w:pPr>
    </w:p>
    <w:p w14:paraId="5141652D">
      <w:pPr>
        <w:pStyle w:val="34"/>
        <w:rPr>
          <w:rFonts w:hint="eastAsia" w:ascii="仿宋" w:hAnsi="仿宋" w:eastAsia="仿宋" w:cs="仿宋"/>
          <w:color w:val="auto"/>
          <w:kern w:val="0"/>
          <w:sz w:val="24"/>
          <w:highlight w:val="none"/>
        </w:rPr>
      </w:pPr>
    </w:p>
    <w:p w14:paraId="7ADF055C">
      <w:pPr>
        <w:pStyle w:val="34"/>
        <w:rPr>
          <w:rFonts w:hint="eastAsia" w:ascii="仿宋" w:hAnsi="仿宋" w:eastAsia="仿宋" w:cs="仿宋"/>
          <w:color w:val="auto"/>
          <w:kern w:val="0"/>
          <w:sz w:val="24"/>
          <w:highlight w:val="none"/>
        </w:rPr>
      </w:pPr>
    </w:p>
    <w:p w14:paraId="3F148A3E">
      <w:pPr>
        <w:pStyle w:val="35"/>
        <w:rPr>
          <w:rFonts w:hint="eastAsia" w:ascii="仿宋" w:hAnsi="仿宋" w:eastAsia="仿宋" w:cs="仿宋"/>
          <w:color w:val="auto"/>
          <w:kern w:val="0"/>
          <w:sz w:val="24"/>
          <w:highlight w:val="none"/>
        </w:rPr>
      </w:pPr>
    </w:p>
    <w:p w14:paraId="76E919D5">
      <w:pPr>
        <w:rPr>
          <w:rFonts w:hint="eastAsia" w:ascii="仿宋" w:hAnsi="仿宋" w:eastAsia="仿宋" w:cs="仿宋"/>
          <w:color w:val="auto"/>
          <w:kern w:val="0"/>
          <w:sz w:val="24"/>
          <w:highlight w:val="none"/>
        </w:rPr>
      </w:pPr>
    </w:p>
    <w:p w14:paraId="2A27502C">
      <w:pPr>
        <w:pStyle w:val="34"/>
        <w:rPr>
          <w:rFonts w:hint="eastAsia" w:ascii="仿宋" w:hAnsi="仿宋" w:eastAsia="仿宋" w:cs="仿宋"/>
          <w:color w:val="auto"/>
          <w:kern w:val="0"/>
          <w:sz w:val="24"/>
          <w:highlight w:val="none"/>
        </w:rPr>
      </w:pPr>
    </w:p>
    <w:p w14:paraId="60A18323">
      <w:pPr>
        <w:pStyle w:val="35"/>
        <w:rPr>
          <w:rFonts w:hint="eastAsia" w:ascii="仿宋" w:hAnsi="仿宋" w:eastAsia="仿宋" w:cs="仿宋"/>
          <w:color w:val="auto"/>
          <w:kern w:val="0"/>
          <w:sz w:val="24"/>
          <w:highlight w:val="none"/>
        </w:rPr>
      </w:pPr>
    </w:p>
    <w:p w14:paraId="6EB2DF8B">
      <w:pPr>
        <w:rPr>
          <w:rFonts w:hint="eastAsia" w:ascii="仿宋" w:hAnsi="仿宋" w:eastAsia="仿宋" w:cs="仿宋"/>
          <w:color w:val="auto"/>
          <w:kern w:val="0"/>
          <w:sz w:val="24"/>
          <w:highlight w:val="none"/>
        </w:rPr>
      </w:pPr>
    </w:p>
    <w:p w14:paraId="6C7DE382">
      <w:pPr>
        <w:pStyle w:val="34"/>
        <w:rPr>
          <w:rFonts w:hint="eastAsia" w:ascii="仿宋" w:hAnsi="仿宋" w:eastAsia="仿宋" w:cs="仿宋"/>
          <w:color w:val="auto"/>
          <w:kern w:val="0"/>
          <w:sz w:val="24"/>
          <w:highlight w:val="none"/>
        </w:rPr>
      </w:pPr>
    </w:p>
    <w:p w14:paraId="583F4168">
      <w:pPr>
        <w:pStyle w:val="35"/>
        <w:rPr>
          <w:rFonts w:hint="eastAsia" w:ascii="仿宋" w:hAnsi="仿宋" w:eastAsia="仿宋" w:cs="仿宋"/>
          <w:color w:val="auto"/>
          <w:kern w:val="0"/>
          <w:sz w:val="24"/>
          <w:highlight w:val="none"/>
        </w:rPr>
      </w:pPr>
    </w:p>
    <w:p w14:paraId="2C69AC15">
      <w:pPr>
        <w:rPr>
          <w:rFonts w:hint="eastAsia" w:ascii="仿宋" w:hAnsi="仿宋" w:eastAsia="仿宋" w:cs="仿宋"/>
          <w:color w:val="auto"/>
          <w:kern w:val="0"/>
          <w:sz w:val="24"/>
          <w:highlight w:val="none"/>
        </w:rPr>
      </w:pPr>
    </w:p>
    <w:p w14:paraId="2344FF35">
      <w:pPr>
        <w:pStyle w:val="34"/>
        <w:rPr>
          <w:rFonts w:hint="eastAsia" w:ascii="仿宋" w:hAnsi="仿宋" w:eastAsia="仿宋" w:cs="仿宋"/>
          <w:color w:val="auto"/>
          <w:kern w:val="0"/>
          <w:sz w:val="24"/>
          <w:highlight w:val="none"/>
        </w:rPr>
      </w:pPr>
    </w:p>
    <w:p w14:paraId="6D82BCE1">
      <w:pPr>
        <w:pStyle w:val="35"/>
        <w:rPr>
          <w:rFonts w:hint="eastAsia" w:ascii="仿宋" w:hAnsi="仿宋" w:eastAsia="仿宋" w:cs="仿宋"/>
          <w:color w:val="auto"/>
          <w:kern w:val="0"/>
          <w:sz w:val="24"/>
          <w:highlight w:val="none"/>
        </w:rPr>
      </w:pPr>
    </w:p>
    <w:p w14:paraId="7013BF55">
      <w:pPr>
        <w:pStyle w:val="34"/>
        <w:tabs>
          <w:tab w:val="left" w:pos="2543"/>
        </w:tabs>
        <w:rPr>
          <w:rFonts w:hint="eastAsia" w:ascii="仿宋" w:hAnsi="仿宋" w:eastAsia="仿宋" w:cs="仿宋"/>
          <w:color w:val="auto"/>
          <w:kern w:val="0"/>
          <w:sz w:val="24"/>
          <w:highlight w:val="none"/>
          <w:lang w:eastAsia="zh-CN"/>
        </w:rPr>
      </w:pPr>
    </w:p>
    <w:p w14:paraId="7DC39968">
      <w:pPr>
        <w:pStyle w:val="2"/>
        <w:keepNext/>
        <w:keepLines/>
        <w:pageBreakBefore w:val="0"/>
        <w:widowControl w:val="0"/>
        <w:suppressLineNumbers w:val="0"/>
        <w:suppressAutoHyphens w:val="0"/>
        <w:spacing w:line="578" w:lineRule="auto"/>
        <w:jc w:val="center"/>
        <w:rPr>
          <w:rFonts w:hint="eastAsia" w:ascii="仿宋" w:hAnsi="仿宋" w:eastAsia="仿宋" w:cs="仿宋"/>
          <w:color w:val="auto"/>
          <w:highlight w:val="none"/>
        </w:rPr>
      </w:pPr>
      <w:bookmarkStart w:id="43" w:name="_Toc1639"/>
      <w:r>
        <w:rPr>
          <w:rFonts w:hint="eastAsia" w:ascii="仿宋" w:hAnsi="仿宋" w:eastAsia="仿宋" w:cs="仿宋"/>
          <w:color w:val="auto"/>
          <w:highlight w:val="none"/>
        </w:rPr>
        <w:t>第四章  拟签订合同的主要条款</w:t>
      </w:r>
      <w:bookmarkEnd w:id="43"/>
    </w:p>
    <w:p w14:paraId="7D4EB1AA">
      <w:pPr>
        <w:widowControl/>
        <w:snapToGrid w:val="0"/>
        <w:spacing w:line="480" w:lineRule="exac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（合同按采购文件及成交供应商投标响应文件的内容制定，以下仅为部分主要条款）</w:t>
      </w:r>
    </w:p>
    <w:p w14:paraId="76403609">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合同编号：</w:t>
      </w:r>
    </w:p>
    <w:p w14:paraId="324D9FD6">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确认书号：</w:t>
      </w:r>
    </w:p>
    <w:p w14:paraId="53139748">
      <w:pPr>
        <w:widowControl/>
        <w:snapToGrid w:val="0"/>
        <w:spacing w:line="480" w:lineRule="exact"/>
        <w:ind w:firstLine="480" w:firstLineChars="20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甲方：</w:t>
      </w:r>
      <w:r>
        <w:rPr>
          <w:rFonts w:hint="eastAsia" w:ascii="仿宋" w:hAnsi="仿宋" w:eastAsia="仿宋" w:cs="仿宋"/>
          <w:color w:val="auto"/>
          <w:kern w:val="0"/>
          <w:sz w:val="24"/>
          <w:highlight w:val="none"/>
          <w:u w:val="single"/>
        </w:rPr>
        <w:t>（采购人）</w:t>
      </w:r>
    </w:p>
    <w:p w14:paraId="1B509872">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乙方：</w:t>
      </w:r>
      <w:r>
        <w:rPr>
          <w:rFonts w:hint="eastAsia" w:ascii="仿宋" w:hAnsi="仿宋" w:eastAsia="仿宋" w:cs="仿宋"/>
          <w:color w:val="auto"/>
          <w:kern w:val="0"/>
          <w:sz w:val="24"/>
          <w:highlight w:val="none"/>
          <w:u w:val="single"/>
        </w:rPr>
        <w:t>（供应商）</w:t>
      </w:r>
    </w:p>
    <w:p w14:paraId="1CD561DE">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合同将由采购人（以下简称甲方）与经评审最终确定的供应商（以下简称乙方）结合本项目具体情况协商后签订。以下为甲方提出涉及乙方的主要条款，乙方在投标文件中应对其进行确认或拒绝。如乙方在其投标文件中未做拒绝或提出调整完善要求的，甲方将视作认同。具体如下∶      </w:t>
      </w:r>
    </w:p>
    <w:p w14:paraId="6D2F0BDE">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根据</w:t>
      </w:r>
      <w:r>
        <w:rPr>
          <w:rFonts w:hint="eastAsia" w:ascii="仿宋" w:hAnsi="仿宋" w:eastAsia="仿宋" w:cs="仿宋"/>
          <w:color w:val="auto"/>
          <w:kern w:val="0"/>
          <w:sz w:val="24"/>
          <w:highlight w:val="none"/>
          <w:u w:val="single"/>
        </w:rPr>
        <w:t xml:space="preserve">      （甲方名称）        </w:t>
      </w:r>
      <w:r>
        <w:rPr>
          <w:rFonts w:hint="eastAsia" w:ascii="仿宋" w:hAnsi="仿宋" w:eastAsia="仿宋" w:cs="仿宋"/>
          <w:color w:val="auto"/>
          <w:kern w:val="0"/>
          <w:sz w:val="24"/>
          <w:highlight w:val="none"/>
        </w:rPr>
        <w:t>的</w:t>
      </w:r>
      <w:r>
        <w:rPr>
          <w:rFonts w:hint="eastAsia" w:ascii="仿宋" w:hAnsi="仿宋" w:eastAsia="仿宋" w:cs="仿宋"/>
          <w:color w:val="auto"/>
          <w:kern w:val="0"/>
          <w:sz w:val="24"/>
          <w:highlight w:val="none"/>
          <w:u w:val="single"/>
        </w:rPr>
        <w:t xml:space="preserve">    （项目名称）        </w:t>
      </w:r>
      <w:r>
        <w:rPr>
          <w:rFonts w:hint="eastAsia" w:ascii="仿宋" w:hAnsi="仿宋" w:eastAsia="仿宋" w:cs="仿宋"/>
          <w:color w:val="auto"/>
          <w:kern w:val="0"/>
          <w:sz w:val="24"/>
          <w:highlight w:val="none"/>
        </w:rPr>
        <w:t>项目（项目编号：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）的中标结果，为保证疗休养服务质量，明确合同当事人的权利义务，本着平等协商的原则，就甲方参加乙方组织的本次疗休养有关事项经双方协商一致，达成如下协议：</w:t>
      </w:r>
    </w:p>
    <w:p w14:paraId="5B670050">
      <w:pPr>
        <w:widowControl/>
        <w:snapToGrid w:val="0"/>
        <w:spacing w:line="48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第一条  疗休养线路及时间</w:t>
      </w:r>
    </w:p>
    <w:p w14:paraId="212B1DAA">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出行时间：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月</w:t>
      </w:r>
    </w:p>
    <w:p w14:paraId="70ADDA13">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出行线路：</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14:paraId="6AAA9EF5">
      <w:pPr>
        <w:widowControl/>
        <w:snapToGrid w:val="0"/>
        <w:spacing w:line="48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第二条  疗休养费用及支付</w:t>
      </w:r>
    </w:p>
    <w:p w14:paraId="45AE065F">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1、疗休养费用综合单价为人民币￥</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元，大写:</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元整，最终按实际发生人数结算费用。特殊条款：（</w:t>
      </w:r>
      <w:r>
        <w:rPr>
          <w:rFonts w:hint="eastAsia" w:ascii="仿宋" w:hAnsi="仿宋" w:eastAsia="仿宋" w:cs="仿宋"/>
          <w:color w:val="auto"/>
          <w:kern w:val="0"/>
          <w:sz w:val="24"/>
          <w:highlight w:val="none"/>
          <w:u w:val="single"/>
        </w:rPr>
        <w:t>若职工携带家属的，对家属疗休养费用的收费标准在签订合同时明确</w:t>
      </w:r>
      <w:r>
        <w:rPr>
          <w:rFonts w:hint="eastAsia" w:ascii="仿宋" w:hAnsi="仿宋" w:eastAsia="仿宋" w:cs="仿宋"/>
          <w:color w:val="auto"/>
          <w:kern w:val="0"/>
          <w:sz w:val="24"/>
          <w:highlight w:val="none"/>
        </w:rPr>
        <w:t>）。</w:t>
      </w:r>
    </w:p>
    <w:p w14:paraId="67054E48">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2、疗休养费用支付方式：</w:t>
      </w:r>
      <w:r>
        <w:rPr>
          <w:rFonts w:hint="eastAsia" w:ascii="仿宋" w:hAnsi="仿宋" w:eastAsia="仿宋" w:cs="仿宋"/>
          <w:color w:val="auto"/>
          <w:kern w:val="0"/>
          <w:sz w:val="24"/>
          <w:highlight w:val="none"/>
          <w:u w:val="single"/>
        </w:rPr>
        <w:t>根据甲方要求，疗休养活动全部结束后凭发票90天内按实际参加疗休养人数结算。乙方必须出具与本单位完全一致的正规统一税务发票，发票项目为疗休养费，注明含交通费、住宿费、伙食费等。乙方不得随意改动行程，按照方案要求提供优质服务，否则视为违约，乙方有权延期付款或拒付。</w:t>
      </w:r>
    </w:p>
    <w:p w14:paraId="2F2AFDD7">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3、投标文件中承诺的增值服务与优惠政策：</w:t>
      </w:r>
      <w:r>
        <w:rPr>
          <w:rFonts w:hint="eastAsia" w:ascii="仿宋" w:hAnsi="仿宋" w:eastAsia="仿宋" w:cs="仿宋"/>
          <w:color w:val="auto"/>
          <w:kern w:val="0"/>
          <w:sz w:val="24"/>
          <w:highlight w:val="none"/>
          <w:u w:val="single"/>
        </w:rPr>
        <w:t>合同签订时明确。</w:t>
      </w:r>
    </w:p>
    <w:p w14:paraId="2401A664">
      <w:pPr>
        <w:widowControl/>
        <w:snapToGrid w:val="0"/>
        <w:spacing w:line="48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第三条  人身意外伤害保险</w:t>
      </w:r>
    </w:p>
    <w:p w14:paraId="5CEE20DE">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乙方提示参加疗休养的职工购买人身意外伤害保险（费用包含于投标综合单价中）。</w:t>
      </w:r>
    </w:p>
    <w:p w14:paraId="1EF3E0FA">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甲方同意委托乙方办理参加疗休养的职工投保的人身意外伤害保险。</w:t>
      </w:r>
    </w:p>
    <w:p w14:paraId="1CB4D5EC">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保险产品名称：</w:t>
      </w:r>
      <w:r>
        <w:rPr>
          <w:rFonts w:hint="eastAsia" w:ascii="仿宋" w:hAnsi="仿宋" w:eastAsia="仿宋" w:cs="仿宋"/>
          <w:color w:val="auto"/>
          <w:kern w:val="0"/>
          <w:sz w:val="24"/>
          <w:highlight w:val="none"/>
          <w:u w:val="single"/>
        </w:rPr>
        <w:t xml:space="preserve"> 国内旅行意外伤害保险</w:t>
      </w:r>
      <w:r>
        <w:rPr>
          <w:rFonts w:hint="eastAsia" w:ascii="仿宋" w:hAnsi="仿宋" w:eastAsia="仿宋" w:cs="仿宋"/>
          <w:color w:val="auto"/>
          <w:kern w:val="0"/>
          <w:sz w:val="24"/>
          <w:highlight w:val="none"/>
          <w:u w:val="none"/>
        </w:rPr>
        <w:t>，</w:t>
      </w:r>
      <w:r>
        <w:rPr>
          <w:rFonts w:hint="eastAsia" w:ascii="仿宋" w:hAnsi="仿宋" w:eastAsia="仿宋" w:cs="仿宋"/>
          <w:color w:val="auto"/>
          <w:kern w:val="0"/>
          <w:sz w:val="24"/>
          <w:highlight w:val="none"/>
        </w:rPr>
        <w:t>保险人：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，保险费：</w:t>
      </w:r>
      <w:r>
        <w:rPr>
          <w:rFonts w:hint="eastAsia" w:ascii="仿宋" w:hAnsi="仿宋" w:eastAsia="仿宋" w:cs="仿宋"/>
          <w:color w:val="auto"/>
          <w:kern w:val="0"/>
          <w:sz w:val="24"/>
          <w:highlight w:val="none"/>
          <w:u w:val="single"/>
        </w:rPr>
        <w:t xml:space="preserve">/人  </w:t>
      </w:r>
      <w:r>
        <w:rPr>
          <w:rFonts w:hint="eastAsia" w:ascii="仿宋" w:hAnsi="仿宋" w:eastAsia="仿宋" w:cs="仿宋"/>
          <w:color w:val="auto"/>
          <w:kern w:val="0"/>
          <w:sz w:val="24"/>
          <w:highlight w:val="none"/>
        </w:rPr>
        <w:t>，保险金额（根据保单填写）：</w:t>
      </w:r>
      <w:r>
        <w:rPr>
          <w:rFonts w:hint="eastAsia" w:ascii="仿宋" w:hAnsi="仿宋" w:eastAsia="仿宋" w:cs="仿宋"/>
          <w:color w:val="auto"/>
          <w:kern w:val="0"/>
          <w:sz w:val="24"/>
          <w:highlight w:val="none"/>
          <w:u w:val="single"/>
        </w:rPr>
        <w:t xml:space="preserve"> 最高理赔保额：      </w:t>
      </w:r>
      <w:r>
        <w:rPr>
          <w:rFonts w:hint="eastAsia" w:ascii="仿宋" w:hAnsi="仿宋" w:eastAsia="仿宋" w:cs="仿宋"/>
          <w:color w:val="auto"/>
          <w:kern w:val="0"/>
          <w:sz w:val="24"/>
          <w:highlight w:val="none"/>
        </w:rPr>
        <w:t>万。</w:t>
      </w:r>
    </w:p>
    <w:p w14:paraId="515F5C18">
      <w:pPr>
        <w:widowControl/>
        <w:snapToGrid w:val="0"/>
        <w:spacing w:line="48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第四条  成团人数与不成团的约定</w:t>
      </w:r>
    </w:p>
    <w:p w14:paraId="0A0484FF">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最低成团人数：</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人。不能出团的，乙方应当至少提前七日通知甲方。</w:t>
      </w:r>
    </w:p>
    <w:p w14:paraId="126B4DA9">
      <w:pPr>
        <w:widowControl/>
        <w:snapToGrid w:val="0"/>
        <w:spacing w:line="48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第五条  甲方的权利</w:t>
      </w:r>
    </w:p>
    <w:p w14:paraId="47634ABF">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1、有权自主选择疗休养产品和服务，有权拒绝乙方及其工作人员的强制交易行为。</w:t>
      </w:r>
    </w:p>
    <w:p w14:paraId="374DB7D8">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2、有权知悉购买的疗休养产品和服务的真实情况，有权要求乙方按照合同约定提供产品和服务。</w:t>
      </w:r>
    </w:p>
    <w:p w14:paraId="752A42F6">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3、参加疗休养的职工在人身、财产安全遇有危险时，有请求乙方救助和保护的权利；当人身、财产受到侵害时，有依法获得赔偿的权利。</w:t>
      </w:r>
    </w:p>
    <w:p w14:paraId="09C20787">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4、参加疗休养的职工在合法权益受到损害时，有权向旅游、工商等部门投诉或者要求乙方协助索赔。</w:t>
      </w:r>
    </w:p>
    <w:p w14:paraId="3322885D">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5、《中华人民共和国旅游法》、《中华人民共和国消费者权益保护法》和有关法律、法规赋予的其他权利。</w:t>
      </w:r>
    </w:p>
    <w:p w14:paraId="56195B8E">
      <w:pPr>
        <w:widowControl/>
        <w:snapToGrid w:val="0"/>
        <w:spacing w:line="48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第六条  甲方的义务</w:t>
      </w:r>
    </w:p>
    <w:p w14:paraId="11CDCC49">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1、如实告知与疗休养活动相关的职工个人健康信息，确保身体健康状况适宜本次疗休养；如实填写相关的职工个人信息，确保所持身份证在出游期间有效。</w:t>
      </w:r>
    </w:p>
    <w:p w14:paraId="33B88AF2">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2、甲方应当按照合同约定支付疗休养费用。参加疗休养的职工在接受相关组织、机构或者乙方救助后，应当支付应由个人承担的费用。</w:t>
      </w:r>
    </w:p>
    <w:p w14:paraId="19C5884E">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参加疗休养的职工不得擅自脱团，如有特殊情况需要暂时离团的，必须征得导游的书面同意。自行安排活动期间，应当在自己能够控制风险的范围内选择活动项目，并对自己的安全负责。行程中，应妥善保管自己的行李物品，现金、有价证券、贵重物品应随身携带。  </w:t>
      </w:r>
    </w:p>
    <w:p w14:paraId="402E59C8">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遵守疗休养活动中的安全警示规定，对国家应对重大突发事件暂时限制疗休养活动的措施以及有关部门、机构或者乙方采取的安全防范和应急处置措施，应当予以配合。参加疗休养的职工违反安全警示规定，或者对国家应对重大突发事件暂时限制疗休养活动的措施、安全防范和应急处置措施不予配合的，依法承担相应责任。</w:t>
      </w:r>
    </w:p>
    <w:p w14:paraId="4A337253">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5、在疗休养活动中或者在解决纠纷时，不得损害当地居民的合法权益，不得干扰他人的疗休养活动，不得损害乙方和乙方从业人员的合法权益。</w:t>
      </w:r>
    </w:p>
    <w:p w14:paraId="14CD96DF">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6、应当遵守社会公共秩序和社会公德，尊重当地的风俗习惯、文化传统和宗教信仰，爱护疗休养资源，保护生态环境，</w:t>
      </w:r>
      <w:r>
        <w:rPr>
          <w:rFonts w:hint="eastAsia" w:ascii="仿宋" w:hAnsi="仿宋" w:eastAsia="仿宋" w:cs="仿宋"/>
          <w:b/>
          <w:bCs/>
          <w:color w:val="auto"/>
          <w:kern w:val="0"/>
          <w:sz w:val="24"/>
          <w:highlight w:val="none"/>
        </w:rPr>
        <w:t>遵守《中国公民境内旅游文明行为公约》</w:t>
      </w:r>
      <w:r>
        <w:rPr>
          <w:rFonts w:hint="eastAsia" w:ascii="仿宋" w:hAnsi="仿宋" w:eastAsia="仿宋" w:cs="仿宋"/>
          <w:color w:val="auto"/>
          <w:kern w:val="0"/>
          <w:sz w:val="24"/>
          <w:highlight w:val="none"/>
        </w:rPr>
        <w:t>。</w:t>
      </w:r>
    </w:p>
    <w:p w14:paraId="6467D2EE">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7、参加疗休养的职工在合法权益受到损害要求乙方协助索赔时，提供合法有效的凭据。</w:t>
      </w:r>
    </w:p>
    <w:p w14:paraId="1AA4F535">
      <w:pPr>
        <w:widowControl/>
        <w:snapToGrid w:val="0"/>
        <w:spacing w:line="48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第七条  乙方的权利</w:t>
      </w:r>
    </w:p>
    <w:p w14:paraId="5721249D">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1、核实参加疗休养的职工提供的相关信息资料，根据职工身体健康状况及相关条件决定是否接纳该职工参加疗休养。</w:t>
      </w:r>
    </w:p>
    <w:p w14:paraId="6B99FE51">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2、按照合同约定向甲方收取全额疗休养费用。</w:t>
      </w:r>
    </w:p>
    <w:p w14:paraId="14E8A45E">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3、劝阻参加疗休养的职工违反法律、法规及社会公德的行为。如疗休养团队遇突发事件或者疗休养安全事故时，可以采取紧急避险措施。</w:t>
      </w:r>
    </w:p>
    <w:p w14:paraId="378526F8">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4、要求参加疗休养的职工遵守合同约定的行程安排，有权拒绝参加疗休养的职工提出的超出合同约定的不合理要求。</w:t>
      </w:r>
    </w:p>
    <w:p w14:paraId="2472100C">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5、《中华人民共和国旅游法》和有关法律、法规赋予乙方的其他权利。</w:t>
      </w:r>
    </w:p>
    <w:p w14:paraId="0AF54261">
      <w:pPr>
        <w:widowControl/>
        <w:snapToGrid w:val="0"/>
        <w:spacing w:line="48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第八条  乙方的义务</w:t>
      </w:r>
    </w:p>
    <w:p w14:paraId="1509D8B9">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1、投保旅行社责任险，按照合同约定的内容及标准为参加疗休养的职工提供服务，不得擅自变更疗休养行程安排。</w:t>
      </w:r>
    </w:p>
    <w:p w14:paraId="2BC0FCFF">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2、应当在疗休养行程开始前向参加疗休养的职工提供标有团号、出发日期的《疗休养行程单》，并对如下内容作出明确的说明：</w:t>
      </w:r>
    </w:p>
    <w:p w14:paraId="093074AB">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（1）疗休养行程的出发地、途经地和目的地；</w:t>
      </w:r>
    </w:p>
    <w:p w14:paraId="653A4389">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（2）交通、住宿、餐饮等疗休养服务安排和标准；</w:t>
      </w:r>
    </w:p>
    <w:p w14:paraId="667F8FA7">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（3）游览、娱乐等项目的具体内容和时间；</w:t>
      </w:r>
    </w:p>
    <w:p w14:paraId="31229D50">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（4）自由活动时间安排；</w:t>
      </w:r>
    </w:p>
    <w:p w14:paraId="73E6C358">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（5）疗休养目的地接待旅行社的名称、地址、联系人和联系电话。</w:t>
      </w:r>
    </w:p>
    <w:p w14:paraId="64C2DAAE">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《疗休养行程单》用语须准确清晰，在表明服务标准用语中不应当出现“准×星级”、“豪华”、“仅供参考”、“以××为准”等不确定性用语。</w:t>
      </w:r>
    </w:p>
    <w:p w14:paraId="091269F9">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乙方未与甲方协商一致或者未经甲方要求，指定购物场所、安排职工参加另行付费项目，以及乙方的导游、领队强迫或者变相强迫职工购物、参加另行付费项目的，甲方有权拒绝，也可以在疗休养行程结束后30日内，要求乙方为其办理退货并先行垫付退货货款、退还另行付费疗休养项目的费用。</w:t>
      </w:r>
    </w:p>
    <w:p w14:paraId="4CDCA7D8">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4、向参加疗休养的职工提供的疗休养服务信息必须真实、准确，不得作虚假宣传，误导职工。对参加疗休养的职工的个人信息，应当予以保密。</w:t>
      </w:r>
    </w:p>
    <w:p w14:paraId="3BE776FD">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5、所提供的服务应当符合保障职工人身、财产安全的要求。对可能危及职工人身、财产安全的事项和须注意的问题，向甲方做出真实的说明和明确的警示，并采取合理必要措施防止危害发生。</w:t>
      </w:r>
    </w:p>
    <w:p w14:paraId="66184260">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6、突发事件或者疗休养安全事故发生后，乙方应当立即采取必要的救助和处置措施，依法履行报告义务，并对参加疗休养的职工作出妥善安排。</w:t>
      </w:r>
    </w:p>
    <w:p w14:paraId="7BF67AEC">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7、为疗休养团队安排符合相关规定的持证导游人员。乙方及其从业人员在组织、接待参加疗休养的职工过程中，不得安排参观或者参与违反我国法律、法规和社会公德的项目或者活动。</w:t>
      </w:r>
    </w:p>
    <w:p w14:paraId="01E33DA6">
      <w:pPr>
        <w:widowControl/>
        <w:snapToGrid w:val="0"/>
        <w:spacing w:line="48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第九条  合同的变更</w:t>
      </w:r>
    </w:p>
    <w:p w14:paraId="7465F900">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1、乙方与甲方双方协商一致，可以变更本合同约定的内容，但应当以书面形式由双方签字确认。</w:t>
      </w:r>
    </w:p>
    <w:p w14:paraId="684BA19F">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因不可抗力或者乙方及履行辅助人已尽合理注意义务仍不能避免的事件（指由于恶劣天气、自然灾害、战争、恐怖活动、动乱、骚乱、罢工、突发公共卫生事件、政府行为等客观原因，造成疗休养行程安排的交通服务延误、景区临时关闭、宾馆饭店临时被征用、出境管制、边境关闭、目的地入境政策临时变更、政府机构发布橙色及以上旅游预警信息等）影响疗休养行程的，按照下列情形处理：</w:t>
      </w:r>
    </w:p>
    <w:p w14:paraId="639A8950">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（1）合同不能继续履行的，乙方和甲方均可以解除合同。合同不能完全履行的，乙方向甲方作出说明，甲方同意后，方可以在合理范围内变更合同；甲方不同意变更的，可以解除合同。</w:t>
      </w:r>
    </w:p>
    <w:p w14:paraId="60873BFC">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（2）合同解除的，乙方应当在扣除已向地接社或者履行辅助人支付且不可退还的费用后，将余款退还甲方者；合同变更的，因此减少的费用退还甲方，若费用增加的，由乙方负责，甲方不再另行支付。</w:t>
      </w:r>
    </w:p>
    <w:p w14:paraId="4E635C80">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（3）危及参加疗休养的职工人身、财产安全的，乙方应当采取相应的安全措施，因此支出的费用，由乙方承担。</w:t>
      </w:r>
    </w:p>
    <w:p w14:paraId="177E05A9">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（4）造成滞留的，乙方应当采取相应的安置措施，费用由乙方承担。</w:t>
      </w:r>
    </w:p>
    <w:p w14:paraId="217C7965">
      <w:pPr>
        <w:widowControl/>
        <w:snapToGrid w:val="0"/>
        <w:spacing w:line="48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第十条  合同的转让</w:t>
      </w:r>
    </w:p>
    <w:p w14:paraId="512361BF">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p w14:paraId="328BDE6C">
      <w:pPr>
        <w:widowControl/>
        <w:snapToGrid w:val="0"/>
        <w:spacing w:line="48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第十一条  合同的解除</w:t>
      </w:r>
    </w:p>
    <w:p w14:paraId="023D1BFA">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1、甲方在出发前提出解除合同的，向乙方支付相应的业务损失费。</w:t>
      </w:r>
    </w:p>
    <w:p w14:paraId="75596452">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2、疗休养行程中解除合同的，乙方应当协助参加疗休养的职工返回出发地或者甲方指定的合理地点。由于乙方或者履行辅助人的原因导致合同解除的，返程费用由乙方承担。</w:t>
      </w:r>
    </w:p>
    <w:p w14:paraId="2954A149">
      <w:pPr>
        <w:widowControl/>
        <w:snapToGrid w:val="0"/>
        <w:spacing w:line="48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第十二条  乙方的违约责任</w:t>
      </w:r>
    </w:p>
    <w:p w14:paraId="6ADABFFB">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1、乙方在出发提出解除合同的，向甲方支付疗休养费用总额10%的违约金。</w:t>
      </w:r>
    </w:p>
    <w:p w14:paraId="4DF82DA1">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2、乙方安排的疗休养活动及服务档次与合同约定不符，造成甲方经济损失的，乙方应退还甲方合同金额与实际花费的差额，并支付同额违约金。</w:t>
      </w:r>
    </w:p>
    <w:p w14:paraId="3FEC167B">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擅自缩短游览时间、遗漏疗休养景点、减少疗休养服务项目的，乙方应赔偿未完成约定疗休养服务项目等合理费用，并支付同额违约金。遗漏无门票景点的，每遗漏一处乙方向甲方支付疗休养费用总额5%的违约金。</w:t>
      </w:r>
    </w:p>
    <w:p w14:paraId="64713BBC">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乙方不履行包价疗休养合同义务或者履行合同义务不符合约定的，应当依法承担继续履行、采取补救措施或者赔偿损失等违约责任；造成参加疗休养的职工人身损害、财产损失的，应当依法承担赔偿责任。乙方具备履行条件，经甲方要求仍拒绝履行合同，造成参加疗休养的职工人身损害、滞留等严重后果的，甲方还可以要求乙方支付疗休养费用1倍以上3倍以下的赔偿金。</w:t>
      </w:r>
    </w:p>
    <w:p w14:paraId="737291B4">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乙方不履行合同或者履行合同不符合约定的服务质量标准，甲方和乙方对赔偿标准未作出合同约定的，按照《中华人民共和国旅游法》有关规定，亦可参照适用国家旅游局颁布的《旅行社服务质量赔偿标准》（旅办发〔2011〕44号）。</w:t>
      </w:r>
    </w:p>
    <w:p w14:paraId="5EE7D30D">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6、与参加疗休养的职工发生纠纷时，乙方应当积极采取措施防止损失扩大，否则应当就扩大的损失承担责任。</w:t>
      </w:r>
    </w:p>
    <w:p w14:paraId="2DFEB170">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7、若乙方违法合同规定导致本合同无法履行，甲方有权终止合同，并对由此造成的损失有权要求赔偿。</w:t>
      </w:r>
    </w:p>
    <w:p w14:paraId="670C9820">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每起经甲乙双方调查确认后的参加休养职工的正当合理投诉，甲方有权按每团次(或每人)休养费用的10%收取违约金，并从当期应结算休养费中予以扣除。出现重大事故的，甲方有权追究乙方法律责任，并按上述约定收取违约金，违约金不足以弥补甲方损失的，乙方应赔偿甲方因此所遭受的一切损失。</w:t>
      </w:r>
    </w:p>
    <w:p w14:paraId="50A678C9">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9、若因乙方违约造成对方不良社会影响或经济损失，则甲方有权追究违约方责任，并要求相应的经济赔偿，直至终止本合同。</w:t>
      </w:r>
    </w:p>
    <w:p w14:paraId="60A54F80">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10、乙方因违约而须承担的违约金和经济赔偿等，甲方有权从乙方服务费中直接扣减。</w:t>
      </w:r>
    </w:p>
    <w:p w14:paraId="31BB5381">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11、乙方必须遵守劳动法相关规定，与每位员工签订劳动合同，出现劳动纠纷事件一律与甲方无关，并加强对员工的培训、教育，爱护公共财物，确保安全工作，杜绝各类事故。</w:t>
      </w:r>
    </w:p>
    <w:p w14:paraId="2A3AAA5D">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12、乙方工作人员的日常管理及人身安全和发生的安全事故等均由乙方管理和承担，出现安全事件一律与甲方无关。</w:t>
      </w:r>
    </w:p>
    <w:p w14:paraId="387EEB1A">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13、乙方应自觉接受、配合甲方的考核。</w:t>
      </w:r>
    </w:p>
    <w:p w14:paraId="262DFA57">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14、甲方保留对本项目使用设备确认、审查的权利。</w:t>
      </w:r>
    </w:p>
    <w:p w14:paraId="73D554E0">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15、乙方必须根据设计方案，严格按照方案要求安排，达到预期效果。</w:t>
      </w:r>
    </w:p>
    <w:p w14:paraId="78B40DF7">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16、乙方要充分考虑疗养活动时间和疗养活动安全，如果疗养活动期间发生安全事故，一切后果均由乙方负责。</w:t>
      </w:r>
    </w:p>
    <w:p w14:paraId="4D4BDFAC">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17、因乙方违约造成疗养者误机（车、船），乙方应承担疗养者直接经济损失。</w:t>
      </w:r>
    </w:p>
    <w:p w14:paraId="74F85A69">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18、乙方安排的餐饮未达到约定标准的，未达标一次应承担疗养费用4％的违约金。</w:t>
      </w:r>
    </w:p>
    <w:p w14:paraId="7039EE9B">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19、乙方安排的交通工具未达到约定标准的，未达标一次应承担疗养费用4％的违约金。</w:t>
      </w:r>
    </w:p>
    <w:p w14:paraId="621F1FB2">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20、乙方安排的住宿未达到约定标准的，未达标一次应承担疗养费用6％的违约金。</w:t>
      </w:r>
    </w:p>
    <w:p w14:paraId="21FD7E08">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21、因不可归责于乙方和疗养者的原因而减少疗养项目的，乙方可与疗养者协商提供替代项目，如协商不成乙方应退还该项目的费用及相应的导服费用。</w:t>
      </w:r>
    </w:p>
    <w:p w14:paraId="32AF8BF0">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22、乙方擅自变更或减少疗养项目的，每变更一项应支付疗养费用5％的违约金，并退还因项目变更而减少支出的费用；每减少一项应支付疗养费用5％的违约金，并退还相应疗养项目的导服费、门票等各项费用。</w:t>
      </w:r>
    </w:p>
    <w:p w14:paraId="0765A4C5">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23、乙方擅自增加购物次数的，每增加一次应向疗养者支付疗养总费用5％的违约金。</w:t>
      </w:r>
    </w:p>
    <w:p w14:paraId="6CDBDC91">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24、乙方擅自缩短游览时间或擅自延长购物时间的，每一次应向疗养者支付疗养总费用5％的违约金。</w:t>
      </w:r>
    </w:p>
    <w:p w14:paraId="77E07F3C">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25、导游无故离开疗养团队致疗养者无人照管的，乙方应承担疗养者因此自行支出的食宿交通费等直接费用，并支付疗养总费用20%的违约金。</w:t>
      </w:r>
    </w:p>
    <w:p w14:paraId="3011D7D2">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26、因违约导致的实际损失超过违约金的，依据实际损失赔偿。</w:t>
      </w:r>
    </w:p>
    <w:p w14:paraId="6E2D9805">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27、甲方职工在乙方安排的购物点所购物品，经专业权威部门认定属假冒伪劣商品或存在质量问题的，乙方应当积极协助退换。</w:t>
      </w:r>
    </w:p>
    <w:p w14:paraId="1A821E9C">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28、甲方视考核情况支付疗休养费用：当次满意度平均分高于85分（含），支付当次疗休养费用的100%；当次满意度平均分高于75分（含）低于85分，扣减当次疗休养费用5%；当次满意度平均分低75分，扣减当次疗休养费用10%。</w:t>
      </w:r>
    </w:p>
    <w:p w14:paraId="0E3A915A">
      <w:pPr>
        <w:widowControl/>
        <w:snapToGrid w:val="0"/>
        <w:spacing w:line="48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第十三条  特别提醒</w:t>
      </w:r>
    </w:p>
    <w:p w14:paraId="5712BDB6">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1、为了确保疗休养团顺利出行，防止旅途中发生人身意外伤害事故，请参加疗休养的职工在出行前做一次必要的身体检查，如存在下列健康问题的病患者请勿报名，如隐瞒参团发生事故，责任自负：</w:t>
      </w:r>
    </w:p>
    <w:p w14:paraId="575F6AB7">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（1）传染性疾病患者，如传染性肝炎、活动期肺结核、伤寒等传染病人；</w:t>
      </w:r>
    </w:p>
    <w:p w14:paraId="51F192A5">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（2）心血管疾病患者，如严重高血压、心功能不全、心肌缺氧、心肌梗塞等病人；</w:t>
      </w:r>
    </w:p>
    <w:p w14:paraId="1EDA2C80">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（3）脑血管疾病患者，如脑栓塞、脑出血、脑肿瘤等病人；</w:t>
      </w:r>
    </w:p>
    <w:p w14:paraId="0167123F">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（4）呼吸系统疾病患者，如肺气肿、肺心病等病人；</w:t>
      </w:r>
    </w:p>
    <w:p w14:paraId="422D75AC">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（5）精神病患者，如癫痫及各种精神病人；</w:t>
      </w:r>
    </w:p>
    <w:p w14:paraId="43DC069E">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（6）严重贫血病患者，如血红蛋白量水平在 50 克 / 升以下的病人；</w:t>
      </w:r>
    </w:p>
    <w:p w14:paraId="324D8D22">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（7）大中型手术的恢复期病患者；</w:t>
      </w:r>
    </w:p>
    <w:p w14:paraId="73B82882">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（8）孕妇及行动不便者。</w:t>
      </w:r>
    </w:p>
    <w:p w14:paraId="0E9F70B7">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2、传染病、精神病等患者参团，如危及其他参加疗休养的职工健康和安全的，其本人或者法定监护人应承担赔偿责任。</w:t>
      </w:r>
    </w:p>
    <w:p w14:paraId="000FFC6D">
      <w:pPr>
        <w:widowControl/>
        <w:snapToGrid w:val="0"/>
        <w:spacing w:line="48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第十四条  老年人、未成年人参团疗休养</w:t>
      </w:r>
    </w:p>
    <w:p w14:paraId="0905B685">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1、老年人报名参团疗休养的，应如实填写年龄、身体健康状况及其家属的联系方式，须书面告知乙方不宜参加的游程及项目（包括交通工具、饮食、特殊地域环境限制等）。</w:t>
      </w:r>
    </w:p>
    <w:p w14:paraId="3C40BAF4">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2、未成年人参团疗休养的，应征得法定监护人书面同意。未成年人的法定监护人共同参团疗休养的，应当保护随行未成年人的安全。</w:t>
      </w:r>
    </w:p>
    <w:p w14:paraId="7BE65E5D">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3、行程中，老年人、未成年人应注意自身安全，特别是在餐厅、浴室、卫生间及雨天步行时防止发生摔伤、滑倒等意外伤害事故，严禁参加高风险疗休养及高风险娱乐项目。</w:t>
      </w:r>
    </w:p>
    <w:p w14:paraId="60A2D459">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老年人、未成年人因自身疾病等健康原因无法继续旅行时，乙方应积极协助其当地就医或返回，就医及返程费用由其自行承担，乙方按照本合同第十一条相关规定扣除业务损失费后，将余款退还老年人、未成年人。</w:t>
      </w:r>
    </w:p>
    <w:p w14:paraId="630BA8DA">
      <w:pPr>
        <w:widowControl/>
        <w:snapToGrid w:val="0"/>
        <w:spacing w:line="48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第十五条  责任免除</w:t>
      </w:r>
    </w:p>
    <w:p w14:paraId="47BFB31C">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因参加疗休养的职工自身原因（如违法犯罪行为、过失行为、行为判断失误、疾病、自甘风险参加某些疗休养项目等）、不可抗力或者乙方、履行辅助人已尽合理注意义务仍不能避免的事件，导致疗休养合同无法履行或者参加疗休养的职工人身、财产权益受到损害的，乙方不承担赔偿责任，但应当协助处理，因此支出的合理费用由参加疗休养的职工承担。</w:t>
      </w:r>
    </w:p>
    <w:p w14:paraId="747B5080">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2、乙方就疗休养活动中可能危及参加疗休养的职工人身、财产安全的情形已向参加疗休养的职工作出明确的告知或警示，且事后履行了必要的救助义务，乙方不承担赔偿责任。</w:t>
      </w:r>
    </w:p>
    <w:p w14:paraId="135F928B">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3、由于公共交通经营者的原因造成参加疗休养的职工人身损害、财产损失的，由公共交通经营者依法承担赔偿责任，乙方应当协助参加疗休养的职工向公共交通经营者索赔。</w:t>
      </w:r>
    </w:p>
    <w:p w14:paraId="37BA5AAC">
      <w:pPr>
        <w:widowControl/>
        <w:snapToGrid w:val="0"/>
        <w:spacing w:line="480" w:lineRule="exact"/>
        <w:ind w:firstLine="482" w:firstLineChars="200"/>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rPr>
        <w:t>第十六条　本合同词语定义</w:t>
      </w:r>
    </w:p>
    <w:p w14:paraId="2825FF18">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疗休养费用，指甲方支付给乙方，用于购买境内疗休养服务的费用，包括：交通费（含机场税）、住宿费、餐费（不含酒水费）、乙方统一安排的景区景点的第一道门票费、导游服务费及本合同约定的其他费用。</w:t>
      </w:r>
    </w:p>
    <w:p w14:paraId="29C899C4">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2、离团，指团队职工经导游同意不随团队完成约定行程的行为。</w:t>
      </w:r>
    </w:p>
    <w:p w14:paraId="103D3555">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3、脱团，指团队职工未经导游同意脱离疗休养团队，不随团队完成约定行程的行为。</w:t>
      </w:r>
    </w:p>
    <w:p w14:paraId="0B94776E">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4、不可抗力，指不能预见、不能避免并不能克服的客观情况，包括因自然原因和社会原因引起的，如自然灾害、战争、恐怖活动、动乱、骚乱、罢工、突发公共卫生事件、政府行为。</w:t>
      </w:r>
    </w:p>
    <w:p w14:paraId="233AF414">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业务损失费，指乙方因甲方行程结束前解除合同而产生的经济损失，包括乘坐飞机（车、船）等交通工具、餐饮住宿、疗休养观光汽车的人均车租及导游服务等已实际发生的费用和已向地接社或者履行辅助人支付且不可退还的费用（含预订金）。如乙方代购的是团队包机票，执行的是团体优惠价格，附有严格的限制使用条件（不能改、不能转、不能退），行前解约后机票价格作为实际损失。</w:t>
      </w:r>
    </w:p>
    <w:p w14:paraId="03AE45EB">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6、公共交通，指向社会不特定公众开放的提供运输服务的交通方式，包括航空、铁路、航运客轮、城市公交、地铁等。</w:t>
      </w:r>
    </w:p>
    <w:p w14:paraId="3F819F03">
      <w:pPr>
        <w:widowControl/>
        <w:snapToGrid w:val="0"/>
        <w:spacing w:line="48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第十七条  争议的解决方式</w:t>
      </w:r>
    </w:p>
    <w:p w14:paraId="6184D289">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本合同在履行过程中发生争议的，由双方协商解决，也可向有管辖权的旅游质监执法机构、消费者协会等有关部门或者机构申请调解，也可按下列第　1　种方式解决：</w:t>
      </w:r>
    </w:p>
    <w:p w14:paraId="6EDDDEE3">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1、提交</w:t>
      </w:r>
      <w:r>
        <w:rPr>
          <w:rFonts w:hint="eastAsia" w:ascii="仿宋" w:hAnsi="仿宋" w:eastAsia="仿宋" w:cs="仿宋"/>
          <w:color w:val="auto"/>
          <w:kern w:val="0"/>
          <w:sz w:val="24"/>
          <w:highlight w:val="none"/>
          <w:u w:val="single"/>
        </w:rPr>
        <w:t xml:space="preserve">     绍兴      </w:t>
      </w:r>
      <w:r>
        <w:rPr>
          <w:rFonts w:hint="eastAsia" w:ascii="仿宋" w:hAnsi="仿宋" w:eastAsia="仿宋" w:cs="仿宋"/>
          <w:color w:val="auto"/>
          <w:kern w:val="0"/>
          <w:sz w:val="24"/>
          <w:highlight w:val="none"/>
        </w:rPr>
        <w:t>仲裁委员会仲裁；</w:t>
      </w:r>
    </w:p>
    <w:p w14:paraId="320517A8">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2、依法向人民法院起诉。　</w:t>
      </w:r>
    </w:p>
    <w:p w14:paraId="48718DBB">
      <w:pPr>
        <w:widowControl/>
        <w:snapToGrid w:val="0"/>
        <w:spacing w:line="48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第十八条  其他约定事项</w:t>
      </w:r>
    </w:p>
    <w:p w14:paraId="663421F8">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甲方不同意采用拼团方式出团。</w:t>
      </w:r>
    </w:p>
    <w:p w14:paraId="21C0E5DF">
      <w:pPr>
        <w:widowControl/>
        <w:snapToGrid w:val="0"/>
        <w:spacing w:line="480" w:lineRule="exact"/>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第十九条  合同生效及组成</w:t>
      </w:r>
    </w:p>
    <w:p w14:paraId="27CEF6AF">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1、本合同一式陆份，甲方、乙方各持叁份，自双方当事人签字或盖章之日起生效。</w:t>
      </w:r>
    </w:p>
    <w:p w14:paraId="4F8977A2">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2、（项目编号： ）招标文件、投标文件（含优惠承诺）、中标通知书、《疗休养预订单》、《疗休养行程单》、《行程须知》以及双方当事人经协商后变更或者补充的协议和声明，均为本合同组成部分。</w:t>
      </w:r>
    </w:p>
    <w:p w14:paraId="3B1406E8">
      <w:pPr>
        <w:widowControl/>
        <w:snapToGrid w:val="0"/>
        <w:spacing w:line="480" w:lineRule="exact"/>
        <w:ind w:firstLine="480" w:firstLineChars="200"/>
        <w:rPr>
          <w:rFonts w:hint="eastAsia" w:ascii="仿宋" w:hAnsi="仿宋" w:eastAsia="仿宋" w:cs="仿宋"/>
          <w:color w:val="auto"/>
          <w:kern w:val="0"/>
          <w:sz w:val="24"/>
          <w:highlight w:val="none"/>
        </w:rPr>
      </w:pPr>
    </w:p>
    <w:p w14:paraId="23DCF947">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甲方（盖章）：                             乙方（盖章）：</w:t>
      </w:r>
    </w:p>
    <w:p w14:paraId="14D74185">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合同经办人（签字）：                       合同经办人（签字）：</w:t>
      </w:r>
    </w:p>
    <w:p w14:paraId="587BB5E7">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签约日期：年    月   日                    签约日期：   年    月   日</w:t>
      </w:r>
    </w:p>
    <w:p w14:paraId="7D42D0CE">
      <w:pPr>
        <w:widowControl/>
        <w:snapToGrid w:val="0"/>
        <w:spacing w:line="480" w:lineRule="exact"/>
        <w:ind w:firstLine="480" w:firstLineChars="200"/>
        <w:rPr>
          <w:rFonts w:hint="eastAsia" w:ascii="仿宋" w:hAnsi="仿宋" w:eastAsia="仿宋" w:cs="仿宋"/>
          <w:color w:val="auto"/>
          <w:kern w:val="0"/>
          <w:sz w:val="24"/>
          <w:highlight w:val="none"/>
        </w:rPr>
      </w:pPr>
    </w:p>
    <w:p w14:paraId="7CC2F141">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合同签约地点：</w:t>
      </w:r>
    </w:p>
    <w:p w14:paraId="444EB8D0">
      <w:pPr>
        <w:widowControl/>
        <w:snapToGrid w:val="0"/>
        <w:spacing w:line="480" w:lineRule="exact"/>
        <w:ind w:firstLine="480" w:firstLineChars="200"/>
        <w:rPr>
          <w:rFonts w:hint="eastAsia" w:ascii="仿宋" w:hAnsi="仿宋" w:eastAsia="仿宋" w:cs="仿宋"/>
          <w:color w:val="auto"/>
          <w:kern w:val="0"/>
          <w:sz w:val="24"/>
          <w:highlight w:val="none"/>
        </w:rPr>
      </w:pPr>
    </w:p>
    <w:p w14:paraId="3E21A679">
      <w:pPr>
        <w:widowControl/>
        <w:snapToGrid w:val="0"/>
        <w:spacing w:line="480" w:lineRule="exact"/>
        <w:ind w:firstLine="482" w:firstLineChars="200"/>
        <w:rPr>
          <w:rFonts w:hint="eastAsia" w:ascii="仿宋" w:hAnsi="仿宋" w:eastAsia="仿宋" w:cs="仿宋"/>
          <w:color w:val="auto"/>
          <w:kern w:val="0"/>
          <w:sz w:val="24"/>
          <w:highlight w:val="none"/>
          <w:u w:val="none"/>
        </w:rPr>
      </w:pPr>
      <w:r>
        <w:rPr>
          <w:rFonts w:hint="eastAsia" w:ascii="仿宋" w:hAnsi="仿宋" w:eastAsia="仿宋" w:cs="仿宋"/>
          <w:b/>
          <w:bCs/>
          <w:color w:val="auto"/>
          <w:kern w:val="0"/>
          <w:sz w:val="24"/>
          <w:highlight w:val="none"/>
        </w:rPr>
        <w:t xml:space="preserve"> 此仅为合同书样本，中标人需根据实际情况和采购人签订相应的合同！</w:t>
      </w:r>
    </w:p>
    <w:p w14:paraId="5F329CC7">
      <w:pPr>
        <w:rPr>
          <w:rFonts w:hint="eastAsia" w:ascii="仿宋" w:hAnsi="仿宋" w:eastAsia="仿宋" w:cs="仿宋"/>
          <w:color w:val="auto"/>
          <w:highlight w:val="none"/>
        </w:rPr>
      </w:pPr>
      <w:bookmarkStart w:id="44" w:name="_Toc16886"/>
      <w:r>
        <w:rPr>
          <w:rFonts w:hint="eastAsia" w:ascii="仿宋" w:hAnsi="仿宋" w:eastAsia="仿宋" w:cs="仿宋"/>
          <w:color w:val="auto"/>
          <w:highlight w:val="none"/>
        </w:rPr>
        <w:br w:type="page"/>
      </w:r>
    </w:p>
    <w:p w14:paraId="4B4AF0FB">
      <w:pPr>
        <w:pStyle w:val="2"/>
        <w:keepNext/>
        <w:keepLines/>
        <w:pageBreakBefore w:val="0"/>
        <w:widowControl w:val="0"/>
        <w:suppressLineNumbers w:val="0"/>
        <w:suppressAutoHyphens w:val="0"/>
        <w:spacing w:line="578"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第五章  评标办法及标准</w:t>
      </w:r>
      <w:bookmarkEnd w:id="44"/>
    </w:p>
    <w:p w14:paraId="15C2B5B4">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特别条款：</w:t>
      </w:r>
    </w:p>
    <w:p w14:paraId="67352BAC">
      <w:pPr>
        <w:spacing w:line="440" w:lineRule="exact"/>
        <w:ind w:firstLine="472" w:firstLineChars="196"/>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A.使用综合评分法的采购项目，提供</w:t>
      </w:r>
      <w:r>
        <w:rPr>
          <w:rFonts w:hint="eastAsia" w:ascii="仿宋" w:hAnsi="仿宋" w:eastAsia="仿宋" w:cs="仿宋"/>
          <w:b/>
          <w:color w:val="auto"/>
          <w:sz w:val="24"/>
          <w:highlight w:val="none"/>
          <w:bdr w:val="single" w:color="000000" w:sz="4" w:space="0"/>
        </w:rPr>
        <w:t>相同品牌</w:t>
      </w:r>
      <w:r>
        <w:rPr>
          <w:rFonts w:hint="eastAsia" w:ascii="仿宋" w:hAnsi="仿宋" w:eastAsia="仿宋" w:cs="仿宋"/>
          <w:b/>
          <w:color w:val="auto"/>
          <w:sz w:val="24"/>
          <w:highlight w:val="none"/>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399FF2D8">
      <w:pPr>
        <w:spacing w:line="440" w:lineRule="exact"/>
        <w:ind w:firstLine="472" w:firstLineChars="196"/>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B.非单一产品采购项目，多家投标人中作为核心产品（由采购人根据采购项目技术构成、产品价格比重等确定，并在采购文件中载明）品牌均相同的，视为提供的是同品牌的产品；按前款规定处理。</w:t>
      </w:r>
    </w:p>
    <w:p w14:paraId="1BC956BD">
      <w:pPr>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1、评标方法：</w:t>
      </w:r>
    </w:p>
    <w:p w14:paraId="622D9535">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次评标采用综合评分法，投标文件满足采购文件全部实质性要求且按照评审因素的量化指标评审得分最高的供应商为中标候选人。得分相同的，投标报价低者为中标候选人。得分且投标报价相同的由采购人代表开标现场随机抽签确定。</w:t>
      </w:r>
    </w:p>
    <w:p w14:paraId="55F5D04D">
      <w:pPr>
        <w:keepNext w:val="0"/>
        <w:keepLines w:val="0"/>
        <w:pageBreakBefore w:val="0"/>
        <w:widowControl/>
        <w:kinsoku/>
        <w:wordWrap w:val="0"/>
        <w:overflowPunct/>
        <w:topLinePunct w:val="0"/>
        <w:autoSpaceDE/>
        <w:autoSpaceDN/>
        <w:bidi w:val="0"/>
        <w:snapToGrid w:val="0"/>
        <w:spacing w:line="480" w:lineRule="exact"/>
        <w:ind w:left="0"/>
        <w:textAlignment w:val="auto"/>
        <w:rPr>
          <w:rFonts w:hint="eastAsia" w:ascii="仿宋" w:hAnsi="仿宋" w:eastAsia="仿宋" w:cs="仿宋"/>
          <w:color w:val="auto"/>
          <w:kern w:val="0"/>
          <w:sz w:val="24"/>
          <w:highlight w:val="none"/>
          <w:u w:val="none"/>
        </w:rPr>
      </w:pPr>
      <w:r>
        <w:rPr>
          <w:rFonts w:hint="eastAsia" w:ascii="仿宋" w:hAnsi="仿宋" w:eastAsia="仿宋" w:cs="仿宋"/>
          <w:b/>
          <w:color w:val="auto"/>
          <w:sz w:val="24"/>
          <w:highlight w:val="none"/>
        </w:rPr>
        <w:t>2.评分标准：</w:t>
      </w:r>
      <w:r>
        <w:rPr>
          <w:rFonts w:hint="eastAsia" w:ascii="仿宋" w:hAnsi="仿宋" w:eastAsia="仿宋" w:cs="仿宋"/>
          <w:color w:val="auto"/>
          <w:sz w:val="24"/>
          <w:highlight w:val="none"/>
        </w:rPr>
        <w:t>总分100分，其中商务技术分</w:t>
      </w:r>
      <w:r>
        <w:rPr>
          <w:rFonts w:hint="eastAsia" w:ascii="仿宋" w:hAnsi="仿宋" w:eastAsia="仿宋" w:cs="仿宋"/>
          <w:color w:val="auto"/>
          <w:sz w:val="24"/>
          <w:highlight w:val="none"/>
          <w:u w:val="single"/>
          <w:lang w:val="en-US" w:eastAsia="zh-CN"/>
        </w:rPr>
        <w:t>70</w:t>
      </w:r>
      <w:r>
        <w:rPr>
          <w:rFonts w:hint="eastAsia" w:ascii="仿宋" w:hAnsi="仿宋" w:eastAsia="仿宋" w:cs="仿宋"/>
          <w:color w:val="auto"/>
          <w:sz w:val="24"/>
          <w:highlight w:val="none"/>
        </w:rPr>
        <w:t>分，价格分</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rPr>
        <w:t>分。下述所列为评分依据，分值如下（计算分值时，按其算术平均值保留小数2位）。</w:t>
      </w:r>
    </w:p>
    <w:p w14:paraId="4E0798C7">
      <w:pPr>
        <w:keepNext w:val="0"/>
        <w:keepLines w:val="0"/>
        <w:pageBreakBefore w:val="0"/>
        <w:widowControl/>
        <w:kinsoku/>
        <w:wordWrap w:val="0"/>
        <w:overflowPunct/>
        <w:topLinePunct w:val="0"/>
        <w:autoSpaceDE/>
        <w:autoSpaceDN/>
        <w:bidi w:val="0"/>
        <w:snapToGrid w:val="0"/>
        <w:spacing w:line="480" w:lineRule="exact"/>
        <w:ind w:left="0"/>
        <w:textAlignment w:val="auto"/>
        <w:rPr>
          <w:rFonts w:hint="eastAsia" w:ascii="仿宋" w:hAnsi="仿宋" w:eastAsia="仿宋" w:cs="仿宋"/>
          <w:b/>
          <w:bCs/>
          <w:color w:val="auto"/>
          <w:kern w:val="0"/>
          <w:sz w:val="24"/>
          <w:highlight w:val="none"/>
          <w:u w:val="none"/>
        </w:rPr>
      </w:pPr>
      <w:r>
        <w:rPr>
          <w:rFonts w:hint="eastAsia" w:ascii="仿宋" w:hAnsi="仿宋" w:eastAsia="仿宋" w:cs="仿宋"/>
          <w:b/>
          <w:bCs/>
          <w:color w:val="auto"/>
          <w:kern w:val="0"/>
          <w:sz w:val="24"/>
          <w:highlight w:val="none"/>
          <w:u w:val="none"/>
          <w:lang w:val="en-US" w:eastAsia="zh-CN"/>
        </w:rPr>
        <w:t>2.1</w:t>
      </w:r>
      <w:r>
        <w:rPr>
          <w:rFonts w:hint="eastAsia" w:ascii="仿宋" w:hAnsi="仿宋" w:eastAsia="仿宋" w:cs="仿宋"/>
          <w:b/>
          <w:bCs/>
          <w:color w:val="auto"/>
          <w:kern w:val="0"/>
          <w:sz w:val="24"/>
          <w:highlight w:val="none"/>
          <w:u w:val="none"/>
        </w:rPr>
        <w:t>商务技术分：</w:t>
      </w:r>
    </w:p>
    <w:tbl>
      <w:tblPr>
        <w:tblStyle w:val="26"/>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47"/>
        <w:gridCol w:w="6013"/>
        <w:gridCol w:w="808"/>
      </w:tblGrid>
      <w:tr w14:paraId="3E110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853" w:type="dxa"/>
            <w:noWrap w:val="0"/>
            <w:vAlign w:val="center"/>
          </w:tcPr>
          <w:p w14:paraId="16CA731A">
            <w:pPr>
              <w:keepNext w:val="0"/>
              <w:keepLines w:val="0"/>
              <w:pageBreakBefore w:val="0"/>
              <w:kinsoku/>
              <w:wordWrap w:val="0"/>
              <w:overflowPunct/>
              <w:topLinePunct w:val="0"/>
              <w:autoSpaceDE/>
              <w:autoSpaceDN/>
              <w:bidi w:val="0"/>
              <w:spacing w:line="24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sz w:val="24"/>
                <w:szCs w:val="24"/>
                <w:highlight w:val="none"/>
              </w:rPr>
              <w:t>序号</w:t>
            </w:r>
          </w:p>
        </w:tc>
        <w:tc>
          <w:tcPr>
            <w:tcW w:w="1247" w:type="dxa"/>
            <w:noWrap w:val="0"/>
            <w:vAlign w:val="center"/>
          </w:tcPr>
          <w:p w14:paraId="46B551B0">
            <w:pPr>
              <w:keepNext w:val="0"/>
              <w:keepLines w:val="0"/>
              <w:pageBreakBefore w:val="0"/>
              <w:kinsoku/>
              <w:wordWrap w:val="0"/>
              <w:overflowPunct/>
              <w:topLinePunct w:val="0"/>
              <w:autoSpaceDE/>
              <w:autoSpaceDN/>
              <w:bidi w:val="0"/>
              <w:spacing w:line="24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sz w:val="24"/>
                <w:szCs w:val="24"/>
                <w:highlight w:val="none"/>
              </w:rPr>
              <w:t>评分项</w:t>
            </w:r>
          </w:p>
        </w:tc>
        <w:tc>
          <w:tcPr>
            <w:tcW w:w="6013" w:type="dxa"/>
            <w:noWrap w:val="0"/>
            <w:vAlign w:val="center"/>
          </w:tcPr>
          <w:p w14:paraId="5627D4F0">
            <w:pPr>
              <w:keepNext w:val="0"/>
              <w:keepLines w:val="0"/>
              <w:pageBreakBefore w:val="0"/>
              <w:kinsoku/>
              <w:wordWrap w:val="0"/>
              <w:overflowPunct/>
              <w:topLinePunct w:val="0"/>
              <w:autoSpaceDE/>
              <w:autoSpaceDN/>
              <w:bidi w:val="0"/>
              <w:spacing w:line="24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sz w:val="24"/>
                <w:szCs w:val="24"/>
                <w:highlight w:val="none"/>
              </w:rPr>
              <w:t>评审依据及标准</w:t>
            </w:r>
          </w:p>
        </w:tc>
        <w:tc>
          <w:tcPr>
            <w:tcW w:w="808" w:type="dxa"/>
            <w:noWrap w:val="0"/>
            <w:vAlign w:val="center"/>
          </w:tcPr>
          <w:p w14:paraId="774986DE">
            <w:pPr>
              <w:keepNext w:val="0"/>
              <w:keepLines w:val="0"/>
              <w:pageBreakBefore w:val="0"/>
              <w:kinsoku/>
              <w:wordWrap w:val="0"/>
              <w:overflowPunct/>
              <w:topLinePunct w:val="0"/>
              <w:autoSpaceDE/>
              <w:autoSpaceDN/>
              <w:bidi w:val="0"/>
              <w:spacing w:line="24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sz w:val="24"/>
                <w:szCs w:val="24"/>
                <w:highlight w:val="none"/>
              </w:rPr>
              <w:t>分值</w:t>
            </w:r>
          </w:p>
        </w:tc>
      </w:tr>
      <w:tr w14:paraId="098FF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8" w:hRule="atLeast"/>
          <w:jc w:val="center"/>
        </w:trPr>
        <w:tc>
          <w:tcPr>
            <w:tcW w:w="853" w:type="dxa"/>
            <w:noWrap w:val="0"/>
            <w:vAlign w:val="center"/>
          </w:tcPr>
          <w:p w14:paraId="06E7C1DB">
            <w:pPr>
              <w:keepNext w:val="0"/>
              <w:keepLines w:val="0"/>
              <w:pageBreakBefore w:val="0"/>
              <w:kinsoku/>
              <w:wordWrap w:val="0"/>
              <w:overflowPunct/>
              <w:topLinePunct w:val="0"/>
              <w:autoSpaceDE/>
              <w:autoSpaceDN/>
              <w:bidi w:val="0"/>
              <w:spacing w:line="240" w:lineRule="auto"/>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w:t>
            </w:r>
          </w:p>
        </w:tc>
        <w:tc>
          <w:tcPr>
            <w:tcW w:w="1247" w:type="dxa"/>
            <w:shd w:val="clear" w:color="auto" w:fill="auto"/>
            <w:noWrap w:val="0"/>
            <w:vAlign w:val="center"/>
          </w:tcPr>
          <w:p w14:paraId="2C8FC383">
            <w:pPr>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rPr>
              <w:t>管理体系</w:t>
            </w:r>
          </w:p>
        </w:tc>
        <w:tc>
          <w:tcPr>
            <w:tcW w:w="6013" w:type="dxa"/>
            <w:shd w:val="clear" w:color="auto" w:fill="auto"/>
            <w:noWrap w:val="0"/>
            <w:vAlign w:val="center"/>
          </w:tcPr>
          <w:p w14:paraId="0629C8FC">
            <w:pPr>
              <w:widowControl/>
              <w:adjustRightInd w:val="0"/>
              <w:snapToGrid w:val="0"/>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投标人具有质量管理体系认证</w:t>
            </w:r>
            <w:r>
              <w:rPr>
                <w:rFonts w:hint="eastAsia" w:ascii="仿宋" w:hAnsi="仿宋" w:eastAsia="仿宋" w:cs="仿宋"/>
                <w:color w:val="auto"/>
                <w:kern w:val="0"/>
                <w:sz w:val="24"/>
                <w:szCs w:val="24"/>
                <w:highlight w:val="none"/>
                <w:lang w:val="en-US" w:eastAsia="zh-CN"/>
              </w:rPr>
              <w:t>证书</w:t>
            </w:r>
            <w:r>
              <w:rPr>
                <w:rFonts w:hint="eastAsia" w:ascii="仿宋" w:hAnsi="仿宋" w:eastAsia="仿宋" w:cs="仿宋"/>
                <w:color w:val="auto"/>
                <w:kern w:val="0"/>
                <w:sz w:val="24"/>
                <w:szCs w:val="24"/>
                <w:highlight w:val="none"/>
              </w:rPr>
              <w:t>ISO9001得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分，不提供不得分。</w:t>
            </w:r>
            <w:r>
              <w:rPr>
                <w:rFonts w:hint="eastAsia" w:ascii="仿宋" w:hAnsi="仿宋" w:eastAsia="仿宋" w:cs="仿宋"/>
                <w:color w:val="auto"/>
                <w:kern w:val="0"/>
                <w:sz w:val="24"/>
                <w:szCs w:val="24"/>
                <w:highlight w:val="none"/>
                <w:lang w:val="en-US" w:eastAsia="zh-CN"/>
              </w:rPr>
              <w:t>最高得2分。</w:t>
            </w:r>
          </w:p>
          <w:p w14:paraId="52027850">
            <w:pPr>
              <w:keepNext w:val="0"/>
              <w:keepLines w:val="0"/>
              <w:pageBreakBefore w:val="0"/>
              <w:widowControl/>
              <w:kinsoku/>
              <w:wordWrap w:val="0"/>
              <w:overflowPunct/>
              <w:topLinePunct w:val="0"/>
              <w:autoSpaceDE/>
              <w:autoSpaceDN/>
              <w:bidi w:val="0"/>
              <w:adjustRightInd w:val="0"/>
              <w:snapToGrid w:val="0"/>
              <w:spacing w:line="240" w:lineRule="auto"/>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注：投标时需提供</w:t>
            </w:r>
            <w:r>
              <w:rPr>
                <w:rFonts w:hint="eastAsia" w:ascii="仿宋" w:hAnsi="仿宋" w:eastAsia="仿宋" w:cs="仿宋"/>
                <w:color w:val="auto"/>
                <w:kern w:val="0"/>
                <w:sz w:val="24"/>
                <w:szCs w:val="24"/>
                <w:highlight w:val="none"/>
              </w:rPr>
              <w:t>投标文件中提供</w:t>
            </w:r>
            <w:r>
              <w:rPr>
                <w:rFonts w:hint="eastAsia" w:ascii="仿宋" w:hAnsi="仿宋" w:eastAsia="仿宋" w:cs="仿宋"/>
                <w:color w:val="auto"/>
                <w:kern w:val="0"/>
                <w:sz w:val="24"/>
                <w:szCs w:val="24"/>
                <w:highlight w:val="none"/>
                <w:lang w:eastAsia="zh-CN"/>
              </w:rPr>
              <w:t>证书原件</w:t>
            </w:r>
            <w:r>
              <w:rPr>
                <w:rFonts w:hint="eastAsia" w:ascii="仿宋" w:hAnsi="仿宋" w:eastAsia="仿宋" w:cs="仿宋"/>
                <w:color w:val="auto"/>
                <w:kern w:val="0"/>
                <w:sz w:val="24"/>
                <w:szCs w:val="24"/>
                <w:highlight w:val="none"/>
                <w:lang w:val="en-US" w:eastAsia="zh-CN"/>
              </w:rPr>
              <w:t>复印件或</w:t>
            </w:r>
            <w:r>
              <w:rPr>
                <w:rFonts w:hint="eastAsia" w:ascii="仿宋" w:hAnsi="仿宋" w:eastAsia="仿宋" w:cs="仿宋"/>
                <w:color w:val="auto"/>
                <w:kern w:val="0"/>
                <w:sz w:val="24"/>
                <w:szCs w:val="24"/>
                <w:highlight w:val="none"/>
              </w:rPr>
              <w:t>扫描件及在国家认证认可监督管理委员会网站（https://www.cnca.gov.cn/）查询到的证书信息截图并加盖投标</w:t>
            </w:r>
            <w:r>
              <w:rPr>
                <w:rFonts w:hint="eastAsia" w:ascii="仿宋" w:hAnsi="仿宋" w:eastAsia="仿宋" w:cs="仿宋"/>
                <w:color w:val="auto"/>
                <w:kern w:val="0"/>
                <w:sz w:val="24"/>
                <w:szCs w:val="24"/>
                <w:highlight w:val="none"/>
                <w:lang w:val="en-US" w:eastAsia="zh-CN"/>
              </w:rPr>
              <w:t>单位公章</w:t>
            </w:r>
            <w:r>
              <w:rPr>
                <w:rFonts w:hint="eastAsia" w:ascii="仿宋" w:hAnsi="仿宋" w:eastAsia="仿宋" w:cs="仿宋"/>
                <w:color w:val="auto"/>
                <w:kern w:val="0"/>
                <w:sz w:val="24"/>
                <w:szCs w:val="24"/>
                <w:highlight w:val="none"/>
                <w:lang w:eastAsia="zh-CN"/>
              </w:rPr>
              <w:t>。</w:t>
            </w:r>
          </w:p>
        </w:tc>
        <w:tc>
          <w:tcPr>
            <w:tcW w:w="808" w:type="dxa"/>
            <w:shd w:val="clear" w:color="auto" w:fill="auto"/>
            <w:noWrap w:val="0"/>
            <w:vAlign w:val="center"/>
          </w:tcPr>
          <w:p w14:paraId="3C8BCB30">
            <w:pPr>
              <w:keepNext w:val="0"/>
              <w:keepLines w:val="0"/>
              <w:pageBreakBefore w:val="0"/>
              <w:kinsoku/>
              <w:wordWrap w:val="0"/>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2</w:t>
            </w:r>
          </w:p>
        </w:tc>
      </w:tr>
      <w:tr w14:paraId="4C0A8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853" w:type="dxa"/>
            <w:noWrap w:val="0"/>
            <w:vAlign w:val="center"/>
          </w:tcPr>
          <w:p w14:paraId="375911F3">
            <w:pPr>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2</w:t>
            </w:r>
          </w:p>
        </w:tc>
        <w:tc>
          <w:tcPr>
            <w:tcW w:w="1247" w:type="dxa"/>
            <w:noWrap w:val="0"/>
            <w:vAlign w:val="center"/>
          </w:tcPr>
          <w:p w14:paraId="1BB3E516">
            <w:pPr>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同类业绩</w:t>
            </w:r>
          </w:p>
        </w:tc>
        <w:tc>
          <w:tcPr>
            <w:tcW w:w="6013" w:type="dxa"/>
            <w:noWrap w:val="0"/>
            <w:vAlign w:val="center"/>
          </w:tcPr>
          <w:p w14:paraId="587F47DE">
            <w:pPr>
              <w:widowControl/>
              <w:textAlignment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投标人自202</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年1月1日起（以合同签订时间为准）</w:t>
            </w:r>
            <w:r>
              <w:rPr>
                <w:rFonts w:hint="eastAsia" w:ascii="仿宋" w:hAnsi="仿宋" w:eastAsia="仿宋" w:cs="仿宋"/>
                <w:color w:val="auto"/>
                <w:kern w:val="0"/>
                <w:sz w:val="24"/>
                <w:szCs w:val="24"/>
                <w:highlight w:val="none"/>
                <w:lang w:val="en-US" w:eastAsia="zh-CN"/>
              </w:rPr>
              <w:t>完成过</w:t>
            </w:r>
            <w:r>
              <w:rPr>
                <w:rFonts w:hint="eastAsia" w:ascii="仿宋" w:hAnsi="仿宋" w:eastAsia="仿宋" w:cs="仿宋"/>
                <w:color w:val="auto"/>
                <w:kern w:val="0"/>
                <w:sz w:val="24"/>
                <w:szCs w:val="24"/>
                <w:highlight w:val="none"/>
              </w:rPr>
              <w:t>同类业绩的，每一个得1分，最多得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w:t>
            </w:r>
          </w:p>
          <w:p w14:paraId="49E31A85">
            <w:pPr>
              <w:keepNext w:val="0"/>
              <w:keepLines w:val="0"/>
              <w:pageBreakBefore w:val="0"/>
              <w:widowControl/>
              <w:kinsoku/>
              <w:wordWrap w:val="0"/>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注：投标时</w:t>
            </w:r>
            <w:r>
              <w:rPr>
                <w:rFonts w:hint="eastAsia" w:ascii="仿宋" w:hAnsi="仿宋" w:eastAsia="仿宋" w:cs="仿宋"/>
                <w:color w:val="auto"/>
                <w:sz w:val="24"/>
                <w:szCs w:val="24"/>
                <w:highlight w:val="none"/>
                <w:lang w:val="en-US" w:eastAsia="zh-CN"/>
              </w:rPr>
              <w:t>需提供合同原件的复印件或扫描件并加盖投标人公章，提供不全或未提供的不得分。</w:t>
            </w:r>
          </w:p>
        </w:tc>
        <w:tc>
          <w:tcPr>
            <w:tcW w:w="808" w:type="dxa"/>
            <w:noWrap w:val="0"/>
            <w:vAlign w:val="center"/>
          </w:tcPr>
          <w:p w14:paraId="5EEF0134">
            <w:pPr>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3</w:t>
            </w:r>
          </w:p>
        </w:tc>
      </w:tr>
      <w:tr w14:paraId="3363D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53" w:type="dxa"/>
            <w:noWrap w:val="0"/>
            <w:vAlign w:val="center"/>
          </w:tcPr>
          <w:p w14:paraId="7AA925A5">
            <w:pPr>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1247" w:type="dxa"/>
            <w:noWrap w:val="0"/>
            <w:vAlign w:val="center"/>
          </w:tcPr>
          <w:p w14:paraId="14B865AA">
            <w:pPr>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0"/>
                <w:sz w:val="24"/>
                <w:szCs w:val="24"/>
                <w:highlight w:val="none"/>
              </w:rPr>
            </w:pPr>
          </w:p>
          <w:p w14:paraId="5B035E68">
            <w:pPr>
              <w:bidi w:val="0"/>
              <w:jc w:val="center"/>
              <w:rPr>
                <w:rFonts w:hint="eastAsia" w:ascii="Times New Roman" w:hAnsi="Times New Roman" w:eastAsia="宋体" w:cs="Times New Roman"/>
                <w:color w:val="auto"/>
                <w:kern w:val="2"/>
                <w:sz w:val="21"/>
                <w:szCs w:val="20"/>
                <w:highlight w:val="none"/>
                <w:lang w:val="en-US" w:eastAsia="zh-CN" w:bidi="ar-SA"/>
              </w:rPr>
            </w:pPr>
            <w:r>
              <w:rPr>
                <w:rFonts w:hint="eastAsia" w:ascii="仿宋" w:hAnsi="仿宋" w:eastAsia="仿宋" w:cs="仿宋"/>
                <w:bCs/>
                <w:color w:val="auto"/>
                <w:sz w:val="24"/>
                <w:szCs w:val="24"/>
                <w:highlight w:val="none"/>
              </w:rPr>
              <w:t>优惠措施</w:t>
            </w:r>
          </w:p>
        </w:tc>
        <w:tc>
          <w:tcPr>
            <w:tcW w:w="6013" w:type="dxa"/>
            <w:noWrap w:val="0"/>
            <w:vAlign w:val="center"/>
          </w:tcPr>
          <w:p w14:paraId="2E1462F4">
            <w:pPr>
              <w:keepNext w:val="0"/>
              <w:keepLines w:val="0"/>
              <w:pageBreakBefore w:val="0"/>
              <w:widowControl/>
              <w:kinsoku/>
              <w:wordWrap w:val="0"/>
              <w:overflowPunct/>
              <w:topLinePunct w:val="0"/>
              <w:autoSpaceDE/>
              <w:autoSpaceDN/>
              <w:bidi w:val="0"/>
              <w:adjustRightInd w:val="0"/>
              <w:snapToGrid w:val="0"/>
              <w:spacing w:line="240" w:lineRule="auto"/>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根据投标人在承接</w:t>
            </w:r>
            <w:r>
              <w:rPr>
                <w:rFonts w:hint="eastAsia" w:ascii="仿宋" w:hAnsi="仿宋" w:eastAsia="仿宋" w:cs="仿宋"/>
                <w:color w:val="auto"/>
                <w:kern w:val="0"/>
                <w:sz w:val="24"/>
                <w:szCs w:val="24"/>
                <w:highlight w:val="none"/>
                <w:lang w:val="en-US" w:eastAsia="zh-CN"/>
              </w:rPr>
              <w:t>本项目</w:t>
            </w:r>
            <w:r>
              <w:rPr>
                <w:rFonts w:hint="eastAsia" w:ascii="仿宋" w:hAnsi="仿宋" w:eastAsia="仿宋" w:cs="仿宋"/>
                <w:color w:val="auto"/>
                <w:kern w:val="0"/>
                <w:sz w:val="24"/>
                <w:szCs w:val="24"/>
                <w:highlight w:val="none"/>
              </w:rPr>
              <w:t>疗休养活动给予的增值服务和相关措施承诺情况</w:t>
            </w:r>
            <w:r>
              <w:rPr>
                <w:rFonts w:hint="eastAsia" w:ascii="仿宋" w:hAnsi="仿宋" w:eastAsia="仿宋" w:cs="仿宋"/>
                <w:color w:val="auto"/>
                <w:kern w:val="0"/>
                <w:sz w:val="24"/>
                <w:szCs w:val="24"/>
                <w:highlight w:val="none"/>
                <w:lang w:eastAsia="zh-CN"/>
              </w:rPr>
              <w:t>；</w:t>
            </w:r>
          </w:p>
          <w:p w14:paraId="4F9F451D">
            <w:pPr>
              <w:keepNext w:val="0"/>
              <w:keepLines w:val="0"/>
              <w:pageBreakBefore w:val="0"/>
              <w:widowControl/>
              <w:kinsoku/>
              <w:wordWrap w:val="0"/>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val="en-US" w:eastAsia="zh-CN"/>
              </w:rPr>
              <w:t>优惠措施优于采购需求的，</w:t>
            </w:r>
            <w:r>
              <w:rPr>
                <w:rFonts w:hint="eastAsia" w:ascii="仿宋" w:hAnsi="仿宋" w:eastAsia="仿宋" w:cs="仿宋"/>
                <w:color w:val="auto"/>
                <w:spacing w:val="-6"/>
                <w:sz w:val="24"/>
                <w:szCs w:val="24"/>
                <w:highlight w:val="none"/>
              </w:rPr>
              <w:t>得</w:t>
            </w:r>
            <w:r>
              <w:rPr>
                <w:rFonts w:hint="eastAsia" w:ascii="仿宋" w:hAnsi="仿宋" w:eastAsia="仿宋" w:cs="仿宋"/>
                <w:color w:val="auto"/>
                <w:kern w:val="0"/>
                <w:sz w:val="24"/>
                <w:szCs w:val="24"/>
                <w:highlight w:val="none"/>
              </w:rPr>
              <w:t>4.1-</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.0分</w:t>
            </w:r>
            <w:r>
              <w:rPr>
                <w:rFonts w:hint="eastAsia" w:ascii="仿宋" w:hAnsi="仿宋" w:eastAsia="仿宋" w:cs="仿宋"/>
                <w:color w:val="auto"/>
                <w:spacing w:val="-6"/>
                <w:sz w:val="24"/>
                <w:szCs w:val="24"/>
                <w:highlight w:val="none"/>
                <w:lang w:eastAsia="zh-CN"/>
              </w:rPr>
              <w:t>；</w:t>
            </w:r>
          </w:p>
          <w:p w14:paraId="5205EFF0">
            <w:pPr>
              <w:keepNext w:val="0"/>
              <w:keepLines w:val="0"/>
              <w:pageBreakBefore w:val="0"/>
              <w:widowControl/>
              <w:kinsoku/>
              <w:wordWrap w:val="0"/>
              <w:overflowPunct/>
              <w:topLinePunct w:val="0"/>
              <w:autoSpaceDE/>
              <w:autoSpaceDN/>
              <w:bidi w:val="0"/>
              <w:adjustRightInd w:val="0"/>
              <w:snapToGrid w:val="0"/>
              <w:spacing w:line="240" w:lineRule="auto"/>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pacing w:val="-6"/>
                <w:sz w:val="24"/>
                <w:szCs w:val="24"/>
                <w:highlight w:val="none"/>
                <w:lang w:val="en-US" w:eastAsia="zh-CN"/>
              </w:rPr>
              <w:t>优惠措施基本符合采购需求的，</w:t>
            </w:r>
            <w:r>
              <w:rPr>
                <w:rFonts w:hint="eastAsia" w:ascii="仿宋" w:hAnsi="仿宋" w:eastAsia="仿宋" w:cs="仿宋"/>
                <w:color w:val="auto"/>
                <w:spacing w:val="-6"/>
                <w:sz w:val="24"/>
                <w:szCs w:val="24"/>
                <w:highlight w:val="none"/>
              </w:rPr>
              <w:t>得</w:t>
            </w:r>
            <w:r>
              <w:rPr>
                <w:rFonts w:hint="eastAsia" w:ascii="仿宋" w:hAnsi="仿宋" w:eastAsia="仿宋" w:cs="仿宋"/>
                <w:color w:val="auto"/>
                <w:kern w:val="0"/>
                <w:sz w:val="24"/>
                <w:szCs w:val="24"/>
                <w:highlight w:val="none"/>
              </w:rPr>
              <w:t>2.1-4.0分</w:t>
            </w:r>
            <w:r>
              <w:rPr>
                <w:rFonts w:hint="eastAsia" w:ascii="仿宋" w:hAnsi="仿宋" w:eastAsia="仿宋" w:cs="仿宋"/>
                <w:color w:val="auto"/>
                <w:kern w:val="0"/>
                <w:sz w:val="24"/>
                <w:szCs w:val="24"/>
                <w:highlight w:val="none"/>
                <w:lang w:eastAsia="zh-CN"/>
              </w:rPr>
              <w:t>；</w:t>
            </w:r>
          </w:p>
          <w:p w14:paraId="6686C888">
            <w:pPr>
              <w:keepNext w:val="0"/>
              <w:keepLines w:val="0"/>
              <w:pageBreakBefore w:val="0"/>
              <w:widowControl/>
              <w:kinsoku/>
              <w:wordWrap w:val="0"/>
              <w:overflowPunct/>
              <w:topLinePunct w:val="0"/>
              <w:autoSpaceDE/>
              <w:autoSpaceDN/>
              <w:bidi w:val="0"/>
              <w:adjustRightInd w:val="0"/>
              <w:snapToGrid w:val="0"/>
              <w:spacing w:line="240" w:lineRule="auto"/>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优惠措施</w:t>
            </w:r>
            <w:r>
              <w:rPr>
                <w:rFonts w:hint="eastAsia" w:ascii="仿宋" w:hAnsi="仿宋" w:eastAsia="仿宋" w:cs="仿宋"/>
                <w:color w:val="auto"/>
                <w:spacing w:val="-6"/>
                <w:sz w:val="24"/>
                <w:szCs w:val="24"/>
                <w:highlight w:val="none"/>
              </w:rPr>
              <w:t>一般</w:t>
            </w:r>
            <w:r>
              <w:rPr>
                <w:rFonts w:hint="eastAsia" w:ascii="仿宋" w:hAnsi="仿宋" w:eastAsia="仿宋" w:cs="仿宋"/>
                <w:color w:val="auto"/>
                <w:spacing w:val="-6"/>
                <w:sz w:val="24"/>
                <w:szCs w:val="24"/>
                <w:highlight w:val="none"/>
                <w:lang w:val="en-US" w:eastAsia="zh-CN"/>
              </w:rPr>
              <w:t>的，</w:t>
            </w:r>
            <w:r>
              <w:rPr>
                <w:rFonts w:hint="eastAsia" w:ascii="仿宋" w:hAnsi="仿宋" w:eastAsia="仿宋" w:cs="仿宋"/>
                <w:color w:val="auto"/>
                <w:spacing w:val="-6"/>
                <w:sz w:val="24"/>
                <w:szCs w:val="24"/>
                <w:highlight w:val="none"/>
              </w:rPr>
              <w:t>得0.1-2.0分</w:t>
            </w:r>
            <w:r>
              <w:rPr>
                <w:rFonts w:hint="eastAsia" w:ascii="仿宋" w:hAnsi="仿宋" w:eastAsia="仿宋" w:cs="仿宋"/>
                <w:color w:val="auto"/>
                <w:spacing w:val="-6"/>
                <w:sz w:val="24"/>
                <w:szCs w:val="24"/>
                <w:highlight w:val="none"/>
                <w:lang w:eastAsia="zh-CN"/>
              </w:rPr>
              <w:t>；</w:t>
            </w:r>
            <w:r>
              <w:rPr>
                <w:rFonts w:hint="eastAsia" w:ascii="仿宋" w:hAnsi="仿宋" w:eastAsia="仿宋" w:cs="仿宋"/>
                <w:color w:val="auto"/>
                <w:kern w:val="0"/>
                <w:sz w:val="24"/>
                <w:szCs w:val="24"/>
                <w:highlight w:val="none"/>
              </w:rPr>
              <w:t>不提供不得分。</w:t>
            </w:r>
          </w:p>
        </w:tc>
        <w:tc>
          <w:tcPr>
            <w:tcW w:w="808" w:type="dxa"/>
            <w:noWrap w:val="0"/>
            <w:vAlign w:val="center"/>
          </w:tcPr>
          <w:p w14:paraId="7A334BD9">
            <w:pPr>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r>
      <w:tr w14:paraId="7AEF6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jc w:val="center"/>
        </w:trPr>
        <w:tc>
          <w:tcPr>
            <w:tcW w:w="853" w:type="dxa"/>
            <w:noWrap w:val="0"/>
            <w:vAlign w:val="center"/>
          </w:tcPr>
          <w:p w14:paraId="4967F07B">
            <w:pPr>
              <w:widowControl/>
              <w:adjustRightInd w:val="0"/>
              <w:snapToGrid w:val="0"/>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p>
        </w:tc>
        <w:tc>
          <w:tcPr>
            <w:tcW w:w="1247" w:type="dxa"/>
            <w:noWrap w:val="0"/>
            <w:vAlign w:val="center"/>
          </w:tcPr>
          <w:p w14:paraId="639E32D6">
            <w:pPr>
              <w:widowControl/>
              <w:adjustRightInd w:val="0"/>
              <w:snapToGrid w:val="0"/>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应急保障</w:t>
            </w:r>
          </w:p>
        </w:tc>
        <w:tc>
          <w:tcPr>
            <w:tcW w:w="6013" w:type="dxa"/>
            <w:noWrap w:val="0"/>
            <w:vAlign w:val="center"/>
          </w:tcPr>
          <w:p w14:paraId="2BFA38B5">
            <w:pPr>
              <w:widowControl/>
              <w:adjustRightInd w:val="0"/>
              <w:snapToGrid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根据投标人提供的应急措施是否具有全面性、可行性，应急预案，突发问题解决、如何及时组织力量做好各项工作，处理投诉问题等是否具有可靠性和周密性等情况综合考虑打分。</w:t>
            </w:r>
          </w:p>
          <w:p w14:paraId="6F9A168D">
            <w:pPr>
              <w:widowControl/>
              <w:adjustRightInd w:val="0"/>
              <w:snapToGrid w:val="0"/>
              <w:spacing w:line="240" w:lineRule="auto"/>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val="en-US" w:eastAsia="zh-CN"/>
              </w:rPr>
              <w:t>应急保障措施优于采购需求的，</w:t>
            </w:r>
            <w:r>
              <w:rPr>
                <w:rFonts w:hint="eastAsia" w:ascii="仿宋" w:hAnsi="仿宋" w:eastAsia="仿宋" w:cs="仿宋"/>
                <w:color w:val="auto"/>
                <w:spacing w:val="-6"/>
                <w:sz w:val="24"/>
                <w:szCs w:val="24"/>
                <w:highlight w:val="none"/>
              </w:rPr>
              <w:t>得</w:t>
            </w:r>
            <w:r>
              <w:rPr>
                <w:rFonts w:hint="eastAsia" w:ascii="仿宋" w:hAnsi="仿宋" w:eastAsia="仿宋" w:cs="仿宋"/>
                <w:color w:val="auto"/>
                <w:kern w:val="0"/>
                <w:sz w:val="24"/>
                <w:szCs w:val="24"/>
                <w:highlight w:val="none"/>
              </w:rPr>
              <w:t>4.1-</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.0分</w:t>
            </w:r>
            <w:r>
              <w:rPr>
                <w:rFonts w:hint="eastAsia" w:ascii="仿宋" w:hAnsi="仿宋" w:eastAsia="仿宋" w:cs="仿宋"/>
                <w:color w:val="auto"/>
                <w:spacing w:val="-6"/>
                <w:sz w:val="24"/>
                <w:szCs w:val="24"/>
                <w:highlight w:val="none"/>
                <w:lang w:eastAsia="zh-CN"/>
              </w:rPr>
              <w:t>；</w:t>
            </w:r>
          </w:p>
          <w:p w14:paraId="333671B8">
            <w:pPr>
              <w:widowControl/>
              <w:adjustRightInd w:val="0"/>
              <w:snapToGrid w:val="0"/>
              <w:spacing w:line="240" w:lineRule="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pacing w:val="-6"/>
                <w:sz w:val="24"/>
                <w:szCs w:val="24"/>
                <w:highlight w:val="none"/>
                <w:lang w:val="en-US" w:eastAsia="zh-CN"/>
              </w:rPr>
              <w:t>应急保障措施基本符合采购需求的，</w:t>
            </w:r>
            <w:r>
              <w:rPr>
                <w:rFonts w:hint="eastAsia" w:ascii="仿宋" w:hAnsi="仿宋" w:eastAsia="仿宋" w:cs="仿宋"/>
                <w:color w:val="auto"/>
                <w:spacing w:val="-6"/>
                <w:sz w:val="24"/>
                <w:szCs w:val="24"/>
                <w:highlight w:val="none"/>
              </w:rPr>
              <w:t>得</w:t>
            </w:r>
            <w:r>
              <w:rPr>
                <w:rFonts w:hint="eastAsia" w:ascii="仿宋" w:hAnsi="仿宋" w:eastAsia="仿宋" w:cs="仿宋"/>
                <w:color w:val="auto"/>
                <w:kern w:val="0"/>
                <w:sz w:val="24"/>
                <w:szCs w:val="24"/>
                <w:highlight w:val="none"/>
              </w:rPr>
              <w:t>2.1-4.0分</w:t>
            </w:r>
            <w:r>
              <w:rPr>
                <w:rFonts w:hint="eastAsia" w:ascii="仿宋" w:hAnsi="仿宋" w:eastAsia="仿宋" w:cs="仿宋"/>
                <w:color w:val="auto"/>
                <w:kern w:val="0"/>
                <w:sz w:val="24"/>
                <w:szCs w:val="24"/>
                <w:highlight w:val="none"/>
                <w:lang w:eastAsia="zh-CN"/>
              </w:rPr>
              <w:t>；</w:t>
            </w:r>
          </w:p>
          <w:p w14:paraId="0EC0FBA6">
            <w:pPr>
              <w:widowControl/>
              <w:adjustRightInd w:val="0"/>
              <w:snapToGrid w:val="0"/>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应急保障措施</w:t>
            </w:r>
            <w:r>
              <w:rPr>
                <w:rFonts w:hint="eastAsia" w:ascii="仿宋" w:hAnsi="仿宋" w:eastAsia="仿宋" w:cs="仿宋"/>
                <w:color w:val="auto"/>
                <w:spacing w:val="-6"/>
                <w:sz w:val="24"/>
                <w:szCs w:val="24"/>
                <w:highlight w:val="none"/>
              </w:rPr>
              <w:t>一般</w:t>
            </w:r>
            <w:r>
              <w:rPr>
                <w:rFonts w:hint="eastAsia" w:ascii="仿宋" w:hAnsi="仿宋" w:eastAsia="仿宋" w:cs="仿宋"/>
                <w:color w:val="auto"/>
                <w:spacing w:val="-6"/>
                <w:sz w:val="24"/>
                <w:szCs w:val="24"/>
                <w:highlight w:val="none"/>
                <w:lang w:val="en-US" w:eastAsia="zh-CN"/>
              </w:rPr>
              <w:t>的，</w:t>
            </w:r>
            <w:r>
              <w:rPr>
                <w:rFonts w:hint="eastAsia" w:ascii="仿宋" w:hAnsi="仿宋" w:eastAsia="仿宋" w:cs="仿宋"/>
                <w:color w:val="auto"/>
                <w:spacing w:val="-6"/>
                <w:sz w:val="24"/>
                <w:szCs w:val="24"/>
                <w:highlight w:val="none"/>
              </w:rPr>
              <w:t>得0.1-2.0分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不提供不得分</w:t>
            </w:r>
            <w:r>
              <w:rPr>
                <w:rFonts w:hint="eastAsia" w:ascii="仿宋" w:hAnsi="仿宋" w:eastAsia="仿宋" w:cs="仿宋"/>
                <w:color w:val="auto"/>
                <w:spacing w:val="-6"/>
                <w:sz w:val="24"/>
                <w:szCs w:val="24"/>
                <w:highlight w:val="none"/>
              </w:rPr>
              <w:t>。</w:t>
            </w:r>
          </w:p>
        </w:tc>
        <w:tc>
          <w:tcPr>
            <w:tcW w:w="808" w:type="dxa"/>
            <w:noWrap w:val="0"/>
            <w:vAlign w:val="center"/>
          </w:tcPr>
          <w:p w14:paraId="2363492D">
            <w:pPr>
              <w:widowControl/>
              <w:adjustRightInd w:val="0"/>
              <w:snapToGrid w:val="0"/>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r>
      <w:tr w14:paraId="7DE12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jc w:val="center"/>
        </w:trPr>
        <w:tc>
          <w:tcPr>
            <w:tcW w:w="853" w:type="dxa"/>
            <w:vMerge w:val="restart"/>
            <w:shd w:val="clear" w:color="auto" w:fill="auto"/>
            <w:noWrap w:val="0"/>
            <w:vAlign w:val="center"/>
          </w:tcPr>
          <w:p w14:paraId="574C5D88">
            <w:pPr>
              <w:widowControl/>
              <w:adjustRightInd w:val="0"/>
              <w:snapToGrid w:val="0"/>
              <w:spacing w:line="240" w:lineRule="auto"/>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5</w:t>
            </w:r>
          </w:p>
        </w:tc>
        <w:tc>
          <w:tcPr>
            <w:tcW w:w="1247" w:type="dxa"/>
            <w:vMerge w:val="restart"/>
            <w:shd w:val="clear" w:color="auto" w:fill="auto"/>
            <w:noWrap w:val="0"/>
            <w:vAlign w:val="center"/>
          </w:tcPr>
          <w:p w14:paraId="3B6EC906">
            <w:pPr>
              <w:widowControl/>
              <w:adjustRightInd w:val="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行程安排方案</w:t>
            </w:r>
          </w:p>
        </w:tc>
        <w:tc>
          <w:tcPr>
            <w:tcW w:w="6013" w:type="dxa"/>
            <w:shd w:val="clear" w:color="auto" w:fill="auto"/>
            <w:noWrap w:val="0"/>
            <w:vAlign w:val="center"/>
          </w:tcPr>
          <w:p w14:paraId="62506903">
            <w:pPr>
              <w:widowControl/>
              <w:adjustRightInd w:val="0"/>
              <w:snapToGrid w:val="0"/>
              <w:spacing w:line="240" w:lineRule="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对</w:t>
            </w:r>
            <w:r>
              <w:rPr>
                <w:rFonts w:hint="eastAsia" w:ascii="仿宋" w:hAnsi="仿宋" w:eastAsia="仿宋" w:cs="仿宋"/>
                <w:color w:val="auto"/>
                <w:kern w:val="0"/>
                <w:sz w:val="24"/>
                <w:szCs w:val="24"/>
                <w:highlight w:val="none"/>
              </w:rPr>
              <w:t>线路的具体设计安排、服务内容、创意设计情况（包括疗休养内容安排、路线的合理性，景观的价值等内容）</w:t>
            </w:r>
            <w:r>
              <w:rPr>
                <w:rFonts w:hint="eastAsia" w:ascii="仿宋" w:hAnsi="仿宋" w:eastAsia="仿宋" w:cs="仿宋"/>
                <w:color w:val="auto"/>
                <w:kern w:val="0"/>
                <w:sz w:val="24"/>
                <w:szCs w:val="24"/>
                <w:highlight w:val="none"/>
                <w:lang w:val="en-US" w:eastAsia="zh-CN"/>
              </w:rPr>
              <w:t>进行</w:t>
            </w:r>
            <w:r>
              <w:rPr>
                <w:rFonts w:hint="eastAsia" w:ascii="仿宋" w:hAnsi="仿宋" w:eastAsia="仿宋" w:cs="仿宋"/>
                <w:color w:val="auto"/>
                <w:kern w:val="0"/>
                <w:sz w:val="24"/>
                <w:szCs w:val="24"/>
                <w:highlight w:val="none"/>
              </w:rPr>
              <w:t>打分</w:t>
            </w:r>
            <w:r>
              <w:rPr>
                <w:rFonts w:hint="eastAsia" w:ascii="仿宋" w:hAnsi="仿宋" w:eastAsia="仿宋" w:cs="仿宋"/>
                <w:color w:val="auto"/>
                <w:kern w:val="0"/>
                <w:sz w:val="24"/>
                <w:szCs w:val="24"/>
                <w:highlight w:val="none"/>
                <w:lang w:eastAsia="zh-CN"/>
              </w:rPr>
              <w:t>；</w:t>
            </w:r>
          </w:p>
          <w:p w14:paraId="796DB662">
            <w:pPr>
              <w:widowControl/>
              <w:adjustRightInd w:val="0"/>
              <w:snapToGrid w:val="0"/>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每条线路提供的行程单详细科学、合理有效的得4.1-5.0分；</w:t>
            </w:r>
          </w:p>
          <w:p w14:paraId="1CF0A68C">
            <w:pPr>
              <w:widowControl/>
              <w:adjustRightInd w:val="0"/>
              <w:snapToGrid w:val="0"/>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每条线路提供的行程单基本合理、比较一般的得2.1-4.0分；</w:t>
            </w:r>
          </w:p>
          <w:p w14:paraId="12437100">
            <w:pPr>
              <w:widowControl/>
              <w:adjustRightInd w:val="0"/>
              <w:snapToGrid w:val="0"/>
              <w:spacing w:line="24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每条线路提供的行程单存在缺失得0.1-2.0分；不提供不得分。</w:t>
            </w:r>
          </w:p>
        </w:tc>
        <w:tc>
          <w:tcPr>
            <w:tcW w:w="808" w:type="dxa"/>
            <w:shd w:val="clear" w:color="auto" w:fill="auto"/>
            <w:noWrap w:val="0"/>
            <w:vAlign w:val="center"/>
          </w:tcPr>
          <w:p w14:paraId="70ED5E0C">
            <w:pPr>
              <w:widowControl/>
              <w:adjustRightInd w:val="0"/>
              <w:snapToGrid w:val="0"/>
              <w:spacing w:line="24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5</w:t>
            </w:r>
          </w:p>
        </w:tc>
      </w:tr>
      <w:tr w14:paraId="62432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853" w:type="dxa"/>
            <w:vMerge w:val="continue"/>
            <w:noWrap w:val="0"/>
            <w:vAlign w:val="center"/>
          </w:tcPr>
          <w:p w14:paraId="7C5CD642">
            <w:pPr>
              <w:widowControl/>
              <w:adjustRightInd w:val="0"/>
              <w:snapToGrid w:val="0"/>
              <w:spacing w:line="240" w:lineRule="auto"/>
              <w:jc w:val="center"/>
              <w:rPr>
                <w:rFonts w:hint="eastAsia" w:ascii="仿宋" w:hAnsi="仿宋" w:eastAsia="仿宋" w:cs="仿宋"/>
                <w:color w:val="auto"/>
                <w:kern w:val="0"/>
                <w:sz w:val="24"/>
                <w:szCs w:val="24"/>
                <w:highlight w:val="none"/>
              </w:rPr>
            </w:pPr>
          </w:p>
        </w:tc>
        <w:tc>
          <w:tcPr>
            <w:tcW w:w="1247" w:type="dxa"/>
            <w:vMerge w:val="continue"/>
            <w:noWrap w:val="0"/>
            <w:vAlign w:val="center"/>
          </w:tcPr>
          <w:p w14:paraId="025AC86F">
            <w:pPr>
              <w:widowControl/>
              <w:adjustRightInd w:val="0"/>
              <w:snapToGrid w:val="0"/>
              <w:spacing w:line="240" w:lineRule="auto"/>
              <w:jc w:val="center"/>
              <w:rPr>
                <w:rFonts w:hint="eastAsia" w:ascii="仿宋" w:hAnsi="仿宋" w:eastAsia="仿宋" w:cs="仿宋"/>
                <w:color w:val="auto"/>
                <w:kern w:val="0"/>
                <w:sz w:val="24"/>
                <w:szCs w:val="24"/>
                <w:highlight w:val="none"/>
              </w:rPr>
            </w:pPr>
          </w:p>
        </w:tc>
        <w:tc>
          <w:tcPr>
            <w:tcW w:w="6013" w:type="dxa"/>
            <w:shd w:val="clear" w:color="auto" w:fill="auto"/>
            <w:noWrap w:val="0"/>
            <w:vAlign w:val="center"/>
          </w:tcPr>
          <w:p w14:paraId="4E4BC7CA">
            <w:pPr>
              <w:widowControl/>
              <w:numPr>
                <w:ilvl w:val="0"/>
                <w:numId w:val="0"/>
              </w:numPr>
              <w:adjustRightInd w:val="0"/>
              <w:snapToGrid w:val="0"/>
              <w:spacing w:line="24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根据投标人所列酒店（包括备选酒店）档次、酒店环境舒适度、品牌、口碑进行打分。提供酒店相关介绍或说明。</w:t>
            </w:r>
          </w:p>
          <w:p w14:paraId="5A74E1AB">
            <w:pPr>
              <w:widowControl/>
              <w:numPr>
                <w:ilvl w:val="0"/>
                <w:numId w:val="0"/>
              </w:numPr>
              <w:adjustRightInd w:val="0"/>
              <w:snapToGrid w:val="0"/>
              <w:spacing w:line="24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酒店环境非常舒适、品牌口碑好的得4.1-5.0分；</w:t>
            </w:r>
          </w:p>
          <w:p w14:paraId="76854D95">
            <w:pPr>
              <w:widowControl/>
              <w:numPr>
                <w:ilvl w:val="0"/>
                <w:numId w:val="0"/>
              </w:numPr>
              <w:adjustRightInd w:val="0"/>
              <w:snapToGrid w:val="0"/>
              <w:spacing w:line="24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酒店环境较舒适、品牌口碑较好的得2.1-4.0分；</w:t>
            </w:r>
          </w:p>
          <w:p w14:paraId="19F4B7E3">
            <w:pPr>
              <w:widowControl/>
              <w:numPr>
                <w:ilvl w:val="0"/>
                <w:numId w:val="0"/>
              </w:numPr>
              <w:adjustRightInd w:val="0"/>
              <w:snapToGrid w:val="0"/>
              <w:spacing w:line="24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酒店环境舒适度低、品牌口碑差的得0.1-2.0分；不提供不得分。</w:t>
            </w:r>
          </w:p>
        </w:tc>
        <w:tc>
          <w:tcPr>
            <w:tcW w:w="808" w:type="dxa"/>
            <w:shd w:val="clear" w:color="auto" w:fill="auto"/>
            <w:noWrap w:val="0"/>
            <w:vAlign w:val="center"/>
          </w:tcPr>
          <w:p w14:paraId="3FB0F548">
            <w:pPr>
              <w:widowControl/>
              <w:adjustRightInd w:val="0"/>
              <w:snapToGrid w:val="0"/>
              <w:spacing w:line="240" w:lineRule="auto"/>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w:t>
            </w:r>
          </w:p>
        </w:tc>
      </w:tr>
      <w:tr w14:paraId="3A219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jc w:val="center"/>
        </w:trPr>
        <w:tc>
          <w:tcPr>
            <w:tcW w:w="853" w:type="dxa"/>
            <w:vMerge w:val="continue"/>
            <w:noWrap w:val="0"/>
            <w:vAlign w:val="center"/>
          </w:tcPr>
          <w:p w14:paraId="72BA928E">
            <w:pPr>
              <w:widowControl/>
              <w:adjustRightInd w:val="0"/>
              <w:snapToGrid w:val="0"/>
              <w:spacing w:line="240" w:lineRule="auto"/>
              <w:jc w:val="center"/>
              <w:rPr>
                <w:rFonts w:hint="eastAsia" w:ascii="仿宋" w:hAnsi="仿宋" w:eastAsia="仿宋" w:cs="仿宋"/>
                <w:color w:val="auto"/>
                <w:kern w:val="0"/>
                <w:sz w:val="24"/>
                <w:szCs w:val="24"/>
                <w:highlight w:val="none"/>
                <w:lang w:eastAsia="zh-CN"/>
              </w:rPr>
            </w:pPr>
          </w:p>
        </w:tc>
        <w:tc>
          <w:tcPr>
            <w:tcW w:w="1247" w:type="dxa"/>
            <w:vMerge w:val="continue"/>
            <w:noWrap w:val="0"/>
            <w:vAlign w:val="center"/>
          </w:tcPr>
          <w:p w14:paraId="612EE6CE">
            <w:pPr>
              <w:widowControl/>
              <w:adjustRightInd w:val="0"/>
              <w:snapToGrid w:val="0"/>
              <w:spacing w:line="240" w:lineRule="auto"/>
              <w:jc w:val="center"/>
              <w:rPr>
                <w:rFonts w:hint="eastAsia" w:ascii="仿宋" w:hAnsi="仿宋" w:eastAsia="仿宋" w:cs="仿宋"/>
                <w:color w:val="auto"/>
                <w:kern w:val="0"/>
                <w:sz w:val="24"/>
                <w:szCs w:val="24"/>
                <w:highlight w:val="none"/>
              </w:rPr>
            </w:pPr>
          </w:p>
        </w:tc>
        <w:tc>
          <w:tcPr>
            <w:tcW w:w="6013" w:type="dxa"/>
            <w:noWrap w:val="0"/>
            <w:vAlign w:val="center"/>
          </w:tcPr>
          <w:p w14:paraId="32205F6F">
            <w:pPr>
              <w:keepNext w:val="0"/>
              <w:keepLines w:val="0"/>
              <w:pageBreakBefore w:val="0"/>
              <w:kinsoku/>
              <w:wordWrap/>
              <w:overflowPunct/>
              <w:topLinePunct w:val="0"/>
              <w:bidi w:val="0"/>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根据投标人提供的餐饮服务计划、服务环境、餐饮荤素搭配情况等内容</w:t>
            </w:r>
            <w:r>
              <w:rPr>
                <w:rFonts w:hint="eastAsia" w:ascii="仿宋" w:hAnsi="仿宋" w:eastAsia="仿宋" w:cs="仿宋"/>
                <w:color w:val="auto"/>
                <w:kern w:val="0"/>
                <w:sz w:val="24"/>
                <w:szCs w:val="24"/>
                <w:highlight w:val="none"/>
                <w:lang w:val="en-US" w:eastAsia="zh-CN"/>
              </w:rPr>
              <w:t>进行打分</w:t>
            </w:r>
            <w:r>
              <w:rPr>
                <w:rFonts w:hint="eastAsia" w:ascii="仿宋" w:hAnsi="仿宋" w:eastAsia="仿宋" w:cs="仿宋"/>
                <w:color w:val="auto"/>
                <w:kern w:val="0"/>
                <w:sz w:val="24"/>
                <w:szCs w:val="24"/>
                <w:highlight w:val="none"/>
              </w:rPr>
              <w:t>。</w:t>
            </w:r>
          </w:p>
          <w:p w14:paraId="53632586">
            <w:pPr>
              <w:keepNext w:val="0"/>
              <w:keepLines w:val="0"/>
              <w:pageBreakBefore w:val="0"/>
              <w:kinsoku/>
              <w:wordWrap/>
              <w:overflowPunct/>
              <w:topLinePunct w:val="0"/>
              <w:bidi w:val="0"/>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餐饮服务计划完善、服务环境优美、餐饮荤素搭配合理的得4.1-5.0分；</w:t>
            </w:r>
          </w:p>
          <w:p w14:paraId="2D39B198">
            <w:pPr>
              <w:keepNext w:val="0"/>
              <w:keepLines w:val="0"/>
              <w:pageBreakBefore w:val="0"/>
              <w:kinsoku/>
              <w:wordWrap/>
              <w:overflowPunct/>
              <w:topLinePunct w:val="0"/>
              <w:bidi w:val="0"/>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餐饮服务计划较完善、服务环境较优美、餐饮荤素搭配较合理的得2.1-4.0分；</w:t>
            </w:r>
          </w:p>
          <w:p w14:paraId="2900A41D">
            <w:pPr>
              <w:keepNext w:val="0"/>
              <w:keepLines w:val="0"/>
              <w:pageBreakBefore w:val="0"/>
              <w:kinsoku/>
              <w:wordWrap/>
              <w:overflowPunct/>
              <w:topLinePunct w:val="0"/>
              <w:bidi w:val="0"/>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餐饮服务计划不完善、服务环境差、餐饮荤素搭配不合理的得0.1-2.0分；不提供不得分。</w:t>
            </w:r>
          </w:p>
        </w:tc>
        <w:tc>
          <w:tcPr>
            <w:tcW w:w="808" w:type="dxa"/>
            <w:noWrap w:val="0"/>
            <w:vAlign w:val="center"/>
          </w:tcPr>
          <w:p w14:paraId="2906CF3B">
            <w:pPr>
              <w:widowControl/>
              <w:adjustRightInd w:val="0"/>
              <w:snapToGrid w:val="0"/>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5</w:t>
            </w:r>
          </w:p>
        </w:tc>
      </w:tr>
      <w:tr w14:paraId="1AFD4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853" w:type="dxa"/>
            <w:vMerge w:val="continue"/>
            <w:noWrap w:val="0"/>
            <w:vAlign w:val="center"/>
          </w:tcPr>
          <w:p w14:paraId="2F41C069">
            <w:pPr>
              <w:widowControl/>
              <w:adjustRightInd w:val="0"/>
              <w:snapToGrid w:val="0"/>
              <w:spacing w:line="240" w:lineRule="auto"/>
              <w:jc w:val="center"/>
              <w:rPr>
                <w:rFonts w:hint="eastAsia" w:ascii="仿宋" w:hAnsi="仿宋" w:eastAsia="仿宋" w:cs="仿宋"/>
                <w:color w:val="auto"/>
                <w:kern w:val="0"/>
                <w:sz w:val="24"/>
                <w:szCs w:val="24"/>
                <w:highlight w:val="none"/>
                <w:lang w:val="en-US" w:eastAsia="zh-CN"/>
              </w:rPr>
            </w:pPr>
          </w:p>
        </w:tc>
        <w:tc>
          <w:tcPr>
            <w:tcW w:w="1247" w:type="dxa"/>
            <w:vMerge w:val="continue"/>
            <w:noWrap w:val="0"/>
            <w:vAlign w:val="center"/>
          </w:tcPr>
          <w:p w14:paraId="1D99B1B6">
            <w:pPr>
              <w:widowControl/>
              <w:adjustRightInd w:val="0"/>
              <w:snapToGrid w:val="0"/>
              <w:spacing w:line="240" w:lineRule="auto"/>
              <w:jc w:val="center"/>
              <w:rPr>
                <w:rFonts w:hint="eastAsia" w:ascii="仿宋" w:hAnsi="仿宋" w:eastAsia="仿宋" w:cs="仿宋"/>
                <w:color w:val="auto"/>
                <w:kern w:val="0"/>
                <w:sz w:val="24"/>
                <w:szCs w:val="24"/>
                <w:highlight w:val="none"/>
                <w:lang w:val="en-US" w:eastAsia="zh-CN"/>
              </w:rPr>
            </w:pPr>
          </w:p>
        </w:tc>
        <w:tc>
          <w:tcPr>
            <w:tcW w:w="6013" w:type="dxa"/>
            <w:noWrap w:val="0"/>
            <w:vAlign w:val="center"/>
          </w:tcPr>
          <w:p w14:paraId="28B56E59">
            <w:pPr>
              <w:pStyle w:val="33"/>
              <w:keepNext w:val="0"/>
              <w:keepLines w:val="0"/>
              <w:pageBreakBefore w:val="0"/>
              <w:widowControl/>
              <w:numPr>
                <w:ilvl w:val="6"/>
                <w:numId w:val="0"/>
              </w:numPr>
              <w:tabs>
                <w:tab w:val="clear" w:pos="2940"/>
              </w:tabs>
              <w:kinsoku/>
              <w:wordWrap/>
              <w:overflowPunct/>
              <w:topLinePunct w:val="0"/>
              <w:autoSpaceDE/>
              <w:autoSpaceDN/>
              <w:bidi w:val="0"/>
              <w:snapToGrid w:val="0"/>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根据提供车辆已使用年限、载客量、配备的司机驾龄等方面进行打分。</w:t>
            </w:r>
          </w:p>
          <w:p w14:paraId="39D19CA5">
            <w:pPr>
              <w:pStyle w:val="33"/>
              <w:keepNext w:val="0"/>
              <w:keepLines w:val="0"/>
              <w:pageBreakBefore w:val="0"/>
              <w:widowControl/>
              <w:numPr>
                <w:ilvl w:val="6"/>
                <w:numId w:val="0"/>
              </w:numPr>
              <w:tabs>
                <w:tab w:val="clear" w:pos="2940"/>
              </w:tabs>
              <w:kinsoku/>
              <w:wordWrap/>
              <w:overflowPunct/>
              <w:topLinePunct w:val="0"/>
              <w:autoSpaceDE/>
              <w:autoSpaceDN/>
              <w:bidi w:val="0"/>
              <w:snapToGrid w:val="0"/>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提供车辆已使用年限短、载客量大、配备的司机驾龄长的得4.1-5.0分；</w:t>
            </w:r>
          </w:p>
          <w:p w14:paraId="60BEA460">
            <w:pPr>
              <w:pStyle w:val="33"/>
              <w:keepNext w:val="0"/>
              <w:keepLines w:val="0"/>
              <w:pageBreakBefore w:val="0"/>
              <w:widowControl/>
              <w:numPr>
                <w:ilvl w:val="6"/>
                <w:numId w:val="0"/>
              </w:numPr>
              <w:tabs>
                <w:tab w:val="clear" w:pos="2940"/>
              </w:tabs>
              <w:kinsoku/>
              <w:wordWrap/>
              <w:overflowPunct/>
              <w:topLinePunct w:val="0"/>
              <w:autoSpaceDE/>
              <w:autoSpaceDN/>
              <w:bidi w:val="0"/>
              <w:snapToGrid w:val="0"/>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提供车辆已使用年限较短、载客量较大、配备的司机驾龄较长的得2.1-4.0分；</w:t>
            </w:r>
          </w:p>
          <w:p w14:paraId="1EF4C92B">
            <w:pPr>
              <w:pStyle w:val="33"/>
              <w:keepNext w:val="0"/>
              <w:keepLines w:val="0"/>
              <w:pageBreakBefore w:val="0"/>
              <w:widowControl/>
              <w:numPr>
                <w:ilvl w:val="6"/>
                <w:numId w:val="0"/>
              </w:numPr>
              <w:tabs>
                <w:tab w:val="clear" w:pos="2940"/>
              </w:tabs>
              <w:kinsoku/>
              <w:wordWrap/>
              <w:overflowPunct/>
              <w:topLinePunct w:val="0"/>
              <w:autoSpaceDE/>
              <w:autoSpaceDN/>
              <w:bidi w:val="0"/>
              <w:snapToGrid w:val="0"/>
              <w:spacing w:line="240" w:lineRule="auto"/>
              <w:textAlignment w:val="auto"/>
              <w:rPr>
                <w:rFonts w:hint="default"/>
                <w:color w:val="auto"/>
                <w:highlight w:val="none"/>
                <w:lang w:val="en-US" w:eastAsia="zh-CN"/>
              </w:rPr>
            </w:pPr>
            <w:r>
              <w:rPr>
                <w:rFonts w:hint="eastAsia" w:ascii="仿宋" w:hAnsi="仿宋" w:eastAsia="仿宋" w:cs="仿宋"/>
                <w:color w:val="auto"/>
                <w:kern w:val="0"/>
                <w:sz w:val="24"/>
                <w:szCs w:val="24"/>
                <w:highlight w:val="none"/>
              </w:rPr>
              <w:t>提供车辆已使用年限长、载客量小、配备的司机驾龄短的得0.1-2.0分；不提供不得分。</w:t>
            </w:r>
          </w:p>
        </w:tc>
        <w:tc>
          <w:tcPr>
            <w:tcW w:w="808" w:type="dxa"/>
            <w:noWrap w:val="0"/>
            <w:vAlign w:val="center"/>
          </w:tcPr>
          <w:p w14:paraId="76CAABD3">
            <w:pPr>
              <w:widowControl/>
              <w:adjustRightInd w:val="0"/>
              <w:snapToGrid w:val="0"/>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r>
      <w:tr w14:paraId="54F82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jc w:val="center"/>
        </w:trPr>
        <w:tc>
          <w:tcPr>
            <w:tcW w:w="853" w:type="dxa"/>
            <w:noWrap w:val="0"/>
            <w:vAlign w:val="center"/>
          </w:tcPr>
          <w:p w14:paraId="556E6EBE">
            <w:pPr>
              <w:widowControl/>
              <w:adjustRightInd w:val="0"/>
              <w:snapToGrid w:val="0"/>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1247" w:type="dxa"/>
            <w:noWrap w:val="0"/>
            <w:vAlign w:val="center"/>
          </w:tcPr>
          <w:p w14:paraId="2613CB1D">
            <w:pPr>
              <w:widowControl/>
              <w:adjustRightInd w:val="0"/>
              <w:snapToGrid w:val="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项目服务</w:t>
            </w:r>
          </w:p>
          <w:p w14:paraId="49ED37DE">
            <w:pPr>
              <w:widowControl/>
              <w:adjustRightInd w:val="0"/>
              <w:snapToGrid w:val="0"/>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方案</w:t>
            </w:r>
          </w:p>
        </w:tc>
        <w:tc>
          <w:tcPr>
            <w:tcW w:w="6013" w:type="dxa"/>
            <w:noWrap w:val="0"/>
            <w:vAlign w:val="center"/>
          </w:tcPr>
          <w:p w14:paraId="1D8A04B1">
            <w:pPr>
              <w:widowControl/>
              <w:adjustRightInd w:val="0"/>
              <w:snapToGrid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投标人</w:t>
            </w:r>
            <w:r>
              <w:rPr>
                <w:rFonts w:hint="eastAsia" w:ascii="仿宋" w:hAnsi="仿宋" w:eastAsia="仿宋" w:cs="仿宋"/>
                <w:color w:val="auto"/>
                <w:kern w:val="0"/>
                <w:sz w:val="24"/>
                <w:szCs w:val="24"/>
                <w:highlight w:val="none"/>
              </w:rPr>
              <w:t>服务方案总体情况，根据投标人对采购人提供的服务方案是否具有一定的科学性和完整性，方案是否完善</w:t>
            </w:r>
            <w:r>
              <w:rPr>
                <w:rFonts w:hint="eastAsia" w:ascii="仿宋" w:hAnsi="仿宋" w:eastAsia="仿宋" w:cs="仿宋"/>
                <w:color w:val="auto"/>
                <w:kern w:val="0"/>
                <w:sz w:val="24"/>
                <w:szCs w:val="24"/>
                <w:highlight w:val="none"/>
                <w:lang w:val="en-US" w:eastAsia="zh-CN"/>
              </w:rPr>
              <w:t>进行</w:t>
            </w:r>
            <w:r>
              <w:rPr>
                <w:rFonts w:hint="eastAsia" w:ascii="仿宋" w:hAnsi="仿宋" w:eastAsia="仿宋" w:cs="仿宋"/>
                <w:color w:val="auto"/>
                <w:kern w:val="0"/>
                <w:sz w:val="24"/>
                <w:szCs w:val="24"/>
                <w:highlight w:val="none"/>
              </w:rPr>
              <w:t>打分。包括但不限于：服务响应程度、餐饮标准、导游资格资历、服务态度、优惠措施、其它服务承诺等。</w:t>
            </w:r>
          </w:p>
          <w:p w14:paraId="63C75A8A">
            <w:pPr>
              <w:widowControl/>
              <w:adjustRightInd w:val="0"/>
              <w:snapToGrid w:val="0"/>
              <w:spacing w:line="240" w:lineRule="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项目服务方案优于采购需求的，</w:t>
            </w:r>
            <w:r>
              <w:rPr>
                <w:rFonts w:hint="eastAsia" w:ascii="仿宋" w:hAnsi="仿宋" w:eastAsia="仿宋" w:cs="仿宋"/>
                <w:color w:val="auto"/>
                <w:kern w:val="0"/>
                <w:sz w:val="24"/>
                <w:szCs w:val="24"/>
                <w:highlight w:val="none"/>
              </w:rPr>
              <w:t>得6.1-9.0分</w:t>
            </w:r>
            <w:r>
              <w:rPr>
                <w:rFonts w:hint="eastAsia" w:ascii="仿宋" w:hAnsi="仿宋" w:eastAsia="仿宋" w:cs="仿宋"/>
                <w:color w:val="auto"/>
                <w:kern w:val="0"/>
                <w:sz w:val="24"/>
                <w:szCs w:val="24"/>
                <w:highlight w:val="none"/>
                <w:lang w:eastAsia="zh-CN"/>
              </w:rPr>
              <w:t>；</w:t>
            </w:r>
          </w:p>
          <w:p w14:paraId="3D3E58C3">
            <w:pPr>
              <w:widowControl/>
              <w:adjustRightInd w:val="0"/>
              <w:snapToGrid w:val="0"/>
              <w:spacing w:line="240" w:lineRule="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项目服务方案基本符合采购需求的，</w:t>
            </w:r>
            <w:r>
              <w:rPr>
                <w:rFonts w:hint="eastAsia" w:ascii="仿宋" w:hAnsi="仿宋" w:eastAsia="仿宋" w:cs="仿宋"/>
                <w:color w:val="auto"/>
                <w:kern w:val="0"/>
                <w:sz w:val="24"/>
                <w:szCs w:val="24"/>
                <w:highlight w:val="none"/>
              </w:rPr>
              <w:t>得3.1-6.0分</w:t>
            </w:r>
            <w:r>
              <w:rPr>
                <w:rFonts w:hint="eastAsia" w:ascii="仿宋" w:hAnsi="仿宋" w:eastAsia="仿宋" w:cs="仿宋"/>
                <w:color w:val="auto"/>
                <w:kern w:val="0"/>
                <w:sz w:val="24"/>
                <w:szCs w:val="24"/>
                <w:highlight w:val="none"/>
                <w:lang w:eastAsia="zh-CN"/>
              </w:rPr>
              <w:t>；</w:t>
            </w:r>
          </w:p>
          <w:p w14:paraId="5CD808EF">
            <w:pPr>
              <w:widowControl/>
              <w:adjustRightInd w:val="0"/>
              <w:snapToGrid w:val="0"/>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项目服务方案一般的，</w:t>
            </w:r>
            <w:r>
              <w:rPr>
                <w:rFonts w:hint="eastAsia" w:ascii="仿宋" w:hAnsi="仿宋" w:eastAsia="仿宋" w:cs="仿宋"/>
                <w:color w:val="auto"/>
                <w:kern w:val="0"/>
                <w:sz w:val="24"/>
                <w:szCs w:val="24"/>
                <w:highlight w:val="none"/>
              </w:rPr>
              <w:t>得0.1-3分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不提供不得分。</w:t>
            </w:r>
          </w:p>
        </w:tc>
        <w:tc>
          <w:tcPr>
            <w:tcW w:w="808" w:type="dxa"/>
            <w:noWrap w:val="0"/>
            <w:vAlign w:val="center"/>
          </w:tcPr>
          <w:p w14:paraId="264C3606">
            <w:pPr>
              <w:widowControl/>
              <w:adjustRightInd w:val="0"/>
              <w:snapToGrid w:val="0"/>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p>
        </w:tc>
      </w:tr>
      <w:tr w14:paraId="386BD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jc w:val="center"/>
        </w:trPr>
        <w:tc>
          <w:tcPr>
            <w:tcW w:w="853" w:type="dxa"/>
            <w:noWrap w:val="0"/>
            <w:vAlign w:val="center"/>
          </w:tcPr>
          <w:p w14:paraId="4D53223A">
            <w:pPr>
              <w:widowControl/>
              <w:adjustRightInd w:val="0"/>
              <w:snapToGrid w:val="0"/>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w:t>
            </w:r>
          </w:p>
        </w:tc>
        <w:tc>
          <w:tcPr>
            <w:tcW w:w="1247" w:type="dxa"/>
            <w:noWrap w:val="0"/>
            <w:vAlign w:val="center"/>
          </w:tcPr>
          <w:p w14:paraId="0E204867">
            <w:pPr>
              <w:widowControl/>
              <w:adjustRightInd w:val="0"/>
              <w:snapToGrid w:val="0"/>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人员配备情况</w:t>
            </w:r>
          </w:p>
        </w:tc>
        <w:tc>
          <w:tcPr>
            <w:tcW w:w="6013" w:type="dxa"/>
            <w:noWrap w:val="0"/>
            <w:vAlign w:val="center"/>
          </w:tcPr>
          <w:p w14:paraId="12AA171B">
            <w:pPr>
              <w:adjustRightInd w:val="0"/>
              <w:snapToGrid w:val="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拟投入本项目导游具有高级导游证书的每个得2分，具有中级导游证书的每个得1分，具有初级导游证书的每个得0.5分。单名导游上述三证取最高值加分，不得重复计分，本项最高得8分。</w:t>
            </w:r>
          </w:p>
          <w:p w14:paraId="25F8D284">
            <w:pPr>
              <w:widowControl/>
              <w:adjustRightInd w:val="0"/>
              <w:snapToGrid w:val="0"/>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注：投标时</w:t>
            </w:r>
            <w:r>
              <w:rPr>
                <w:rFonts w:hint="eastAsia" w:ascii="仿宋" w:hAnsi="仿宋" w:eastAsia="仿宋" w:cs="仿宋"/>
                <w:color w:val="auto"/>
                <w:sz w:val="24"/>
                <w:szCs w:val="24"/>
                <w:highlight w:val="none"/>
                <w:lang w:val="en-US" w:eastAsia="zh-CN"/>
              </w:rPr>
              <w:t>需</w:t>
            </w:r>
            <w:r>
              <w:rPr>
                <w:rFonts w:hint="eastAsia" w:ascii="仿宋" w:hAnsi="仿宋" w:eastAsia="仿宋" w:cs="仿宋"/>
                <w:color w:val="auto"/>
                <w:spacing w:val="-6"/>
                <w:sz w:val="24"/>
                <w:szCs w:val="24"/>
                <w:highlight w:val="none"/>
              </w:rPr>
              <w:t>提供人员相关证书</w:t>
            </w:r>
            <w:r>
              <w:rPr>
                <w:rFonts w:hint="eastAsia" w:ascii="仿宋" w:hAnsi="仿宋" w:eastAsia="仿宋" w:cs="仿宋"/>
                <w:color w:val="auto"/>
                <w:spacing w:val="-6"/>
                <w:sz w:val="24"/>
                <w:szCs w:val="24"/>
                <w:highlight w:val="none"/>
                <w:lang w:val="en-US" w:eastAsia="zh-CN"/>
              </w:rPr>
              <w:t>原件</w:t>
            </w:r>
            <w:r>
              <w:rPr>
                <w:rFonts w:hint="eastAsia" w:ascii="仿宋" w:hAnsi="仿宋" w:eastAsia="仿宋" w:cs="仿宋"/>
                <w:color w:val="auto"/>
                <w:spacing w:val="-6"/>
                <w:sz w:val="24"/>
                <w:szCs w:val="24"/>
                <w:highlight w:val="none"/>
              </w:rPr>
              <w:t>复印件</w:t>
            </w:r>
            <w:r>
              <w:rPr>
                <w:rFonts w:hint="eastAsia" w:ascii="仿宋" w:hAnsi="仿宋" w:eastAsia="仿宋" w:cs="仿宋"/>
                <w:color w:val="auto"/>
                <w:spacing w:val="-6"/>
                <w:sz w:val="24"/>
                <w:szCs w:val="24"/>
                <w:highlight w:val="none"/>
                <w:lang w:val="en-US" w:eastAsia="zh-CN"/>
              </w:rPr>
              <w:t>或扫描件及在职社保证明并</w:t>
            </w:r>
            <w:r>
              <w:rPr>
                <w:rFonts w:hint="eastAsia" w:ascii="仿宋" w:hAnsi="仿宋" w:eastAsia="仿宋" w:cs="仿宋"/>
                <w:color w:val="auto"/>
                <w:spacing w:val="-6"/>
                <w:sz w:val="24"/>
                <w:szCs w:val="24"/>
                <w:highlight w:val="none"/>
              </w:rPr>
              <w:t>加盖投标人公章</w:t>
            </w:r>
            <w:r>
              <w:rPr>
                <w:rFonts w:hint="eastAsia" w:ascii="仿宋" w:hAnsi="仿宋" w:eastAsia="仿宋" w:cs="仿宋"/>
                <w:color w:val="auto"/>
                <w:spacing w:val="-6"/>
                <w:sz w:val="24"/>
                <w:szCs w:val="24"/>
                <w:highlight w:val="none"/>
                <w:lang w:eastAsia="zh-CN"/>
              </w:rPr>
              <w:t>，</w:t>
            </w:r>
            <w:r>
              <w:rPr>
                <w:rFonts w:hint="eastAsia" w:ascii="仿宋" w:hAnsi="仿宋" w:eastAsia="仿宋" w:cs="仿宋"/>
                <w:color w:val="auto"/>
                <w:spacing w:val="-6"/>
                <w:sz w:val="24"/>
                <w:szCs w:val="24"/>
                <w:highlight w:val="none"/>
              </w:rPr>
              <w:t>不提供或提供不全不得分</w:t>
            </w:r>
            <w:r>
              <w:rPr>
                <w:rFonts w:hint="eastAsia" w:ascii="仿宋" w:hAnsi="仿宋" w:eastAsia="仿宋" w:cs="仿宋"/>
                <w:color w:val="auto"/>
                <w:spacing w:val="-6"/>
                <w:sz w:val="24"/>
                <w:szCs w:val="24"/>
                <w:highlight w:val="none"/>
                <w:lang w:eastAsia="zh-CN"/>
              </w:rPr>
              <w:t>。</w:t>
            </w:r>
          </w:p>
        </w:tc>
        <w:tc>
          <w:tcPr>
            <w:tcW w:w="808" w:type="dxa"/>
            <w:noWrap w:val="0"/>
            <w:vAlign w:val="center"/>
          </w:tcPr>
          <w:p w14:paraId="3E01C1AC">
            <w:pPr>
              <w:widowControl/>
              <w:adjustRightInd w:val="0"/>
              <w:snapToGrid w:val="0"/>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w:t>
            </w:r>
          </w:p>
        </w:tc>
      </w:tr>
      <w:tr w14:paraId="6A53C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853" w:type="dxa"/>
            <w:noWrap w:val="0"/>
            <w:vAlign w:val="center"/>
          </w:tcPr>
          <w:p w14:paraId="7053AC26">
            <w:pPr>
              <w:widowControl/>
              <w:adjustRightInd w:val="0"/>
              <w:snapToGrid w:val="0"/>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w:t>
            </w:r>
          </w:p>
        </w:tc>
        <w:tc>
          <w:tcPr>
            <w:tcW w:w="1247" w:type="dxa"/>
            <w:noWrap w:val="0"/>
            <w:vAlign w:val="center"/>
          </w:tcPr>
          <w:p w14:paraId="5A8A9065">
            <w:pPr>
              <w:widowControl/>
              <w:adjustRightInd w:val="0"/>
              <w:snapToGrid w:val="0"/>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spacing w:val="-6"/>
                <w:sz w:val="24"/>
                <w:szCs w:val="24"/>
                <w:highlight w:val="none"/>
              </w:rPr>
              <w:t>旅游意外伤害险</w:t>
            </w:r>
          </w:p>
        </w:tc>
        <w:tc>
          <w:tcPr>
            <w:tcW w:w="6013" w:type="dxa"/>
            <w:noWrap w:val="0"/>
            <w:vAlign w:val="center"/>
          </w:tcPr>
          <w:p w14:paraId="325ECE73">
            <w:pPr>
              <w:adjustRightInd w:val="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根据投标人提供的旅行社责任险的额度</w:t>
            </w:r>
            <w:r>
              <w:rPr>
                <w:rFonts w:hint="eastAsia" w:ascii="仿宋" w:hAnsi="仿宋" w:eastAsia="仿宋" w:cs="仿宋"/>
                <w:color w:val="auto"/>
                <w:kern w:val="0"/>
                <w:sz w:val="24"/>
                <w:szCs w:val="24"/>
                <w:highlight w:val="none"/>
                <w:lang w:val="en-US" w:eastAsia="zh-CN"/>
              </w:rPr>
              <w:t>承诺</w:t>
            </w:r>
            <w:r>
              <w:rPr>
                <w:rFonts w:hint="eastAsia" w:ascii="仿宋" w:hAnsi="仿宋" w:eastAsia="仿宋" w:cs="仿宋"/>
                <w:color w:val="auto"/>
                <w:kern w:val="0"/>
                <w:sz w:val="24"/>
                <w:szCs w:val="24"/>
                <w:highlight w:val="none"/>
              </w:rPr>
              <w:t>进行打分，旅行社责任险基础额度为人民币100万元，在此基础上每增加</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0万元加</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分，最高得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w:t>
            </w:r>
          </w:p>
          <w:p w14:paraId="4CC13068">
            <w:pPr>
              <w:widowControl/>
              <w:adjustRightInd w:val="0"/>
              <w:snapToGrid w:val="0"/>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注：</w:t>
            </w:r>
            <w:r>
              <w:rPr>
                <w:rFonts w:hint="eastAsia" w:ascii="仿宋" w:hAnsi="仿宋" w:eastAsia="仿宋" w:cs="仿宋"/>
                <w:color w:val="auto"/>
                <w:kern w:val="0"/>
                <w:sz w:val="24"/>
                <w:szCs w:val="24"/>
                <w:highlight w:val="none"/>
              </w:rPr>
              <w:t>承诺函格式自拟并加盖投标单位公章</w:t>
            </w:r>
            <w:r>
              <w:rPr>
                <w:rFonts w:hint="eastAsia" w:ascii="仿宋" w:hAnsi="仿宋" w:eastAsia="仿宋" w:cs="仿宋"/>
                <w:color w:val="auto"/>
                <w:kern w:val="0"/>
                <w:sz w:val="24"/>
                <w:szCs w:val="24"/>
                <w:highlight w:val="none"/>
                <w:lang w:eastAsia="zh-CN"/>
              </w:rPr>
              <w:t>。</w:t>
            </w:r>
          </w:p>
        </w:tc>
        <w:tc>
          <w:tcPr>
            <w:tcW w:w="808" w:type="dxa"/>
            <w:noWrap w:val="0"/>
            <w:vAlign w:val="center"/>
          </w:tcPr>
          <w:p w14:paraId="0E8C7203">
            <w:pPr>
              <w:widowControl/>
              <w:adjustRightInd w:val="0"/>
              <w:snapToGrid w:val="0"/>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p>
        </w:tc>
      </w:tr>
      <w:tr w14:paraId="74A40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jc w:val="center"/>
        </w:trPr>
        <w:tc>
          <w:tcPr>
            <w:tcW w:w="853" w:type="dxa"/>
            <w:noWrap w:val="0"/>
            <w:vAlign w:val="center"/>
          </w:tcPr>
          <w:p w14:paraId="04DC2392">
            <w:pPr>
              <w:widowControl/>
              <w:adjustRightInd w:val="0"/>
              <w:snapToGrid w:val="0"/>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9</w:t>
            </w:r>
          </w:p>
        </w:tc>
        <w:tc>
          <w:tcPr>
            <w:tcW w:w="1247" w:type="dxa"/>
            <w:noWrap w:val="0"/>
            <w:vAlign w:val="center"/>
          </w:tcPr>
          <w:p w14:paraId="537408C6">
            <w:pPr>
              <w:widowControl/>
              <w:adjustRightInd w:val="0"/>
              <w:snapToGrid w:val="0"/>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旅行责任险</w:t>
            </w:r>
          </w:p>
        </w:tc>
        <w:tc>
          <w:tcPr>
            <w:tcW w:w="6013" w:type="dxa"/>
            <w:noWrap w:val="0"/>
            <w:vAlign w:val="center"/>
          </w:tcPr>
          <w:p w14:paraId="18A67EF1">
            <w:pPr>
              <w:adjustRightInd w:val="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投标人具有202</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年旅行社责任保险，保额每人在150万元及以上得3分，100-149万元得2分，100万以下得1分。</w:t>
            </w:r>
          </w:p>
          <w:p w14:paraId="118A3CD5">
            <w:pPr>
              <w:widowControl/>
              <w:adjustRightInd w:val="0"/>
              <w:snapToGrid w:val="0"/>
              <w:spacing w:line="24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全年累计有1000万及以上旅行社责任险得1分，具有旅行社责任险1500万及以上得2分，具有旅行社责任险2000万及以上得3分。</w:t>
            </w:r>
          </w:p>
          <w:p w14:paraId="29F6A7C7">
            <w:pPr>
              <w:pStyle w:val="33"/>
              <w:numPr>
                <w:ilvl w:val="6"/>
                <w:numId w:val="0"/>
              </w:numPr>
              <w:tabs>
                <w:tab w:val="clear" w:pos="2940"/>
              </w:tabs>
              <w:rPr>
                <w:rFonts w:hint="default" w:eastAsia="宋体"/>
                <w:color w:val="auto"/>
                <w:highlight w:val="none"/>
                <w:lang w:val="en-US" w:eastAsia="zh-CN"/>
              </w:rPr>
            </w:pPr>
            <w:r>
              <w:rPr>
                <w:rFonts w:hint="eastAsia" w:ascii="仿宋" w:hAnsi="仿宋" w:eastAsia="仿宋" w:cs="仿宋"/>
                <w:color w:val="auto"/>
                <w:kern w:val="0"/>
                <w:sz w:val="24"/>
                <w:szCs w:val="24"/>
                <w:highlight w:val="none"/>
                <w:lang w:val="en-US" w:eastAsia="zh-CN" w:bidi="ar-SA"/>
              </w:rPr>
              <w:t>注：投标时需提供相关证明材料并加盖公章。</w:t>
            </w:r>
          </w:p>
        </w:tc>
        <w:tc>
          <w:tcPr>
            <w:tcW w:w="808" w:type="dxa"/>
            <w:noWrap w:val="0"/>
            <w:vAlign w:val="center"/>
          </w:tcPr>
          <w:p w14:paraId="73EB0DE8">
            <w:pPr>
              <w:widowControl/>
              <w:adjustRightInd w:val="0"/>
              <w:snapToGrid w:val="0"/>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r>
      <w:tr w14:paraId="2EE10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1" w:hRule="atLeast"/>
          <w:jc w:val="center"/>
        </w:trPr>
        <w:tc>
          <w:tcPr>
            <w:tcW w:w="853" w:type="dxa"/>
            <w:noWrap w:val="0"/>
            <w:vAlign w:val="center"/>
          </w:tcPr>
          <w:p w14:paraId="11FF70BC">
            <w:pPr>
              <w:widowControl/>
              <w:adjustRightInd w:val="0"/>
              <w:snapToGrid w:val="0"/>
              <w:spacing w:line="24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1247" w:type="dxa"/>
            <w:noWrap w:val="0"/>
            <w:vAlign w:val="center"/>
          </w:tcPr>
          <w:p w14:paraId="1AD7FBE8">
            <w:pPr>
              <w:widowControl/>
              <w:adjustRightInd w:val="0"/>
              <w:snapToGrid w:val="0"/>
              <w:spacing w:line="24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后续服务和特色服务方案</w:t>
            </w:r>
          </w:p>
        </w:tc>
        <w:tc>
          <w:tcPr>
            <w:tcW w:w="6013" w:type="dxa"/>
            <w:noWrap w:val="0"/>
            <w:vAlign w:val="center"/>
          </w:tcPr>
          <w:p w14:paraId="5FA47236">
            <w:pPr>
              <w:widowControl/>
              <w:adjustRightInd w:val="0"/>
              <w:snapToGrid w:val="0"/>
              <w:spacing w:line="240" w:lineRule="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根据投标人提供的本项目的后续服务和特色服务（包括但不限于小零食、水果、水、饮料、纪念品、应急医药包等）方案。由评标委员会根据方案是否覆盖全面、是否科学合理、具有针对性和可操作性进行打分。</w:t>
            </w:r>
          </w:p>
          <w:p w14:paraId="63402C3F">
            <w:pPr>
              <w:widowControl/>
              <w:adjustRightInd w:val="0"/>
              <w:snapToGrid w:val="0"/>
              <w:spacing w:line="240" w:lineRule="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spacing w:val="-6"/>
                <w:sz w:val="24"/>
                <w:szCs w:val="24"/>
                <w:highlight w:val="none"/>
              </w:rPr>
              <w:t>方案全面、合理、可操作性强的得4.1-</w:t>
            </w:r>
            <w:r>
              <w:rPr>
                <w:rFonts w:hint="eastAsia" w:ascii="仿宋" w:hAnsi="仿宋" w:eastAsia="仿宋" w:cs="仿宋"/>
                <w:color w:val="auto"/>
                <w:spacing w:val="-6"/>
                <w:sz w:val="24"/>
                <w:szCs w:val="24"/>
                <w:highlight w:val="none"/>
                <w:lang w:val="en-US" w:eastAsia="zh-CN"/>
              </w:rPr>
              <w:t>6</w:t>
            </w:r>
            <w:r>
              <w:rPr>
                <w:rFonts w:hint="eastAsia" w:ascii="仿宋" w:hAnsi="仿宋" w:eastAsia="仿宋" w:cs="仿宋"/>
                <w:color w:val="auto"/>
                <w:spacing w:val="-6"/>
                <w:sz w:val="24"/>
                <w:szCs w:val="24"/>
                <w:highlight w:val="none"/>
              </w:rPr>
              <w:t>.0分；方案较全面、较合理、可操作性较强的得2.1-4.0分；方案不全面、不合理、可操作性弱的得0.1-2.0分；不提供不得分。</w:t>
            </w:r>
          </w:p>
        </w:tc>
        <w:tc>
          <w:tcPr>
            <w:tcW w:w="808" w:type="dxa"/>
            <w:noWrap w:val="0"/>
            <w:vAlign w:val="center"/>
          </w:tcPr>
          <w:p w14:paraId="157D3247">
            <w:pPr>
              <w:adjustRightInd w:val="0"/>
              <w:snapToGrid w:val="0"/>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6</w:t>
            </w:r>
          </w:p>
        </w:tc>
      </w:tr>
    </w:tbl>
    <w:p w14:paraId="4D55E5D1">
      <w:pPr>
        <w:spacing w:line="500" w:lineRule="exact"/>
        <w:jc w:val="left"/>
        <w:rPr>
          <w:rFonts w:hint="eastAsia" w:ascii="仿宋" w:hAnsi="仿宋" w:eastAsia="仿宋" w:cs="仿宋"/>
          <w:color w:val="auto"/>
          <w:sz w:val="24"/>
          <w:highlight w:val="none"/>
        </w:rPr>
      </w:pPr>
      <w:r>
        <w:rPr>
          <w:rFonts w:hint="eastAsia" w:ascii="仿宋" w:hAnsi="仿宋" w:eastAsia="仿宋" w:cs="仿宋"/>
          <w:b/>
          <w:bCs/>
          <w:iCs/>
          <w:color w:val="auto"/>
          <w:sz w:val="24"/>
          <w:highlight w:val="none"/>
        </w:rPr>
        <w:t>注：所有证书都应在有效期内，逾期不得分。</w:t>
      </w:r>
      <w:r>
        <w:rPr>
          <w:rFonts w:hint="eastAsia" w:ascii="仿宋" w:hAnsi="仿宋" w:eastAsia="仿宋" w:cs="仿宋"/>
          <w:color w:val="auto"/>
          <w:sz w:val="24"/>
          <w:highlight w:val="none"/>
        </w:rPr>
        <w:t xml:space="preserve"> </w:t>
      </w:r>
    </w:p>
    <w:p w14:paraId="286EA7DA">
      <w:pPr>
        <w:spacing w:line="400" w:lineRule="exact"/>
        <w:rPr>
          <w:rFonts w:hint="eastAsia" w:ascii="仿宋" w:hAnsi="仿宋" w:eastAsia="仿宋" w:cs="仿宋"/>
          <w:b/>
          <w:bCs/>
          <w:iCs/>
          <w:color w:val="auto"/>
          <w:sz w:val="24"/>
          <w:highlight w:val="none"/>
        </w:rPr>
      </w:pPr>
      <w:r>
        <w:rPr>
          <w:rFonts w:hint="eastAsia" w:ascii="仿宋" w:hAnsi="仿宋" w:eastAsia="仿宋" w:cs="仿宋"/>
          <w:b/>
          <w:bCs/>
          <w:iCs/>
          <w:color w:val="auto"/>
          <w:sz w:val="24"/>
          <w:highlight w:val="none"/>
          <w:lang w:val="en-US" w:eastAsia="zh-CN"/>
        </w:rPr>
        <w:t>2.2</w:t>
      </w:r>
      <w:r>
        <w:rPr>
          <w:rFonts w:hint="eastAsia" w:ascii="仿宋" w:hAnsi="仿宋" w:eastAsia="仿宋" w:cs="仿宋"/>
          <w:b/>
          <w:bCs/>
          <w:iCs/>
          <w:color w:val="auto"/>
          <w:sz w:val="24"/>
          <w:highlight w:val="none"/>
        </w:rPr>
        <w:t>价格分：</w:t>
      </w:r>
    </w:p>
    <w:p w14:paraId="653E448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2.2.1评分规则：</w:t>
      </w:r>
    </w:p>
    <w:p w14:paraId="15BA701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①舟山-岱山/杭州线-富阳桐庐/福州-平潭岛线路上限价为3000元/人，按≤3000元/人价格报价的得满分15分，报价超出作无效标处理。</w:t>
      </w:r>
    </w:p>
    <w:p w14:paraId="4973850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default" w:ascii="仿宋" w:hAnsi="Times New Roman" w:eastAsia="仿宋" w:cs="Times New Roman"/>
          <w:bCs/>
          <w:iCs/>
          <w:color w:val="auto"/>
          <w:sz w:val="24"/>
          <w:highlight w:val="none"/>
          <w:lang w:val="en-US" w:eastAsia="zh-CN"/>
        </w:rPr>
      </w:pPr>
      <w:r>
        <w:rPr>
          <w:rFonts w:hint="eastAsia" w:ascii="仿宋" w:hAnsi="仿宋" w:eastAsia="仿宋" w:cs="仿宋"/>
          <w:b w:val="0"/>
          <w:bCs w:val="0"/>
          <w:color w:val="auto"/>
          <w:sz w:val="24"/>
          <w:szCs w:val="24"/>
          <w:highlight w:val="none"/>
          <w:lang w:val="en-US" w:eastAsia="zh-CN"/>
        </w:rPr>
        <w:t>②新疆阿克苏 巴音布鲁克 赛里木湖线路</w:t>
      </w:r>
      <w:r>
        <w:rPr>
          <w:rFonts w:hint="default" w:ascii="仿宋" w:hAnsi="Times New Roman" w:eastAsia="仿宋" w:cs="Times New Roman"/>
          <w:bCs/>
          <w:iCs/>
          <w:color w:val="auto"/>
          <w:sz w:val="24"/>
          <w:highlight w:val="none"/>
          <w:lang w:val="en-US" w:eastAsia="zh-CN"/>
        </w:rPr>
        <w:t>评标基准价：即满足招标文件要求且投标价格最</w:t>
      </w:r>
      <w:r>
        <w:rPr>
          <w:rFonts w:hint="eastAsia" w:ascii="仿宋" w:eastAsia="仿宋" w:cs="Times New Roman"/>
          <w:bCs/>
          <w:iCs/>
          <w:color w:val="auto"/>
          <w:sz w:val="24"/>
          <w:highlight w:val="none"/>
          <w:lang w:val="en-US" w:eastAsia="zh-CN"/>
        </w:rPr>
        <w:t>低</w:t>
      </w:r>
      <w:r>
        <w:rPr>
          <w:rFonts w:hint="default" w:ascii="仿宋" w:hAnsi="Times New Roman" w:eastAsia="仿宋" w:cs="Times New Roman"/>
          <w:bCs/>
          <w:iCs/>
          <w:color w:val="auto"/>
          <w:sz w:val="24"/>
          <w:highlight w:val="none"/>
          <w:lang w:val="en-US" w:eastAsia="zh-CN"/>
        </w:rPr>
        <w:t>的投标报价为评标基准价，其价格分为满分</w:t>
      </w:r>
      <w:r>
        <w:rPr>
          <w:rFonts w:hint="eastAsia" w:ascii="仿宋" w:eastAsia="仿宋" w:cs="Times New Roman"/>
          <w:bCs/>
          <w:iCs/>
          <w:color w:val="auto"/>
          <w:sz w:val="24"/>
          <w:highlight w:val="none"/>
          <w:lang w:val="en-US" w:eastAsia="zh-CN"/>
        </w:rPr>
        <w:t>15分</w:t>
      </w:r>
      <w:r>
        <w:rPr>
          <w:rFonts w:hint="default" w:ascii="仿宋" w:hAnsi="Times New Roman" w:eastAsia="仿宋" w:cs="Times New Roman"/>
          <w:bCs/>
          <w:iCs/>
          <w:color w:val="auto"/>
          <w:sz w:val="24"/>
          <w:highlight w:val="none"/>
          <w:lang w:val="en-US" w:eastAsia="zh-CN"/>
        </w:rPr>
        <w:t>。</w:t>
      </w:r>
    </w:p>
    <w:p w14:paraId="24026A4B">
      <w:pPr>
        <w:keepNext w:val="0"/>
        <w:keepLines w:val="0"/>
        <w:pageBreakBefore w:val="0"/>
        <w:kinsoku/>
        <w:wordWrap/>
        <w:overflowPunct/>
        <w:topLinePunct w:val="0"/>
        <w:autoSpaceDE/>
        <w:autoSpaceDN/>
        <w:bidi w:val="0"/>
        <w:adjustRightInd/>
        <w:snapToGrid/>
        <w:spacing w:line="440" w:lineRule="exact"/>
        <w:textAlignment w:val="auto"/>
        <w:rPr>
          <w:rFonts w:hint="default" w:ascii="仿宋" w:hAnsi="Times New Roman" w:eastAsia="仿宋" w:cs="Times New Roman"/>
          <w:bCs/>
          <w:iCs/>
          <w:color w:val="auto"/>
          <w:sz w:val="24"/>
          <w:highlight w:val="none"/>
          <w:lang w:val="en-US" w:eastAsia="zh-CN"/>
        </w:rPr>
      </w:pPr>
      <w:r>
        <w:rPr>
          <w:rFonts w:hint="default" w:ascii="仿宋" w:hAnsi="Times New Roman" w:eastAsia="仿宋" w:cs="Times New Roman"/>
          <w:bCs/>
          <w:iCs/>
          <w:color w:val="auto"/>
          <w:sz w:val="24"/>
          <w:highlight w:val="none"/>
          <w:lang w:val="en-US" w:eastAsia="zh-CN"/>
        </w:rPr>
        <w:t>其他投标人的价格分统一按照下列公式计算(保留小数2位)：</w:t>
      </w:r>
    </w:p>
    <w:p w14:paraId="6FD0F5B9">
      <w:pPr>
        <w:keepNext w:val="0"/>
        <w:keepLines w:val="0"/>
        <w:pageBreakBefore w:val="0"/>
        <w:kinsoku/>
        <w:wordWrap/>
        <w:overflowPunct/>
        <w:topLinePunct w:val="0"/>
        <w:autoSpaceDE/>
        <w:autoSpaceDN/>
        <w:bidi w:val="0"/>
        <w:adjustRightInd/>
        <w:snapToGrid/>
        <w:spacing w:line="440" w:lineRule="exact"/>
        <w:textAlignment w:val="auto"/>
        <w:rPr>
          <w:rFonts w:hint="default" w:ascii="仿宋" w:hAnsi="Times New Roman" w:eastAsia="仿宋" w:cs="Times New Roman"/>
          <w:bCs/>
          <w:iCs/>
          <w:color w:val="auto"/>
          <w:sz w:val="24"/>
          <w:highlight w:val="none"/>
          <w:lang w:val="en-US" w:eastAsia="zh-CN"/>
        </w:rPr>
      </w:pPr>
      <w:r>
        <w:rPr>
          <w:rFonts w:hint="default" w:ascii="仿宋" w:hAnsi="Times New Roman" w:eastAsia="仿宋" w:cs="Times New Roman"/>
          <w:bCs/>
          <w:iCs/>
          <w:color w:val="auto"/>
          <w:sz w:val="24"/>
          <w:highlight w:val="none"/>
          <w:lang w:val="en-US" w:eastAsia="zh-CN"/>
        </w:rPr>
        <w:t>投标报价得分=(投标报价／评标基准价)×价格权值×100</w:t>
      </w:r>
    </w:p>
    <w:p w14:paraId="129216B9">
      <w:pPr>
        <w:keepNext w:val="0"/>
        <w:keepLines w:val="0"/>
        <w:pageBreakBefore w:val="0"/>
        <w:kinsoku/>
        <w:wordWrap/>
        <w:overflowPunct/>
        <w:topLinePunct w:val="0"/>
        <w:autoSpaceDE/>
        <w:autoSpaceDN/>
        <w:bidi w:val="0"/>
        <w:adjustRightInd/>
        <w:snapToGrid/>
        <w:spacing w:line="440" w:lineRule="exact"/>
        <w:textAlignment w:val="auto"/>
        <w:rPr>
          <w:rFonts w:hint="default" w:ascii="仿宋" w:hAnsi="Times New Roman" w:eastAsia="仿宋" w:cs="Times New Roman"/>
          <w:bCs/>
          <w:iCs/>
          <w:color w:val="auto"/>
          <w:sz w:val="24"/>
          <w:highlight w:val="none"/>
          <w:lang w:val="en-US" w:eastAsia="zh-CN"/>
        </w:rPr>
      </w:pPr>
      <w:r>
        <w:rPr>
          <w:rFonts w:hint="default" w:ascii="仿宋" w:hAnsi="Times New Roman" w:eastAsia="仿宋" w:cs="Times New Roman"/>
          <w:bCs/>
          <w:iCs/>
          <w:color w:val="auto"/>
          <w:sz w:val="24"/>
          <w:highlight w:val="none"/>
          <w:lang w:val="en-US" w:eastAsia="zh-CN"/>
        </w:rPr>
        <w:t>即：投标报价得分=(投标报价／评标基准价)×</w:t>
      </w:r>
      <w:r>
        <w:rPr>
          <w:rFonts w:hint="eastAsia" w:ascii="仿宋" w:eastAsia="仿宋" w:cs="Times New Roman"/>
          <w:bCs/>
          <w:iCs/>
          <w:color w:val="auto"/>
          <w:sz w:val="24"/>
          <w:highlight w:val="none"/>
          <w:lang w:val="en-US" w:eastAsia="zh-CN"/>
        </w:rPr>
        <w:t>15</w:t>
      </w:r>
      <w:r>
        <w:rPr>
          <w:rFonts w:hint="default" w:ascii="仿宋" w:hAnsi="Times New Roman" w:eastAsia="仿宋" w:cs="Times New Roman"/>
          <w:bCs/>
          <w:iCs/>
          <w:color w:val="auto"/>
          <w:sz w:val="24"/>
          <w:highlight w:val="none"/>
          <w:lang w:val="en-US" w:eastAsia="zh-CN"/>
        </w:rPr>
        <w:t>。</w:t>
      </w:r>
    </w:p>
    <w:p w14:paraId="249890AD">
      <w:pPr>
        <w:keepNext w:val="0"/>
        <w:keepLines w:val="0"/>
        <w:widowControl/>
        <w:suppressLineNumbers w:val="0"/>
        <w:jc w:val="left"/>
        <w:rPr>
          <w:rFonts w:hint="default" w:ascii="仿宋" w:hAnsi="仿宋" w:eastAsia="仿宋" w:cs="仿宋"/>
          <w:b/>
          <w:bCs/>
          <w:color w:val="auto"/>
          <w:sz w:val="24"/>
          <w:szCs w:val="24"/>
          <w:highlight w:val="none"/>
          <w:lang w:val="en-US" w:eastAsia="zh-CN"/>
        </w:rPr>
      </w:pPr>
    </w:p>
    <w:p w14:paraId="39D49B7C">
      <w:pPr>
        <w:rPr>
          <w:rFonts w:hint="eastAsia" w:ascii="仿宋" w:hAnsi="仿宋" w:eastAsia="仿宋" w:cs="仿宋"/>
          <w:color w:val="auto"/>
          <w:highlight w:val="none"/>
        </w:rPr>
      </w:pPr>
      <w:bookmarkStart w:id="45" w:name="_Toc8345"/>
      <w:r>
        <w:rPr>
          <w:rFonts w:hint="eastAsia" w:ascii="仿宋" w:hAnsi="仿宋" w:eastAsia="仿宋" w:cs="仿宋"/>
          <w:color w:val="auto"/>
          <w:highlight w:val="none"/>
        </w:rPr>
        <w:br w:type="page"/>
      </w:r>
    </w:p>
    <w:p w14:paraId="3EE76B58">
      <w:pPr>
        <w:pStyle w:val="2"/>
        <w:keepNext/>
        <w:keepLines/>
        <w:pageBreakBefore w:val="0"/>
        <w:widowControl w:val="0"/>
        <w:suppressLineNumbers w:val="0"/>
        <w:suppressAutoHyphens w:val="0"/>
        <w:spacing w:line="578"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第六章  投标文件格式附件</w:t>
      </w:r>
      <w:bookmarkEnd w:id="45"/>
    </w:p>
    <w:p w14:paraId="05814B74">
      <w:pPr>
        <w:widowControl/>
        <w:snapToGrid w:val="0"/>
        <w:spacing w:line="480" w:lineRule="exact"/>
        <w:ind w:firstLine="480" w:firstLineChars="200"/>
        <w:rPr>
          <w:rFonts w:hint="eastAsia" w:ascii="仿宋" w:hAnsi="仿宋" w:eastAsia="仿宋" w:cs="仿宋"/>
          <w:color w:val="auto"/>
          <w:kern w:val="0"/>
          <w:sz w:val="24"/>
          <w:highlight w:val="none"/>
          <w:u w:val="none"/>
        </w:rPr>
      </w:pPr>
      <w:r>
        <w:rPr>
          <w:rFonts w:hint="eastAsia" w:ascii="仿宋" w:hAnsi="仿宋" w:eastAsia="仿宋" w:cs="仿宋"/>
          <w:color w:val="auto"/>
          <w:kern w:val="0"/>
          <w:sz w:val="24"/>
          <w:highlight w:val="none"/>
          <w:u w:val="none"/>
        </w:rPr>
        <w:t>投标文件制作请按照本采购文件“第二章 投标人须知”第三部分“投标文件”的规定制作，有关格式附件如下：</w:t>
      </w:r>
    </w:p>
    <w:p w14:paraId="2FE88ABC">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4D78F2B8">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48DF8874">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2B6CB34E">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7F698257">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544350E7">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38FF090D">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033AD6DE">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4C51159F">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7A0B8884">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6793A0F9">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3A1B98D5">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5379F5B9">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127BE1FC">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4E8524D7">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5101D316">
      <w:pPr>
        <w:widowControl/>
        <w:snapToGrid w:val="0"/>
        <w:spacing w:line="480" w:lineRule="exact"/>
        <w:ind w:firstLine="480" w:firstLineChars="200"/>
        <w:rPr>
          <w:rFonts w:hint="eastAsia" w:ascii="仿宋" w:hAnsi="仿宋" w:eastAsia="仿宋" w:cs="仿宋"/>
          <w:color w:val="auto"/>
          <w:kern w:val="0"/>
          <w:sz w:val="24"/>
          <w:highlight w:val="none"/>
          <w:u w:val="none"/>
        </w:rPr>
      </w:pPr>
    </w:p>
    <w:p w14:paraId="1F675A14">
      <w:pPr>
        <w:pStyle w:val="34"/>
        <w:rPr>
          <w:rFonts w:hint="eastAsia" w:ascii="仿宋" w:hAnsi="仿宋" w:eastAsia="仿宋" w:cs="仿宋"/>
          <w:color w:val="auto"/>
          <w:kern w:val="0"/>
          <w:sz w:val="24"/>
          <w:highlight w:val="none"/>
          <w:u w:val="none"/>
        </w:rPr>
      </w:pPr>
    </w:p>
    <w:p w14:paraId="419A1AB9">
      <w:pPr>
        <w:pStyle w:val="35"/>
        <w:rPr>
          <w:rFonts w:hint="eastAsia" w:ascii="仿宋" w:hAnsi="仿宋" w:eastAsia="仿宋" w:cs="仿宋"/>
          <w:color w:val="auto"/>
          <w:kern w:val="0"/>
          <w:sz w:val="24"/>
          <w:highlight w:val="none"/>
          <w:u w:val="none"/>
        </w:rPr>
      </w:pPr>
    </w:p>
    <w:p w14:paraId="580056A9">
      <w:pPr>
        <w:rPr>
          <w:rFonts w:hint="eastAsia" w:ascii="仿宋" w:hAnsi="仿宋" w:eastAsia="仿宋" w:cs="仿宋"/>
          <w:color w:val="auto"/>
          <w:kern w:val="0"/>
          <w:sz w:val="24"/>
          <w:highlight w:val="none"/>
          <w:u w:val="none"/>
        </w:rPr>
      </w:pPr>
    </w:p>
    <w:p w14:paraId="57111FF6">
      <w:pPr>
        <w:pStyle w:val="34"/>
        <w:rPr>
          <w:rFonts w:hint="eastAsia" w:ascii="仿宋" w:hAnsi="仿宋" w:eastAsia="仿宋" w:cs="仿宋"/>
          <w:color w:val="auto"/>
          <w:kern w:val="0"/>
          <w:sz w:val="24"/>
          <w:highlight w:val="none"/>
          <w:u w:val="none"/>
        </w:rPr>
      </w:pPr>
    </w:p>
    <w:p w14:paraId="4209F8EF">
      <w:pPr>
        <w:pStyle w:val="35"/>
        <w:rPr>
          <w:rFonts w:hint="eastAsia" w:ascii="仿宋" w:hAnsi="仿宋" w:eastAsia="仿宋" w:cs="仿宋"/>
          <w:color w:val="auto"/>
          <w:kern w:val="0"/>
          <w:sz w:val="24"/>
          <w:highlight w:val="none"/>
          <w:u w:val="none"/>
        </w:rPr>
      </w:pPr>
    </w:p>
    <w:p w14:paraId="266D79D2">
      <w:pPr>
        <w:rPr>
          <w:rFonts w:hint="eastAsia" w:ascii="仿宋" w:hAnsi="仿宋" w:eastAsia="仿宋" w:cs="仿宋"/>
          <w:color w:val="auto"/>
          <w:kern w:val="0"/>
          <w:sz w:val="24"/>
          <w:highlight w:val="none"/>
          <w:u w:val="none"/>
        </w:rPr>
      </w:pPr>
    </w:p>
    <w:p w14:paraId="26CB4A96">
      <w:pPr>
        <w:pStyle w:val="34"/>
        <w:rPr>
          <w:rFonts w:hint="eastAsia" w:ascii="仿宋" w:hAnsi="仿宋" w:eastAsia="仿宋" w:cs="仿宋"/>
          <w:color w:val="auto"/>
          <w:kern w:val="0"/>
          <w:sz w:val="24"/>
          <w:highlight w:val="none"/>
          <w:u w:val="none"/>
        </w:rPr>
      </w:pPr>
    </w:p>
    <w:p w14:paraId="05E8BFAE">
      <w:pPr>
        <w:pStyle w:val="35"/>
        <w:rPr>
          <w:rFonts w:hint="eastAsia"/>
          <w:color w:val="auto"/>
          <w:highlight w:val="none"/>
        </w:rPr>
      </w:pPr>
    </w:p>
    <w:p w14:paraId="14CB5B56">
      <w:pPr>
        <w:snapToGrid w:val="0"/>
        <w:spacing w:before="156" w:beforeLines="50" w:after="50"/>
        <w:jc w:val="left"/>
        <w:rPr>
          <w:rFonts w:hint="eastAsia" w:ascii="仿宋" w:hAnsi="仿宋" w:eastAsia="仿宋" w:cs="仿宋"/>
          <w:b/>
          <w:bCs/>
          <w:color w:val="auto"/>
          <w:sz w:val="30"/>
          <w:szCs w:val="30"/>
          <w:highlight w:val="none"/>
        </w:rPr>
      </w:pPr>
    </w:p>
    <w:p w14:paraId="03EB9FCE">
      <w:pPr>
        <w:snapToGrid w:val="0"/>
        <w:spacing w:before="156" w:beforeLines="50" w:after="50"/>
        <w:jc w:val="left"/>
        <w:rPr>
          <w:rFonts w:hint="eastAsia" w:ascii="仿宋" w:hAnsi="仿宋" w:eastAsia="仿宋" w:cs="仿宋"/>
          <w:b/>
          <w:bCs/>
          <w:color w:val="auto"/>
          <w:sz w:val="30"/>
          <w:szCs w:val="30"/>
          <w:highlight w:val="none"/>
        </w:rPr>
      </w:pPr>
    </w:p>
    <w:p w14:paraId="1EA1152D">
      <w:pPr>
        <w:snapToGrid w:val="0"/>
        <w:spacing w:before="156" w:beforeLines="50" w:after="50"/>
        <w:jc w:val="left"/>
        <w:rPr>
          <w:rFonts w:hint="eastAsia" w:ascii="仿宋" w:hAnsi="仿宋" w:eastAsia="仿宋" w:cs="仿宋"/>
          <w:b/>
          <w:bCs/>
          <w:color w:val="auto"/>
          <w:sz w:val="30"/>
          <w:szCs w:val="30"/>
          <w:highlight w:val="none"/>
        </w:rPr>
      </w:pPr>
    </w:p>
    <w:p w14:paraId="12D044FD">
      <w:pPr>
        <w:snapToGrid w:val="0"/>
        <w:spacing w:before="156" w:beforeLines="50" w:after="50"/>
        <w:jc w:val="left"/>
        <w:rPr>
          <w:rFonts w:hint="eastAsia" w:ascii="仿宋" w:hAnsi="仿宋" w:eastAsia="仿宋" w:cs="仿宋"/>
          <w:b/>
          <w:color w:val="auto"/>
          <w:sz w:val="30"/>
          <w:szCs w:val="30"/>
          <w:highlight w:val="none"/>
        </w:rPr>
      </w:pPr>
      <w:r>
        <w:rPr>
          <w:rFonts w:hint="eastAsia" w:ascii="仿宋" w:hAnsi="仿宋" w:eastAsia="仿宋" w:cs="仿宋"/>
          <w:b/>
          <w:bCs/>
          <w:color w:val="auto"/>
          <w:sz w:val="30"/>
          <w:szCs w:val="30"/>
          <w:highlight w:val="none"/>
        </w:rPr>
        <w:t>附件1：</w:t>
      </w:r>
      <w:r>
        <w:rPr>
          <w:rFonts w:hint="eastAsia" w:ascii="仿宋" w:hAnsi="仿宋" w:eastAsia="仿宋" w:cs="仿宋"/>
          <w:b/>
          <w:color w:val="auto"/>
          <w:sz w:val="30"/>
          <w:szCs w:val="30"/>
          <w:highlight w:val="none"/>
        </w:rPr>
        <w:t>资格文件封面</w:t>
      </w:r>
    </w:p>
    <w:p w14:paraId="01055323">
      <w:pPr>
        <w:snapToGrid w:val="0"/>
        <w:spacing w:before="156" w:beforeLines="50" w:after="50"/>
        <w:jc w:val="right"/>
        <w:rPr>
          <w:rFonts w:hint="eastAsia" w:ascii="仿宋" w:hAnsi="仿宋" w:eastAsia="仿宋" w:cs="仿宋"/>
          <w:b/>
          <w:color w:val="auto"/>
          <w:sz w:val="30"/>
          <w:szCs w:val="30"/>
          <w:highlight w:val="none"/>
        </w:rPr>
      </w:pPr>
    </w:p>
    <w:p w14:paraId="3E804C4D">
      <w:pPr>
        <w:snapToGrid w:val="0"/>
        <w:spacing w:before="156" w:beforeLines="50" w:after="50"/>
        <w:jc w:val="right"/>
        <w:rPr>
          <w:rFonts w:hint="eastAsia" w:ascii="仿宋" w:hAnsi="仿宋" w:eastAsia="仿宋" w:cs="仿宋"/>
          <w:bCs/>
          <w:color w:val="auto"/>
          <w:sz w:val="30"/>
          <w:szCs w:val="30"/>
          <w:highlight w:val="none"/>
        </w:rPr>
      </w:pPr>
    </w:p>
    <w:p w14:paraId="360358EE">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项目名称：</w:t>
      </w:r>
      <w:r>
        <w:rPr>
          <w:rFonts w:hint="eastAsia" w:ascii="仿宋" w:hAnsi="仿宋" w:eastAsia="仿宋" w:cs="仿宋"/>
          <w:color w:val="auto"/>
          <w:spacing w:val="40"/>
          <w:sz w:val="30"/>
          <w:szCs w:val="30"/>
          <w:highlight w:val="none"/>
          <w:u w:val="single"/>
        </w:rPr>
        <w:t xml:space="preserve">           </w:t>
      </w:r>
    </w:p>
    <w:p w14:paraId="7695919B">
      <w:pPr>
        <w:spacing w:before="312" w:beforeLines="100" w:line="400" w:lineRule="exact"/>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项目编号：</w:t>
      </w:r>
      <w:r>
        <w:rPr>
          <w:rFonts w:hint="eastAsia" w:ascii="仿宋" w:hAnsi="仿宋" w:eastAsia="仿宋" w:cs="仿宋"/>
          <w:color w:val="auto"/>
          <w:sz w:val="30"/>
          <w:szCs w:val="30"/>
          <w:highlight w:val="none"/>
          <w:u w:val="single"/>
        </w:rPr>
        <w:t xml:space="preserve">                   </w:t>
      </w:r>
    </w:p>
    <w:p w14:paraId="1548A6AF">
      <w:pPr>
        <w:spacing w:before="312" w:beforeLines="100" w:line="400" w:lineRule="exac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标项：</w:t>
      </w:r>
      <w:r>
        <w:rPr>
          <w:rFonts w:hint="eastAsia" w:ascii="仿宋" w:hAnsi="仿宋" w:eastAsia="仿宋" w:cs="仿宋"/>
          <w:color w:val="auto"/>
          <w:sz w:val="30"/>
          <w:szCs w:val="30"/>
          <w:highlight w:val="none"/>
          <w:u w:val="single"/>
        </w:rPr>
        <w:t xml:space="preserve">                    </w:t>
      </w:r>
    </w:p>
    <w:p w14:paraId="5919157F">
      <w:pPr>
        <w:spacing w:line="1200" w:lineRule="exact"/>
        <w:ind w:right="6"/>
        <w:jc w:val="center"/>
        <w:rPr>
          <w:rFonts w:hint="eastAsia" w:ascii="仿宋" w:hAnsi="仿宋" w:eastAsia="仿宋" w:cs="仿宋"/>
          <w:color w:val="auto"/>
          <w:sz w:val="72"/>
          <w:szCs w:val="72"/>
          <w:highlight w:val="none"/>
        </w:rPr>
      </w:pPr>
    </w:p>
    <w:p w14:paraId="5F79D58E">
      <w:pPr>
        <w:spacing w:line="1200" w:lineRule="exact"/>
        <w:ind w:right="6"/>
        <w:jc w:val="center"/>
        <w:rPr>
          <w:rFonts w:hint="eastAsia" w:ascii="仿宋" w:hAnsi="仿宋" w:eastAsia="仿宋" w:cs="仿宋"/>
          <w:color w:val="auto"/>
          <w:sz w:val="72"/>
          <w:szCs w:val="72"/>
          <w:highlight w:val="none"/>
        </w:rPr>
      </w:pPr>
    </w:p>
    <w:p w14:paraId="33B0CF77">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资</w:t>
      </w:r>
    </w:p>
    <w:p w14:paraId="299F8506">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格</w:t>
      </w:r>
    </w:p>
    <w:p w14:paraId="7425E73D">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文</w:t>
      </w:r>
    </w:p>
    <w:p w14:paraId="3DB2A29B">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件</w:t>
      </w:r>
    </w:p>
    <w:p w14:paraId="56AE3893">
      <w:pPr>
        <w:spacing w:line="1200" w:lineRule="exact"/>
        <w:ind w:right="6"/>
        <w:jc w:val="center"/>
        <w:rPr>
          <w:rFonts w:hint="eastAsia" w:ascii="仿宋" w:hAnsi="仿宋" w:eastAsia="仿宋" w:cs="仿宋"/>
          <w:color w:val="auto"/>
          <w:sz w:val="72"/>
          <w:szCs w:val="72"/>
          <w:highlight w:val="none"/>
        </w:rPr>
      </w:pPr>
    </w:p>
    <w:p w14:paraId="071670B7">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投标人名称（盖章）：</w:t>
      </w:r>
    </w:p>
    <w:p w14:paraId="6A9FF8DD">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地    址：</w:t>
      </w:r>
    </w:p>
    <w:p w14:paraId="6278FC7A">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日    期：</w:t>
      </w:r>
    </w:p>
    <w:p w14:paraId="1A6CEEB1">
      <w:pPr>
        <w:snapToGrid w:val="0"/>
        <w:spacing w:before="156" w:beforeLines="50" w:after="50"/>
        <w:jc w:val="left"/>
        <w:rPr>
          <w:rFonts w:hint="eastAsia" w:ascii="仿宋" w:hAnsi="仿宋" w:eastAsia="仿宋" w:cs="仿宋"/>
          <w:b/>
          <w:bCs/>
          <w:color w:val="auto"/>
          <w:sz w:val="30"/>
          <w:szCs w:val="30"/>
          <w:highlight w:val="none"/>
        </w:rPr>
      </w:pPr>
    </w:p>
    <w:p w14:paraId="62FD2E2C">
      <w:pPr>
        <w:snapToGrid w:val="0"/>
        <w:spacing w:before="156" w:beforeLines="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附件2：资格文件目录</w:t>
      </w:r>
    </w:p>
    <w:p w14:paraId="1CC608A1">
      <w:pPr>
        <w:snapToGrid w:val="0"/>
        <w:spacing w:before="156" w:beforeLines="50" w:after="50"/>
        <w:jc w:val="center"/>
        <w:rPr>
          <w:rFonts w:hint="eastAsia" w:ascii="仿宋" w:hAnsi="仿宋" w:eastAsia="仿宋" w:cs="仿宋"/>
          <w:color w:val="auto"/>
          <w:sz w:val="30"/>
          <w:szCs w:val="30"/>
          <w:highlight w:val="none"/>
        </w:rPr>
      </w:pPr>
      <w:bookmarkStart w:id="46" w:name="_Toc64369786"/>
      <w:r>
        <w:rPr>
          <w:rFonts w:hint="eastAsia" w:ascii="仿宋" w:hAnsi="仿宋" w:eastAsia="仿宋" w:cs="仿宋"/>
          <w:color w:val="auto"/>
          <w:sz w:val="30"/>
          <w:szCs w:val="30"/>
          <w:highlight w:val="none"/>
        </w:rPr>
        <w:t>目 录</w:t>
      </w:r>
      <w:bookmarkEnd w:id="46"/>
    </w:p>
    <w:p w14:paraId="61C31D2B">
      <w:pPr>
        <w:pStyle w:val="41"/>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rPr>
        <w:t>1.投标声明函 …………………………………………………………………（页码）</w:t>
      </w:r>
    </w:p>
    <w:p w14:paraId="61FA253F">
      <w:pPr>
        <w:pStyle w:val="41"/>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.法定代表人授权委托书……………………………………………………（页码）</w:t>
      </w:r>
    </w:p>
    <w:p w14:paraId="47D083B5">
      <w:pPr>
        <w:pStyle w:val="41"/>
        <w:spacing w:line="360" w:lineRule="auto"/>
        <w:ind w:firstLine="0" w:firstLineChars="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.法定代表人及其授权代表身份证…………………………………………（页码）</w:t>
      </w:r>
    </w:p>
    <w:p w14:paraId="0D78B2A5">
      <w:pPr>
        <w:pStyle w:val="41"/>
        <w:spacing w:line="36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.资格条件证明材料</w:t>
      </w:r>
    </w:p>
    <w:p w14:paraId="50307758">
      <w:pPr>
        <w:pStyle w:val="41"/>
        <w:spacing w:line="360" w:lineRule="auto"/>
        <w:ind w:firstLine="240" w:firstLineChars="100"/>
        <w:jc w:val="left"/>
        <w:rPr>
          <w:rFonts w:hint="eastAsia" w:ascii="仿宋" w:hAnsi="仿宋" w:eastAsia="仿宋" w:cs="仿宋"/>
          <w:color w:val="auto"/>
          <w:highlight w:val="none"/>
        </w:rPr>
      </w:pPr>
      <w:bookmarkStart w:id="47" w:name="_Toc64369787"/>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.1营业执照(或事业法人登记证书)………………………………………（页码）</w:t>
      </w:r>
      <w:bookmarkEnd w:id="47"/>
    </w:p>
    <w:p w14:paraId="1D13D2B8">
      <w:pPr>
        <w:pStyle w:val="41"/>
        <w:spacing w:line="360" w:lineRule="auto"/>
        <w:ind w:firstLine="240" w:firstLineChars="10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.2</w:t>
      </w:r>
      <w:bookmarkStart w:id="48" w:name="_Toc64369788"/>
      <w:r>
        <w:rPr>
          <w:rFonts w:hint="eastAsia" w:ascii="仿宋" w:hAnsi="仿宋" w:eastAsia="仿宋" w:cs="仿宋"/>
          <w:color w:val="auto"/>
          <w:highlight w:val="none"/>
        </w:rPr>
        <w:t>特定资格条件的有关证明材料（如有）………………………………（页码）</w:t>
      </w:r>
      <w:bookmarkEnd w:id="48"/>
    </w:p>
    <w:p w14:paraId="221E8B89">
      <w:pPr>
        <w:spacing w:line="360" w:lineRule="auto"/>
        <w:jc w:val="left"/>
        <w:rPr>
          <w:rFonts w:hint="eastAsia" w:ascii="仿宋" w:hAnsi="仿宋" w:eastAsia="仿宋" w:cs="仿宋"/>
          <w:b/>
          <w:bCs/>
          <w:color w:val="auto"/>
          <w:sz w:val="24"/>
          <w:highlight w:val="none"/>
        </w:rPr>
      </w:pPr>
    </w:p>
    <w:p w14:paraId="51597171">
      <w:pPr>
        <w:spacing w:line="360" w:lineRule="auto"/>
        <w:jc w:val="left"/>
        <w:rPr>
          <w:rFonts w:hint="eastAsia" w:ascii="仿宋" w:hAnsi="仿宋" w:eastAsia="仿宋" w:cs="仿宋"/>
          <w:b/>
          <w:bCs/>
          <w:color w:val="auto"/>
          <w:sz w:val="24"/>
          <w:highlight w:val="none"/>
        </w:rPr>
      </w:pPr>
    </w:p>
    <w:p w14:paraId="6D6BEAC9">
      <w:pPr>
        <w:bidi w:val="0"/>
        <w:rPr>
          <w:rFonts w:hint="eastAsia" w:ascii="仿宋" w:hAnsi="仿宋" w:eastAsia="仿宋" w:cs="仿宋"/>
          <w:color w:val="auto"/>
          <w:highlight w:val="none"/>
        </w:rPr>
      </w:pPr>
      <w:r>
        <w:rPr>
          <w:rFonts w:hint="eastAsia" w:ascii="仿宋" w:hAnsi="仿宋" w:eastAsia="仿宋" w:cs="仿宋"/>
          <w:color w:val="auto"/>
          <w:highlight w:val="none"/>
        </w:rPr>
        <w:t>注：“资格文件”需按采购文件要求的内容制作，复印件需加盖供应商公章，未按要求签署、盖章或内容实质性偏离的，资格审查不通过。</w:t>
      </w:r>
    </w:p>
    <w:p w14:paraId="411DC985">
      <w:pPr>
        <w:pageBreakBefore/>
        <w:widowContro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附件3：投标声明函</w:t>
      </w:r>
    </w:p>
    <w:p w14:paraId="3611D72E">
      <w:pPr>
        <w:pStyle w:val="36"/>
        <w:spacing w:after="50" w:afterLines="0" w:line="440" w:lineRule="exact"/>
        <w:ind w:firstLine="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致</w:t>
      </w:r>
      <w:r>
        <w:rPr>
          <w:rFonts w:hint="eastAsia" w:ascii="仿宋" w:hAnsi="仿宋" w:eastAsia="仿宋" w:cs="仿宋"/>
          <w:color w:val="auto"/>
          <w:szCs w:val="24"/>
          <w:highlight w:val="none"/>
          <w:u w:val="single"/>
        </w:rPr>
        <w:t xml:space="preserve"> （填写采购代理机构或采购人名称） </w:t>
      </w:r>
      <w:r>
        <w:rPr>
          <w:rFonts w:hint="eastAsia" w:ascii="仿宋" w:hAnsi="仿宋" w:eastAsia="仿宋" w:cs="仿宋"/>
          <w:color w:val="auto"/>
          <w:szCs w:val="24"/>
          <w:highlight w:val="none"/>
        </w:rPr>
        <w:t xml:space="preserve">： </w:t>
      </w:r>
    </w:p>
    <w:p w14:paraId="3CFCCA37">
      <w:pPr>
        <w:pStyle w:val="36"/>
        <w:spacing w:after="50" w:afterLines="0" w:line="440" w:lineRule="exact"/>
        <w:ind w:left="0"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我方</w:t>
      </w:r>
      <w:r>
        <w:rPr>
          <w:rFonts w:hint="eastAsia" w:ascii="仿宋" w:hAnsi="仿宋" w:eastAsia="仿宋" w:cs="仿宋"/>
          <w:color w:val="auto"/>
          <w:szCs w:val="24"/>
          <w:highlight w:val="none"/>
          <w:u w:val="single"/>
        </w:rPr>
        <w:t xml:space="preserve">  （填写投标人全称；联合体投标的写全部联合体成员）   </w:t>
      </w:r>
      <w:r>
        <w:rPr>
          <w:rFonts w:hint="eastAsia" w:ascii="仿宋" w:hAnsi="仿宋" w:eastAsia="仿宋" w:cs="仿宋"/>
          <w:color w:val="auto"/>
          <w:szCs w:val="24"/>
          <w:highlight w:val="none"/>
        </w:rPr>
        <w:t>愿意参加贵方组织的</w:t>
      </w:r>
      <w:r>
        <w:rPr>
          <w:rFonts w:hint="eastAsia" w:ascii="仿宋" w:hAnsi="仿宋" w:eastAsia="仿宋" w:cs="仿宋"/>
          <w:color w:val="auto"/>
          <w:szCs w:val="24"/>
          <w:highlight w:val="none"/>
          <w:u w:val="single"/>
        </w:rPr>
        <w:t>（填写招标项目名称）（采购编号：    ）</w:t>
      </w:r>
      <w:r>
        <w:rPr>
          <w:rFonts w:hint="eastAsia" w:ascii="仿宋" w:hAnsi="仿宋" w:eastAsia="仿宋" w:cs="仿宋"/>
          <w:color w:val="auto"/>
          <w:szCs w:val="24"/>
          <w:highlight w:val="none"/>
        </w:rPr>
        <w:t>的投标，为此，我方就本次投标有关事项郑重声明如下：</w:t>
      </w:r>
    </w:p>
    <w:p w14:paraId="61AB6CAD">
      <w:pPr>
        <w:pStyle w:val="36"/>
        <w:spacing w:after="50" w:afterLines="0"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1.我方已详细审查全部采购文件，同意采购文件的各项要求。</w:t>
      </w:r>
    </w:p>
    <w:p w14:paraId="7A011F78">
      <w:pPr>
        <w:pStyle w:val="6"/>
        <w:tabs>
          <w:tab w:val="clear" w:pos="1697"/>
        </w:tabs>
        <w:spacing w:after="50" w:afterLines="0" w:line="440" w:lineRule="exact"/>
        <w:ind w:left="0"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2.若我方中标，承诺按采购文件、投标文件和合同的规定履行责任和义务。</w:t>
      </w:r>
    </w:p>
    <w:p w14:paraId="7C223216">
      <w:pPr>
        <w:pStyle w:val="36"/>
        <w:spacing w:after="50" w:afterLines="0"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3.</w:t>
      </w:r>
      <w:r>
        <w:rPr>
          <w:rFonts w:hint="eastAsia" w:ascii="仿宋" w:hAnsi="仿宋" w:eastAsia="仿宋" w:cs="仿宋"/>
          <w:b/>
          <w:bCs/>
          <w:color w:val="auto"/>
          <w:sz w:val="24"/>
          <w:highlight w:val="none"/>
          <w:lang w:val="zh-CN"/>
        </w:rPr>
        <w:t>我方</w:t>
      </w:r>
      <w:r>
        <w:rPr>
          <w:rFonts w:hint="eastAsia" w:ascii="仿宋" w:hAnsi="仿宋" w:eastAsia="仿宋" w:cs="仿宋"/>
          <w:b/>
          <w:bCs/>
          <w:color w:val="auto"/>
          <w:sz w:val="24"/>
          <w:highlight w:val="none"/>
        </w:rPr>
        <w:t>声明参加本次政府采购活动前三年内，在经营活动中没有重大违法记录</w:t>
      </w:r>
      <w:r>
        <w:rPr>
          <w:rFonts w:hint="eastAsia" w:ascii="仿宋" w:hAnsi="仿宋" w:eastAsia="仿宋" w:cs="仿宋"/>
          <w:b/>
          <w:bCs/>
          <w:color w:val="auto"/>
          <w:sz w:val="24"/>
          <w:szCs w:val="20"/>
          <w:highlight w:val="none"/>
        </w:rPr>
        <w:t>。我方通过“信用中国”网站（www.creditchina.gov.cn）、中国政府采购网（www.ccgp.gov.cn）查询，未被列入失信被执行人、</w:t>
      </w:r>
      <w:r>
        <w:rPr>
          <w:rFonts w:hint="eastAsia" w:ascii="仿宋" w:hAnsi="仿宋" w:eastAsia="仿宋" w:cs="仿宋"/>
          <w:b/>
          <w:bCs/>
          <w:color w:val="auto"/>
          <w:sz w:val="24"/>
          <w:szCs w:val="20"/>
          <w:highlight w:val="none"/>
          <w:lang w:eastAsia="zh-CN"/>
        </w:rPr>
        <w:t>重大税收违法失信主体</w:t>
      </w:r>
      <w:r>
        <w:rPr>
          <w:rFonts w:hint="eastAsia" w:ascii="仿宋" w:hAnsi="仿宋" w:eastAsia="仿宋" w:cs="仿宋"/>
          <w:b/>
          <w:bCs/>
          <w:color w:val="auto"/>
          <w:sz w:val="24"/>
          <w:szCs w:val="20"/>
          <w:highlight w:val="none"/>
        </w:rPr>
        <w:t>、政府采购严重违法失信行为记录名单。</w:t>
      </w:r>
    </w:p>
    <w:p w14:paraId="1A5EBE1F">
      <w:pPr>
        <w:pStyle w:val="36"/>
        <w:spacing w:after="50" w:afterLines="0" w:line="440" w:lineRule="exact"/>
        <w:rPr>
          <w:rFonts w:hint="eastAsia" w:ascii="仿宋" w:hAnsi="仿宋" w:eastAsia="仿宋" w:cs="仿宋"/>
          <w:color w:val="auto"/>
          <w:szCs w:val="24"/>
          <w:highlight w:val="none"/>
        </w:rPr>
      </w:pPr>
      <w:r>
        <w:rPr>
          <w:rFonts w:hint="eastAsia" w:ascii="仿宋" w:hAnsi="仿宋" w:eastAsia="仿宋" w:cs="仿宋"/>
          <w:color w:val="auto"/>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6FE2E93A">
      <w:pPr>
        <w:pStyle w:val="36"/>
        <w:spacing w:after="50" w:afterLines="0"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5.我方保证所供货物质量符合国家强制性规范和标准，达到采购文件规定的要求；</w:t>
      </w:r>
    </w:p>
    <w:p w14:paraId="4C7C5EF2">
      <w:pPr>
        <w:pStyle w:val="6"/>
        <w:tabs>
          <w:tab w:val="clear" w:pos="1697"/>
        </w:tabs>
        <w:spacing w:after="50" w:afterLines="0" w:line="440" w:lineRule="exact"/>
        <w:ind w:left="0" w:firstLine="480" w:firstLineChars="200"/>
        <w:rPr>
          <w:rFonts w:hint="eastAsia" w:ascii="仿宋" w:hAnsi="仿宋" w:eastAsia="仿宋" w:cs="仿宋"/>
          <w:color w:val="auto"/>
          <w:szCs w:val="24"/>
          <w:highlight w:val="none"/>
        </w:rPr>
      </w:pPr>
      <w:r>
        <w:rPr>
          <w:rFonts w:hint="eastAsia" w:ascii="仿宋" w:hAnsi="仿宋" w:eastAsia="仿宋" w:cs="仿宋"/>
          <w:color w:val="auto"/>
          <w:highlight w:val="none"/>
        </w:rPr>
        <w:t>6.</w:t>
      </w:r>
      <w:r>
        <w:rPr>
          <w:rFonts w:hint="eastAsia" w:ascii="仿宋" w:hAnsi="仿宋" w:eastAsia="仿宋" w:cs="仿宋"/>
          <w:color w:val="auto"/>
          <w:szCs w:val="24"/>
          <w:highlight w:val="none"/>
        </w:rPr>
        <w:t>我方承诺具备良好的财务制度并且没有税收缴纳、社会保障等方面的失信记录。</w:t>
      </w:r>
    </w:p>
    <w:p w14:paraId="1BC66E32">
      <w:pPr>
        <w:pStyle w:val="36"/>
        <w:spacing w:after="50" w:afterLines="0" w:line="440" w:lineRule="exact"/>
        <w:rPr>
          <w:rFonts w:hint="eastAsia" w:ascii="仿宋" w:hAnsi="仿宋" w:eastAsia="仿宋" w:cs="仿宋"/>
          <w:color w:val="auto"/>
          <w:szCs w:val="24"/>
          <w:highlight w:val="none"/>
        </w:rPr>
      </w:pPr>
      <w:r>
        <w:rPr>
          <w:rFonts w:hint="eastAsia" w:ascii="仿宋" w:hAnsi="仿宋" w:eastAsia="仿宋" w:cs="仿宋"/>
          <w:color w:val="auto"/>
          <w:sz w:val="24"/>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14:paraId="1844C90B">
      <w:pPr>
        <w:snapToGrid w:val="0"/>
        <w:spacing w:line="440" w:lineRule="exact"/>
        <w:ind w:firstLine="480" w:firstLineChars="200"/>
        <w:rPr>
          <w:rFonts w:hint="eastAsia" w:ascii="仿宋" w:hAnsi="仿宋" w:eastAsia="仿宋" w:cs="仿宋"/>
          <w:color w:val="auto"/>
          <w:sz w:val="30"/>
          <w:szCs w:val="30"/>
          <w:highlight w:val="none"/>
        </w:rPr>
      </w:pPr>
      <w:r>
        <w:rPr>
          <w:rFonts w:hint="eastAsia" w:ascii="仿宋" w:hAnsi="仿宋" w:eastAsia="仿宋" w:cs="仿宋"/>
          <w:color w:val="auto"/>
          <w:sz w:val="24"/>
          <w:highlight w:val="none"/>
        </w:rPr>
        <w:t>8.我方承诺若违反《中华人民共和国政府采购法》第七十七条规定，愿接受依法处理。</w:t>
      </w:r>
    </w:p>
    <w:p w14:paraId="36F2A5DD">
      <w:pPr>
        <w:pStyle w:val="36"/>
        <w:spacing w:after="50" w:afterLines="0" w:line="440" w:lineRule="exact"/>
        <w:rPr>
          <w:rFonts w:hint="eastAsia" w:ascii="仿宋" w:hAnsi="仿宋" w:eastAsia="仿宋" w:cs="仿宋"/>
          <w:color w:val="auto"/>
          <w:szCs w:val="24"/>
          <w:highlight w:val="none"/>
        </w:rPr>
      </w:pPr>
    </w:p>
    <w:p w14:paraId="5CA7D5AF">
      <w:pPr>
        <w:pStyle w:val="36"/>
        <w:spacing w:after="50" w:afterLines="0"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法定代表人或其授权代表(签字或签章)：</w:t>
      </w:r>
    </w:p>
    <w:p w14:paraId="130C6DFB">
      <w:pPr>
        <w:pStyle w:val="36"/>
        <w:spacing w:after="50" w:afterLines="0" w:line="440" w:lineRule="exact"/>
        <w:rPr>
          <w:rFonts w:hint="eastAsia" w:ascii="仿宋" w:hAnsi="仿宋" w:eastAsia="仿宋" w:cs="仿宋"/>
          <w:color w:val="auto"/>
          <w:szCs w:val="24"/>
          <w:highlight w:val="none"/>
        </w:rPr>
      </w:pPr>
    </w:p>
    <w:p w14:paraId="1AC42A68">
      <w:pPr>
        <w:pStyle w:val="36"/>
        <w:spacing w:after="50" w:afterLines="0" w:line="44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投标人(盖章)：　　　　　　　　　　　　　　　　　　　　日期：     </w:t>
      </w:r>
    </w:p>
    <w:p w14:paraId="27BB22F7">
      <w:pPr>
        <w:pStyle w:val="36"/>
        <w:spacing w:after="50" w:afterLines="0" w:line="440" w:lineRule="exact"/>
        <w:rPr>
          <w:rFonts w:hint="eastAsia" w:ascii="仿宋" w:hAnsi="仿宋" w:eastAsia="仿宋" w:cs="仿宋"/>
          <w:color w:val="auto"/>
          <w:szCs w:val="24"/>
          <w:highlight w:val="none"/>
        </w:rPr>
      </w:pPr>
    </w:p>
    <w:p w14:paraId="2A9C9B55">
      <w:pPr>
        <w:pStyle w:val="36"/>
        <w:spacing w:after="50" w:afterLines="0" w:line="440" w:lineRule="exact"/>
        <w:rPr>
          <w:rFonts w:hint="eastAsia" w:ascii="仿宋" w:hAnsi="仿宋" w:eastAsia="仿宋" w:cs="仿宋"/>
          <w:color w:val="auto"/>
          <w:szCs w:val="24"/>
          <w:highlight w:val="none"/>
        </w:rPr>
      </w:pPr>
    </w:p>
    <w:p w14:paraId="3DF7F084">
      <w:pPr>
        <w:pStyle w:val="36"/>
        <w:spacing w:after="50" w:afterLines="0" w:line="440" w:lineRule="exact"/>
        <w:ind w:left="0" w:firstLine="0" w:firstLineChars="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w:t>
      </w:r>
      <w:r>
        <w:rPr>
          <w:rFonts w:hint="eastAsia" w:ascii="仿宋" w:hAnsi="仿宋" w:eastAsia="仿宋" w:cs="仿宋"/>
          <w:b/>
          <w:bCs/>
          <w:color w:val="auto"/>
          <w:sz w:val="28"/>
          <w:szCs w:val="28"/>
          <w:highlight w:val="none"/>
          <w:lang w:val="en-US" w:eastAsia="zh-CN"/>
        </w:rPr>
        <w:t>4</w:t>
      </w:r>
      <w:r>
        <w:rPr>
          <w:rFonts w:hint="eastAsia" w:ascii="仿宋" w:hAnsi="仿宋" w:eastAsia="仿宋" w:cs="仿宋"/>
          <w:b/>
          <w:bCs/>
          <w:color w:val="auto"/>
          <w:sz w:val="28"/>
          <w:szCs w:val="28"/>
          <w:highlight w:val="none"/>
        </w:rPr>
        <w:t>：法定代表人授权委托书</w:t>
      </w:r>
    </w:p>
    <w:p w14:paraId="3CC48D5E">
      <w:pPr>
        <w:snapToGrid w:val="0"/>
        <w:spacing w:before="50" w:after="50"/>
        <w:jc w:val="center"/>
        <w:rPr>
          <w:rFonts w:hint="eastAsia" w:ascii="仿宋" w:hAnsi="仿宋" w:eastAsia="仿宋" w:cs="仿宋"/>
          <w:b/>
          <w:color w:val="auto"/>
          <w:sz w:val="36"/>
          <w:szCs w:val="36"/>
          <w:highlight w:val="none"/>
        </w:rPr>
      </w:pPr>
    </w:p>
    <w:p w14:paraId="6629A7D1">
      <w:pPr>
        <w:snapToGrid w:val="0"/>
        <w:spacing w:before="50" w:after="5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法定代表人授权委托书</w:t>
      </w:r>
    </w:p>
    <w:p w14:paraId="49A1A6FB">
      <w:pPr>
        <w:snapToGrid w:val="0"/>
        <w:spacing w:before="156" w:beforeLines="50" w:after="50" w:line="460" w:lineRule="exact"/>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rPr>
        <w:t>致</w:t>
      </w:r>
      <w:r>
        <w:rPr>
          <w:rFonts w:hint="eastAsia" w:ascii="仿宋" w:hAnsi="仿宋" w:eastAsia="仿宋" w:cs="仿宋"/>
          <w:bCs/>
          <w:color w:val="auto"/>
          <w:sz w:val="24"/>
          <w:szCs w:val="24"/>
          <w:highlight w:val="none"/>
          <w:u w:val="single"/>
        </w:rPr>
        <w:t>（采购代理机构或采购人名称）</w:t>
      </w:r>
      <w:r>
        <w:rPr>
          <w:rFonts w:hint="eastAsia" w:ascii="仿宋" w:hAnsi="仿宋" w:eastAsia="仿宋" w:cs="仿宋"/>
          <w:bCs/>
          <w:color w:val="auto"/>
          <w:sz w:val="24"/>
          <w:szCs w:val="24"/>
          <w:highlight w:val="none"/>
        </w:rPr>
        <w:t>：</w:t>
      </w:r>
    </w:p>
    <w:p w14:paraId="47BA5AD3">
      <w:pPr>
        <w:snapToGrid w:val="0"/>
        <w:spacing w:before="156" w:beforeLines="50" w:after="50" w:line="46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w:t>
      </w:r>
      <w:r>
        <w:rPr>
          <w:rFonts w:hint="eastAsia" w:ascii="仿宋" w:hAnsi="仿宋" w:eastAsia="仿宋" w:cs="仿宋"/>
          <w:color w:val="auto"/>
          <w:sz w:val="24"/>
          <w:szCs w:val="24"/>
          <w:highlight w:val="none"/>
          <w:u w:val="single"/>
        </w:rPr>
        <w:t xml:space="preserve">  （姓名） </w:t>
      </w: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 xml:space="preserve">  （投标人或联合体牵头人全称） </w:t>
      </w:r>
      <w:r>
        <w:rPr>
          <w:rFonts w:hint="eastAsia" w:ascii="仿宋" w:hAnsi="仿宋" w:eastAsia="仿宋" w:cs="仿宋"/>
          <w:color w:val="auto"/>
          <w:sz w:val="24"/>
          <w:szCs w:val="24"/>
          <w:highlight w:val="none"/>
        </w:rPr>
        <w:t xml:space="preserve">的法定代表人，现授权委托 </w:t>
      </w:r>
      <w:r>
        <w:rPr>
          <w:rFonts w:hint="eastAsia" w:ascii="仿宋" w:hAnsi="仿宋" w:eastAsia="仿宋" w:cs="仿宋"/>
          <w:color w:val="auto"/>
          <w:sz w:val="24"/>
          <w:szCs w:val="24"/>
          <w:highlight w:val="none"/>
          <w:u w:val="single"/>
        </w:rPr>
        <w:t xml:space="preserve"> （姓名） </w:t>
      </w:r>
      <w:r>
        <w:rPr>
          <w:rFonts w:hint="eastAsia" w:ascii="仿宋" w:hAnsi="仿宋" w:eastAsia="仿宋" w:cs="仿宋"/>
          <w:color w:val="auto"/>
          <w:sz w:val="24"/>
          <w:szCs w:val="24"/>
          <w:highlight w:val="none"/>
        </w:rPr>
        <w:t>为授权代表，以我方的名义参加</w:t>
      </w:r>
      <w:r>
        <w:rPr>
          <w:rFonts w:hint="eastAsia" w:ascii="仿宋" w:hAnsi="仿宋" w:eastAsia="仿宋" w:cs="仿宋"/>
          <w:color w:val="auto"/>
          <w:sz w:val="24"/>
          <w:szCs w:val="24"/>
          <w:highlight w:val="none"/>
          <w:u w:val="single"/>
        </w:rPr>
        <w:t xml:space="preserve">   （项目名称及编号）    </w:t>
      </w:r>
      <w:r>
        <w:rPr>
          <w:rFonts w:hint="eastAsia" w:ascii="仿宋" w:hAnsi="仿宋" w:eastAsia="仿宋" w:cs="仿宋"/>
          <w:color w:val="auto"/>
          <w:sz w:val="24"/>
          <w:szCs w:val="24"/>
          <w:highlight w:val="none"/>
        </w:rPr>
        <w:t>的投标活动，并代表我方全权办理针对上述项目的投标、开标、评标、签约等具体事务和签署相关文件。我方对授权代表的签名事项负全部认可并承担责任。</w:t>
      </w:r>
    </w:p>
    <w:p w14:paraId="31E21E7F">
      <w:pPr>
        <w:snapToGrid w:val="0"/>
        <w:spacing w:before="156" w:beforeLines="50" w:after="50" w:line="4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在撤销授权的书面通知以前，本授权书一直有效。授权代表在授权书有效期内签署的所有文件不因授权的撤销而失效。</w:t>
      </w:r>
    </w:p>
    <w:p w14:paraId="594F85A3">
      <w:pPr>
        <w:snapToGrid w:val="0"/>
        <w:spacing w:before="156" w:beforeLines="50" w:after="50" w:line="4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授权代表无转委托权，特此委托。</w:t>
      </w:r>
    </w:p>
    <w:p w14:paraId="0A0804C6">
      <w:pPr>
        <w:snapToGrid w:val="0"/>
        <w:spacing w:before="156" w:beforeLines="50" w:after="50" w:line="460" w:lineRule="exact"/>
        <w:ind w:firstLine="480"/>
        <w:rPr>
          <w:rFonts w:hint="eastAsia" w:ascii="仿宋" w:hAnsi="仿宋" w:eastAsia="仿宋" w:cs="仿宋"/>
          <w:color w:val="auto"/>
          <w:sz w:val="24"/>
          <w:szCs w:val="24"/>
          <w:highlight w:val="none"/>
        </w:rPr>
      </w:pPr>
    </w:p>
    <w:p w14:paraId="2CB2DCD4">
      <w:pPr>
        <w:snapToGrid w:val="0"/>
        <w:spacing w:before="156" w:beforeLines="50" w:after="50"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授权代表签字（或盖章）：      </w:t>
      </w:r>
    </w:p>
    <w:p w14:paraId="53EFD2E6">
      <w:pPr>
        <w:snapToGrid w:val="0"/>
        <w:spacing w:before="156" w:beforeLines="50" w:after="50"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6F917A6E">
      <w:pPr>
        <w:snapToGrid w:val="0"/>
        <w:spacing w:before="156" w:beforeLines="50" w:after="50" w:line="460" w:lineRule="exact"/>
        <w:rPr>
          <w:rFonts w:hint="eastAsia" w:ascii="仿宋" w:hAnsi="仿宋" w:eastAsia="仿宋" w:cs="仿宋"/>
          <w:color w:val="auto"/>
          <w:sz w:val="24"/>
          <w:szCs w:val="24"/>
          <w:highlight w:val="none"/>
        </w:rPr>
      </w:pPr>
    </w:p>
    <w:p w14:paraId="30997A86">
      <w:pPr>
        <w:snapToGrid w:val="0"/>
        <w:spacing w:before="156" w:beforeLines="50" w:after="50" w:line="46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法定代表人签字（或盖章）：</w:t>
      </w:r>
    </w:p>
    <w:p w14:paraId="3F2D759F">
      <w:pPr>
        <w:snapToGrid w:val="0"/>
        <w:spacing w:before="156" w:beforeLines="50" w:after="50"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法定代表人身份证号码：</w:t>
      </w:r>
      <w:r>
        <w:rPr>
          <w:rFonts w:hint="eastAsia" w:ascii="仿宋" w:hAnsi="仿宋" w:eastAsia="仿宋" w:cs="仿宋"/>
          <w:color w:val="auto"/>
          <w:sz w:val="24"/>
          <w:szCs w:val="24"/>
          <w:highlight w:val="none"/>
          <w:u w:val="single"/>
        </w:rPr>
        <w:t xml:space="preserve">                         </w:t>
      </w:r>
    </w:p>
    <w:p w14:paraId="437DDC7E">
      <w:pPr>
        <w:snapToGrid w:val="0"/>
        <w:spacing w:before="156" w:beforeLines="50" w:after="50" w:line="460" w:lineRule="exact"/>
        <w:rPr>
          <w:rFonts w:hint="eastAsia" w:ascii="仿宋" w:hAnsi="仿宋" w:eastAsia="仿宋" w:cs="仿宋"/>
          <w:color w:val="auto"/>
          <w:sz w:val="24"/>
          <w:szCs w:val="24"/>
          <w:highlight w:val="none"/>
        </w:rPr>
      </w:pPr>
    </w:p>
    <w:p w14:paraId="0EF87261">
      <w:pPr>
        <w:snapToGrid w:val="0"/>
        <w:spacing w:before="156" w:beforeLines="50" w:after="50"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6B6C0026">
      <w:pPr>
        <w:snapToGrid w:val="0"/>
        <w:spacing w:before="156" w:beforeLines="50" w:after="50" w:line="46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投标人全称（盖公章）：            日  期：</w:t>
      </w:r>
      <w:r>
        <w:rPr>
          <w:rFonts w:hint="eastAsia" w:ascii="仿宋" w:hAnsi="仿宋" w:eastAsia="仿宋" w:cs="仿宋"/>
          <w:color w:val="auto"/>
          <w:sz w:val="24"/>
          <w:szCs w:val="24"/>
          <w:highlight w:val="none"/>
          <w:u w:val="single"/>
        </w:rPr>
        <w:t xml:space="preserve">     年   月  日</w:t>
      </w:r>
    </w:p>
    <w:p w14:paraId="546020BE">
      <w:pPr>
        <w:widowControl/>
        <w:jc w:val="left"/>
        <w:rPr>
          <w:rFonts w:hint="eastAsia" w:ascii="仿宋" w:hAnsi="仿宋" w:eastAsia="仿宋" w:cs="仿宋"/>
          <w:color w:val="auto"/>
          <w:sz w:val="24"/>
          <w:szCs w:val="24"/>
          <w:highlight w:val="none"/>
          <w:u w:val="single"/>
        </w:rPr>
      </w:pPr>
    </w:p>
    <w:p w14:paraId="405E9623">
      <w:pPr>
        <w:snapToGrid w:val="0"/>
        <w:spacing w:before="50" w:after="50"/>
        <w:jc w:val="left"/>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rPr>
        <w:t>友情提示：</w:t>
      </w:r>
      <w:r>
        <w:rPr>
          <w:rFonts w:hint="eastAsia" w:ascii="仿宋" w:hAnsi="仿宋" w:eastAsia="仿宋" w:cs="仿宋"/>
          <w:b/>
          <w:bCs/>
          <w:color w:val="auto"/>
          <w:sz w:val="24"/>
          <w:szCs w:val="24"/>
          <w:highlight w:val="none"/>
          <w:u w:val="single"/>
        </w:rPr>
        <w:t>1、请仔细核对身份证号码，若填写错误，作无效投标处理。</w:t>
      </w:r>
    </w:p>
    <w:p w14:paraId="7541861C">
      <w:pPr>
        <w:snapToGrid w:val="0"/>
        <w:spacing w:before="50" w:after="50"/>
        <w:ind w:left="1558" w:leftChars="570" w:hanging="361" w:hangingChars="150"/>
        <w:jc w:val="left"/>
        <w:rPr>
          <w:rFonts w:hint="eastAsia" w:ascii="仿宋" w:hAnsi="仿宋" w:eastAsia="仿宋" w:cs="仿宋"/>
          <w:b/>
          <w:bCs/>
          <w:color w:val="auto"/>
          <w:sz w:val="24"/>
          <w:szCs w:val="24"/>
          <w:highlight w:val="none"/>
          <w:u w:val="single"/>
        </w:rPr>
      </w:pPr>
      <w:r>
        <w:rPr>
          <w:rFonts w:hint="eastAsia" w:ascii="仿宋" w:hAnsi="仿宋" w:eastAsia="仿宋" w:cs="仿宋"/>
          <w:b/>
          <w:bCs/>
          <w:color w:val="auto"/>
          <w:sz w:val="24"/>
          <w:szCs w:val="24"/>
          <w:highlight w:val="none"/>
          <w:u w:val="single"/>
        </w:rPr>
        <w:t>2、联合体投标的，需提供联合体牵头人的法定代表人授权委托书，否则作无效投标处理。</w:t>
      </w:r>
    </w:p>
    <w:p w14:paraId="7F4D0D17">
      <w:pPr>
        <w:snapToGrid w:val="0"/>
        <w:spacing w:before="50" w:after="50"/>
        <w:jc w:val="left"/>
        <w:rPr>
          <w:rFonts w:hint="eastAsia" w:ascii="仿宋" w:hAnsi="仿宋" w:eastAsia="仿宋" w:cs="仿宋"/>
          <w:b/>
          <w:color w:val="auto"/>
          <w:sz w:val="36"/>
          <w:szCs w:val="36"/>
          <w:highlight w:val="none"/>
        </w:rPr>
      </w:pPr>
    </w:p>
    <w:p w14:paraId="1C0FA449">
      <w:pPr>
        <w:snapToGrid w:val="0"/>
        <w:spacing w:before="50" w:after="50"/>
        <w:jc w:val="left"/>
        <w:rPr>
          <w:rFonts w:hint="eastAsia" w:ascii="仿宋" w:hAnsi="仿宋" w:eastAsia="仿宋" w:cs="仿宋"/>
          <w:b/>
          <w:color w:val="auto"/>
          <w:sz w:val="36"/>
          <w:szCs w:val="36"/>
          <w:highlight w:val="none"/>
        </w:rPr>
      </w:pPr>
    </w:p>
    <w:p w14:paraId="2E66C358">
      <w:pPr>
        <w:pStyle w:val="36"/>
        <w:spacing w:after="50" w:afterLines="0" w:line="440" w:lineRule="exact"/>
        <w:ind w:left="0" w:firstLine="0" w:firstLineChars="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w:t>
      </w:r>
      <w:r>
        <w:rPr>
          <w:rFonts w:hint="eastAsia" w:ascii="仿宋" w:hAnsi="仿宋" w:eastAsia="仿宋" w:cs="仿宋"/>
          <w:b/>
          <w:bCs/>
          <w:color w:val="auto"/>
          <w:sz w:val="28"/>
          <w:szCs w:val="28"/>
          <w:highlight w:val="none"/>
          <w:lang w:val="en-US" w:eastAsia="zh-CN"/>
        </w:rPr>
        <w:t>5</w:t>
      </w:r>
      <w:r>
        <w:rPr>
          <w:rFonts w:hint="eastAsia" w:ascii="仿宋" w:hAnsi="仿宋" w:eastAsia="仿宋" w:cs="仿宋"/>
          <w:b/>
          <w:bCs/>
          <w:color w:val="auto"/>
          <w:sz w:val="28"/>
          <w:szCs w:val="28"/>
          <w:highlight w:val="none"/>
        </w:rPr>
        <w:t>：法定代表人及其授权代表身份证</w:t>
      </w:r>
    </w:p>
    <w:p w14:paraId="5785E485">
      <w:pPr>
        <w:pStyle w:val="36"/>
        <w:spacing w:after="50" w:afterLines="0" w:line="440" w:lineRule="exact"/>
        <w:ind w:left="0" w:firstLine="0" w:firstLineChars="0"/>
        <w:rPr>
          <w:rFonts w:hint="eastAsia" w:ascii="仿宋" w:hAnsi="仿宋" w:eastAsia="仿宋" w:cs="仿宋"/>
          <w:b/>
          <w:bCs/>
          <w:color w:val="auto"/>
          <w:sz w:val="28"/>
          <w:szCs w:val="28"/>
          <w:highlight w:val="none"/>
        </w:rPr>
      </w:pPr>
    </w:p>
    <w:p w14:paraId="6568F56B">
      <w:pPr>
        <w:pStyle w:val="36"/>
        <w:spacing w:after="50" w:afterLines="0" w:line="440" w:lineRule="exact"/>
        <w:ind w:left="0" w:firstLine="0" w:firstLineChars="0"/>
        <w:rPr>
          <w:rFonts w:hint="eastAsia" w:ascii="仿宋" w:hAnsi="仿宋" w:eastAsia="仿宋" w:cs="仿宋"/>
          <w:b/>
          <w:bCs/>
          <w:color w:val="auto"/>
          <w:sz w:val="28"/>
          <w:szCs w:val="28"/>
          <w:highlight w:val="none"/>
        </w:rPr>
      </w:pPr>
    </w:p>
    <w:p w14:paraId="4E79A49E">
      <w:pPr>
        <w:pStyle w:val="36"/>
        <w:spacing w:after="50" w:afterLines="0" w:line="440" w:lineRule="exact"/>
        <w:ind w:left="0" w:firstLine="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制作说明：</w:t>
      </w:r>
    </w:p>
    <w:p w14:paraId="1205CAA6">
      <w:pPr>
        <w:pStyle w:val="36"/>
        <w:numPr>
          <w:ilvl w:val="0"/>
          <w:numId w:val="10"/>
        </w:numPr>
        <w:spacing w:after="50" w:afterLines="0" w:line="440" w:lineRule="exact"/>
        <w:ind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提供身份证原件正反两面的复印件或扫描件或图片，内容清晰可辨，加盖</w:t>
      </w:r>
      <w:r>
        <w:rPr>
          <w:rFonts w:hint="eastAsia" w:ascii="仿宋" w:hAnsi="仿宋" w:eastAsia="仿宋" w:cs="仿宋"/>
          <w:color w:val="auto"/>
          <w:sz w:val="28"/>
          <w:szCs w:val="28"/>
          <w:highlight w:val="none"/>
          <w:lang w:eastAsia="zh-CN"/>
        </w:rPr>
        <w:t>单位公章</w:t>
      </w:r>
      <w:r>
        <w:rPr>
          <w:rFonts w:hint="eastAsia" w:ascii="仿宋" w:hAnsi="仿宋" w:eastAsia="仿宋" w:cs="仿宋"/>
          <w:color w:val="auto"/>
          <w:sz w:val="28"/>
          <w:szCs w:val="28"/>
          <w:highlight w:val="none"/>
        </w:rPr>
        <w:t>，否则视为无效投标。</w:t>
      </w:r>
    </w:p>
    <w:p w14:paraId="03BF49F6">
      <w:pPr>
        <w:pStyle w:val="36"/>
        <w:numPr>
          <w:ilvl w:val="0"/>
          <w:numId w:val="10"/>
        </w:numPr>
        <w:spacing w:after="50" w:afterLines="0" w:line="440" w:lineRule="exact"/>
        <w:ind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联合体投标的，提供联合体牵头人的法定代表人及其授权代表身份证。</w:t>
      </w:r>
    </w:p>
    <w:p w14:paraId="68E54332">
      <w:pPr>
        <w:pStyle w:val="36"/>
        <w:numPr>
          <w:ilvl w:val="0"/>
          <w:numId w:val="10"/>
        </w:numPr>
        <w:spacing w:after="50" w:afterLines="0" w:line="440" w:lineRule="exact"/>
        <w:ind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个体工商户参与投标的提供经营者本人的身份证。</w:t>
      </w:r>
    </w:p>
    <w:p w14:paraId="3D0C1715">
      <w:pPr>
        <w:pStyle w:val="36"/>
        <w:spacing w:after="50" w:afterLines="0" w:line="440" w:lineRule="exact"/>
        <w:ind w:left="0" w:firstLine="0" w:firstLineChars="0"/>
        <w:rPr>
          <w:rFonts w:hint="eastAsia" w:ascii="仿宋" w:hAnsi="仿宋" w:eastAsia="仿宋" w:cs="仿宋"/>
          <w:color w:val="auto"/>
          <w:sz w:val="28"/>
          <w:szCs w:val="28"/>
          <w:highlight w:val="none"/>
        </w:rPr>
      </w:pPr>
    </w:p>
    <w:p w14:paraId="2AB8665D">
      <w:pPr>
        <w:pStyle w:val="36"/>
        <w:spacing w:after="50" w:afterLines="0" w:line="440" w:lineRule="exact"/>
        <w:ind w:left="0" w:firstLine="0" w:firstLineChars="0"/>
        <w:rPr>
          <w:rFonts w:hint="eastAsia" w:ascii="仿宋" w:hAnsi="仿宋" w:eastAsia="仿宋" w:cs="仿宋"/>
          <w:color w:val="auto"/>
          <w:sz w:val="28"/>
          <w:szCs w:val="28"/>
          <w:highlight w:val="none"/>
        </w:rPr>
      </w:pPr>
    </w:p>
    <w:p w14:paraId="0808974D">
      <w:pPr>
        <w:pStyle w:val="36"/>
        <w:spacing w:after="50" w:afterLines="0" w:line="440" w:lineRule="exact"/>
        <w:ind w:left="0" w:firstLine="0" w:firstLineChars="0"/>
        <w:rPr>
          <w:rFonts w:hint="eastAsia" w:ascii="仿宋" w:hAnsi="仿宋" w:eastAsia="仿宋" w:cs="仿宋"/>
          <w:color w:val="auto"/>
          <w:sz w:val="28"/>
          <w:szCs w:val="28"/>
          <w:highlight w:val="none"/>
        </w:rPr>
      </w:pPr>
    </w:p>
    <w:p w14:paraId="6EA5A091">
      <w:pPr>
        <w:pStyle w:val="36"/>
        <w:spacing w:after="50" w:afterLines="0" w:line="440" w:lineRule="exact"/>
        <w:ind w:left="0" w:firstLine="0" w:firstLineChars="0"/>
        <w:rPr>
          <w:rFonts w:hint="eastAsia" w:ascii="仿宋" w:hAnsi="仿宋" w:eastAsia="仿宋" w:cs="仿宋"/>
          <w:color w:val="auto"/>
          <w:sz w:val="28"/>
          <w:szCs w:val="28"/>
          <w:highlight w:val="none"/>
        </w:rPr>
      </w:pPr>
    </w:p>
    <w:p w14:paraId="1CEFC625">
      <w:pPr>
        <w:pStyle w:val="36"/>
        <w:spacing w:after="50" w:afterLines="0" w:line="440" w:lineRule="exact"/>
        <w:ind w:left="0" w:firstLine="0" w:firstLineChars="0"/>
        <w:rPr>
          <w:rFonts w:hint="eastAsia" w:ascii="仿宋" w:hAnsi="仿宋" w:eastAsia="仿宋" w:cs="仿宋"/>
          <w:color w:val="auto"/>
          <w:sz w:val="28"/>
          <w:szCs w:val="28"/>
          <w:highlight w:val="none"/>
        </w:rPr>
      </w:pPr>
    </w:p>
    <w:p w14:paraId="6AEA29E0">
      <w:pPr>
        <w:pStyle w:val="36"/>
        <w:spacing w:after="50" w:afterLines="0" w:line="440" w:lineRule="exact"/>
        <w:ind w:left="0" w:firstLine="0" w:firstLineChars="0"/>
        <w:rPr>
          <w:rFonts w:hint="eastAsia" w:ascii="仿宋" w:hAnsi="仿宋" w:eastAsia="仿宋" w:cs="仿宋"/>
          <w:color w:val="auto"/>
          <w:sz w:val="28"/>
          <w:szCs w:val="28"/>
          <w:highlight w:val="none"/>
        </w:rPr>
      </w:pPr>
    </w:p>
    <w:p w14:paraId="42069191">
      <w:pPr>
        <w:pStyle w:val="36"/>
        <w:spacing w:after="50" w:afterLines="0" w:line="440" w:lineRule="exact"/>
        <w:ind w:left="0" w:firstLine="0" w:firstLineChars="0"/>
        <w:rPr>
          <w:rFonts w:hint="eastAsia" w:ascii="仿宋" w:hAnsi="仿宋" w:eastAsia="仿宋" w:cs="仿宋"/>
          <w:color w:val="auto"/>
          <w:sz w:val="28"/>
          <w:szCs w:val="28"/>
          <w:highlight w:val="none"/>
        </w:rPr>
      </w:pPr>
    </w:p>
    <w:p w14:paraId="390FF071">
      <w:pPr>
        <w:pStyle w:val="36"/>
        <w:spacing w:after="50" w:afterLines="0" w:line="440" w:lineRule="exact"/>
        <w:ind w:left="0" w:firstLine="0" w:firstLineChars="0"/>
        <w:rPr>
          <w:rFonts w:hint="eastAsia" w:ascii="仿宋" w:hAnsi="仿宋" w:eastAsia="仿宋" w:cs="仿宋"/>
          <w:color w:val="auto"/>
          <w:sz w:val="28"/>
          <w:szCs w:val="28"/>
          <w:highlight w:val="none"/>
        </w:rPr>
      </w:pPr>
    </w:p>
    <w:p w14:paraId="3869EA0D">
      <w:pPr>
        <w:pStyle w:val="36"/>
        <w:spacing w:after="50" w:afterLines="0" w:line="440" w:lineRule="exact"/>
        <w:ind w:left="0" w:firstLine="0" w:firstLineChars="0"/>
        <w:rPr>
          <w:rFonts w:hint="eastAsia" w:ascii="仿宋" w:hAnsi="仿宋" w:eastAsia="仿宋" w:cs="仿宋"/>
          <w:color w:val="auto"/>
          <w:sz w:val="28"/>
          <w:szCs w:val="28"/>
          <w:highlight w:val="none"/>
        </w:rPr>
      </w:pPr>
    </w:p>
    <w:p w14:paraId="24953CAD">
      <w:pPr>
        <w:pStyle w:val="36"/>
        <w:spacing w:after="50" w:afterLines="0" w:line="440" w:lineRule="exact"/>
        <w:ind w:left="0" w:firstLine="0" w:firstLineChars="0"/>
        <w:rPr>
          <w:rFonts w:hint="eastAsia" w:ascii="仿宋" w:hAnsi="仿宋" w:eastAsia="仿宋" w:cs="仿宋"/>
          <w:color w:val="auto"/>
          <w:sz w:val="28"/>
          <w:szCs w:val="28"/>
          <w:highlight w:val="none"/>
        </w:rPr>
      </w:pPr>
    </w:p>
    <w:p w14:paraId="56113603">
      <w:pPr>
        <w:pStyle w:val="36"/>
        <w:spacing w:after="50" w:afterLines="0" w:line="440" w:lineRule="exact"/>
        <w:ind w:left="0" w:firstLine="0" w:firstLineChars="0"/>
        <w:rPr>
          <w:rFonts w:hint="eastAsia" w:ascii="仿宋" w:hAnsi="仿宋" w:eastAsia="仿宋" w:cs="仿宋"/>
          <w:color w:val="auto"/>
          <w:sz w:val="28"/>
          <w:szCs w:val="28"/>
          <w:highlight w:val="none"/>
        </w:rPr>
      </w:pPr>
    </w:p>
    <w:p w14:paraId="752729E5">
      <w:pPr>
        <w:pStyle w:val="36"/>
        <w:spacing w:after="50" w:afterLines="0" w:line="440" w:lineRule="exact"/>
        <w:ind w:left="0" w:firstLine="0" w:firstLineChars="0"/>
        <w:rPr>
          <w:rFonts w:hint="eastAsia" w:ascii="仿宋" w:hAnsi="仿宋" w:eastAsia="仿宋" w:cs="仿宋"/>
          <w:color w:val="auto"/>
          <w:sz w:val="28"/>
          <w:szCs w:val="28"/>
          <w:highlight w:val="none"/>
        </w:rPr>
      </w:pPr>
    </w:p>
    <w:p w14:paraId="6EC06A48">
      <w:pPr>
        <w:pStyle w:val="36"/>
        <w:spacing w:after="50" w:afterLines="0" w:line="440" w:lineRule="exact"/>
        <w:ind w:left="0" w:firstLine="0" w:firstLineChars="0"/>
        <w:rPr>
          <w:rFonts w:hint="eastAsia" w:ascii="仿宋" w:hAnsi="仿宋" w:eastAsia="仿宋" w:cs="仿宋"/>
          <w:color w:val="auto"/>
          <w:sz w:val="28"/>
          <w:szCs w:val="28"/>
          <w:highlight w:val="none"/>
        </w:rPr>
      </w:pPr>
    </w:p>
    <w:p w14:paraId="7BDCC6CD">
      <w:pPr>
        <w:pStyle w:val="36"/>
        <w:spacing w:after="50" w:afterLines="0" w:line="440" w:lineRule="exact"/>
        <w:ind w:left="0" w:firstLine="0" w:firstLineChars="0"/>
        <w:rPr>
          <w:rFonts w:hint="eastAsia" w:ascii="仿宋" w:hAnsi="仿宋" w:eastAsia="仿宋" w:cs="仿宋"/>
          <w:color w:val="auto"/>
          <w:sz w:val="28"/>
          <w:szCs w:val="28"/>
          <w:highlight w:val="none"/>
        </w:rPr>
      </w:pPr>
    </w:p>
    <w:p w14:paraId="49815480">
      <w:pPr>
        <w:pStyle w:val="36"/>
        <w:spacing w:after="50" w:afterLines="0" w:line="440" w:lineRule="exact"/>
        <w:ind w:left="0" w:firstLine="0" w:firstLineChars="0"/>
        <w:rPr>
          <w:rFonts w:hint="eastAsia" w:ascii="仿宋" w:hAnsi="仿宋" w:eastAsia="仿宋" w:cs="仿宋"/>
          <w:color w:val="auto"/>
          <w:sz w:val="28"/>
          <w:szCs w:val="28"/>
          <w:highlight w:val="none"/>
        </w:rPr>
      </w:pPr>
    </w:p>
    <w:p w14:paraId="1DF03188">
      <w:pPr>
        <w:pStyle w:val="36"/>
        <w:spacing w:after="50" w:afterLines="0" w:line="440" w:lineRule="exact"/>
        <w:ind w:left="0" w:firstLine="0" w:firstLineChars="0"/>
        <w:rPr>
          <w:rFonts w:hint="eastAsia" w:ascii="仿宋" w:hAnsi="仿宋" w:eastAsia="仿宋" w:cs="仿宋"/>
          <w:color w:val="auto"/>
          <w:sz w:val="28"/>
          <w:szCs w:val="28"/>
          <w:highlight w:val="none"/>
        </w:rPr>
      </w:pPr>
    </w:p>
    <w:p w14:paraId="2F941F4A">
      <w:pPr>
        <w:pStyle w:val="36"/>
        <w:spacing w:after="50" w:afterLines="0" w:line="440" w:lineRule="exact"/>
        <w:ind w:left="0" w:firstLine="0" w:firstLineChars="0"/>
        <w:rPr>
          <w:rFonts w:hint="eastAsia" w:ascii="仿宋" w:hAnsi="仿宋" w:eastAsia="仿宋" w:cs="仿宋"/>
          <w:color w:val="auto"/>
          <w:sz w:val="28"/>
          <w:szCs w:val="28"/>
          <w:highlight w:val="none"/>
        </w:rPr>
      </w:pPr>
    </w:p>
    <w:p w14:paraId="7B1BC1CC">
      <w:pPr>
        <w:pStyle w:val="36"/>
        <w:spacing w:after="50" w:afterLines="0" w:line="440" w:lineRule="exact"/>
        <w:ind w:left="0" w:firstLine="0" w:firstLineChars="0"/>
        <w:rPr>
          <w:rFonts w:hint="eastAsia" w:ascii="仿宋" w:hAnsi="仿宋" w:eastAsia="仿宋" w:cs="仿宋"/>
          <w:color w:val="auto"/>
          <w:sz w:val="28"/>
          <w:szCs w:val="28"/>
          <w:highlight w:val="none"/>
        </w:rPr>
      </w:pPr>
    </w:p>
    <w:p w14:paraId="7397B9D7">
      <w:pPr>
        <w:pStyle w:val="36"/>
        <w:spacing w:after="50" w:afterLines="0" w:line="440" w:lineRule="exact"/>
        <w:ind w:left="0" w:firstLine="0" w:firstLineChars="0"/>
        <w:rPr>
          <w:rFonts w:hint="eastAsia" w:ascii="仿宋" w:hAnsi="仿宋" w:eastAsia="仿宋" w:cs="仿宋"/>
          <w:color w:val="auto"/>
          <w:sz w:val="28"/>
          <w:szCs w:val="28"/>
          <w:highlight w:val="none"/>
        </w:rPr>
      </w:pPr>
    </w:p>
    <w:p w14:paraId="40F7048B">
      <w:pPr>
        <w:snapToGrid w:val="0"/>
        <w:spacing w:before="156" w:beforeLines="50" w:after="50"/>
        <w:jc w:val="left"/>
        <w:rPr>
          <w:rFonts w:hint="eastAsia" w:ascii="仿宋" w:hAnsi="仿宋" w:eastAsia="仿宋" w:cs="仿宋"/>
          <w:b/>
          <w:color w:val="auto"/>
          <w:sz w:val="30"/>
          <w:szCs w:val="30"/>
          <w:highlight w:val="none"/>
        </w:rPr>
      </w:pPr>
      <w:r>
        <w:rPr>
          <w:rFonts w:hint="eastAsia" w:ascii="仿宋" w:hAnsi="仿宋" w:eastAsia="仿宋" w:cs="仿宋"/>
          <w:color w:val="auto"/>
          <w:sz w:val="30"/>
          <w:szCs w:val="30"/>
          <w:highlight w:val="none"/>
        </w:rPr>
        <w:br w:type="page"/>
      </w:r>
      <w:r>
        <w:rPr>
          <w:rFonts w:hint="eastAsia" w:ascii="仿宋" w:hAnsi="仿宋" w:eastAsia="仿宋" w:cs="仿宋"/>
          <w:b/>
          <w:bCs/>
          <w:color w:val="auto"/>
          <w:sz w:val="30"/>
          <w:szCs w:val="30"/>
          <w:highlight w:val="none"/>
        </w:rPr>
        <w:t>附件</w:t>
      </w:r>
      <w:r>
        <w:rPr>
          <w:rFonts w:hint="eastAsia" w:ascii="仿宋" w:hAnsi="仿宋" w:eastAsia="仿宋" w:cs="仿宋"/>
          <w:b/>
          <w:bCs/>
          <w:color w:val="auto"/>
          <w:sz w:val="30"/>
          <w:szCs w:val="30"/>
          <w:highlight w:val="none"/>
          <w:lang w:val="en-US" w:eastAsia="zh-CN"/>
        </w:rPr>
        <w:t>6</w:t>
      </w:r>
      <w:r>
        <w:rPr>
          <w:rFonts w:hint="eastAsia" w:ascii="仿宋" w:hAnsi="仿宋" w:eastAsia="仿宋" w:cs="仿宋"/>
          <w:b/>
          <w:color w:val="auto"/>
          <w:sz w:val="30"/>
          <w:szCs w:val="30"/>
          <w:highlight w:val="none"/>
        </w:rPr>
        <w:t>：商务和技术文件封面</w:t>
      </w:r>
    </w:p>
    <w:p w14:paraId="13521016">
      <w:pPr>
        <w:snapToGrid w:val="0"/>
        <w:spacing w:before="156" w:beforeLines="50" w:after="50"/>
        <w:jc w:val="center"/>
        <w:rPr>
          <w:rFonts w:hint="eastAsia" w:ascii="仿宋" w:hAnsi="仿宋" w:eastAsia="仿宋" w:cs="仿宋"/>
          <w:b/>
          <w:color w:val="auto"/>
          <w:sz w:val="30"/>
          <w:szCs w:val="30"/>
          <w:highlight w:val="none"/>
        </w:rPr>
      </w:pPr>
    </w:p>
    <w:p w14:paraId="3DC7A1B3">
      <w:pPr>
        <w:snapToGrid w:val="0"/>
        <w:spacing w:before="156" w:beforeLines="50" w:after="50"/>
        <w:jc w:val="right"/>
        <w:rPr>
          <w:rFonts w:hint="eastAsia" w:ascii="仿宋" w:hAnsi="仿宋" w:eastAsia="仿宋" w:cs="仿宋"/>
          <w:bCs/>
          <w:color w:val="auto"/>
          <w:sz w:val="30"/>
          <w:szCs w:val="30"/>
          <w:highlight w:val="none"/>
        </w:rPr>
      </w:pPr>
    </w:p>
    <w:p w14:paraId="1F901EBE">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项目名称：</w:t>
      </w:r>
    </w:p>
    <w:p w14:paraId="6F5AC4AF">
      <w:pPr>
        <w:spacing w:before="312" w:beforeLines="100" w:line="400" w:lineRule="exact"/>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项目编号：</w:t>
      </w:r>
    </w:p>
    <w:p w14:paraId="5385E2F9">
      <w:pPr>
        <w:spacing w:before="312" w:beforeLines="100" w:line="400" w:lineRule="exac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标项：</w:t>
      </w:r>
    </w:p>
    <w:p w14:paraId="051886AA">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商</w:t>
      </w:r>
    </w:p>
    <w:p w14:paraId="77A4B285">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务</w:t>
      </w:r>
    </w:p>
    <w:p w14:paraId="5A1B881D">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和</w:t>
      </w:r>
    </w:p>
    <w:p w14:paraId="4E179F2F">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技</w:t>
      </w:r>
    </w:p>
    <w:p w14:paraId="2E2167E1">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术</w:t>
      </w:r>
    </w:p>
    <w:p w14:paraId="2A2D4B51">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文</w:t>
      </w:r>
    </w:p>
    <w:p w14:paraId="429ED364">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件</w:t>
      </w:r>
    </w:p>
    <w:p w14:paraId="39A7C6E9">
      <w:pPr>
        <w:spacing w:line="500" w:lineRule="exact"/>
        <w:ind w:right="7"/>
        <w:jc w:val="center"/>
        <w:rPr>
          <w:rFonts w:hint="eastAsia" w:ascii="仿宋" w:hAnsi="仿宋" w:eastAsia="仿宋" w:cs="仿宋"/>
          <w:color w:val="auto"/>
          <w:sz w:val="36"/>
          <w:szCs w:val="36"/>
          <w:highlight w:val="none"/>
        </w:rPr>
      </w:pPr>
    </w:p>
    <w:p w14:paraId="301A1ADC">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投标人名称（盖章）：</w:t>
      </w:r>
    </w:p>
    <w:p w14:paraId="000DF23B">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地    址：</w:t>
      </w:r>
    </w:p>
    <w:p w14:paraId="6781137F">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日期：</w:t>
      </w:r>
    </w:p>
    <w:p w14:paraId="3E5381BC">
      <w:pPr>
        <w:snapToGrid w:val="0"/>
        <w:spacing w:before="156" w:beforeLines="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w:t>
      </w:r>
      <w:r>
        <w:rPr>
          <w:rFonts w:hint="eastAsia" w:ascii="仿宋" w:hAnsi="仿宋" w:eastAsia="仿宋" w:cs="仿宋"/>
          <w:b/>
          <w:bCs/>
          <w:color w:val="auto"/>
          <w:sz w:val="30"/>
          <w:szCs w:val="30"/>
          <w:highlight w:val="none"/>
          <w:lang w:val="en-US" w:eastAsia="zh-CN"/>
        </w:rPr>
        <w:t>7</w:t>
      </w:r>
      <w:r>
        <w:rPr>
          <w:rFonts w:hint="eastAsia" w:ascii="仿宋" w:hAnsi="仿宋" w:eastAsia="仿宋" w:cs="仿宋"/>
          <w:b/>
          <w:bCs/>
          <w:color w:val="auto"/>
          <w:sz w:val="30"/>
          <w:szCs w:val="30"/>
          <w:highlight w:val="none"/>
        </w:rPr>
        <w:t>：商务和技术文件目录</w:t>
      </w:r>
    </w:p>
    <w:p w14:paraId="48E85041">
      <w:pPr>
        <w:snapToGrid w:val="0"/>
        <w:spacing w:before="156" w:beforeLines="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目 录</w:t>
      </w:r>
    </w:p>
    <w:p w14:paraId="66BD6C14">
      <w:pPr>
        <w:pStyle w:val="41"/>
        <w:keepNext w:val="0"/>
        <w:keepLines w:val="0"/>
        <w:pageBreakBefore w:val="0"/>
        <w:widowControl w:val="0"/>
        <w:kinsoku/>
        <w:wordWrap/>
        <w:overflowPunct/>
        <w:topLinePunct w:val="0"/>
        <w:autoSpaceDE/>
        <w:autoSpaceDN/>
        <w:bidi w:val="0"/>
        <w:snapToGrid/>
        <w:spacing w:line="360" w:lineRule="auto"/>
        <w:ind w:firstLine="0" w:firstLineChars="0"/>
        <w:jc w:val="left"/>
        <w:textAlignment w:val="auto"/>
        <w:rPr>
          <w:rFonts w:hint="eastAsia" w:ascii="仿宋" w:hAnsi="仿宋" w:eastAsia="仿宋" w:cs="仿宋"/>
          <w:color w:val="auto"/>
          <w:highlight w:val="none"/>
        </w:rPr>
      </w:pPr>
      <w:bookmarkStart w:id="49" w:name="_Toc64369789"/>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评分对应表…</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bookmarkEnd w:id="49"/>
    </w:p>
    <w:p w14:paraId="507A9A36">
      <w:pPr>
        <w:pStyle w:val="41"/>
        <w:keepNext w:val="0"/>
        <w:keepLines w:val="0"/>
        <w:pageBreakBefore w:val="0"/>
        <w:widowControl w:val="0"/>
        <w:kinsoku/>
        <w:wordWrap/>
        <w:overflowPunct/>
        <w:topLinePunct w:val="0"/>
        <w:autoSpaceDE/>
        <w:autoSpaceDN/>
        <w:bidi w:val="0"/>
        <w:snapToGrid/>
        <w:spacing w:line="360" w:lineRule="auto"/>
        <w:ind w:firstLine="0" w:firstLineChars="0"/>
        <w:jc w:val="left"/>
        <w:textAlignment w:val="auto"/>
        <w:rPr>
          <w:rFonts w:hint="eastAsia" w:ascii="仿宋" w:hAnsi="仿宋" w:eastAsia="仿宋" w:cs="仿宋"/>
          <w:color w:val="auto"/>
          <w:highlight w:val="none"/>
        </w:rPr>
      </w:pPr>
      <w:bookmarkStart w:id="50" w:name="_Toc64369790"/>
      <w:r>
        <w:rPr>
          <w:rFonts w:hint="eastAsia" w:ascii="仿宋" w:hAnsi="仿宋" w:eastAsia="仿宋" w:cs="仿宋"/>
          <w:color w:val="auto"/>
          <w:highlight w:val="none"/>
        </w:rPr>
        <w:t>2.</w:t>
      </w:r>
      <w:bookmarkEnd w:id="50"/>
      <w:r>
        <w:rPr>
          <w:rFonts w:hint="eastAsia" w:ascii="仿宋" w:hAnsi="仿宋" w:eastAsia="仿宋" w:cs="仿宋"/>
          <w:color w:val="auto"/>
          <w:highlight w:val="none"/>
        </w:rPr>
        <w:t>项目明细清单………………………………………………………………（页码）</w:t>
      </w:r>
    </w:p>
    <w:p w14:paraId="4720052B">
      <w:pPr>
        <w:pStyle w:val="41"/>
        <w:keepNext w:val="0"/>
        <w:keepLines w:val="0"/>
        <w:pageBreakBefore w:val="0"/>
        <w:widowControl w:val="0"/>
        <w:kinsoku/>
        <w:wordWrap/>
        <w:overflowPunct/>
        <w:topLinePunct w:val="0"/>
        <w:autoSpaceDE/>
        <w:autoSpaceDN/>
        <w:bidi w:val="0"/>
        <w:snapToGrid/>
        <w:spacing w:line="360" w:lineRule="auto"/>
        <w:ind w:firstLine="0" w:firstLineChars="0"/>
        <w:jc w:val="left"/>
        <w:textAlignment w:val="auto"/>
        <w:rPr>
          <w:rFonts w:hint="eastAsia" w:ascii="仿宋" w:hAnsi="仿宋" w:eastAsia="仿宋" w:cs="仿宋"/>
          <w:color w:val="auto"/>
          <w:highlight w:val="none"/>
        </w:rPr>
      </w:pPr>
      <w:bookmarkStart w:id="51" w:name="_Toc64369791"/>
      <w:r>
        <w:rPr>
          <w:rFonts w:hint="eastAsia" w:ascii="仿宋" w:hAnsi="仿宋" w:eastAsia="仿宋" w:cs="仿宋"/>
          <w:color w:val="auto"/>
          <w:highlight w:val="none"/>
        </w:rPr>
        <w:t>3.</w:t>
      </w:r>
      <w:bookmarkEnd w:id="51"/>
      <w:r>
        <w:rPr>
          <w:rFonts w:hint="eastAsia" w:ascii="仿宋" w:hAnsi="仿宋" w:eastAsia="仿宋" w:cs="仿宋"/>
          <w:color w:val="auto"/>
          <w:highlight w:val="none"/>
        </w:rPr>
        <w:t>技术响应表…………………………………………………………………（页码）</w:t>
      </w:r>
    </w:p>
    <w:p w14:paraId="6CDC3424">
      <w:pPr>
        <w:pStyle w:val="41"/>
        <w:keepNext w:val="0"/>
        <w:keepLines w:val="0"/>
        <w:pageBreakBefore w:val="0"/>
        <w:widowControl w:val="0"/>
        <w:kinsoku/>
        <w:wordWrap/>
        <w:overflowPunct/>
        <w:topLinePunct w:val="0"/>
        <w:autoSpaceDE/>
        <w:autoSpaceDN/>
        <w:bidi w:val="0"/>
        <w:snapToGrid/>
        <w:spacing w:line="360" w:lineRule="auto"/>
        <w:ind w:firstLine="0" w:firstLineChars="0"/>
        <w:jc w:val="left"/>
        <w:textAlignment w:val="auto"/>
        <w:rPr>
          <w:rFonts w:hint="eastAsia" w:ascii="仿宋" w:hAnsi="仿宋" w:eastAsia="仿宋" w:cs="仿宋"/>
          <w:color w:val="auto"/>
          <w:highlight w:val="none"/>
        </w:rPr>
      </w:pPr>
      <w:bookmarkStart w:id="52" w:name="_Toc64369792"/>
      <w:r>
        <w:rPr>
          <w:rFonts w:hint="eastAsia" w:ascii="仿宋" w:hAnsi="仿宋" w:eastAsia="仿宋" w:cs="仿宋"/>
          <w:color w:val="auto"/>
          <w:highlight w:val="none"/>
        </w:rPr>
        <w:t>4.</w:t>
      </w:r>
      <w:bookmarkEnd w:id="52"/>
      <w:r>
        <w:rPr>
          <w:rFonts w:hint="eastAsia" w:ascii="仿宋" w:hAnsi="仿宋" w:eastAsia="仿宋" w:cs="仿宋"/>
          <w:color w:val="auto"/>
          <w:highlight w:val="none"/>
        </w:rPr>
        <w:t>商务响应表…………………………………………………………………（页码）</w:t>
      </w:r>
    </w:p>
    <w:p w14:paraId="1878B342">
      <w:pPr>
        <w:pStyle w:val="41"/>
        <w:keepNext w:val="0"/>
        <w:keepLines w:val="0"/>
        <w:pageBreakBefore w:val="0"/>
        <w:widowControl w:val="0"/>
        <w:kinsoku/>
        <w:wordWrap/>
        <w:overflowPunct/>
        <w:topLinePunct w:val="0"/>
        <w:autoSpaceDE/>
        <w:autoSpaceDN/>
        <w:bidi w:val="0"/>
        <w:snapToGrid/>
        <w:spacing w:line="360" w:lineRule="auto"/>
        <w:ind w:firstLine="0" w:firstLineChars="0"/>
        <w:jc w:val="left"/>
        <w:textAlignment w:val="auto"/>
        <w:rPr>
          <w:rFonts w:hint="eastAsia" w:ascii="仿宋" w:hAnsi="仿宋" w:eastAsia="仿宋" w:cs="仿宋"/>
          <w:color w:val="auto"/>
          <w:highlight w:val="none"/>
        </w:rPr>
      </w:pPr>
      <w:bookmarkStart w:id="53" w:name="_Toc64369793"/>
      <w:r>
        <w:rPr>
          <w:rFonts w:hint="eastAsia" w:ascii="仿宋" w:hAnsi="仿宋" w:eastAsia="仿宋" w:cs="仿宋"/>
          <w:color w:val="auto"/>
          <w:highlight w:val="none"/>
        </w:rPr>
        <w:t>5.</w:t>
      </w:r>
      <w:bookmarkEnd w:id="53"/>
      <w:r>
        <w:rPr>
          <w:rFonts w:hint="eastAsia" w:ascii="仿宋" w:hAnsi="仿宋" w:eastAsia="仿宋" w:cs="仿宋"/>
          <w:color w:val="auto"/>
          <w:highlight w:val="none"/>
        </w:rPr>
        <w:t>项目实施方案………………………………………………………………（页码）</w:t>
      </w:r>
    </w:p>
    <w:p w14:paraId="6B4FDC5F">
      <w:pPr>
        <w:pStyle w:val="41"/>
        <w:keepNext w:val="0"/>
        <w:keepLines w:val="0"/>
        <w:pageBreakBefore w:val="0"/>
        <w:widowControl w:val="0"/>
        <w:kinsoku/>
        <w:wordWrap/>
        <w:overflowPunct/>
        <w:topLinePunct w:val="0"/>
        <w:autoSpaceDE/>
        <w:autoSpaceDN/>
        <w:bidi w:val="0"/>
        <w:snapToGrid/>
        <w:spacing w:line="360" w:lineRule="auto"/>
        <w:ind w:firstLine="0" w:firstLineChars="0"/>
        <w:jc w:val="left"/>
        <w:textAlignment w:val="auto"/>
        <w:rPr>
          <w:rFonts w:hint="eastAsia" w:ascii="仿宋" w:hAnsi="仿宋" w:eastAsia="仿宋" w:cs="仿宋"/>
          <w:color w:val="auto"/>
          <w:highlight w:val="none"/>
        </w:rPr>
      </w:pPr>
      <w:bookmarkStart w:id="54" w:name="_Toc64369796"/>
      <w:r>
        <w:rPr>
          <w:rFonts w:hint="eastAsia" w:ascii="仿宋" w:hAnsi="仿宋" w:eastAsia="仿宋" w:cs="仿宋"/>
          <w:color w:val="auto"/>
          <w:highlight w:val="none"/>
        </w:rPr>
        <w:t>6.</w:t>
      </w:r>
      <w:bookmarkEnd w:id="54"/>
      <w:r>
        <w:rPr>
          <w:rFonts w:hint="eastAsia" w:ascii="仿宋" w:hAnsi="仿宋" w:eastAsia="仿宋" w:cs="仿宋"/>
          <w:color w:val="auto"/>
          <w:highlight w:val="none"/>
        </w:rPr>
        <w:t>项目实施人员清单…………………………………………………………（页码）</w:t>
      </w:r>
    </w:p>
    <w:p w14:paraId="2F9F00F6">
      <w:pPr>
        <w:pStyle w:val="39"/>
        <w:keepNext w:val="0"/>
        <w:keepLines w:val="0"/>
        <w:pageBreakBefore w:val="0"/>
        <w:widowControl w:val="0"/>
        <w:numPr>
          <w:ilvl w:val="0"/>
          <w:numId w:val="0"/>
        </w:numPr>
        <w:kinsoku/>
        <w:wordWrap/>
        <w:overflowPunct/>
        <w:topLinePunct w:val="0"/>
        <w:autoSpaceDE/>
        <w:autoSpaceDN/>
        <w:bidi w:val="0"/>
        <w:snapToGrid/>
        <w:spacing w:line="360" w:lineRule="auto"/>
        <w:ind w:left="0" w:firstLine="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7.类似业绩一览表（附业绩证明材料）（如有）……………………………（页码）</w:t>
      </w:r>
    </w:p>
    <w:p w14:paraId="677158BA">
      <w:pPr>
        <w:pStyle w:val="41"/>
        <w:keepNext w:val="0"/>
        <w:keepLines w:val="0"/>
        <w:pageBreakBefore w:val="0"/>
        <w:widowControl w:val="0"/>
        <w:kinsoku/>
        <w:wordWrap/>
        <w:overflowPunct/>
        <w:topLinePunct w:val="0"/>
        <w:autoSpaceDE/>
        <w:autoSpaceDN/>
        <w:bidi w:val="0"/>
        <w:snapToGrid/>
        <w:spacing w:line="360" w:lineRule="auto"/>
        <w:ind w:firstLine="0" w:firstLineChars="0"/>
        <w:jc w:val="left"/>
        <w:textAlignment w:val="auto"/>
        <w:rPr>
          <w:rFonts w:hint="eastAsia" w:ascii="仿宋" w:hAnsi="仿宋" w:eastAsia="仿宋" w:cs="仿宋"/>
          <w:color w:val="auto"/>
          <w:highlight w:val="none"/>
        </w:rPr>
      </w:pPr>
      <w:bookmarkStart w:id="55" w:name="_Toc64369797"/>
      <w:r>
        <w:rPr>
          <w:rFonts w:hint="eastAsia" w:ascii="仿宋" w:hAnsi="仿宋" w:eastAsia="仿宋" w:cs="仿宋"/>
          <w:color w:val="auto"/>
          <w:highlight w:val="none"/>
          <w:lang w:val="zh-CN"/>
        </w:rPr>
        <w:t>8.优惠条件及其他额外承诺………………………………</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bookmarkEnd w:id="55"/>
    </w:p>
    <w:p w14:paraId="4A898906">
      <w:pPr>
        <w:pStyle w:val="41"/>
        <w:keepNext w:val="0"/>
        <w:keepLines w:val="0"/>
        <w:pageBreakBefore w:val="0"/>
        <w:widowControl w:val="0"/>
        <w:kinsoku/>
        <w:wordWrap/>
        <w:overflowPunct/>
        <w:topLinePunct w:val="0"/>
        <w:autoSpaceDE/>
        <w:autoSpaceDN/>
        <w:bidi w:val="0"/>
        <w:snapToGrid/>
        <w:spacing w:line="360" w:lineRule="auto"/>
        <w:ind w:firstLine="0" w:firstLineChars="0"/>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9.</w:t>
      </w:r>
      <w:r>
        <w:rPr>
          <w:rFonts w:hint="eastAsia" w:ascii="仿宋" w:hAnsi="仿宋" w:eastAsia="仿宋" w:cs="仿宋"/>
          <w:bCs/>
          <w:color w:val="auto"/>
          <w:sz w:val="24"/>
          <w:szCs w:val="24"/>
          <w:highlight w:val="none"/>
          <w:lang w:val="zh-CN"/>
        </w:rPr>
        <w:t>评分细则中要求提供的其他资料</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p>
    <w:p w14:paraId="1B7D3290">
      <w:pPr>
        <w:pStyle w:val="41"/>
        <w:keepNext w:val="0"/>
        <w:keepLines w:val="0"/>
        <w:pageBreakBefore w:val="0"/>
        <w:widowControl w:val="0"/>
        <w:kinsoku/>
        <w:wordWrap/>
        <w:overflowPunct/>
        <w:topLinePunct w:val="0"/>
        <w:autoSpaceDE/>
        <w:autoSpaceDN/>
        <w:bidi w:val="0"/>
        <w:snapToGrid/>
        <w:spacing w:line="360" w:lineRule="auto"/>
        <w:ind w:firstLine="0" w:firstLineChars="0"/>
        <w:jc w:val="left"/>
        <w:textAlignment w:val="auto"/>
        <w:rPr>
          <w:rFonts w:hint="eastAsia" w:ascii="仿宋" w:hAnsi="仿宋" w:eastAsia="仿宋" w:cs="仿宋"/>
          <w:color w:val="auto"/>
          <w:highlight w:val="none"/>
        </w:rPr>
      </w:pPr>
      <w:bookmarkStart w:id="56" w:name="_Toc64369798"/>
      <w:r>
        <w:rPr>
          <w:rFonts w:hint="eastAsia" w:ascii="仿宋" w:hAnsi="仿宋" w:eastAsia="仿宋" w:cs="仿宋"/>
          <w:color w:val="auto"/>
          <w:highlight w:val="none"/>
          <w:lang w:val="zh-CN"/>
        </w:rPr>
        <w:t>10.其他商务技术（资信）文件或说明……………………</w:t>
      </w:r>
      <w:r>
        <w:rPr>
          <w:rFonts w:hint="eastAsia" w:ascii="仿宋" w:hAnsi="仿宋" w:eastAsia="仿宋" w:cs="仿宋"/>
          <w:color w:val="auto"/>
          <w:highlight w:val="none"/>
        </w:rPr>
        <w:t>…</w:t>
      </w:r>
      <w:r>
        <w:rPr>
          <w:rFonts w:hint="eastAsia" w:ascii="仿宋" w:hAnsi="仿宋" w:eastAsia="仿宋" w:cs="仿宋"/>
          <w:color w:val="auto"/>
          <w:highlight w:val="none"/>
          <w:lang w:val="zh-CN"/>
        </w:rPr>
        <w:t>………………</w:t>
      </w:r>
      <w:r>
        <w:rPr>
          <w:rFonts w:hint="eastAsia" w:ascii="仿宋" w:hAnsi="仿宋" w:eastAsia="仿宋" w:cs="仿宋"/>
          <w:color w:val="auto"/>
          <w:highlight w:val="none"/>
        </w:rPr>
        <w:t>（页码）</w:t>
      </w:r>
      <w:bookmarkEnd w:id="56"/>
    </w:p>
    <w:p w14:paraId="2F43CB99">
      <w:pPr>
        <w:pStyle w:val="39"/>
        <w:numPr>
          <w:ilvl w:val="0"/>
          <w:numId w:val="0"/>
        </w:numPr>
        <w:spacing w:line="240" w:lineRule="auto"/>
        <w:ind w:left="0" w:firstLine="0"/>
        <w:rPr>
          <w:rFonts w:hint="eastAsia" w:ascii="仿宋" w:hAnsi="仿宋" w:eastAsia="仿宋" w:cs="仿宋"/>
          <w:color w:val="auto"/>
          <w:highlight w:val="none"/>
        </w:rPr>
      </w:pPr>
    </w:p>
    <w:p w14:paraId="7BC9D9E7">
      <w:pP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注：以上文件投标供应商可以在本采购文件提供的范本基础上适当微调，使得内容更加完备。</w:t>
      </w:r>
    </w:p>
    <w:p w14:paraId="7C9DD6E0">
      <w:pPr>
        <w:rPr>
          <w:rFonts w:hint="eastAsia" w:ascii="仿宋" w:hAnsi="仿宋" w:eastAsia="仿宋" w:cs="仿宋"/>
          <w:color w:val="auto"/>
          <w:highlight w:val="none"/>
        </w:rPr>
      </w:pPr>
    </w:p>
    <w:p w14:paraId="6FF9D598">
      <w:pPr>
        <w:rPr>
          <w:rFonts w:hint="eastAsia" w:ascii="仿宋" w:hAnsi="仿宋" w:eastAsia="仿宋" w:cs="仿宋"/>
          <w:color w:val="auto"/>
          <w:highlight w:val="none"/>
        </w:rPr>
      </w:pPr>
    </w:p>
    <w:p w14:paraId="4A581768">
      <w:pPr>
        <w:rPr>
          <w:rFonts w:hint="eastAsia" w:ascii="仿宋" w:hAnsi="仿宋" w:eastAsia="仿宋" w:cs="仿宋"/>
          <w:color w:val="auto"/>
          <w:highlight w:val="none"/>
        </w:rPr>
      </w:pPr>
    </w:p>
    <w:p w14:paraId="537EEC14">
      <w:pPr>
        <w:rPr>
          <w:rFonts w:hint="eastAsia" w:ascii="仿宋" w:hAnsi="仿宋" w:eastAsia="仿宋" w:cs="仿宋"/>
          <w:color w:val="auto"/>
          <w:highlight w:val="none"/>
        </w:rPr>
      </w:pPr>
    </w:p>
    <w:p w14:paraId="6BF29CAC">
      <w:pPr>
        <w:rPr>
          <w:rFonts w:hint="eastAsia" w:ascii="仿宋" w:hAnsi="仿宋" w:eastAsia="仿宋" w:cs="仿宋"/>
          <w:color w:val="auto"/>
          <w:highlight w:val="none"/>
        </w:rPr>
      </w:pPr>
    </w:p>
    <w:p w14:paraId="2572557B">
      <w:pPr>
        <w:rPr>
          <w:rFonts w:hint="eastAsia" w:ascii="仿宋" w:hAnsi="仿宋" w:eastAsia="仿宋" w:cs="仿宋"/>
          <w:color w:val="auto"/>
          <w:highlight w:val="none"/>
        </w:rPr>
      </w:pPr>
    </w:p>
    <w:p w14:paraId="3BD1CD5F">
      <w:pPr>
        <w:rPr>
          <w:rFonts w:hint="eastAsia" w:ascii="仿宋" w:hAnsi="仿宋" w:eastAsia="仿宋" w:cs="仿宋"/>
          <w:color w:val="auto"/>
          <w:highlight w:val="none"/>
        </w:rPr>
      </w:pPr>
    </w:p>
    <w:p w14:paraId="29EDD0FF">
      <w:pPr>
        <w:rPr>
          <w:rFonts w:hint="eastAsia" w:ascii="仿宋" w:hAnsi="仿宋" w:eastAsia="仿宋" w:cs="仿宋"/>
          <w:color w:val="auto"/>
          <w:highlight w:val="none"/>
        </w:rPr>
      </w:pPr>
    </w:p>
    <w:p w14:paraId="4123AAF6">
      <w:pPr>
        <w:rPr>
          <w:rFonts w:hint="eastAsia" w:ascii="仿宋" w:hAnsi="仿宋" w:eastAsia="仿宋" w:cs="仿宋"/>
          <w:color w:val="auto"/>
          <w:highlight w:val="none"/>
        </w:rPr>
      </w:pPr>
    </w:p>
    <w:p w14:paraId="71BC03A5">
      <w:pPr>
        <w:rPr>
          <w:rFonts w:hint="eastAsia" w:ascii="仿宋" w:hAnsi="仿宋" w:eastAsia="仿宋" w:cs="仿宋"/>
          <w:color w:val="auto"/>
          <w:highlight w:val="none"/>
        </w:rPr>
      </w:pPr>
    </w:p>
    <w:p w14:paraId="634E1F9A">
      <w:pPr>
        <w:rPr>
          <w:rFonts w:hint="eastAsia" w:ascii="仿宋" w:hAnsi="仿宋" w:eastAsia="仿宋" w:cs="仿宋"/>
          <w:color w:val="auto"/>
          <w:highlight w:val="none"/>
        </w:rPr>
      </w:pPr>
    </w:p>
    <w:p w14:paraId="1BDFA659">
      <w:pPr>
        <w:rPr>
          <w:rFonts w:hint="eastAsia" w:ascii="仿宋" w:hAnsi="仿宋" w:eastAsia="仿宋" w:cs="仿宋"/>
          <w:color w:val="auto"/>
          <w:highlight w:val="none"/>
        </w:rPr>
      </w:pPr>
    </w:p>
    <w:p w14:paraId="449002A4">
      <w:pPr>
        <w:rPr>
          <w:rFonts w:hint="eastAsia" w:ascii="仿宋" w:hAnsi="仿宋" w:eastAsia="仿宋" w:cs="仿宋"/>
          <w:color w:val="auto"/>
          <w:highlight w:val="none"/>
        </w:rPr>
      </w:pPr>
    </w:p>
    <w:p w14:paraId="75BFCE8C">
      <w:pPr>
        <w:rPr>
          <w:rFonts w:hint="eastAsia" w:ascii="仿宋" w:hAnsi="仿宋" w:eastAsia="仿宋" w:cs="仿宋"/>
          <w:color w:val="auto"/>
          <w:highlight w:val="none"/>
        </w:rPr>
      </w:pPr>
    </w:p>
    <w:p w14:paraId="6D90A312">
      <w:pPr>
        <w:rPr>
          <w:rFonts w:hint="eastAsia" w:ascii="仿宋" w:hAnsi="仿宋" w:eastAsia="仿宋" w:cs="仿宋"/>
          <w:color w:val="auto"/>
          <w:highlight w:val="none"/>
        </w:rPr>
      </w:pPr>
    </w:p>
    <w:p w14:paraId="1FF852B4">
      <w:pPr>
        <w:rPr>
          <w:rFonts w:hint="eastAsia" w:ascii="仿宋" w:hAnsi="仿宋" w:eastAsia="仿宋" w:cs="仿宋"/>
          <w:color w:val="auto"/>
          <w:highlight w:val="none"/>
        </w:rPr>
      </w:pPr>
    </w:p>
    <w:p w14:paraId="6092EBD9">
      <w:pPr>
        <w:rPr>
          <w:rFonts w:hint="eastAsia" w:ascii="仿宋" w:hAnsi="仿宋" w:eastAsia="仿宋" w:cs="仿宋"/>
          <w:color w:val="auto"/>
          <w:highlight w:val="none"/>
        </w:rPr>
      </w:pPr>
    </w:p>
    <w:p w14:paraId="466F645C">
      <w:pPr>
        <w:rPr>
          <w:rFonts w:hint="eastAsia" w:ascii="仿宋" w:hAnsi="仿宋" w:eastAsia="仿宋" w:cs="仿宋"/>
          <w:color w:val="auto"/>
          <w:highlight w:val="none"/>
        </w:rPr>
      </w:pPr>
    </w:p>
    <w:p w14:paraId="5FFBD101">
      <w:pPr>
        <w:rPr>
          <w:rFonts w:hint="eastAsia" w:ascii="仿宋" w:hAnsi="仿宋" w:eastAsia="仿宋" w:cs="仿宋"/>
          <w:color w:val="auto"/>
          <w:highlight w:val="none"/>
        </w:rPr>
      </w:pPr>
    </w:p>
    <w:p w14:paraId="750FB820">
      <w:pPr>
        <w:rPr>
          <w:rFonts w:hint="eastAsia" w:ascii="仿宋" w:hAnsi="仿宋" w:eastAsia="仿宋" w:cs="仿宋"/>
          <w:color w:val="auto"/>
          <w:highlight w:val="none"/>
        </w:rPr>
      </w:pPr>
    </w:p>
    <w:p w14:paraId="75E6FDAE">
      <w:pPr>
        <w:rPr>
          <w:rFonts w:hint="eastAsia" w:ascii="仿宋" w:hAnsi="仿宋" w:eastAsia="仿宋" w:cs="仿宋"/>
          <w:color w:val="auto"/>
          <w:highlight w:val="none"/>
        </w:rPr>
      </w:pPr>
    </w:p>
    <w:p w14:paraId="795063D0">
      <w:pPr>
        <w:rPr>
          <w:rFonts w:hint="eastAsia" w:ascii="仿宋" w:hAnsi="仿宋" w:eastAsia="仿宋" w:cs="仿宋"/>
          <w:color w:val="auto"/>
          <w:highlight w:val="none"/>
        </w:rPr>
      </w:pPr>
    </w:p>
    <w:p w14:paraId="2CFEF73D">
      <w:pPr>
        <w:rPr>
          <w:rFonts w:hint="eastAsia" w:ascii="仿宋" w:hAnsi="仿宋" w:eastAsia="仿宋" w:cs="仿宋"/>
          <w:color w:val="auto"/>
          <w:highlight w:val="none"/>
        </w:rPr>
      </w:pPr>
    </w:p>
    <w:p w14:paraId="5D85E974">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2A94CA4C">
      <w:pPr>
        <w:pStyle w:val="36"/>
        <w:tabs>
          <w:tab w:val="left" w:pos="1498"/>
        </w:tabs>
        <w:spacing w:afterLines="0" w:line="440" w:lineRule="exact"/>
        <w:ind w:firstLine="0" w:firstLineChars="0"/>
        <w:rPr>
          <w:rFonts w:hint="default"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rPr>
        <w:t>附件</w:t>
      </w:r>
      <w:r>
        <w:rPr>
          <w:rFonts w:hint="eastAsia" w:ascii="仿宋" w:hAnsi="仿宋" w:eastAsia="仿宋" w:cs="仿宋"/>
          <w:b/>
          <w:bCs/>
          <w:color w:val="auto"/>
          <w:sz w:val="30"/>
          <w:szCs w:val="30"/>
          <w:highlight w:val="none"/>
          <w:lang w:val="en-US" w:eastAsia="zh-CN"/>
        </w:rPr>
        <w:t>8：评分对应表</w:t>
      </w:r>
    </w:p>
    <w:p w14:paraId="66201796">
      <w:pPr>
        <w:snapToGrid w:val="0"/>
        <w:spacing w:before="50" w:after="5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评分对应表</w:t>
      </w:r>
    </w:p>
    <w:p w14:paraId="72095618">
      <w:pPr>
        <w:snapToGrid w:val="0"/>
        <w:spacing w:before="50"/>
        <w:jc w:val="center"/>
        <w:rPr>
          <w:rFonts w:hint="eastAsia" w:ascii="仿宋" w:hAnsi="仿宋" w:eastAsia="仿宋" w:cs="仿宋"/>
          <w:b/>
          <w:color w:val="auto"/>
          <w:sz w:val="32"/>
          <w:szCs w:val="32"/>
          <w:highlight w:val="none"/>
        </w:rPr>
      </w:pPr>
    </w:p>
    <w:p w14:paraId="0BD9FB94">
      <w:pPr>
        <w:pStyle w:val="9"/>
        <w:snapToGrid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供应商全称（或公章）：</w:t>
      </w:r>
      <w:r>
        <w:rPr>
          <w:rFonts w:hint="eastAsia" w:ascii="仿宋" w:hAnsi="仿宋" w:eastAsia="仿宋" w:cs="仿宋"/>
          <w:color w:val="auto"/>
          <w:sz w:val="28"/>
          <w:szCs w:val="28"/>
          <w:highlight w:val="none"/>
          <w:u w:val="single"/>
        </w:rPr>
        <w:t xml:space="preserve">                       </w:t>
      </w:r>
    </w:p>
    <w:p w14:paraId="4AE4002C">
      <w:pPr>
        <w:pStyle w:val="9"/>
        <w:snapToGrid w:val="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标段编号：</w:t>
      </w:r>
      <w:r>
        <w:rPr>
          <w:rFonts w:hint="eastAsia" w:ascii="仿宋" w:hAnsi="仿宋" w:eastAsia="仿宋" w:cs="仿宋"/>
          <w:color w:val="auto"/>
          <w:sz w:val="28"/>
          <w:szCs w:val="28"/>
          <w:highlight w:val="none"/>
          <w:u w:val="single"/>
        </w:rPr>
        <w:t xml:space="preserve">                   </w:t>
      </w:r>
    </w:p>
    <w:tbl>
      <w:tblPr>
        <w:tblStyle w:val="26"/>
        <w:tblW w:w="84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62"/>
        <w:gridCol w:w="2822"/>
      </w:tblGrid>
      <w:tr w14:paraId="618C9E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662" w:type="dxa"/>
            <w:tcBorders>
              <w:top w:val="single" w:color="auto" w:sz="4" w:space="0"/>
              <w:left w:val="single" w:color="auto" w:sz="4" w:space="0"/>
              <w:bottom w:val="single" w:color="auto" w:sz="4" w:space="0"/>
              <w:right w:val="single" w:color="auto" w:sz="4" w:space="0"/>
            </w:tcBorders>
            <w:vAlign w:val="center"/>
          </w:tcPr>
          <w:p w14:paraId="722D0C5C">
            <w:pPr>
              <w:snapToGrid w:val="0"/>
              <w:spacing w:before="156" w:beforeLines="5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评分项目</w:t>
            </w:r>
          </w:p>
        </w:tc>
        <w:tc>
          <w:tcPr>
            <w:tcW w:w="2822" w:type="dxa"/>
            <w:tcBorders>
              <w:top w:val="single" w:color="auto" w:sz="4" w:space="0"/>
              <w:left w:val="single" w:color="auto" w:sz="4" w:space="0"/>
              <w:bottom w:val="single" w:color="auto" w:sz="4" w:space="0"/>
              <w:right w:val="single" w:color="auto" w:sz="4" w:space="0"/>
            </w:tcBorders>
            <w:vAlign w:val="center"/>
          </w:tcPr>
          <w:p w14:paraId="28E20B7F">
            <w:pPr>
              <w:snapToGrid w:val="0"/>
              <w:spacing w:before="156" w:beforeLines="5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投标文件起止页码</w:t>
            </w:r>
          </w:p>
        </w:tc>
      </w:tr>
      <w:tr w14:paraId="50AED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tcPr>
          <w:p w14:paraId="23BBF1C5">
            <w:pPr>
              <w:snapToGrid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对应第五章评标办法及标准的商务技术分评分细则</w:t>
            </w:r>
          </w:p>
        </w:tc>
        <w:tc>
          <w:tcPr>
            <w:tcW w:w="2822" w:type="dxa"/>
            <w:tcBorders>
              <w:top w:val="single" w:color="auto" w:sz="4" w:space="0"/>
              <w:left w:val="single" w:color="auto" w:sz="4" w:space="0"/>
              <w:bottom w:val="single" w:color="auto" w:sz="4" w:space="0"/>
              <w:right w:val="single" w:color="auto" w:sz="4" w:space="0"/>
            </w:tcBorders>
          </w:tcPr>
          <w:p w14:paraId="6FAEDF64">
            <w:pPr>
              <w:snapToGrid w:val="0"/>
              <w:spacing w:before="156" w:beforeLines="50"/>
              <w:rPr>
                <w:rFonts w:hint="eastAsia" w:ascii="仿宋" w:hAnsi="仿宋" w:eastAsia="仿宋" w:cs="仿宋"/>
                <w:color w:val="auto"/>
                <w:sz w:val="28"/>
                <w:szCs w:val="28"/>
                <w:highlight w:val="none"/>
              </w:rPr>
            </w:pPr>
          </w:p>
        </w:tc>
      </w:tr>
      <w:tr w14:paraId="053EA5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tcPr>
          <w:p w14:paraId="76A28A22">
            <w:pPr>
              <w:snapToGrid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tc>
        <w:tc>
          <w:tcPr>
            <w:tcW w:w="2822" w:type="dxa"/>
            <w:tcBorders>
              <w:top w:val="single" w:color="auto" w:sz="4" w:space="0"/>
              <w:left w:val="single" w:color="auto" w:sz="4" w:space="0"/>
              <w:bottom w:val="single" w:color="auto" w:sz="4" w:space="0"/>
              <w:right w:val="single" w:color="auto" w:sz="4" w:space="0"/>
            </w:tcBorders>
          </w:tcPr>
          <w:p w14:paraId="4C279F26">
            <w:pPr>
              <w:snapToGrid w:val="0"/>
              <w:spacing w:before="156" w:beforeLines="50"/>
              <w:ind w:left="43"/>
              <w:rPr>
                <w:rFonts w:hint="eastAsia" w:ascii="仿宋" w:hAnsi="仿宋" w:eastAsia="仿宋" w:cs="仿宋"/>
                <w:color w:val="auto"/>
                <w:sz w:val="28"/>
                <w:szCs w:val="28"/>
                <w:highlight w:val="none"/>
              </w:rPr>
            </w:pPr>
          </w:p>
        </w:tc>
      </w:tr>
      <w:tr w14:paraId="22FBEB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tcPr>
          <w:p w14:paraId="3F9C73CE">
            <w:pPr>
              <w:snapToGrid w:val="0"/>
              <w:rPr>
                <w:rFonts w:hint="eastAsia" w:ascii="仿宋" w:hAnsi="仿宋" w:eastAsia="仿宋" w:cs="仿宋"/>
                <w:color w:val="auto"/>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tcPr>
          <w:p w14:paraId="0C4B0621">
            <w:pPr>
              <w:snapToGrid w:val="0"/>
              <w:spacing w:before="156" w:beforeLines="50"/>
              <w:ind w:left="43"/>
              <w:rPr>
                <w:rFonts w:hint="eastAsia" w:ascii="仿宋" w:hAnsi="仿宋" w:eastAsia="仿宋" w:cs="仿宋"/>
                <w:color w:val="auto"/>
                <w:sz w:val="28"/>
                <w:szCs w:val="28"/>
                <w:highlight w:val="none"/>
              </w:rPr>
            </w:pPr>
          </w:p>
        </w:tc>
      </w:tr>
      <w:tr w14:paraId="072F30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tcPr>
          <w:p w14:paraId="28ED8EFB">
            <w:pPr>
              <w:snapToGrid w:val="0"/>
              <w:rPr>
                <w:rFonts w:hint="eastAsia" w:ascii="仿宋" w:hAnsi="仿宋" w:eastAsia="仿宋" w:cs="仿宋"/>
                <w:color w:val="auto"/>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tcPr>
          <w:p w14:paraId="530BFE90">
            <w:pPr>
              <w:snapToGrid w:val="0"/>
              <w:spacing w:before="156" w:beforeLines="50"/>
              <w:ind w:left="43"/>
              <w:rPr>
                <w:rFonts w:hint="eastAsia" w:ascii="仿宋" w:hAnsi="仿宋" w:eastAsia="仿宋" w:cs="仿宋"/>
                <w:color w:val="auto"/>
                <w:sz w:val="28"/>
                <w:szCs w:val="28"/>
                <w:highlight w:val="none"/>
              </w:rPr>
            </w:pPr>
          </w:p>
        </w:tc>
      </w:tr>
      <w:tr w14:paraId="5EF8E6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tcPr>
          <w:p w14:paraId="3E49C01A">
            <w:pPr>
              <w:snapToGrid w:val="0"/>
              <w:rPr>
                <w:rFonts w:hint="eastAsia" w:ascii="仿宋" w:hAnsi="仿宋" w:eastAsia="仿宋" w:cs="仿宋"/>
                <w:color w:val="auto"/>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tcPr>
          <w:p w14:paraId="1E0EC38D">
            <w:pPr>
              <w:snapToGrid w:val="0"/>
              <w:spacing w:before="156" w:beforeLines="50"/>
              <w:rPr>
                <w:rFonts w:hint="eastAsia" w:ascii="仿宋" w:hAnsi="仿宋" w:eastAsia="仿宋" w:cs="仿宋"/>
                <w:color w:val="auto"/>
                <w:sz w:val="28"/>
                <w:szCs w:val="28"/>
                <w:highlight w:val="none"/>
              </w:rPr>
            </w:pPr>
          </w:p>
        </w:tc>
      </w:tr>
      <w:tr w14:paraId="467171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tcPr>
          <w:p w14:paraId="223F9F28">
            <w:pPr>
              <w:snapToGrid w:val="0"/>
              <w:rPr>
                <w:rFonts w:hint="eastAsia" w:ascii="仿宋" w:hAnsi="仿宋" w:eastAsia="仿宋" w:cs="仿宋"/>
                <w:color w:val="auto"/>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tcPr>
          <w:p w14:paraId="020CCE52">
            <w:pPr>
              <w:snapToGrid w:val="0"/>
              <w:spacing w:before="156" w:beforeLines="50"/>
              <w:rPr>
                <w:rFonts w:hint="eastAsia" w:ascii="仿宋" w:hAnsi="仿宋" w:eastAsia="仿宋" w:cs="仿宋"/>
                <w:color w:val="auto"/>
                <w:sz w:val="28"/>
                <w:szCs w:val="28"/>
                <w:highlight w:val="none"/>
              </w:rPr>
            </w:pPr>
          </w:p>
        </w:tc>
      </w:tr>
      <w:tr w14:paraId="61E07C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tcPr>
          <w:p w14:paraId="1E70CFD0">
            <w:pPr>
              <w:snapToGrid w:val="0"/>
              <w:rPr>
                <w:rFonts w:hint="eastAsia" w:ascii="仿宋" w:hAnsi="仿宋" w:eastAsia="仿宋" w:cs="仿宋"/>
                <w:color w:val="auto"/>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tcPr>
          <w:p w14:paraId="29691E81">
            <w:pPr>
              <w:snapToGrid w:val="0"/>
              <w:spacing w:before="156" w:beforeLines="50"/>
              <w:rPr>
                <w:rFonts w:hint="eastAsia" w:ascii="仿宋" w:hAnsi="仿宋" w:eastAsia="仿宋" w:cs="仿宋"/>
                <w:color w:val="auto"/>
                <w:sz w:val="28"/>
                <w:szCs w:val="28"/>
                <w:highlight w:val="none"/>
              </w:rPr>
            </w:pPr>
          </w:p>
        </w:tc>
      </w:tr>
      <w:tr w14:paraId="5BA0A5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tcPr>
          <w:p w14:paraId="27F7E8A3">
            <w:pPr>
              <w:snapToGrid w:val="0"/>
              <w:rPr>
                <w:rFonts w:hint="eastAsia" w:ascii="仿宋" w:hAnsi="仿宋" w:eastAsia="仿宋" w:cs="仿宋"/>
                <w:color w:val="auto"/>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tcPr>
          <w:p w14:paraId="03DDF454">
            <w:pPr>
              <w:snapToGrid w:val="0"/>
              <w:spacing w:before="156" w:beforeLines="50"/>
              <w:rPr>
                <w:rFonts w:hint="eastAsia" w:ascii="仿宋" w:hAnsi="仿宋" w:eastAsia="仿宋" w:cs="仿宋"/>
                <w:color w:val="auto"/>
                <w:sz w:val="28"/>
                <w:szCs w:val="28"/>
                <w:highlight w:val="none"/>
              </w:rPr>
            </w:pPr>
          </w:p>
        </w:tc>
      </w:tr>
      <w:tr w14:paraId="7DAFD6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tcPr>
          <w:p w14:paraId="58B8B3AB">
            <w:pPr>
              <w:snapToGrid w:val="0"/>
              <w:rPr>
                <w:rFonts w:hint="eastAsia" w:ascii="仿宋" w:hAnsi="仿宋" w:eastAsia="仿宋" w:cs="仿宋"/>
                <w:color w:val="auto"/>
                <w:sz w:val="28"/>
                <w:szCs w:val="28"/>
                <w:highlight w:val="none"/>
              </w:rPr>
            </w:pPr>
          </w:p>
        </w:tc>
        <w:tc>
          <w:tcPr>
            <w:tcW w:w="2822" w:type="dxa"/>
            <w:tcBorders>
              <w:top w:val="single" w:color="auto" w:sz="4" w:space="0"/>
              <w:left w:val="single" w:color="auto" w:sz="4" w:space="0"/>
              <w:bottom w:val="single" w:color="auto" w:sz="4" w:space="0"/>
              <w:right w:val="single" w:color="auto" w:sz="4" w:space="0"/>
            </w:tcBorders>
          </w:tcPr>
          <w:p w14:paraId="01D1F8D3">
            <w:pPr>
              <w:snapToGrid w:val="0"/>
              <w:spacing w:before="156" w:beforeLines="50"/>
              <w:rPr>
                <w:rFonts w:hint="eastAsia" w:ascii="仿宋" w:hAnsi="仿宋" w:eastAsia="仿宋" w:cs="仿宋"/>
                <w:color w:val="auto"/>
                <w:sz w:val="28"/>
                <w:szCs w:val="28"/>
                <w:highlight w:val="none"/>
              </w:rPr>
            </w:pPr>
          </w:p>
        </w:tc>
      </w:tr>
    </w:tbl>
    <w:p w14:paraId="66A581C4">
      <w:pPr>
        <w:snapToGrid w:val="0"/>
        <w:spacing w:before="156" w:beforeLines="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注：供应商可对该表格的内容和格式进行细化和调整，以更加利于评审。</w:t>
      </w:r>
    </w:p>
    <w:p w14:paraId="5D41837B">
      <w:pPr>
        <w:snapToGrid w:val="0"/>
        <w:spacing w:before="156" w:beforeLines="50"/>
        <w:rPr>
          <w:rFonts w:hint="eastAsia" w:ascii="仿宋" w:hAnsi="仿宋" w:eastAsia="仿宋" w:cs="仿宋"/>
          <w:color w:val="auto"/>
          <w:sz w:val="30"/>
          <w:szCs w:val="30"/>
          <w:highlight w:val="none"/>
        </w:rPr>
      </w:pPr>
    </w:p>
    <w:p w14:paraId="6ADABFFD">
      <w:pPr>
        <w:snapToGrid w:val="0"/>
        <w:spacing w:before="156" w:beforeLines="5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授权代表签名：</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日期：</w:t>
      </w:r>
      <w:r>
        <w:rPr>
          <w:rFonts w:hint="eastAsia" w:ascii="仿宋" w:hAnsi="仿宋" w:eastAsia="仿宋" w:cs="仿宋"/>
          <w:color w:val="auto"/>
          <w:sz w:val="28"/>
          <w:szCs w:val="28"/>
          <w:highlight w:val="none"/>
          <w:u w:val="single"/>
        </w:rPr>
        <w:t xml:space="preserve">         </w:t>
      </w:r>
    </w:p>
    <w:p w14:paraId="507EBAC6">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35D0D8FA">
      <w:pPr>
        <w:pStyle w:val="36"/>
        <w:spacing w:after="50" w:afterLines="0" w:line="440" w:lineRule="exact"/>
        <w:ind w:left="0" w:firstLine="0" w:firstLineChars="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w:t>
      </w:r>
      <w:r>
        <w:rPr>
          <w:rFonts w:hint="eastAsia" w:ascii="仿宋" w:hAnsi="仿宋" w:eastAsia="仿宋" w:cs="仿宋"/>
          <w:b/>
          <w:bCs/>
          <w:color w:val="auto"/>
          <w:sz w:val="28"/>
          <w:szCs w:val="28"/>
          <w:highlight w:val="none"/>
          <w:lang w:val="en-US" w:eastAsia="zh-CN"/>
        </w:rPr>
        <w:t>9</w:t>
      </w:r>
      <w:r>
        <w:rPr>
          <w:rFonts w:hint="eastAsia" w:ascii="仿宋" w:hAnsi="仿宋" w:eastAsia="仿宋" w:cs="仿宋"/>
          <w:b/>
          <w:bCs/>
          <w:color w:val="auto"/>
          <w:sz w:val="28"/>
          <w:szCs w:val="28"/>
          <w:highlight w:val="none"/>
        </w:rPr>
        <w:t>：项目明细清单</w:t>
      </w:r>
    </w:p>
    <w:p w14:paraId="4C746A00">
      <w:pPr>
        <w:snapToGrid w:val="0"/>
        <w:spacing w:before="50" w:after="156" w:afterLines="50"/>
        <w:jc w:val="center"/>
        <w:rPr>
          <w:rFonts w:hint="eastAsia" w:ascii="仿宋" w:hAnsi="仿宋" w:eastAsia="仿宋" w:cs="仿宋"/>
          <w:b/>
          <w:color w:val="auto"/>
          <w:spacing w:val="40"/>
          <w:kern w:val="0"/>
          <w:sz w:val="36"/>
          <w:szCs w:val="36"/>
          <w:highlight w:val="none"/>
        </w:rPr>
      </w:pPr>
      <w:r>
        <w:rPr>
          <w:rFonts w:hint="eastAsia" w:ascii="仿宋" w:hAnsi="仿宋" w:eastAsia="仿宋" w:cs="仿宋"/>
          <w:b/>
          <w:color w:val="auto"/>
          <w:spacing w:val="40"/>
          <w:kern w:val="0"/>
          <w:sz w:val="36"/>
          <w:szCs w:val="36"/>
          <w:highlight w:val="none"/>
        </w:rPr>
        <w:t>项目明细清单</w:t>
      </w:r>
    </w:p>
    <w:p w14:paraId="1A5C1630">
      <w:pPr>
        <w:snapToGrid w:val="0"/>
        <w:spacing w:before="50" w:after="156" w:afterLines="50"/>
        <w:jc w:val="center"/>
        <w:rPr>
          <w:rFonts w:hint="eastAsia" w:ascii="仿宋" w:hAnsi="仿宋" w:eastAsia="仿宋" w:cs="仿宋"/>
          <w:b/>
          <w:color w:val="auto"/>
          <w:spacing w:val="40"/>
          <w:kern w:val="0"/>
          <w:sz w:val="36"/>
          <w:szCs w:val="36"/>
          <w:highlight w:val="none"/>
        </w:rPr>
      </w:pPr>
    </w:p>
    <w:p w14:paraId="73A14393">
      <w:pPr>
        <w:pStyle w:val="9"/>
        <w:snapToGrid w:val="0"/>
        <w:rPr>
          <w:rFonts w:hint="eastAsia" w:ascii="仿宋" w:hAnsi="仿宋" w:eastAsia="仿宋" w:cs="仿宋"/>
          <w:color w:val="auto"/>
          <w:kern w:val="0"/>
          <w:sz w:val="30"/>
          <w:szCs w:val="30"/>
          <w:highlight w:val="none"/>
          <w:u w:val="single"/>
        </w:rPr>
      </w:pPr>
      <w:r>
        <w:rPr>
          <w:rFonts w:hint="eastAsia" w:ascii="仿宋" w:hAnsi="仿宋" w:eastAsia="仿宋" w:cs="仿宋"/>
          <w:color w:val="auto"/>
          <w:sz w:val="30"/>
          <w:szCs w:val="30"/>
          <w:highlight w:val="none"/>
        </w:rPr>
        <w:t>投标人全称（公章）：</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 xml:space="preserve">           标项：</w:t>
      </w:r>
      <w:r>
        <w:rPr>
          <w:rFonts w:hint="eastAsia" w:ascii="仿宋" w:hAnsi="仿宋" w:eastAsia="仿宋" w:cs="仿宋"/>
          <w:color w:val="auto"/>
          <w:sz w:val="30"/>
          <w:szCs w:val="30"/>
          <w:highlight w:val="none"/>
          <w:u w:val="single"/>
        </w:rPr>
        <w:t xml:space="preserve">    </w:t>
      </w:r>
    </w:p>
    <w:p w14:paraId="3313C1CB">
      <w:pPr>
        <w:snapToGrid w:val="0"/>
        <w:spacing w:before="156" w:beforeLines="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服务部分</w:t>
      </w:r>
    </w:p>
    <w:tbl>
      <w:tblPr>
        <w:tblStyle w:val="26"/>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14:paraId="05612B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0AFEC7CB">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14:paraId="46138626">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14:paraId="2197625D">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服务人员</w:t>
            </w:r>
          </w:p>
          <w:p w14:paraId="3F04C6D0">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14:paraId="6041587D">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服务内容</w:t>
            </w:r>
          </w:p>
        </w:tc>
      </w:tr>
      <w:tr w14:paraId="670561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47DDADFA">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w:t>
            </w:r>
          </w:p>
        </w:tc>
        <w:tc>
          <w:tcPr>
            <w:tcW w:w="2273" w:type="dxa"/>
            <w:tcBorders>
              <w:top w:val="single" w:color="auto" w:sz="4" w:space="0"/>
              <w:left w:val="single" w:color="auto" w:sz="4" w:space="0"/>
              <w:bottom w:val="single" w:color="auto" w:sz="4" w:space="0"/>
              <w:right w:val="single" w:color="auto" w:sz="4" w:space="0"/>
            </w:tcBorders>
            <w:noWrap/>
            <w:vAlign w:val="center"/>
          </w:tcPr>
          <w:p w14:paraId="521CAF28">
            <w:pPr>
              <w:snapToGrid w:val="0"/>
              <w:spacing w:before="50" w:after="50"/>
              <w:jc w:val="center"/>
              <w:rPr>
                <w:rFonts w:hint="eastAsia" w:ascii="仿宋" w:hAnsi="仿宋" w:eastAsia="仿宋" w:cs="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0B48AEC4">
            <w:pPr>
              <w:snapToGrid w:val="0"/>
              <w:spacing w:before="50" w:after="50"/>
              <w:ind w:left="480" w:hanging="480"/>
              <w:jc w:val="center"/>
              <w:rPr>
                <w:rFonts w:hint="eastAsia" w:ascii="仿宋" w:hAnsi="仿宋" w:eastAsia="仿宋" w:cs="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19148B7E">
            <w:pPr>
              <w:snapToGrid w:val="0"/>
              <w:spacing w:before="50" w:after="50"/>
              <w:jc w:val="center"/>
              <w:rPr>
                <w:rFonts w:hint="eastAsia" w:ascii="仿宋" w:hAnsi="仿宋" w:eastAsia="仿宋" w:cs="仿宋"/>
                <w:color w:val="auto"/>
                <w:sz w:val="30"/>
                <w:szCs w:val="30"/>
                <w:highlight w:val="none"/>
              </w:rPr>
            </w:pPr>
          </w:p>
        </w:tc>
      </w:tr>
      <w:tr w14:paraId="028EE5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1BB7AD83">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w:t>
            </w:r>
          </w:p>
        </w:tc>
        <w:tc>
          <w:tcPr>
            <w:tcW w:w="2273" w:type="dxa"/>
            <w:tcBorders>
              <w:top w:val="single" w:color="auto" w:sz="4" w:space="0"/>
              <w:left w:val="single" w:color="auto" w:sz="4" w:space="0"/>
              <w:bottom w:val="single" w:color="auto" w:sz="4" w:space="0"/>
              <w:right w:val="single" w:color="auto" w:sz="4" w:space="0"/>
            </w:tcBorders>
            <w:noWrap/>
            <w:vAlign w:val="center"/>
          </w:tcPr>
          <w:p w14:paraId="1BEF55DA">
            <w:pPr>
              <w:snapToGrid w:val="0"/>
              <w:spacing w:before="50" w:after="50"/>
              <w:jc w:val="center"/>
              <w:rPr>
                <w:rFonts w:hint="eastAsia" w:ascii="仿宋" w:hAnsi="仿宋" w:eastAsia="仿宋" w:cs="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3F08B14F">
            <w:pPr>
              <w:snapToGrid w:val="0"/>
              <w:spacing w:before="50" w:after="50"/>
              <w:ind w:left="480" w:hanging="480"/>
              <w:jc w:val="center"/>
              <w:rPr>
                <w:rFonts w:hint="eastAsia" w:ascii="仿宋" w:hAnsi="仿宋" w:eastAsia="仿宋" w:cs="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654BE94D">
            <w:pPr>
              <w:snapToGrid w:val="0"/>
              <w:spacing w:before="50" w:after="50"/>
              <w:jc w:val="center"/>
              <w:rPr>
                <w:rFonts w:hint="eastAsia" w:ascii="仿宋" w:hAnsi="仿宋" w:eastAsia="仿宋" w:cs="仿宋"/>
                <w:color w:val="auto"/>
                <w:sz w:val="30"/>
                <w:szCs w:val="30"/>
                <w:highlight w:val="none"/>
              </w:rPr>
            </w:pPr>
          </w:p>
        </w:tc>
      </w:tr>
      <w:tr w14:paraId="721997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43818D4C">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28"/>
                <w:szCs w:val="28"/>
                <w:highlight w:val="none"/>
              </w:rPr>
              <w:t>…</w:t>
            </w:r>
          </w:p>
        </w:tc>
        <w:tc>
          <w:tcPr>
            <w:tcW w:w="2273" w:type="dxa"/>
            <w:tcBorders>
              <w:top w:val="single" w:color="auto" w:sz="4" w:space="0"/>
              <w:left w:val="single" w:color="auto" w:sz="4" w:space="0"/>
              <w:bottom w:val="single" w:color="auto" w:sz="4" w:space="0"/>
              <w:right w:val="single" w:color="auto" w:sz="4" w:space="0"/>
            </w:tcBorders>
            <w:noWrap/>
            <w:vAlign w:val="center"/>
          </w:tcPr>
          <w:p w14:paraId="7A386EEB">
            <w:pPr>
              <w:snapToGrid w:val="0"/>
              <w:spacing w:before="50" w:after="50"/>
              <w:jc w:val="center"/>
              <w:rPr>
                <w:rFonts w:hint="eastAsia" w:ascii="仿宋" w:hAnsi="仿宋" w:eastAsia="仿宋" w:cs="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4E01F69B">
            <w:pPr>
              <w:snapToGrid w:val="0"/>
              <w:spacing w:before="50" w:after="50"/>
              <w:ind w:left="480" w:hanging="480"/>
              <w:jc w:val="center"/>
              <w:rPr>
                <w:rFonts w:hint="eastAsia" w:ascii="仿宋" w:hAnsi="仿宋" w:eastAsia="仿宋" w:cs="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78852CE7">
            <w:pPr>
              <w:snapToGrid w:val="0"/>
              <w:spacing w:before="50" w:after="50"/>
              <w:jc w:val="center"/>
              <w:rPr>
                <w:rFonts w:hint="eastAsia" w:ascii="仿宋" w:hAnsi="仿宋" w:eastAsia="仿宋" w:cs="仿宋"/>
                <w:color w:val="auto"/>
                <w:sz w:val="30"/>
                <w:szCs w:val="30"/>
                <w:highlight w:val="none"/>
              </w:rPr>
            </w:pPr>
          </w:p>
        </w:tc>
      </w:tr>
    </w:tbl>
    <w:p w14:paraId="291D6B7A">
      <w:pPr>
        <w:pStyle w:val="9"/>
        <w:snapToGrid w:val="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货物部分（如有）</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66969B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53AF3C30">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715E9519">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30BB3218">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25DF4084">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规格</w:t>
            </w:r>
          </w:p>
          <w:p w14:paraId="4A6FF88D">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30885C03">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单位及</w:t>
            </w:r>
          </w:p>
          <w:p w14:paraId="64F53F1A">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7C3E2B69">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70132BD1">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产地</w:t>
            </w:r>
          </w:p>
        </w:tc>
      </w:tr>
      <w:tr w14:paraId="49D21A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C0F89D7">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1C3BFA30">
            <w:pPr>
              <w:snapToGrid w:val="0"/>
              <w:spacing w:before="50" w:after="50"/>
              <w:jc w:val="center"/>
              <w:rPr>
                <w:rFonts w:hint="eastAsia" w:ascii="仿宋" w:hAnsi="仿宋" w:eastAsia="仿宋" w:cs="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271963D2">
            <w:pPr>
              <w:snapToGrid w:val="0"/>
              <w:spacing w:before="50" w:after="50"/>
              <w:ind w:left="480" w:hanging="480"/>
              <w:jc w:val="center"/>
              <w:rPr>
                <w:rFonts w:hint="eastAsia" w:ascii="仿宋" w:hAnsi="仿宋" w:eastAsia="仿宋" w:cs="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1007F032">
            <w:pPr>
              <w:snapToGrid w:val="0"/>
              <w:spacing w:before="50" w:after="50"/>
              <w:jc w:val="center"/>
              <w:rPr>
                <w:rFonts w:hint="eastAsia" w:ascii="仿宋" w:hAnsi="仿宋" w:eastAsia="仿宋" w:cs="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5E5C3976">
            <w:pPr>
              <w:snapToGrid w:val="0"/>
              <w:spacing w:before="50" w:after="50"/>
              <w:jc w:val="center"/>
              <w:rPr>
                <w:rFonts w:hint="eastAsia" w:ascii="仿宋" w:hAnsi="仿宋" w:eastAsia="仿宋" w:cs="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5B225FBC">
            <w:pPr>
              <w:snapToGrid w:val="0"/>
              <w:spacing w:before="50" w:after="50"/>
              <w:jc w:val="center"/>
              <w:rPr>
                <w:rFonts w:hint="eastAsia" w:ascii="仿宋" w:hAnsi="仿宋" w:eastAsia="仿宋" w:cs="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8FB8ACE">
            <w:pPr>
              <w:snapToGrid w:val="0"/>
              <w:spacing w:before="50" w:after="50"/>
              <w:jc w:val="center"/>
              <w:rPr>
                <w:rFonts w:hint="eastAsia" w:ascii="仿宋" w:hAnsi="仿宋" w:eastAsia="仿宋" w:cs="仿宋"/>
                <w:color w:val="auto"/>
                <w:sz w:val="30"/>
                <w:szCs w:val="30"/>
                <w:highlight w:val="none"/>
              </w:rPr>
            </w:pPr>
          </w:p>
        </w:tc>
      </w:tr>
      <w:tr w14:paraId="74741A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CB96FCC">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54B2EC32">
            <w:pPr>
              <w:snapToGrid w:val="0"/>
              <w:spacing w:before="50" w:after="50"/>
              <w:jc w:val="center"/>
              <w:rPr>
                <w:rFonts w:hint="eastAsia" w:ascii="仿宋" w:hAnsi="仿宋" w:eastAsia="仿宋" w:cs="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6E95E0FC">
            <w:pPr>
              <w:snapToGrid w:val="0"/>
              <w:spacing w:before="50" w:after="50"/>
              <w:ind w:left="480" w:hanging="480"/>
              <w:jc w:val="center"/>
              <w:rPr>
                <w:rFonts w:hint="eastAsia" w:ascii="仿宋" w:hAnsi="仿宋" w:eastAsia="仿宋" w:cs="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2C67D68E">
            <w:pPr>
              <w:snapToGrid w:val="0"/>
              <w:spacing w:before="50" w:after="50"/>
              <w:jc w:val="center"/>
              <w:rPr>
                <w:rFonts w:hint="eastAsia" w:ascii="仿宋" w:hAnsi="仿宋" w:eastAsia="仿宋" w:cs="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040CF305">
            <w:pPr>
              <w:snapToGrid w:val="0"/>
              <w:spacing w:before="50" w:after="50"/>
              <w:jc w:val="center"/>
              <w:rPr>
                <w:rFonts w:hint="eastAsia" w:ascii="仿宋" w:hAnsi="仿宋" w:eastAsia="仿宋" w:cs="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6E1C5F56">
            <w:pPr>
              <w:snapToGrid w:val="0"/>
              <w:spacing w:before="50" w:after="50"/>
              <w:jc w:val="center"/>
              <w:rPr>
                <w:rFonts w:hint="eastAsia" w:ascii="仿宋" w:hAnsi="仿宋" w:eastAsia="仿宋" w:cs="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31248CF">
            <w:pPr>
              <w:snapToGrid w:val="0"/>
              <w:spacing w:before="50" w:after="50"/>
              <w:jc w:val="center"/>
              <w:rPr>
                <w:rFonts w:hint="eastAsia" w:ascii="仿宋" w:hAnsi="仿宋" w:eastAsia="仿宋" w:cs="仿宋"/>
                <w:color w:val="auto"/>
                <w:sz w:val="30"/>
                <w:szCs w:val="30"/>
                <w:highlight w:val="none"/>
              </w:rPr>
            </w:pPr>
          </w:p>
        </w:tc>
      </w:tr>
      <w:tr w14:paraId="1D7CB1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C43FDD5">
            <w:pPr>
              <w:snapToGrid w:val="0"/>
              <w:spacing w:before="50" w:after="50"/>
              <w:jc w:val="center"/>
              <w:rPr>
                <w:rFonts w:hint="eastAsia" w:ascii="仿宋" w:hAnsi="仿宋" w:eastAsia="仿宋" w:cs="仿宋"/>
                <w:color w:val="auto"/>
                <w:sz w:val="30"/>
                <w:szCs w:val="30"/>
                <w:highlight w:val="none"/>
              </w:rPr>
            </w:pPr>
            <w:r>
              <w:rPr>
                <w:rFonts w:hint="eastAsia" w:ascii="仿宋" w:hAnsi="仿宋" w:eastAsia="仿宋" w:cs="仿宋"/>
                <w:color w:val="auto"/>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7AC6EA4A">
            <w:pPr>
              <w:snapToGrid w:val="0"/>
              <w:spacing w:before="50" w:after="50"/>
              <w:jc w:val="center"/>
              <w:rPr>
                <w:rFonts w:hint="eastAsia" w:ascii="仿宋" w:hAnsi="仿宋" w:eastAsia="仿宋" w:cs="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039367EA">
            <w:pPr>
              <w:snapToGrid w:val="0"/>
              <w:spacing w:before="50" w:after="50"/>
              <w:ind w:left="480" w:hanging="480"/>
              <w:jc w:val="center"/>
              <w:rPr>
                <w:rFonts w:hint="eastAsia" w:ascii="仿宋" w:hAnsi="仿宋" w:eastAsia="仿宋" w:cs="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652AA572">
            <w:pPr>
              <w:snapToGrid w:val="0"/>
              <w:spacing w:before="50" w:after="50"/>
              <w:jc w:val="center"/>
              <w:rPr>
                <w:rFonts w:hint="eastAsia" w:ascii="仿宋" w:hAnsi="仿宋" w:eastAsia="仿宋" w:cs="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7C2042D5">
            <w:pPr>
              <w:snapToGrid w:val="0"/>
              <w:spacing w:before="50" w:after="50"/>
              <w:jc w:val="center"/>
              <w:rPr>
                <w:rFonts w:hint="eastAsia" w:ascii="仿宋" w:hAnsi="仿宋" w:eastAsia="仿宋" w:cs="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26E200F3">
            <w:pPr>
              <w:snapToGrid w:val="0"/>
              <w:spacing w:before="50" w:after="50"/>
              <w:jc w:val="center"/>
              <w:rPr>
                <w:rFonts w:hint="eastAsia" w:ascii="仿宋" w:hAnsi="仿宋" w:eastAsia="仿宋" w:cs="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1CC0FB0A">
            <w:pPr>
              <w:snapToGrid w:val="0"/>
              <w:spacing w:before="50" w:after="50"/>
              <w:jc w:val="center"/>
              <w:rPr>
                <w:rFonts w:hint="eastAsia" w:ascii="仿宋" w:hAnsi="仿宋" w:eastAsia="仿宋" w:cs="仿宋"/>
                <w:color w:val="auto"/>
                <w:sz w:val="30"/>
                <w:szCs w:val="30"/>
                <w:highlight w:val="none"/>
              </w:rPr>
            </w:pPr>
          </w:p>
        </w:tc>
      </w:tr>
    </w:tbl>
    <w:p w14:paraId="644CF10A">
      <w:pPr>
        <w:snapToGrid w:val="0"/>
        <w:spacing w:before="156" w:beforeLines="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注：在填写时，如上表不适合本项目的实际情况，可在确保内容完整的情况下，对上表进行细化。</w:t>
      </w:r>
    </w:p>
    <w:p w14:paraId="6BA522E8">
      <w:pPr>
        <w:snapToGrid w:val="0"/>
        <w:spacing w:before="156" w:beforeLines="50"/>
        <w:rPr>
          <w:rFonts w:hint="eastAsia" w:ascii="仿宋" w:hAnsi="仿宋" w:eastAsia="仿宋" w:cs="仿宋"/>
          <w:color w:val="auto"/>
          <w:sz w:val="30"/>
          <w:szCs w:val="30"/>
          <w:highlight w:val="none"/>
        </w:rPr>
      </w:pPr>
    </w:p>
    <w:p w14:paraId="3AE9A32A">
      <w:pPr>
        <w:snapToGrid w:val="0"/>
        <w:spacing w:before="156" w:beforeLines="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法定代表人或其授权代表（签字或盖章）：          </w:t>
      </w:r>
    </w:p>
    <w:p w14:paraId="6152B870">
      <w:pPr>
        <w:snapToGrid w:val="0"/>
        <w:spacing w:before="156" w:beforeLines="5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日期： </w:t>
      </w:r>
    </w:p>
    <w:p w14:paraId="315E6B4E">
      <w:pPr>
        <w:snapToGrid w:val="0"/>
        <w:spacing w:before="50" w:after="50"/>
        <w:rPr>
          <w:rFonts w:hint="eastAsia" w:ascii="仿宋" w:hAnsi="仿宋" w:eastAsia="仿宋" w:cs="仿宋"/>
          <w:color w:val="auto"/>
          <w:spacing w:val="20"/>
          <w:sz w:val="30"/>
          <w:szCs w:val="30"/>
          <w:highlight w:val="none"/>
        </w:rPr>
      </w:pPr>
    </w:p>
    <w:p w14:paraId="78C4A2F0">
      <w:pPr>
        <w:snapToGrid w:val="0"/>
        <w:spacing w:before="50" w:after="5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附件1</w:t>
      </w:r>
      <w:r>
        <w:rPr>
          <w:rFonts w:hint="eastAsia" w:ascii="仿宋" w:hAnsi="仿宋" w:eastAsia="仿宋" w:cs="仿宋"/>
          <w:b/>
          <w:bCs/>
          <w:color w:val="auto"/>
          <w:sz w:val="30"/>
          <w:szCs w:val="30"/>
          <w:highlight w:val="none"/>
          <w:lang w:val="en-US" w:eastAsia="zh-CN"/>
        </w:rPr>
        <w:t>0</w:t>
      </w:r>
      <w:r>
        <w:rPr>
          <w:rFonts w:hint="eastAsia" w:ascii="仿宋" w:hAnsi="仿宋" w:eastAsia="仿宋" w:cs="仿宋"/>
          <w:b/>
          <w:bCs/>
          <w:color w:val="auto"/>
          <w:sz w:val="30"/>
          <w:szCs w:val="30"/>
          <w:highlight w:val="none"/>
        </w:rPr>
        <w:t>：技术响应表</w:t>
      </w:r>
    </w:p>
    <w:p w14:paraId="7698D6B6">
      <w:pPr>
        <w:snapToGrid w:val="0"/>
        <w:spacing w:before="50" w:after="50"/>
        <w:rPr>
          <w:rFonts w:hint="eastAsia" w:ascii="仿宋" w:hAnsi="仿宋" w:eastAsia="仿宋" w:cs="仿宋"/>
          <w:b/>
          <w:bCs/>
          <w:color w:val="auto"/>
          <w:sz w:val="30"/>
          <w:szCs w:val="30"/>
          <w:highlight w:val="none"/>
        </w:rPr>
      </w:pPr>
    </w:p>
    <w:p w14:paraId="477E2B6F">
      <w:pPr>
        <w:snapToGrid w:val="0"/>
        <w:spacing w:before="50" w:after="156" w:afterLines="50"/>
        <w:jc w:val="center"/>
        <w:rPr>
          <w:rFonts w:hint="eastAsia" w:ascii="仿宋" w:hAnsi="仿宋" w:eastAsia="仿宋" w:cs="仿宋"/>
          <w:b/>
          <w:color w:val="auto"/>
          <w:spacing w:val="40"/>
          <w:kern w:val="0"/>
          <w:sz w:val="36"/>
          <w:szCs w:val="36"/>
          <w:highlight w:val="none"/>
        </w:rPr>
      </w:pPr>
      <w:r>
        <w:rPr>
          <w:rFonts w:hint="eastAsia" w:ascii="仿宋" w:hAnsi="仿宋" w:eastAsia="仿宋" w:cs="仿宋"/>
          <w:b/>
          <w:color w:val="auto"/>
          <w:spacing w:val="40"/>
          <w:kern w:val="0"/>
          <w:sz w:val="36"/>
          <w:szCs w:val="36"/>
          <w:highlight w:val="none"/>
        </w:rPr>
        <w:t>技 术 响 应 表</w:t>
      </w:r>
    </w:p>
    <w:p w14:paraId="42802697">
      <w:pPr>
        <w:snapToGrid w:val="0"/>
        <w:spacing w:before="50" w:after="156" w:afterLines="50"/>
        <w:jc w:val="center"/>
        <w:rPr>
          <w:rFonts w:hint="eastAsia" w:ascii="仿宋" w:hAnsi="仿宋" w:eastAsia="仿宋" w:cs="仿宋"/>
          <w:b/>
          <w:color w:val="auto"/>
          <w:spacing w:val="40"/>
          <w:kern w:val="0"/>
          <w:sz w:val="36"/>
          <w:szCs w:val="36"/>
          <w:highlight w:val="none"/>
        </w:rPr>
      </w:pPr>
    </w:p>
    <w:p w14:paraId="78AFCA9A">
      <w:pPr>
        <w:pStyle w:val="9"/>
        <w:snapToGrid w:val="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投标人全称（公章）：</w:t>
      </w:r>
      <w:r>
        <w:rPr>
          <w:rFonts w:hint="eastAsia" w:ascii="仿宋" w:hAnsi="仿宋" w:eastAsia="仿宋" w:cs="仿宋"/>
          <w:color w:val="auto"/>
          <w:sz w:val="30"/>
          <w:szCs w:val="30"/>
          <w:highlight w:val="none"/>
          <w:u w:val="single"/>
        </w:rPr>
        <w:t xml:space="preserve">            </w:t>
      </w:r>
    </w:p>
    <w:p w14:paraId="249F37D6">
      <w:pPr>
        <w:pStyle w:val="9"/>
        <w:snapToGrid w:val="0"/>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标项：</w:t>
      </w:r>
      <w:r>
        <w:rPr>
          <w:rFonts w:hint="eastAsia" w:ascii="仿宋" w:hAnsi="仿宋" w:eastAsia="仿宋" w:cs="仿宋"/>
          <w:color w:val="auto"/>
          <w:sz w:val="30"/>
          <w:szCs w:val="30"/>
          <w:highlight w:val="none"/>
          <w:u w:val="single"/>
        </w:rPr>
        <w:t xml:space="preserve">       </w:t>
      </w:r>
    </w:p>
    <w:tbl>
      <w:tblPr>
        <w:tblStyle w:val="26"/>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861"/>
        <w:gridCol w:w="2511"/>
        <w:gridCol w:w="2105"/>
        <w:gridCol w:w="1396"/>
      </w:tblGrid>
      <w:tr w14:paraId="55CF0E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1FDBAC32">
            <w:pPr>
              <w:snapToGrid w:val="0"/>
              <w:spacing w:before="50" w:after="50"/>
              <w:rPr>
                <w:rFonts w:hint="eastAsia" w:ascii="仿宋" w:hAnsi="仿宋" w:eastAsia="仿宋" w:cs="仿宋"/>
                <w:color w:val="auto"/>
                <w:spacing w:val="20"/>
                <w:sz w:val="24"/>
                <w:szCs w:val="24"/>
                <w:highlight w:val="none"/>
              </w:rPr>
            </w:pPr>
            <w:bookmarkStart w:id="57" w:name="_Toc64369807"/>
            <w:r>
              <w:rPr>
                <w:rFonts w:hint="eastAsia" w:ascii="仿宋" w:hAnsi="仿宋" w:eastAsia="仿宋" w:cs="仿宋"/>
                <w:color w:val="auto"/>
                <w:spacing w:val="20"/>
                <w:sz w:val="24"/>
                <w:szCs w:val="24"/>
                <w:highlight w:val="none"/>
              </w:rPr>
              <w:t>服务部分</w:t>
            </w:r>
            <w:bookmarkEnd w:id="57"/>
          </w:p>
        </w:tc>
      </w:tr>
      <w:tr w14:paraId="3C25D1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71387DD">
            <w:pPr>
              <w:snapToGrid w:val="0"/>
              <w:spacing w:before="50" w:after="50"/>
              <w:jc w:val="center"/>
              <w:rPr>
                <w:rFonts w:hint="eastAsia" w:ascii="仿宋" w:hAnsi="仿宋" w:eastAsia="仿宋" w:cs="仿宋"/>
                <w:color w:val="auto"/>
                <w:spacing w:val="20"/>
                <w:sz w:val="24"/>
                <w:szCs w:val="24"/>
                <w:highlight w:val="none"/>
              </w:rPr>
            </w:pPr>
            <w:bookmarkStart w:id="58" w:name="_Toc64369800"/>
            <w:r>
              <w:rPr>
                <w:rFonts w:hint="eastAsia" w:ascii="仿宋" w:hAnsi="仿宋" w:eastAsia="仿宋" w:cs="仿宋"/>
                <w:color w:val="auto"/>
                <w:spacing w:val="20"/>
                <w:sz w:val="24"/>
                <w:szCs w:val="24"/>
                <w:highlight w:val="none"/>
              </w:rPr>
              <w:t>序号</w:t>
            </w:r>
            <w:bookmarkEnd w:id="58"/>
          </w:p>
        </w:tc>
        <w:tc>
          <w:tcPr>
            <w:tcW w:w="1861" w:type="dxa"/>
            <w:tcBorders>
              <w:top w:val="single" w:color="auto" w:sz="4" w:space="0"/>
              <w:left w:val="single" w:color="auto" w:sz="4" w:space="0"/>
              <w:bottom w:val="single" w:color="auto" w:sz="4" w:space="0"/>
              <w:right w:val="single" w:color="auto" w:sz="4" w:space="0"/>
            </w:tcBorders>
            <w:noWrap/>
            <w:vAlign w:val="center"/>
          </w:tcPr>
          <w:p w14:paraId="761BBEB8">
            <w:pPr>
              <w:snapToGrid w:val="0"/>
              <w:spacing w:before="50" w:after="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53D0CFBC">
            <w:pPr>
              <w:snapToGrid w:val="0"/>
              <w:spacing w:before="50" w:after="50"/>
              <w:jc w:val="center"/>
              <w:rPr>
                <w:rFonts w:hint="eastAsia" w:ascii="仿宋" w:hAnsi="仿宋" w:eastAsia="仿宋" w:cs="仿宋"/>
                <w:color w:val="auto"/>
                <w:spacing w:val="20"/>
                <w:sz w:val="24"/>
                <w:szCs w:val="24"/>
                <w:highlight w:val="none"/>
              </w:rPr>
            </w:pPr>
            <w:bookmarkStart w:id="59" w:name="_Toc64369801"/>
            <w:bookmarkStart w:id="60" w:name="_Toc64369802"/>
            <w:r>
              <w:rPr>
                <w:rFonts w:hint="eastAsia" w:ascii="仿宋" w:hAnsi="仿宋" w:eastAsia="仿宋" w:cs="仿宋"/>
                <w:color w:val="auto"/>
                <w:spacing w:val="20"/>
                <w:sz w:val="24"/>
                <w:szCs w:val="24"/>
                <w:highlight w:val="none"/>
              </w:rPr>
              <w:t>采购文件</w:t>
            </w:r>
          </w:p>
          <w:p w14:paraId="67C75FD5">
            <w:pPr>
              <w:snapToGrid w:val="0"/>
              <w:spacing w:before="50" w:after="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要求</w:t>
            </w:r>
            <w:bookmarkEnd w:id="59"/>
          </w:p>
        </w:tc>
        <w:tc>
          <w:tcPr>
            <w:tcW w:w="2105" w:type="dxa"/>
            <w:tcBorders>
              <w:top w:val="single" w:color="auto" w:sz="4" w:space="0"/>
              <w:left w:val="single" w:color="auto" w:sz="4" w:space="0"/>
              <w:bottom w:val="single" w:color="auto" w:sz="4" w:space="0"/>
              <w:right w:val="single" w:color="auto" w:sz="4" w:space="0"/>
            </w:tcBorders>
            <w:noWrap/>
            <w:vAlign w:val="center"/>
          </w:tcPr>
          <w:p w14:paraId="1F821290">
            <w:pPr>
              <w:snapToGrid w:val="0"/>
              <w:spacing w:before="50" w:after="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投标文件</w:t>
            </w:r>
          </w:p>
          <w:p w14:paraId="587A6D6D">
            <w:pPr>
              <w:snapToGrid w:val="0"/>
              <w:spacing w:before="50" w:after="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响应</w:t>
            </w:r>
            <w:bookmarkEnd w:id="60"/>
          </w:p>
        </w:tc>
        <w:tc>
          <w:tcPr>
            <w:tcW w:w="1396" w:type="dxa"/>
            <w:tcBorders>
              <w:top w:val="single" w:color="auto" w:sz="4" w:space="0"/>
              <w:left w:val="single" w:color="auto" w:sz="4" w:space="0"/>
              <w:bottom w:val="single" w:color="auto" w:sz="4" w:space="0"/>
              <w:right w:val="single" w:color="auto" w:sz="4" w:space="0"/>
            </w:tcBorders>
            <w:noWrap/>
            <w:vAlign w:val="center"/>
          </w:tcPr>
          <w:p w14:paraId="4BB9D162">
            <w:pPr>
              <w:snapToGrid w:val="0"/>
              <w:spacing w:before="50" w:after="50"/>
              <w:jc w:val="center"/>
              <w:rPr>
                <w:rFonts w:hint="eastAsia" w:ascii="仿宋" w:hAnsi="仿宋" w:eastAsia="仿宋" w:cs="仿宋"/>
                <w:color w:val="auto"/>
                <w:spacing w:val="20"/>
                <w:sz w:val="24"/>
                <w:szCs w:val="24"/>
                <w:highlight w:val="none"/>
              </w:rPr>
            </w:pPr>
            <w:bookmarkStart w:id="61" w:name="_Toc64369803"/>
            <w:r>
              <w:rPr>
                <w:rFonts w:hint="eastAsia" w:ascii="仿宋" w:hAnsi="仿宋" w:eastAsia="仿宋" w:cs="仿宋"/>
                <w:color w:val="auto"/>
                <w:spacing w:val="20"/>
                <w:sz w:val="24"/>
                <w:szCs w:val="24"/>
                <w:highlight w:val="none"/>
              </w:rPr>
              <w:t>偏离</w:t>
            </w:r>
          </w:p>
          <w:p w14:paraId="5D45972C">
            <w:pPr>
              <w:snapToGrid w:val="0"/>
              <w:spacing w:before="50" w:after="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情况</w:t>
            </w:r>
            <w:bookmarkEnd w:id="61"/>
          </w:p>
        </w:tc>
      </w:tr>
      <w:tr w14:paraId="53445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7D2B3D9">
            <w:pPr>
              <w:snapToGrid w:val="0"/>
              <w:spacing w:before="50" w:after="50"/>
              <w:rPr>
                <w:rFonts w:hint="eastAsia" w:ascii="仿宋" w:hAnsi="仿宋" w:eastAsia="仿宋" w:cs="仿宋"/>
                <w:color w:val="auto"/>
                <w:spacing w:val="20"/>
                <w:sz w:val="24"/>
                <w:szCs w:val="24"/>
                <w:highlight w:val="none"/>
              </w:rPr>
            </w:pPr>
            <w:bookmarkStart w:id="62" w:name="_Toc64369804"/>
            <w:r>
              <w:rPr>
                <w:rFonts w:hint="eastAsia" w:ascii="仿宋" w:hAnsi="仿宋" w:eastAsia="仿宋" w:cs="仿宋"/>
                <w:color w:val="auto"/>
                <w:spacing w:val="20"/>
                <w:sz w:val="24"/>
                <w:szCs w:val="24"/>
                <w:highlight w:val="none"/>
              </w:rPr>
              <w:t>1</w:t>
            </w:r>
            <w:bookmarkEnd w:id="62"/>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0E7DC55E">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377DDA4F">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（服务内容）</w:t>
            </w:r>
          </w:p>
        </w:tc>
        <w:tc>
          <w:tcPr>
            <w:tcW w:w="2105" w:type="dxa"/>
            <w:tcBorders>
              <w:top w:val="single" w:color="auto" w:sz="4" w:space="0"/>
              <w:left w:val="single" w:color="auto" w:sz="4" w:space="0"/>
              <w:bottom w:val="single" w:color="auto" w:sz="4" w:space="0"/>
              <w:right w:val="single" w:color="auto" w:sz="4" w:space="0"/>
            </w:tcBorders>
            <w:noWrap/>
          </w:tcPr>
          <w:p w14:paraId="6072B64A">
            <w:pPr>
              <w:snapToGrid w:val="0"/>
              <w:spacing w:before="50" w:after="50"/>
              <w:rPr>
                <w:rFonts w:hint="eastAsia" w:ascii="仿宋" w:hAnsi="仿宋" w:eastAsia="仿宋" w:cs="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7DA15784">
            <w:pPr>
              <w:snapToGrid w:val="0"/>
              <w:spacing w:before="50" w:after="50"/>
              <w:rPr>
                <w:rFonts w:hint="eastAsia" w:ascii="仿宋" w:hAnsi="仿宋" w:eastAsia="仿宋" w:cs="仿宋"/>
                <w:color w:val="auto"/>
                <w:spacing w:val="20"/>
                <w:sz w:val="24"/>
                <w:szCs w:val="24"/>
                <w:highlight w:val="none"/>
              </w:rPr>
            </w:pPr>
          </w:p>
        </w:tc>
      </w:tr>
      <w:tr w14:paraId="0EC4A3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7C542CC">
            <w:pPr>
              <w:snapToGrid w:val="0"/>
              <w:spacing w:before="50" w:after="50"/>
              <w:rPr>
                <w:rFonts w:hint="eastAsia" w:ascii="仿宋" w:hAnsi="仿宋" w:eastAsia="仿宋" w:cs="仿宋"/>
                <w:color w:val="auto"/>
                <w:spacing w:val="20"/>
                <w:sz w:val="24"/>
                <w:szCs w:val="24"/>
                <w:highlight w:val="none"/>
              </w:rPr>
            </w:pPr>
            <w:bookmarkStart w:id="63" w:name="_Toc64369805"/>
            <w:r>
              <w:rPr>
                <w:rFonts w:hint="eastAsia" w:ascii="仿宋" w:hAnsi="仿宋" w:eastAsia="仿宋" w:cs="仿宋"/>
                <w:color w:val="auto"/>
                <w:spacing w:val="20"/>
                <w:sz w:val="24"/>
                <w:szCs w:val="24"/>
                <w:highlight w:val="none"/>
              </w:rPr>
              <w:t>2</w:t>
            </w:r>
            <w:bookmarkEnd w:id="63"/>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66AC665">
            <w:pPr>
              <w:rPr>
                <w:rFonts w:hint="eastAsia" w:ascii="仿宋" w:hAnsi="仿宋" w:eastAsia="仿宋" w:cs="仿宋"/>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6FA5852F">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（服务质量要求）</w:t>
            </w:r>
          </w:p>
        </w:tc>
        <w:tc>
          <w:tcPr>
            <w:tcW w:w="2105" w:type="dxa"/>
            <w:tcBorders>
              <w:top w:val="single" w:color="auto" w:sz="4" w:space="0"/>
              <w:left w:val="single" w:color="auto" w:sz="4" w:space="0"/>
              <w:bottom w:val="single" w:color="auto" w:sz="4" w:space="0"/>
              <w:right w:val="single" w:color="auto" w:sz="4" w:space="0"/>
            </w:tcBorders>
            <w:noWrap/>
          </w:tcPr>
          <w:p w14:paraId="1A019206">
            <w:pPr>
              <w:snapToGrid w:val="0"/>
              <w:spacing w:before="50" w:after="50"/>
              <w:rPr>
                <w:rFonts w:hint="eastAsia" w:ascii="仿宋" w:hAnsi="仿宋" w:eastAsia="仿宋" w:cs="仿宋"/>
                <w:color w:val="auto"/>
                <w:spacing w:val="20"/>
                <w:sz w:val="24"/>
                <w:szCs w:val="24"/>
                <w:highlight w:val="none"/>
              </w:rPr>
            </w:pPr>
          </w:p>
        </w:tc>
        <w:tc>
          <w:tcPr>
            <w:tcW w:w="1396" w:type="dxa"/>
            <w:tcBorders>
              <w:top w:val="single" w:color="auto" w:sz="4" w:space="0"/>
              <w:left w:val="single" w:color="auto" w:sz="4" w:space="0"/>
              <w:bottom w:val="nil"/>
              <w:right w:val="single" w:color="auto" w:sz="4" w:space="0"/>
            </w:tcBorders>
            <w:noWrap/>
          </w:tcPr>
          <w:p w14:paraId="399E9B2C">
            <w:pPr>
              <w:snapToGrid w:val="0"/>
              <w:spacing w:before="50" w:after="50"/>
              <w:rPr>
                <w:rFonts w:hint="eastAsia" w:ascii="仿宋" w:hAnsi="仿宋" w:eastAsia="仿宋" w:cs="仿宋"/>
                <w:color w:val="auto"/>
                <w:spacing w:val="20"/>
                <w:sz w:val="24"/>
                <w:szCs w:val="24"/>
                <w:highlight w:val="none"/>
              </w:rPr>
            </w:pPr>
          </w:p>
        </w:tc>
      </w:tr>
      <w:tr w14:paraId="7EC403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CC60367">
            <w:pPr>
              <w:snapToGrid w:val="0"/>
              <w:spacing w:before="50" w:after="50"/>
              <w:rPr>
                <w:rFonts w:hint="eastAsia" w:ascii="仿宋" w:hAnsi="仿宋" w:eastAsia="仿宋" w:cs="仿宋"/>
                <w:color w:val="auto"/>
                <w:spacing w:val="20"/>
                <w:sz w:val="24"/>
                <w:szCs w:val="24"/>
                <w:highlight w:val="none"/>
              </w:rPr>
            </w:pPr>
            <w:bookmarkStart w:id="64" w:name="_Toc64369806"/>
            <w:bookmarkEnd w:id="64"/>
            <w:r>
              <w:rPr>
                <w:rFonts w:hint="eastAsia" w:ascii="仿宋" w:hAnsi="仿宋" w:eastAsia="仿宋" w:cs="仿宋"/>
                <w:color w:val="auto"/>
                <w:spacing w:val="20"/>
                <w:sz w:val="24"/>
                <w:szCs w:val="24"/>
                <w:highlight w:val="none"/>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C20E9B6">
            <w:pPr>
              <w:rPr>
                <w:rFonts w:hint="eastAsia" w:ascii="仿宋" w:hAnsi="仿宋" w:eastAsia="仿宋" w:cs="仿宋"/>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669DAB5">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（服务人员）</w:t>
            </w:r>
          </w:p>
        </w:tc>
        <w:tc>
          <w:tcPr>
            <w:tcW w:w="2105" w:type="dxa"/>
            <w:tcBorders>
              <w:top w:val="single" w:color="auto" w:sz="4" w:space="0"/>
              <w:left w:val="single" w:color="auto" w:sz="4" w:space="0"/>
              <w:bottom w:val="single" w:color="auto" w:sz="4" w:space="0"/>
              <w:right w:val="single" w:color="auto" w:sz="4" w:space="0"/>
            </w:tcBorders>
            <w:noWrap/>
          </w:tcPr>
          <w:p w14:paraId="42A00A61">
            <w:pPr>
              <w:snapToGrid w:val="0"/>
              <w:spacing w:before="50" w:after="50"/>
              <w:rPr>
                <w:rFonts w:hint="eastAsia" w:ascii="仿宋" w:hAnsi="仿宋" w:eastAsia="仿宋" w:cs="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777D3A71">
            <w:pPr>
              <w:snapToGrid w:val="0"/>
              <w:spacing w:before="50" w:after="50"/>
              <w:rPr>
                <w:rFonts w:hint="eastAsia" w:ascii="仿宋" w:hAnsi="仿宋" w:eastAsia="仿宋" w:cs="仿宋"/>
                <w:color w:val="auto"/>
                <w:spacing w:val="20"/>
                <w:sz w:val="24"/>
                <w:szCs w:val="24"/>
                <w:highlight w:val="none"/>
              </w:rPr>
            </w:pPr>
          </w:p>
        </w:tc>
      </w:tr>
      <w:tr w14:paraId="61F77E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54AB939">
            <w:pPr>
              <w:snapToGrid w:val="0"/>
              <w:spacing w:before="50" w:after="50"/>
              <w:rPr>
                <w:rFonts w:hint="eastAsia" w:ascii="仿宋" w:hAnsi="仿宋" w:eastAsia="仿宋" w:cs="仿宋"/>
                <w:color w:val="auto"/>
                <w:spacing w:val="20"/>
                <w:sz w:val="24"/>
                <w:szCs w:val="24"/>
                <w:highlight w:val="none"/>
              </w:rPr>
            </w:pPr>
            <w:bookmarkStart w:id="65" w:name="_Toc64369799"/>
            <w:r>
              <w:rPr>
                <w:rFonts w:hint="eastAsia" w:ascii="仿宋" w:hAnsi="仿宋" w:eastAsia="仿宋" w:cs="仿宋"/>
                <w:color w:val="auto"/>
                <w:spacing w:val="20"/>
                <w:sz w:val="24"/>
                <w:szCs w:val="24"/>
                <w:highlight w:val="none"/>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BEA7B09">
            <w:pPr>
              <w:rPr>
                <w:rFonts w:hint="eastAsia" w:ascii="仿宋" w:hAnsi="仿宋" w:eastAsia="仿宋" w:cs="仿宋"/>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2B786AF8">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（投入设备）</w:t>
            </w:r>
          </w:p>
        </w:tc>
        <w:tc>
          <w:tcPr>
            <w:tcW w:w="2105" w:type="dxa"/>
            <w:tcBorders>
              <w:top w:val="single" w:color="auto" w:sz="4" w:space="0"/>
              <w:left w:val="single" w:color="auto" w:sz="4" w:space="0"/>
              <w:bottom w:val="single" w:color="auto" w:sz="4" w:space="0"/>
              <w:right w:val="single" w:color="auto" w:sz="4" w:space="0"/>
            </w:tcBorders>
            <w:noWrap/>
          </w:tcPr>
          <w:p w14:paraId="42F8F401">
            <w:pPr>
              <w:snapToGrid w:val="0"/>
              <w:spacing w:before="50" w:after="50"/>
              <w:rPr>
                <w:rFonts w:hint="eastAsia" w:ascii="仿宋" w:hAnsi="仿宋" w:eastAsia="仿宋" w:cs="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3B843E97">
            <w:pPr>
              <w:snapToGrid w:val="0"/>
              <w:spacing w:before="50" w:after="50"/>
              <w:rPr>
                <w:rFonts w:hint="eastAsia" w:ascii="仿宋" w:hAnsi="仿宋" w:eastAsia="仿宋" w:cs="仿宋"/>
                <w:color w:val="auto"/>
                <w:spacing w:val="20"/>
                <w:sz w:val="24"/>
                <w:szCs w:val="24"/>
                <w:highlight w:val="none"/>
              </w:rPr>
            </w:pPr>
          </w:p>
        </w:tc>
      </w:tr>
      <w:tr w14:paraId="45F12B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B216A83">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B4FD437">
            <w:pPr>
              <w:rPr>
                <w:rFonts w:hint="eastAsia" w:ascii="仿宋" w:hAnsi="仿宋" w:eastAsia="仿宋" w:cs="仿宋"/>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D09F736">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6138A814">
            <w:pPr>
              <w:snapToGrid w:val="0"/>
              <w:spacing w:before="50" w:after="50"/>
              <w:rPr>
                <w:rFonts w:hint="eastAsia" w:ascii="仿宋" w:hAnsi="仿宋" w:eastAsia="仿宋" w:cs="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70C2FB58">
            <w:pPr>
              <w:snapToGrid w:val="0"/>
              <w:spacing w:before="50" w:after="50"/>
              <w:rPr>
                <w:rFonts w:hint="eastAsia" w:ascii="仿宋" w:hAnsi="仿宋" w:eastAsia="仿宋" w:cs="仿宋"/>
                <w:color w:val="auto"/>
                <w:spacing w:val="20"/>
                <w:sz w:val="24"/>
                <w:szCs w:val="24"/>
                <w:highlight w:val="none"/>
              </w:rPr>
            </w:pPr>
          </w:p>
        </w:tc>
      </w:tr>
      <w:tr w14:paraId="007B6E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E792839">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7A833DAA">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5C87D161">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7598474A">
            <w:pPr>
              <w:snapToGrid w:val="0"/>
              <w:spacing w:before="50" w:after="50"/>
              <w:rPr>
                <w:rFonts w:hint="eastAsia" w:ascii="仿宋" w:hAnsi="仿宋" w:eastAsia="仿宋" w:cs="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64B552C9">
            <w:pPr>
              <w:snapToGrid w:val="0"/>
              <w:spacing w:before="50" w:after="50"/>
              <w:rPr>
                <w:rFonts w:hint="eastAsia" w:ascii="仿宋" w:hAnsi="仿宋" w:eastAsia="仿宋" w:cs="仿宋"/>
                <w:color w:val="auto"/>
                <w:spacing w:val="20"/>
                <w:sz w:val="24"/>
                <w:szCs w:val="24"/>
                <w:highlight w:val="none"/>
              </w:rPr>
            </w:pPr>
          </w:p>
        </w:tc>
      </w:tr>
      <w:tr w14:paraId="3FA3EA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1997DED0">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370157EF">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3EB8DC9E">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0F817F46">
            <w:pPr>
              <w:snapToGrid w:val="0"/>
              <w:spacing w:before="50" w:after="50"/>
              <w:rPr>
                <w:rFonts w:hint="eastAsia" w:ascii="仿宋" w:hAnsi="仿宋" w:eastAsia="仿宋" w:cs="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1F0325A9">
            <w:pPr>
              <w:snapToGrid w:val="0"/>
              <w:spacing w:before="50" w:after="50"/>
              <w:rPr>
                <w:rFonts w:hint="eastAsia" w:ascii="仿宋" w:hAnsi="仿宋" w:eastAsia="仿宋" w:cs="仿宋"/>
                <w:color w:val="auto"/>
                <w:spacing w:val="20"/>
                <w:sz w:val="24"/>
                <w:szCs w:val="24"/>
                <w:highlight w:val="none"/>
              </w:rPr>
            </w:pPr>
          </w:p>
        </w:tc>
      </w:tr>
      <w:tr w14:paraId="53855C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46C1ACA8">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货物部分</w:t>
            </w:r>
            <w:bookmarkEnd w:id="65"/>
            <w:r>
              <w:rPr>
                <w:rFonts w:hint="eastAsia" w:ascii="仿宋" w:hAnsi="仿宋" w:eastAsia="仿宋" w:cs="仿宋"/>
                <w:color w:val="auto"/>
                <w:spacing w:val="20"/>
                <w:sz w:val="24"/>
                <w:szCs w:val="24"/>
                <w:highlight w:val="none"/>
              </w:rPr>
              <w:t>（如有）</w:t>
            </w:r>
          </w:p>
        </w:tc>
      </w:tr>
      <w:tr w14:paraId="6DECA9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4C114ED">
            <w:pPr>
              <w:snapToGrid w:val="0"/>
              <w:spacing w:before="50" w:after="50"/>
              <w:jc w:val="center"/>
              <w:rPr>
                <w:rFonts w:hint="eastAsia" w:ascii="仿宋" w:hAnsi="仿宋" w:eastAsia="仿宋" w:cs="仿宋"/>
                <w:color w:val="auto"/>
                <w:spacing w:val="20"/>
                <w:sz w:val="24"/>
                <w:szCs w:val="24"/>
                <w:highlight w:val="none"/>
              </w:rPr>
            </w:pPr>
            <w:bookmarkStart w:id="66" w:name="_Toc64369808"/>
            <w:r>
              <w:rPr>
                <w:rFonts w:hint="eastAsia" w:ascii="仿宋" w:hAnsi="仿宋" w:eastAsia="仿宋" w:cs="仿宋"/>
                <w:color w:val="auto"/>
                <w:spacing w:val="20"/>
                <w:sz w:val="24"/>
                <w:szCs w:val="24"/>
                <w:highlight w:val="none"/>
              </w:rPr>
              <w:t>序号</w:t>
            </w:r>
            <w:bookmarkEnd w:id="66"/>
          </w:p>
        </w:tc>
        <w:tc>
          <w:tcPr>
            <w:tcW w:w="1861" w:type="dxa"/>
            <w:tcBorders>
              <w:top w:val="single" w:color="auto" w:sz="4" w:space="0"/>
              <w:left w:val="single" w:color="auto" w:sz="4" w:space="0"/>
              <w:bottom w:val="single" w:color="auto" w:sz="4" w:space="0"/>
              <w:right w:val="single" w:color="auto" w:sz="4" w:space="0"/>
            </w:tcBorders>
            <w:noWrap/>
            <w:vAlign w:val="center"/>
          </w:tcPr>
          <w:p w14:paraId="00BA8466">
            <w:pPr>
              <w:snapToGrid w:val="0"/>
              <w:spacing w:before="50" w:after="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2F069822">
            <w:pPr>
              <w:snapToGrid w:val="0"/>
              <w:spacing w:before="50" w:after="50"/>
              <w:jc w:val="center"/>
              <w:rPr>
                <w:rFonts w:hint="eastAsia" w:ascii="仿宋" w:hAnsi="仿宋" w:eastAsia="仿宋" w:cs="仿宋"/>
                <w:color w:val="auto"/>
                <w:spacing w:val="20"/>
                <w:sz w:val="24"/>
                <w:szCs w:val="24"/>
                <w:highlight w:val="none"/>
              </w:rPr>
            </w:pPr>
            <w:bookmarkStart w:id="67" w:name="_Toc64369809"/>
            <w:bookmarkStart w:id="68" w:name="_Toc64369810"/>
            <w:r>
              <w:rPr>
                <w:rFonts w:hint="eastAsia" w:ascii="仿宋" w:hAnsi="仿宋" w:eastAsia="仿宋" w:cs="仿宋"/>
                <w:color w:val="auto"/>
                <w:spacing w:val="20"/>
                <w:sz w:val="24"/>
                <w:szCs w:val="24"/>
                <w:highlight w:val="none"/>
              </w:rPr>
              <w:t>采购文件</w:t>
            </w:r>
          </w:p>
          <w:p w14:paraId="72FFB233">
            <w:pPr>
              <w:snapToGrid w:val="0"/>
              <w:spacing w:before="50" w:after="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要求</w:t>
            </w:r>
            <w:bookmarkEnd w:id="67"/>
          </w:p>
        </w:tc>
        <w:tc>
          <w:tcPr>
            <w:tcW w:w="2105" w:type="dxa"/>
            <w:tcBorders>
              <w:top w:val="single" w:color="auto" w:sz="4" w:space="0"/>
              <w:left w:val="single" w:color="auto" w:sz="4" w:space="0"/>
              <w:bottom w:val="single" w:color="auto" w:sz="4" w:space="0"/>
              <w:right w:val="single" w:color="auto" w:sz="4" w:space="0"/>
            </w:tcBorders>
            <w:noWrap/>
          </w:tcPr>
          <w:p w14:paraId="6E1E97E3">
            <w:pPr>
              <w:snapToGrid w:val="0"/>
              <w:spacing w:before="50" w:after="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投标文件</w:t>
            </w:r>
          </w:p>
          <w:p w14:paraId="29A42715">
            <w:pPr>
              <w:snapToGrid w:val="0"/>
              <w:spacing w:before="50" w:after="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响应</w:t>
            </w:r>
            <w:bookmarkEnd w:id="68"/>
          </w:p>
        </w:tc>
        <w:tc>
          <w:tcPr>
            <w:tcW w:w="1396" w:type="dxa"/>
            <w:tcBorders>
              <w:top w:val="single" w:color="auto" w:sz="4" w:space="0"/>
              <w:left w:val="single" w:color="auto" w:sz="4" w:space="0"/>
              <w:bottom w:val="single" w:color="auto" w:sz="4" w:space="0"/>
              <w:right w:val="single" w:color="auto" w:sz="4" w:space="0"/>
            </w:tcBorders>
            <w:noWrap/>
          </w:tcPr>
          <w:p w14:paraId="53056BAE">
            <w:pPr>
              <w:snapToGrid w:val="0"/>
              <w:spacing w:before="50" w:after="50"/>
              <w:jc w:val="center"/>
              <w:rPr>
                <w:rFonts w:hint="eastAsia" w:ascii="仿宋" w:hAnsi="仿宋" w:eastAsia="仿宋" w:cs="仿宋"/>
                <w:color w:val="auto"/>
                <w:spacing w:val="20"/>
                <w:sz w:val="24"/>
                <w:szCs w:val="24"/>
                <w:highlight w:val="none"/>
              </w:rPr>
            </w:pPr>
            <w:bookmarkStart w:id="69" w:name="_Toc64369811"/>
            <w:r>
              <w:rPr>
                <w:rFonts w:hint="eastAsia" w:ascii="仿宋" w:hAnsi="仿宋" w:eastAsia="仿宋" w:cs="仿宋"/>
                <w:color w:val="auto"/>
                <w:spacing w:val="20"/>
                <w:sz w:val="24"/>
                <w:szCs w:val="24"/>
                <w:highlight w:val="none"/>
              </w:rPr>
              <w:t>偏离</w:t>
            </w:r>
          </w:p>
          <w:p w14:paraId="59CB2056">
            <w:pPr>
              <w:snapToGrid w:val="0"/>
              <w:spacing w:before="50" w:after="50"/>
              <w:jc w:val="center"/>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情况</w:t>
            </w:r>
            <w:bookmarkEnd w:id="69"/>
          </w:p>
        </w:tc>
      </w:tr>
      <w:tr w14:paraId="356181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83031D3">
            <w:pPr>
              <w:snapToGrid w:val="0"/>
              <w:spacing w:before="50" w:after="50"/>
              <w:rPr>
                <w:rFonts w:hint="eastAsia" w:ascii="仿宋" w:hAnsi="仿宋" w:eastAsia="仿宋" w:cs="仿宋"/>
                <w:color w:val="auto"/>
                <w:spacing w:val="20"/>
                <w:sz w:val="24"/>
                <w:szCs w:val="24"/>
                <w:highlight w:val="none"/>
              </w:rPr>
            </w:pPr>
            <w:bookmarkStart w:id="70" w:name="_Toc64369814"/>
            <w:r>
              <w:rPr>
                <w:rFonts w:hint="eastAsia" w:ascii="仿宋" w:hAnsi="仿宋" w:eastAsia="仿宋" w:cs="仿宋"/>
                <w:color w:val="auto"/>
                <w:spacing w:val="20"/>
                <w:sz w:val="24"/>
                <w:szCs w:val="24"/>
                <w:highlight w:val="none"/>
              </w:rPr>
              <w:t>…</w:t>
            </w:r>
            <w:bookmarkEnd w:id="70"/>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1F48D3E6">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35C304DD">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166AD313">
            <w:pPr>
              <w:snapToGrid w:val="0"/>
              <w:spacing w:before="50" w:after="50"/>
              <w:rPr>
                <w:rFonts w:hint="eastAsia" w:ascii="仿宋" w:hAnsi="仿宋" w:eastAsia="仿宋" w:cs="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5DBD0A6E">
            <w:pPr>
              <w:snapToGrid w:val="0"/>
              <w:spacing w:before="50" w:after="50"/>
              <w:rPr>
                <w:rFonts w:hint="eastAsia" w:ascii="仿宋" w:hAnsi="仿宋" w:eastAsia="仿宋" w:cs="仿宋"/>
                <w:color w:val="auto"/>
                <w:spacing w:val="20"/>
                <w:sz w:val="24"/>
                <w:szCs w:val="24"/>
                <w:highlight w:val="none"/>
              </w:rPr>
            </w:pPr>
          </w:p>
        </w:tc>
      </w:tr>
    </w:tbl>
    <w:p w14:paraId="54AB42FB">
      <w:pPr>
        <w:pStyle w:val="11"/>
        <w:rPr>
          <w:rFonts w:hint="eastAsia" w:ascii="仿宋" w:hAnsi="仿宋" w:eastAsia="仿宋" w:cs="仿宋"/>
          <w:b w:val="0"/>
          <w:bCs w:val="0"/>
          <w:color w:val="auto"/>
          <w:spacing w:val="20"/>
          <w:kern w:val="0"/>
          <w:szCs w:val="24"/>
          <w:highlight w:val="none"/>
        </w:rPr>
      </w:pPr>
      <w:r>
        <w:rPr>
          <w:rFonts w:hint="eastAsia" w:ascii="仿宋" w:hAnsi="仿宋" w:eastAsia="仿宋" w:cs="仿宋"/>
          <w:b w:val="0"/>
          <w:bCs w:val="0"/>
          <w:color w:val="auto"/>
          <w:szCs w:val="24"/>
          <w:highlight w:val="none"/>
        </w:rPr>
        <w:t>注：1、投标人应对照采购文件要求和投标文件响应情况在“偏离情况”栏注明“正偏离”、“负偏离”或“无偏离”。若正偏离的，需详细说明或提供证明材料。</w:t>
      </w:r>
    </w:p>
    <w:p w14:paraId="20B1AF64">
      <w:pPr>
        <w:snapToGrid w:val="0"/>
        <w:spacing w:before="50" w:after="50"/>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2、“采购文件要求”一列按采购需求中的“服务清单及要求”填写。</w:t>
      </w:r>
    </w:p>
    <w:p w14:paraId="23550675">
      <w:pPr>
        <w:snapToGrid w:val="0"/>
        <w:spacing w:before="50" w:after="50"/>
        <w:rPr>
          <w:rFonts w:hint="eastAsia" w:ascii="仿宋" w:hAnsi="仿宋" w:eastAsia="仿宋" w:cs="仿宋"/>
          <w:color w:val="auto"/>
          <w:spacing w:val="20"/>
          <w:sz w:val="30"/>
          <w:szCs w:val="30"/>
          <w:highlight w:val="none"/>
        </w:rPr>
      </w:pPr>
    </w:p>
    <w:p w14:paraId="37A4D6AE">
      <w:pPr>
        <w:snapToGrid w:val="0"/>
        <w:spacing w:before="50" w:after="50"/>
        <w:rPr>
          <w:rFonts w:hint="eastAsia" w:ascii="仿宋" w:hAnsi="仿宋" w:eastAsia="仿宋" w:cs="仿宋"/>
          <w:color w:val="auto"/>
          <w:spacing w:val="20"/>
          <w:sz w:val="30"/>
          <w:szCs w:val="30"/>
          <w:highlight w:val="none"/>
        </w:rPr>
      </w:pPr>
    </w:p>
    <w:p w14:paraId="234B47BC">
      <w:pPr>
        <w:snapToGrid w:val="0"/>
        <w:spacing w:before="156" w:beforeLine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法定代表人或其授权代表（签字或盖章）：          </w:t>
      </w:r>
    </w:p>
    <w:p w14:paraId="14392466">
      <w:pPr>
        <w:snapToGrid w:val="0"/>
        <w:spacing w:before="156" w:beforeLine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w:t>
      </w:r>
    </w:p>
    <w:p w14:paraId="202CBAA9">
      <w:pPr>
        <w:snapToGrid w:val="0"/>
        <w:spacing w:before="156" w:beforeLines="50"/>
        <w:rPr>
          <w:rFonts w:hint="eastAsia" w:ascii="仿宋" w:hAnsi="仿宋" w:eastAsia="仿宋" w:cs="仿宋"/>
          <w:color w:val="auto"/>
          <w:sz w:val="24"/>
          <w:szCs w:val="24"/>
          <w:highlight w:val="none"/>
        </w:rPr>
      </w:pPr>
    </w:p>
    <w:p w14:paraId="03E6D68D">
      <w:pPr>
        <w:snapToGrid w:val="0"/>
        <w:spacing w:before="156" w:beforeLines="50"/>
        <w:rPr>
          <w:rFonts w:hint="eastAsia" w:ascii="仿宋" w:hAnsi="仿宋" w:eastAsia="仿宋" w:cs="仿宋"/>
          <w:color w:val="auto"/>
          <w:sz w:val="24"/>
          <w:szCs w:val="24"/>
          <w:highlight w:val="none"/>
        </w:rPr>
      </w:pPr>
    </w:p>
    <w:p w14:paraId="5DE5FAEE">
      <w:pPr>
        <w:snapToGrid w:val="0"/>
        <w:spacing w:before="50" w:after="5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附件1</w:t>
      </w:r>
      <w:r>
        <w:rPr>
          <w:rFonts w:hint="eastAsia" w:ascii="仿宋" w:hAnsi="仿宋" w:eastAsia="仿宋" w:cs="仿宋"/>
          <w:b/>
          <w:bCs/>
          <w:color w:val="auto"/>
          <w:sz w:val="30"/>
          <w:szCs w:val="30"/>
          <w:highlight w:val="none"/>
          <w:lang w:val="en-US" w:eastAsia="zh-CN"/>
        </w:rPr>
        <w:t>1</w:t>
      </w:r>
      <w:r>
        <w:rPr>
          <w:rFonts w:hint="eastAsia" w:ascii="仿宋" w:hAnsi="仿宋" w:eastAsia="仿宋" w:cs="仿宋"/>
          <w:b/>
          <w:bCs/>
          <w:color w:val="auto"/>
          <w:sz w:val="30"/>
          <w:szCs w:val="30"/>
          <w:highlight w:val="none"/>
        </w:rPr>
        <w:t>：商务响应表</w:t>
      </w:r>
    </w:p>
    <w:p w14:paraId="0F35C590">
      <w:pPr>
        <w:snapToGrid w:val="0"/>
        <w:spacing w:before="50" w:after="156" w:afterLines="50"/>
        <w:jc w:val="center"/>
        <w:rPr>
          <w:rFonts w:hint="eastAsia" w:ascii="仿宋" w:hAnsi="仿宋" w:eastAsia="仿宋" w:cs="仿宋"/>
          <w:b/>
          <w:color w:val="auto"/>
          <w:spacing w:val="40"/>
          <w:kern w:val="0"/>
          <w:sz w:val="36"/>
          <w:szCs w:val="36"/>
          <w:highlight w:val="none"/>
        </w:rPr>
      </w:pPr>
    </w:p>
    <w:p w14:paraId="405FAF05">
      <w:pPr>
        <w:snapToGrid w:val="0"/>
        <w:spacing w:before="50" w:after="156" w:afterLines="50"/>
        <w:jc w:val="center"/>
        <w:rPr>
          <w:rFonts w:hint="eastAsia" w:ascii="仿宋" w:hAnsi="仿宋" w:eastAsia="仿宋" w:cs="仿宋"/>
          <w:b/>
          <w:color w:val="auto"/>
          <w:spacing w:val="40"/>
          <w:kern w:val="0"/>
          <w:sz w:val="36"/>
          <w:szCs w:val="36"/>
          <w:highlight w:val="none"/>
        </w:rPr>
      </w:pPr>
      <w:r>
        <w:rPr>
          <w:rFonts w:hint="eastAsia" w:ascii="仿宋" w:hAnsi="仿宋" w:eastAsia="仿宋" w:cs="仿宋"/>
          <w:b/>
          <w:color w:val="auto"/>
          <w:spacing w:val="40"/>
          <w:kern w:val="0"/>
          <w:sz w:val="36"/>
          <w:szCs w:val="36"/>
          <w:highlight w:val="none"/>
        </w:rPr>
        <w:t>商 务 响 应 表</w:t>
      </w:r>
    </w:p>
    <w:p w14:paraId="469040DC">
      <w:pPr>
        <w:snapToGrid w:val="0"/>
        <w:spacing w:before="50" w:after="156" w:afterLines="50"/>
        <w:jc w:val="center"/>
        <w:rPr>
          <w:rFonts w:hint="eastAsia" w:ascii="仿宋" w:hAnsi="仿宋" w:eastAsia="仿宋" w:cs="仿宋"/>
          <w:b/>
          <w:color w:val="auto"/>
          <w:sz w:val="32"/>
          <w:szCs w:val="32"/>
          <w:highlight w:val="none"/>
        </w:rPr>
      </w:pPr>
    </w:p>
    <w:p w14:paraId="6FE29F56">
      <w:pPr>
        <w:pStyle w:val="9"/>
        <w:snapToGrid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投标人全称（公章）：</w:t>
      </w:r>
      <w:r>
        <w:rPr>
          <w:rFonts w:hint="eastAsia" w:ascii="仿宋" w:hAnsi="仿宋" w:eastAsia="仿宋" w:cs="仿宋"/>
          <w:color w:val="auto"/>
          <w:sz w:val="28"/>
          <w:szCs w:val="28"/>
          <w:highlight w:val="none"/>
          <w:u w:val="single"/>
        </w:rPr>
        <w:t xml:space="preserve">            </w:t>
      </w:r>
    </w:p>
    <w:p w14:paraId="17C33375">
      <w:pPr>
        <w:pStyle w:val="9"/>
        <w:snapToGrid w:val="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标项：</w:t>
      </w:r>
      <w:r>
        <w:rPr>
          <w:rFonts w:hint="eastAsia" w:ascii="仿宋" w:hAnsi="仿宋" w:eastAsia="仿宋" w:cs="仿宋"/>
          <w:color w:val="auto"/>
          <w:sz w:val="28"/>
          <w:szCs w:val="28"/>
          <w:highlight w:val="none"/>
          <w:u w:val="single"/>
        </w:rPr>
        <w:t xml:space="preserve">       </w:t>
      </w:r>
    </w:p>
    <w:tbl>
      <w:tblPr>
        <w:tblStyle w:val="26"/>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4B1D1C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132868A3">
            <w:pPr>
              <w:snapToGrid w:val="0"/>
              <w:spacing w:before="50" w:after="50"/>
              <w:jc w:val="center"/>
              <w:rPr>
                <w:rFonts w:hint="eastAsia" w:ascii="仿宋" w:hAnsi="仿宋" w:eastAsia="仿宋" w:cs="仿宋"/>
                <w:color w:val="auto"/>
                <w:spacing w:val="20"/>
                <w:sz w:val="28"/>
                <w:szCs w:val="28"/>
                <w:highlight w:val="none"/>
              </w:rPr>
            </w:pPr>
            <w:bookmarkStart w:id="71" w:name="_Toc64369815"/>
            <w:r>
              <w:rPr>
                <w:rFonts w:hint="eastAsia" w:ascii="仿宋" w:hAnsi="仿宋" w:eastAsia="仿宋" w:cs="仿宋"/>
                <w:color w:val="auto"/>
                <w:spacing w:val="20"/>
                <w:sz w:val="28"/>
                <w:szCs w:val="28"/>
                <w:highlight w:val="none"/>
              </w:rPr>
              <w:t>类别</w:t>
            </w:r>
            <w:bookmarkEnd w:id="71"/>
          </w:p>
        </w:tc>
        <w:tc>
          <w:tcPr>
            <w:tcW w:w="2626" w:type="dxa"/>
            <w:tcBorders>
              <w:top w:val="single" w:color="auto" w:sz="4" w:space="0"/>
              <w:left w:val="single" w:color="auto" w:sz="4" w:space="0"/>
              <w:bottom w:val="single" w:color="auto" w:sz="4" w:space="0"/>
              <w:right w:val="single" w:color="auto" w:sz="4" w:space="0"/>
            </w:tcBorders>
            <w:noWrap/>
            <w:vAlign w:val="center"/>
          </w:tcPr>
          <w:p w14:paraId="26333148">
            <w:pPr>
              <w:snapToGrid w:val="0"/>
              <w:spacing w:before="156" w:beforeLines="50" w:after="50"/>
              <w:jc w:val="center"/>
              <w:rPr>
                <w:rFonts w:hint="eastAsia" w:ascii="仿宋" w:hAnsi="仿宋" w:eastAsia="仿宋" w:cs="仿宋"/>
                <w:color w:val="auto"/>
                <w:sz w:val="30"/>
                <w:szCs w:val="30"/>
                <w:highlight w:val="none"/>
              </w:rPr>
            </w:pPr>
            <w:bookmarkStart w:id="72" w:name="_Toc64369816"/>
            <w:r>
              <w:rPr>
                <w:rFonts w:hint="eastAsia" w:ascii="仿宋" w:hAnsi="仿宋" w:eastAsia="仿宋" w:cs="仿宋"/>
                <w:color w:val="auto"/>
                <w:sz w:val="30"/>
                <w:szCs w:val="30"/>
                <w:highlight w:val="none"/>
              </w:rPr>
              <w:t>采购文件要求</w:t>
            </w:r>
            <w:bookmarkEnd w:id="72"/>
          </w:p>
        </w:tc>
        <w:tc>
          <w:tcPr>
            <w:tcW w:w="2737" w:type="dxa"/>
            <w:tcBorders>
              <w:top w:val="single" w:color="auto" w:sz="4" w:space="0"/>
              <w:left w:val="single" w:color="auto" w:sz="4" w:space="0"/>
              <w:bottom w:val="single" w:color="auto" w:sz="4" w:space="0"/>
              <w:right w:val="single" w:color="auto" w:sz="4" w:space="0"/>
            </w:tcBorders>
            <w:noWrap/>
            <w:vAlign w:val="center"/>
          </w:tcPr>
          <w:p w14:paraId="62BBE3A5">
            <w:pPr>
              <w:snapToGrid w:val="0"/>
              <w:spacing w:before="156" w:beforeLines="50" w:after="50"/>
              <w:jc w:val="center"/>
              <w:rPr>
                <w:rFonts w:hint="eastAsia" w:ascii="仿宋" w:hAnsi="仿宋" w:eastAsia="仿宋" w:cs="仿宋"/>
                <w:color w:val="auto"/>
                <w:sz w:val="30"/>
                <w:szCs w:val="30"/>
                <w:highlight w:val="none"/>
              </w:rPr>
            </w:pPr>
            <w:bookmarkStart w:id="73" w:name="_Toc64369817"/>
            <w:r>
              <w:rPr>
                <w:rFonts w:hint="eastAsia" w:ascii="仿宋" w:hAnsi="仿宋" w:eastAsia="仿宋" w:cs="仿宋"/>
                <w:color w:val="auto"/>
                <w:sz w:val="30"/>
                <w:szCs w:val="30"/>
                <w:highlight w:val="none"/>
              </w:rPr>
              <w:t>投标文件响应</w:t>
            </w:r>
            <w:bookmarkEnd w:id="73"/>
          </w:p>
        </w:tc>
        <w:tc>
          <w:tcPr>
            <w:tcW w:w="1886" w:type="dxa"/>
            <w:tcBorders>
              <w:top w:val="single" w:color="auto" w:sz="4" w:space="0"/>
              <w:left w:val="single" w:color="auto" w:sz="4" w:space="0"/>
              <w:bottom w:val="single" w:color="auto" w:sz="4" w:space="0"/>
              <w:right w:val="single" w:color="auto" w:sz="4" w:space="0"/>
            </w:tcBorders>
            <w:noWrap/>
            <w:vAlign w:val="center"/>
          </w:tcPr>
          <w:p w14:paraId="39D71154">
            <w:pPr>
              <w:snapToGrid w:val="0"/>
              <w:spacing w:before="156" w:beforeLines="50" w:after="50"/>
              <w:jc w:val="center"/>
              <w:rPr>
                <w:rFonts w:hint="eastAsia" w:ascii="仿宋" w:hAnsi="仿宋" w:eastAsia="仿宋" w:cs="仿宋"/>
                <w:color w:val="auto"/>
                <w:sz w:val="30"/>
                <w:szCs w:val="30"/>
                <w:highlight w:val="none"/>
              </w:rPr>
            </w:pPr>
            <w:bookmarkStart w:id="74" w:name="_Toc64369818"/>
            <w:r>
              <w:rPr>
                <w:rFonts w:hint="eastAsia" w:ascii="仿宋" w:hAnsi="仿宋" w:eastAsia="仿宋" w:cs="仿宋"/>
                <w:color w:val="auto"/>
                <w:sz w:val="30"/>
                <w:szCs w:val="30"/>
                <w:highlight w:val="none"/>
              </w:rPr>
              <w:t>偏离情况</w:t>
            </w:r>
            <w:bookmarkEnd w:id="74"/>
          </w:p>
        </w:tc>
      </w:tr>
      <w:tr w14:paraId="417188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66F7B06B">
            <w:pPr>
              <w:snapToGrid w:val="0"/>
              <w:spacing w:before="50" w:after="50"/>
              <w:rPr>
                <w:rFonts w:hint="eastAsia" w:ascii="仿宋" w:hAnsi="仿宋" w:eastAsia="仿宋" w:cs="仿宋"/>
                <w:color w:val="auto"/>
                <w:spacing w:val="20"/>
                <w:sz w:val="28"/>
                <w:szCs w:val="28"/>
                <w:highlight w:val="none"/>
              </w:rPr>
            </w:pPr>
            <w:bookmarkStart w:id="75" w:name="_Toc64369823"/>
            <w:bookmarkStart w:id="76" w:name="_Toc64369819"/>
            <w:r>
              <w:rPr>
                <w:rFonts w:hint="eastAsia" w:ascii="仿宋" w:hAnsi="仿宋" w:eastAsia="仿宋" w:cs="仿宋"/>
                <w:color w:val="auto"/>
                <w:spacing w:val="20"/>
                <w:sz w:val="28"/>
                <w:szCs w:val="28"/>
                <w:highlight w:val="none"/>
              </w:rPr>
              <w:t>付款方式</w:t>
            </w:r>
            <w:bookmarkEnd w:id="75"/>
            <w:bookmarkEnd w:id="76"/>
          </w:p>
        </w:tc>
        <w:tc>
          <w:tcPr>
            <w:tcW w:w="2626" w:type="dxa"/>
            <w:tcBorders>
              <w:top w:val="single" w:color="auto" w:sz="4" w:space="0"/>
              <w:left w:val="single" w:color="auto" w:sz="4" w:space="0"/>
              <w:bottom w:val="single" w:color="auto" w:sz="4" w:space="0"/>
              <w:right w:val="single" w:color="auto" w:sz="4" w:space="0"/>
            </w:tcBorders>
            <w:noWrap/>
            <w:vAlign w:val="center"/>
          </w:tcPr>
          <w:p w14:paraId="7BE16F1A">
            <w:pPr>
              <w:pStyle w:val="16"/>
              <w:snapToGrid w:val="0"/>
              <w:spacing w:before="120" w:after="120"/>
              <w:outlineLvl w:val="0"/>
              <w:rPr>
                <w:rFonts w:hint="eastAsia" w:ascii="仿宋" w:hAnsi="仿宋" w:eastAsia="仿宋" w:cs="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7C5A7BEF">
            <w:pPr>
              <w:pStyle w:val="16"/>
              <w:snapToGrid w:val="0"/>
              <w:spacing w:before="120" w:after="120"/>
              <w:outlineLvl w:val="0"/>
              <w:rPr>
                <w:rFonts w:hint="eastAsia" w:ascii="仿宋" w:hAnsi="仿宋" w:eastAsia="仿宋" w:cs="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3515061A">
            <w:pPr>
              <w:pStyle w:val="16"/>
              <w:snapToGrid w:val="0"/>
              <w:spacing w:before="120" w:after="120"/>
              <w:outlineLvl w:val="0"/>
              <w:rPr>
                <w:rFonts w:hint="eastAsia" w:ascii="仿宋" w:hAnsi="仿宋" w:eastAsia="仿宋" w:cs="仿宋"/>
                <w:color w:val="auto"/>
                <w:sz w:val="28"/>
                <w:szCs w:val="28"/>
                <w:highlight w:val="none"/>
              </w:rPr>
            </w:pPr>
          </w:p>
        </w:tc>
      </w:tr>
      <w:tr w14:paraId="651A18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2158199">
            <w:pPr>
              <w:snapToGrid w:val="0"/>
              <w:spacing w:before="50" w:after="50"/>
              <w:rPr>
                <w:rFonts w:hint="eastAsia" w:ascii="仿宋" w:hAnsi="仿宋" w:eastAsia="仿宋" w:cs="仿宋"/>
                <w:color w:val="auto"/>
                <w:spacing w:val="20"/>
                <w:sz w:val="28"/>
                <w:szCs w:val="28"/>
                <w:highlight w:val="none"/>
              </w:rPr>
            </w:pPr>
            <w:r>
              <w:rPr>
                <w:rFonts w:hint="eastAsia" w:ascii="仿宋" w:hAnsi="仿宋" w:eastAsia="仿宋" w:cs="仿宋"/>
                <w:color w:val="auto"/>
                <w:spacing w:val="20"/>
                <w:sz w:val="28"/>
                <w:szCs w:val="28"/>
                <w:highlight w:val="none"/>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14:paraId="34EFB9E0">
            <w:pPr>
              <w:pStyle w:val="16"/>
              <w:snapToGrid w:val="0"/>
              <w:spacing w:before="120" w:after="120"/>
              <w:outlineLvl w:val="0"/>
              <w:rPr>
                <w:rFonts w:hint="eastAsia" w:ascii="仿宋" w:hAnsi="仿宋" w:eastAsia="仿宋" w:cs="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2E767B62">
            <w:pPr>
              <w:pStyle w:val="16"/>
              <w:snapToGrid w:val="0"/>
              <w:spacing w:before="120" w:after="120" w:line="240" w:lineRule="auto"/>
              <w:outlineLvl w:val="0"/>
              <w:rPr>
                <w:rFonts w:hint="eastAsia" w:ascii="仿宋" w:hAnsi="仿宋" w:eastAsia="仿宋" w:cs="仿宋"/>
                <w:color w:val="auto"/>
                <w:sz w:val="28"/>
                <w:szCs w:val="28"/>
                <w:highlight w:val="none"/>
              </w:rPr>
            </w:pPr>
          </w:p>
        </w:tc>
        <w:tc>
          <w:tcPr>
            <w:tcW w:w="1886" w:type="dxa"/>
            <w:tcBorders>
              <w:top w:val="single" w:color="auto" w:sz="4" w:space="0"/>
              <w:left w:val="single" w:color="auto" w:sz="4" w:space="0"/>
              <w:bottom w:val="nil"/>
              <w:right w:val="single" w:color="auto" w:sz="4" w:space="0"/>
            </w:tcBorders>
            <w:noWrap/>
          </w:tcPr>
          <w:p w14:paraId="4AA39CE6">
            <w:pPr>
              <w:pStyle w:val="16"/>
              <w:snapToGrid w:val="0"/>
              <w:spacing w:before="120" w:after="120" w:line="240" w:lineRule="auto"/>
              <w:outlineLvl w:val="0"/>
              <w:rPr>
                <w:rFonts w:hint="eastAsia" w:ascii="仿宋" w:hAnsi="仿宋" w:eastAsia="仿宋" w:cs="仿宋"/>
                <w:color w:val="auto"/>
                <w:sz w:val="28"/>
                <w:szCs w:val="28"/>
                <w:highlight w:val="none"/>
              </w:rPr>
            </w:pPr>
          </w:p>
        </w:tc>
      </w:tr>
      <w:tr w14:paraId="1EA356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5B842F30">
            <w:pPr>
              <w:snapToGrid w:val="0"/>
              <w:spacing w:before="50" w:after="50"/>
              <w:rPr>
                <w:rFonts w:hint="eastAsia" w:ascii="仿宋" w:hAnsi="仿宋" w:eastAsia="仿宋" w:cs="仿宋"/>
                <w:color w:val="auto"/>
                <w:spacing w:val="20"/>
                <w:sz w:val="28"/>
                <w:szCs w:val="28"/>
                <w:highlight w:val="none"/>
              </w:rPr>
            </w:pPr>
            <w:r>
              <w:rPr>
                <w:rFonts w:hint="eastAsia" w:ascii="仿宋" w:hAnsi="仿宋" w:eastAsia="仿宋" w:cs="仿宋"/>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5F2763DB">
            <w:pPr>
              <w:pStyle w:val="16"/>
              <w:snapToGrid w:val="0"/>
              <w:spacing w:before="120" w:after="120"/>
              <w:outlineLvl w:val="0"/>
              <w:rPr>
                <w:rFonts w:hint="eastAsia" w:ascii="仿宋" w:hAnsi="仿宋" w:eastAsia="仿宋" w:cs="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1C08DA62">
            <w:pPr>
              <w:pStyle w:val="16"/>
              <w:snapToGrid w:val="0"/>
              <w:spacing w:before="120" w:after="120" w:line="240" w:lineRule="auto"/>
              <w:outlineLvl w:val="0"/>
              <w:rPr>
                <w:rFonts w:hint="eastAsia" w:ascii="仿宋" w:hAnsi="仿宋" w:eastAsia="仿宋" w:cs="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2591FF69">
            <w:pPr>
              <w:pStyle w:val="16"/>
              <w:snapToGrid w:val="0"/>
              <w:spacing w:before="120" w:after="120" w:line="240" w:lineRule="auto"/>
              <w:outlineLvl w:val="0"/>
              <w:rPr>
                <w:rFonts w:hint="eastAsia" w:ascii="仿宋" w:hAnsi="仿宋" w:eastAsia="仿宋" w:cs="仿宋"/>
                <w:color w:val="auto"/>
                <w:sz w:val="28"/>
                <w:szCs w:val="28"/>
                <w:highlight w:val="none"/>
              </w:rPr>
            </w:pPr>
          </w:p>
        </w:tc>
      </w:tr>
      <w:tr w14:paraId="61532C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F03DD24">
            <w:pPr>
              <w:snapToGrid w:val="0"/>
              <w:spacing w:before="50" w:after="50"/>
              <w:rPr>
                <w:rFonts w:hint="eastAsia" w:ascii="仿宋" w:hAnsi="仿宋" w:eastAsia="仿宋" w:cs="仿宋"/>
                <w:color w:val="auto"/>
                <w:spacing w:val="20"/>
                <w:sz w:val="28"/>
                <w:szCs w:val="28"/>
                <w:highlight w:val="none"/>
              </w:rPr>
            </w:pPr>
            <w:r>
              <w:rPr>
                <w:rFonts w:hint="eastAsia" w:ascii="仿宋" w:hAnsi="仿宋" w:eastAsia="仿宋" w:cs="仿宋"/>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50B4C690">
            <w:pPr>
              <w:pStyle w:val="16"/>
              <w:snapToGrid w:val="0"/>
              <w:spacing w:before="120" w:after="120"/>
              <w:outlineLvl w:val="0"/>
              <w:rPr>
                <w:rFonts w:hint="eastAsia" w:ascii="仿宋" w:hAnsi="仿宋" w:eastAsia="仿宋" w:cs="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2784F867">
            <w:pPr>
              <w:pStyle w:val="16"/>
              <w:snapToGrid w:val="0"/>
              <w:spacing w:before="120" w:after="120"/>
              <w:outlineLvl w:val="0"/>
              <w:rPr>
                <w:rFonts w:hint="eastAsia" w:ascii="仿宋" w:hAnsi="仿宋" w:eastAsia="仿宋" w:cs="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79DA9F0E">
            <w:pPr>
              <w:pStyle w:val="16"/>
              <w:snapToGrid w:val="0"/>
              <w:spacing w:before="120" w:after="120"/>
              <w:outlineLvl w:val="0"/>
              <w:rPr>
                <w:rFonts w:hint="eastAsia" w:ascii="仿宋" w:hAnsi="仿宋" w:eastAsia="仿宋" w:cs="仿宋"/>
                <w:color w:val="auto"/>
                <w:sz w:val="28"/>
                <w:szCs w:val="28"/>
                <w:highlight w:val="none"/>
              </w:rPr>
            </w:pPr>
          </w:p>
        </w:tc>
      </w:tr>
    </w:tbl>
    <w:p w14:paraId="2715549A">
      <w:pPr>
        <w:pStyle w:val="11"/>
        <w:rPr>
          <w:rFonts w:hint="eastAsia" w:ascii="仿宋" w:hAnsi="仿宋" w:eastAsia="仿宋" w:cs="仿宋"/>
          <w:b w:val="0"/>
          <w:bCs w:val="0"/>
          <w:color w:val="auto"/>
          <w:spacing w:val="20"/>
          <w:kern w:val="0"/>
          <w:sz w:val="28"/>
          <w:szCs w:val="28"/>
          <w:highlight w:val="none"/>
        </w:rPr>
      </w:pPr>
      <w:r>
        <w:rPr>
          <w:rFonts w:hint="eastAsia" w:ascii="仿宋" w:hAnsi="仿宋" w:eastAsia="仿宋" w:cs="仿宋"/>
          <w:b w:val="0"/>
          <w:bCs w:val="0"/>
          <w:color w:val="auto"/>
          <w:sz w:val="28"/>
          <w:szCs w:val="28"/>
          <w:highlight w:val="none"/>
        </w:rPr>
        <w:t>注：1、投标人应对照采购文件要求和投标文件响应情况在“偏离情况”栏注明“正偏离”、“负偏离”或“无偏离”。若正偏离的，需详细说明或提供证明材料。</w:t>
      </w:r>
    </w:p>
    <w:p w14:paraId="220FC7B0">
      <w:pPr>
        <w:snapToGrid w:val="0"/>
        <w:spacing w:before="50" w:after="50"/>
        <w:rPr>
          <w:rFonts w:hint="eastAsia" w:ascii="仿宋" w:hAnsi="仿宋" w:eastAsia="仿宋" w:cs="仿宋"/>
          <w:color w:val="auto"/>
          <w:spacing w:val="20"/>
          <w:sz w:val="28"/>
          <w:szCs w:val="28"/>
          <w:highlight w:val="none"/>
        </w:rPr>
      </w:pPr>
      <w:r>
        <w:rPr>
          <w:rFonts w:hint="eastAsia" w:ascii="仿宋" w:hAnsi="仿宋" w:eastAsia="仿宋" w:cs="仿宋"/>
          <w:color w:val="auto"/>
          <w:spacing w:val="20"/>
          <w:sz w:val="28"/>
          <w:szCs w:val="28"/>
          <w:highlight w:val="none"/>
        </w:rPr>
        <w:t>2、“类别”一栏按采购文件第三章中商务要求的分类填写。</w:t>
      </w:r>
    </w:p>
    <w:p w14:paraId="6BB5D90D">
      <w:pPr>
        <w:snapToGrid w:val="0"/>
        <w:spacing w:before="50" w:after="50"/>
        <w:rPr>
          <w:rFonts w:hint="eastAsia" w:ascii="仿宋" w:hAnsi="仿宋" w:eastAsia="仿宋" w:cs="仿宋"/>
          <w:color w:val="auto"/>
          <w:spacing w:val="20"/>
          <w:sz w:val="28"/>
          <w:szCs w:val="28"/>
          <w:highlight w:val="none"/>
        </w:rPr>
      </w:pPr>
    </w:p>
    <w:p w14:paraId="7DA19F67">
      <w:pPr>
        <w:snapToGrid w:val="0"/>
        <w:spacing w:before="50" w:after="50"/>
        <w:rPr>
          <w:rFonts w:hint="eastAsia" w:ascii="仿宋" w:hAnsi="仿宋" w:eastAsia="仿宋" w:cs="仿宋"/>
          <w:color w:val="auto"/>
          <w:spacing w:val="20"/>
          <w:sz w:val="28"/>
          <w:szCs w:val="28"/>
          <w:highlight w:val="none"/>
        </w:rPr>
      </w:pPr>
    </w:p>
    <w:p w14:paraId="66ECA365">
      <w:pPr>
        <w:snapToGrid w:val="0"/>
        <w:spacing w:before="50" w:after="50"/>
        <w:rPr>
          <w:rFonts w:hint="eastAsia" w:ascii="仿宋" w:hAnsi="仿宋" w:eastAsia="仿宋" w:cs="仿宋"/>
          <w:color w:val="auto"/>
          <w:spacing w:val="20"/>
          <w:sz w:val="28"/>
          <w:szCs w:val="28"/>
          <w:highlight w:val="none"/>
        </w:rPr>
      </w:pPr>
    </w:p>
    <w:p w14:paraId="5D0DC1BC">
      <w:pPr>
        <w:snapToGrid w:val="0"/>
        <w:spacing w:before="50" w:after="50"/>
        <w:rPr>
          <w:rFonts w:hint="eastAsia" w:ascii="仿宋" w:hAnsi="仿宋" w:eastAsia="仿宋" w:cs="仿宋"/>
          <w:color w:val="auto"/>
          <w:spacing w:val="20"/>
          <w:sz w:val="28"/>
          <w:szCs w:val="28"/>
          <w:highlight w:val="none"/>
        </w:rPr>
      </w:pPr>
    </w:p>
    <w:p w14:paraId="204F555C">
      <w:pPr>
        <w:snapToGrid w:val="0"/>
        <w:spacing w:before="156"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法定代表人或其授权代表（签字或盖章）：          </w:t>
      </w:r>
    </w:p>
    <w:p w14:paraId="16D20585">
      <w:pPr>
        <w:snapToGrid w:val="0"/>
        <w:spacing w:before="156"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日期： </w:t>
      </w:r>
    </w:p>
    <w:p w14:paraId="6CC8E10D">
      <w:pPr>
        <w:snapToGrid w:val="0"/>
        <w:spacing w:before="156" w:beforeLines="50"/>
        <w:rPr>
          <w:rFonts w:hint="eastAsia" w:ascii="仿宋" w:hAnsi="仿宋" w:eastAsia="仿宋" w:cs="仿宋"/>
          <w:color w:val="auto"/>
          <w:sz w:val="28"/>
          <w:szCs w:val="28"/>
          <w:highlight w:val="none"/>
        </w:rPr>
      </w:pPr>
    </w:p>
    <w:p w14:paraId="4234FB0A">
      <w:pPr>
        <w:snapToGrid w:val="0"/>
        <w:spacing w:before="156" w:beforeLines="50"/>
        <w:rPr>
          <w:rFonts w:hint="eastAsia" w:ascii="仿宋" w:hAnsi="仿宋" w:eastAsia="仿宋" w:cs="仿宋"/>
          <w:color w:val="auto"/>
          <w:sz w:val="28"/>
          <w:szCs w:val="28"/>
          <w:highlight w:val="none"/>
        </w:rPr>
      </w:pPr>
    </w:p>
    <w:p w14:paraId="336FA5B6">
      <w:pPr>
        <w:snapToGrid w:val="0"/>
        <w:spacing w:before="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w:t>
      </w:r>
      <w:r>
        <w:rPr>
          <w:rFonts w:hint="eastAsia" w:ascii="仿宋" w:hAnsi="仿宋" w:eastAsia="仿宋" w:cs="仿宋"/>
          <w:b/>
          <w:bCs/>
          <w:color w:val="auto"/>
          <w:sz w:val="30"/>
          <w:szCs w:val="30"/>
          <w:highlight w:val="none"/>
          <w:lang w:val="en-US" w:eastAsia="zh-CN"/>
        </w:rPr>
        <w:t>12</w:t>
      </w:r>
      <w:r>
        <w:rPr>
          <w:rFonts w:hint="eastAsia" w:ascii="仿宋" w:hAnsi="仿宋" w:eastAsia="仿宋" w:cs="仿宋"/>
          <w:b/>
          <w:bCs/>
          <w:color w:val="auto"/>
          <w:sz w:val="30"/>
          <w:szCs w:val="30"/>
          <w:highlight w:val="none"/>
        </w:rPr>
        <w:t>：项目实施人员清单</w:t>
      </w:r>
    </w:p>
    <w:p w14:paraId="65A548F6">
      <w:pPr>
        <w:snapToGrid w:val="0"/>
        <w:spacing w:before="50" w:after="156" w:afterLines="50"/>
        <w:jc w:val="center"/>
        <w:rPr>
          <w:rFonts w:hint="eastAsia" w:ascii="仿宋" w:hAnsi="仿宋" w:eastAsia="仿宋" w:cs="仿宋"/>
          <w:b/>
          <w:color w:val="auto"/>
          <w:kern w:val="0"/>
          <w:sz w:val="36"/>
          <w:szCs w:val="36"/>
          <w:highlight w:val="none"/>
        </w:rPr>
      </w:pPr>
    </w:p>
    <w:p w14:paraId="627CC591">
      <w:pPr>
        <w:snapToGrid w:val="0"/>
        <w:spacing w:before="50" w:after="156" w:afterLines="5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项目实施人员清单</w:t>
      </w:r>
    </w:p>
    <w:p w14:paraId="4C862026">
      <w:pPr>
        <w:pStyle w:val="9"/>
        <w:snapToGrid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投标人全称（公章）：</w:t>
      </w:r>
      <w:r>
        <w:rPr>
          <w:rFonts w:hint="eastAsia" w:ascii="仿宋" w:hAnsi="仿宋" w:eastAsia="仿宋" w:cs="仿宋"/>
          <w:color w:val="auto"/>
          <w:sz w:val="28"/>
          <w:szCs w:val="28"/>
          <w:highlight w:val="none"/>
          <w:u w:val="single"/>
        </w:rPr>
        <w:t xml:space="preserve">                           </w:t>
      </w:r>
    </w:p>
    <w:p w14:paraId="02A4ED27">
      <w:pPr>
        <w:pStyle w:val="9"/>
        <w:snapToGrid w:val="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标项：</w:t>
      </w:r>
      <w:r>
        <w:rPr>
          <w:rFonts w:hint="eastAsia" w:ascii="仿宋" w:hAnsi="仿宋" w:eastAsia="仿宋" w:cs="仿宋"/>
          <w:color w:val="auto"/>
          <w:sz w:val="28"/>
          <w:szCs w:val="28"/>
          <w:highlight w:val="none"/>
          <w:u w:val="single"/>
        </w:rPr>
        <w:t xml:space="preserve">                           </w:t>
      </w:r>
    </w:p>
    <w:tbl>
      <w:tblPr>
        <w:tblStyle w:val="26"/>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48BA4F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24B20978">
            <w:pPr>
              <w:snapToGrid w:val="0"/>
              <w:spacing w:before="156" w:beforeLines="50" w:after="50" w:line="4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69CBE2AA">
            <w:pPr>
              <w:snapToGrid w:val="0"/>
              <w:spacing w:before="156" w:beforeLines="50" w:after="50" w:line="460" w:lineRule="exact"/>
              <w:ind w:right="-11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4AF0C859">
            <w:pPr>
              <w:snapToGrid w:val="0"/>
              <w:spacing w:before="156" w:beforeLines="50" w:after="50" w:line="4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专业技术</w:t>
            </w:r>
          </w:p>
          <w:p w14:paraId="0BACD318">
            <w:pPr>
              <w:snapToGrid w:val="0"/>
              <w:spacing w:before="156" w:beforeLines="50" w:after="50" w:line="4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00945312">
            <w:pPr>
              <w:snapToGrid w:val="0"/>
              <w:spacing w:before="156" w:beforeLines="50" w:after="50" w:line="4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本项目工作内容</w:t>
            </w:r>
          </w:p>
        </w:tc>
      </w:tr>
      <w:tr w14:paraId="184C06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AA96B78">
            <w:pPr>
              <w:snapToGrid w:val="0"/>
              <w:spacing w:before="156"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182C7C93">
            <w:pPr>
              <w:snapToGrid w:val="0"/>
              <w:spacing w:before="156"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315ABF9C">
            <w:pPr>
              <w:snapToGrid w:val="0"/>
              <w:spacing w:before="156"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1C402BE7">
            <w:pPr>
              <w:snapToGrid w:val="0"/>
              <w:spacing w:before="156" w:beforeLines="50" w:after="50" w:line="460" w:lineRule="exact"/>
              <w:rPr>
                <w:rFonts w:hint="eastAsia" w:ascii="仿宋" w:hAnsi="仿宋" w:eastAsia="仿宋" w:cs="仿宋"/>
                <w:color w:val="auto"/>
                <w:sz w:val="28"/>
                <w:szCs w:val="28"/>
                <w:highlight w:val="none"/>
              </w:rPr>
            </w:pPr>
          </w:p>
        </w:tc>
      </w:tr>
      <w:tr w14:paraId="72C162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147F461">
            <w:pPr>
              <w:snapToGrid w:val="0"/>
              <w:spacing w:before="156"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2497806E">
            <w:pPr>
              <w:snapToGrid w:val="0"/>
              <w:spacing w:before="156"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AF5D23C">
            <w:pPr>
              <w:snapToGrid w:val="0"/>
              <w:spacing w:before="156"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42D9B2BC">
            <w:pPr>
              <w:snapToGrid w:val="0"/>
              <w:spacing w:before="156" w:beforeLines="50" w:after="50" w:line="460" w:lineRule="exact"/>
              <w:rPr>
                <w:rFonts w:hint="eastAsia" w:ascii="仿宋" w:hAnsi="仿宋" w:eastAsia="仿宋" w:cs="仿宋"/>
                <w:color w:val="auto"/>
                <w:sz w:val="28"/>
                <w:szCs w:val="28"/>
                <w:highlight w:val="none"/>
              </w:rPr>
            </w:pPr>
          </w:p>
        </w:tc>
      </w:tr>
      <w:tr w14:paraId="7918F0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1704012">
            <w:pPr>
              <w:snapToGrid w:val="0"/>
              <w:spacing w:before="156"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1907A89D">
            <w:pPr>
              <w:snapToGrid w:val="0"/>
              <w:spacing w:before="156"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A2D20F6">
            <w:pPr>
              <w:pStyle w:val="17"/>
              <w:snapToGrid w:val="0"/>
              <w:spacing w:before="156"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73A62AF2">
            <w:pPr>
              <w:snapToGrid w:val="0"/>
              <w:spacing w:before="156" w:beforeLines="50" w:after="50" w:line="460" w:lineRule="exact"/>
              <w:rPr>
                <w:rFonts w:hint="eastAsia" w:ascii="仿宋" w:hAnsi="仿宋" w:eastAsia="仿宋" w:cs="仿宋"/>
                <w:color w:val="auto"/>
                <w:sz w:val="28"/>
                <w:szCs w:val="28"/>
                <w:highlight w:val="none"/>
              </w:rPr>
            </w:pPr>
          </w:p>
        </w:tc>
      </w:tr>
      <w:tr w14:paraId="6CBCE7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9439DD2">
            <w:pPr>
              <w:snapToGrid w:val="0"/>
              <w:spacing w:before="156"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51C5E6D6">
            <w:pPr>
              <w:snapToGrid w:val="0"/>
              <w:spacing w:before="156"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218735FE">
            <w:pPr>
              <w:snapToGrid w:val="0"/>
              <w:spacing w:before="156"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20BF9E43">
            <w:pPr>
              <w:snapToGrid w:val="0"/>
              <w:spacing w:before="156" w:beforeLines="50" w:after="50" w:line="460" w:lineRule="exact"/>
              <w:rPr>
                <w:rFonts w:hint="eastAsia" w:ascii="仿宋" w:hAnsi="仿宋" w:eastAsia="仿宋" w:cs="仿宋"/>
                <w:color w:val="auto"/>
                <w:sz w:val="28"/>
                <w:szCs w:val="28"/>
                <w:highlight w:val="none"/>
              </w:rPr>
            </w:pPr>
          </w:p>
        </w:tc>
      </w:tr>
      <w:tr w14:paraId="1DC009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078F10A">
            <w:pPr>
              <w:snapToGrid w:val="0"/>
              <w:spacing w:before="156"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BDDB262">
            <w:pPr>
              <w:snapToGrid w:val="0"/>
              <w:spacing w:before="156"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0E49EB72">
            <w:pPr>
              <w:snapToGrid w:val="0"/>
              <w:spacing w:before="156"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007BCA9C">
            <w:pPr>
              <w:snapToGrid w:val="0"/>
              <w:spacing w:before="156" w:beforeLines="50" w:after="50" w:line="460" w:lineRule="exact"/>
              <w:rPr>
                <w:rFonts w:hint="eastAsia" w:ascii="仿宋" w:hAnsi="仿宋" w:eastAsia="仿宋" w:cs="仿宋"/>
                <w:color w:val="auto"/>
                <w:sz w:val="28"/>
                <w:szCs w:val="28"/>
                <w:highlight w:val="none"/>
              </w:rPr>
            </w:pPr>
          </w:p>
        </w:tc>
      </w:tr>
      <w:tr w14:paraId="6423B2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367E8BF">
            <w:pPr>
              <w:snapToGrid w:val="0"/>
              <w:spacing w:before="156"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5ADB3F66">
            <w:pPr>
              <w:snapToGrid w:val="0"/>
              <w:spacing w:before="156"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2127BAF8">
            <w:pPr>
              <w:snapToGrid w:val="0"/>
              <w:spacing w:before="156"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B7702B3">
            <w:pPr>
              <w:snapToGrid w:val="0"/>
              <w:spacing w:before="156" w:beforeLines="50" w:after="50" w:line="460" w:lineRule="exact"/>
              <w:rPr>
                <w:rFonts w:hint="eastAsia" w:ascii="仿宋" w:hAnsi="仿宋" w:eastAsia="仿宋" w:cs="仿宋"/>
                <w:color w:val="auto"/>
                <w:sz w:val="28"/>
                <w:szCs w:val="28"/>
                <w:highlight w:val="none"/>
              </w:rPr>
            </w:pPr>
          </w:p>
        </w:tc>
      </w:tr>
      <w:tr w14:paraId="04A995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F46AE51">
            <w:pPr>
              <w:snapToGrid w:val="0"/>
              <w:spacing w:before="156"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0D7BDDDC">
            <w:pPr>
              <w:snapToGrid w:val="0"/>
              <w:spacing w:before="156"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71ACF972">
            <w:pPr>
              <w:snapToGrid w:val="0"/>
              <w:spacing w:before="156"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E02C3A2">
            <w:pPr>
              <w:snapToGrid w:val="0"/>
              <w:spacing w:before="156" w:beforeLines="50" w:after="50" w:line="460" w:lineRule="exact"/>
              <w:rPr>
                <w:rFonts w:hint="eastAsia" w:ascii="仿宋" w:hAnsi="仿宋" w:eastAsia="仿宋" w:cs="仿宋"/>
                <w:color w:val="auto"/>
                <w:sz w:val="28"/>
                <w:szCs w:val="28"/>
                <w:highlight w:val="none"/>
              </w:rPr>
            </w:pPr>
          </w:p>
        </w:tc>
      </w:tr>
      <w:tr w14:paraId="7CDAC0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EF8066E">
            <w:pPr>
              <w:snapToGrid w:val="0"/>
              <w:spacing w:before="156"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069BD894">
            <w:pPr>
              <w:snapToGrid w:val="0"/>
              <w:spacing w:before="156"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752E69E4">
            <w:pPr>
              <w:snapToGrid w:val="0"/>
              <w:spacing w:before="156"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6E2498E0">
            <w:pPr>
              <w:snapToGrid w:val="0"/>
              <w:spacing w:before="156" w:beforeLines="50" w:after="50" w:line="460" w:lineRule="exact"/>
              <w:rPr>
                <w:rFonts w:hint="eastAsia" w:ascii="仿宋" w:hAnsi="仿宋" w:eastAsia="仿宋" w:cs="仿宋"/>
                <w:color w:val="auto"/>
                <w:sz w:val="28"/>
                <w:szCs w:val="28"/>
                <w:highlight w:val="none"/>
              </w:rPr>
            </w:pPr>
          </w:p>
        </w:tc>
      </w:tr>
      <w:tr w14:paraId="5F6945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4794208">
            <w:pPr>
              <w:snapToGrid w:val="0"/>
              <w:spacing w:before="156" w:beforeLines="50" w:after="50" w:line="460" w:lineRule="exact"/>
              <w:rPr>
                <w:rFonts w:hint="eastAsia" w:ascii="仿宋" w:hAnsi="仿宋" w:eastAsia="仿宋" w:cs="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7A7A0169">
            <w:pPr>
              <w:snapToGrid w:val="0"/>
              <w:spacing w:before="156" w:beforeLines="50" w:after="50" w:line="460" w:lineRule="exact"/>
              <w:rPr>
                <w:rFonts w:hint="eastAsia" w:ascii="仿宋" w:hAnsi="仿宋" w:eastAsia="仿宋" w:cs="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EABEFE8">
            <w:pPr>
              <w:snapToGrid w:val="0"/>
              <w:spacing w:before="156" w:beforeLines="50" w:after="50" w:line="460" w:lineRule="exact"/>
              <w:rPr>
                <w:rFonts w:hint="eastAsia" w:ascii="仿宋" w:hAnsi="仿宋" w:eastAsia="仿宋" w:cs="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504D0AB0">
            <w:pPr>
              <w:snapToGrid w:val="0"/>
              <w:spacing w:before="156" w:beforeLines="50" w:after="50" w:line="460" w:lineRule="exact"/>
              <w:rPr>
                <w:rFonts w:hint="eastAsia" w:ascii="仿宋" w:hAnsi="仿宋" w:eastAsia="仿宋" w:cs="仿宋"/>
                <w:color w:val="auto"/>
                <w:sz w:val="28"/>
                <w:szCs w:val="28"/>
                <w:highlight w:val="none"/>
              </w:rPr>
            </w:pPr>
          </w:p>
        </w:tc>
      </w:tr>
    </w:tbl>
    <w:p w14:paraId="5B12C5E9">
      <w:pPr>
        <w:snapToGrid w:val="0"/>
        <w:spacing w:before="50" w:after="156" w:afterLines="50" w:line="46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注：在填写时，如本表格不适合投标单位的实际情况，可根据本表格式自行划表填写。 </w:t>
      </w:r>
    </w:p>
    <w:p w14:paraId="17EAC67C">
      <w:pPr>
        <w:snapToGrid w:val="0"/>
        <w:spacing w:before="50" w:after="156" w:afterLines="50" w:line="460" w:lineRule="exact"/>
        <w:jc w:val="left"/>
        <w:rPr>
          <w:rFonts w:hint="eastAsia" w:ascii="仿宋" w:hAnsi="仿宋" w:eastAsia="仿宋" w:cs="仿宋"/>
          <w:color w:val="auto"/>
          <w:sz w:val="28"/>
          <w:szCs w:val="28"/>
          <w:highlight w:val="none"/>
        </w:rPr>
      </w:pPr>
    </w:p>
    <w:p w14:paraId="46F42B97">
      <w:pPr>
        <w:snapToGrid w:val="0"/>
        <w:spacing w:before="156"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法定代表人或其授权代表（签字或盖章）：          </w:t>
      </w:r>
    </w:p>
    <w:p w14:paraId="27E57167">
      <w:pPr>
        <w:snapToGrid w:val="0"/>
        <w:spacing w:before="156"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日期： </w:t>
      </w:r>
    </w:p>
    <w:p w14:paraId="4A11F506">
      <w:pPr>
        <w:snapToGrid w:val="0"/>
        <w:spacing w:before="50" w:after="156" w:afterLines="50" w:line="460" w:lineRule="exact"/>
        <w:jc w:val="left"/>
        <w:rPr>
          <w:rFonts w:hint="eastAsia" w:ascii="仿宋" w:hAnsi="仿宋" w:eastAsia="仿宋" w:cs="仿宋"/>
          <w:color w:val="auto"/>
          <w:sz w:val="28"/>
          <w:szCs w:val="28"/>
          <w:highlight w:val="none"/>
        </w:rPr>
      </w:pPr>
    </w:p>
    <w:p w14:paraId="7DD1DC7F">
      <w:pPr>
        <w:rPr>
          <w:rFonts w:hint="eastAsia" w:ascii="仿宋" w:hAnsi="仿宋" w:eastAsia="仿宋" w:cs="仿宋"/>
          <w:color w:val="auto"/>
          <w:sz w:val="28"/>
          <w:szCs w:val="28"/>
          <w:highlight w:val="none"/>
        </w:rPr>
      </w:pPr>
    </w:p>
    <w:p w14:paraId="36D68B7F">
      <w:pPr>
        <w:snapToGrid w:val="0"/>
        <w:spacing w:before="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w:t>
      </w:r>
      <w:r>
        <w:rPr>
          <w:rFonts w:hint="eastAsia" w:ascii="仿宋" w:hAnsi="仿宋" w:eastAsia="仿宋" w:cs="仿宋"/>
          <w:b/>
          <w:bCs/>
          <w:color w:val="auto"/>
          <w:sz w:val="30"/>
          <w:szCs w:val="30"/>
          <w:highlight w:val="none"/>
          <w:lang w:val="en-US" w:eastAsia="zh-CN"/>
        </w:rPr>
        <w:t>13</w:t>
      </w:r>
      <w:r>
        <w:rPr>
          <w:rFonts w:hint="eastAsia" w:ascii="仿宋" w:hAnsi="仿宋" w:eastAsia="仿宋" w:cs="仿宋"/>
          <w:b/>
          <w:bCs/>
          <w:color w:val="auto"/>
          <w:sz w:val="30"/>
          <w:szCs w:val="30"/>
          <w:highlight w:val="none"/>
        </w:rPr>
        <w:t>：类似业绩一览表（如有）</w:t>
      </w:r>
    </w:p>
    <w:p w14:paraId="7AA254C7">
      <w:pPr>
        <w:snapToGrid w:val="0"/>
        <w:spacing w:before="50" w:after="50"/>
        <w:jc w:val="left"/>
        <w:rPr>
          <w:rFonts w:hint="eastAsia" w:ascii="仿宋" w:hAnsi="仿宋" w:eastAsia="仿宋" w:cs="仿宋"/>
          <w:color w:val="auto"/>
          <w:sz w:val="30"/>
          <w:szCs w:val="30"/>
          <w:highlight w:val="none"/>
        </w:rPr>
      </w:pPr>
    </w:p>
    <w:p w14:paraId="620D5E20">
      <w:pPr>
        <w:snapToGrid w:val="0"/>
        <w:spacing w:before="50" w:after="156" w:afterLines="5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类似业绩一览表</w:t>
      </w:r>
    </w:p>
    <w:p w14:paraId="3F2F8BE6">
      <w:pPr>
        <w:pStyle w:val="9"/>
        <w:snapToGrid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投标人全称（公章）：</w:t>
      </w:r>
      <w:r>
        <w:rPr>
          <w:rFonts w:hint="eastAsia" w:ascii="仿宋" w:hAnsi="仿宋" w:eastAsia="仿宋" w:cs="仿宋"/>
          <w:color w:val="auto"/>
          <w:sz w:val="24"/>
          <w:szCs w:val="24"/>
          <w:highlight w:val="none"/>
          <w:u w:val="single"/>
        </w:rPr>
        <w:t xml:space="preserve">                           </w:t>
      </w:r>
    </w:p>
    <w:p w14:paraId="65C0A6D4">
      <w:pPr>
        <w:pStyle w:val="9"/>
        <w:snapToGrid w:val="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标项：</w:t>
      </w:r>
      <w:r>
        <w:rPr>
          <w:rFonts w:hint="eastAsia" w:ascii="仿宋" w:hAnsi="仿宋" w:eastAsia="仿宋" w:cs="仿宋"/>
          <w:color w:val="auto"/>
          <w:sz w:val="24"/>
          <w:szCs w:val="24"/>
          <w:highlight w:val="none"/>
          <w:u w:val="single"/>
        </w:rPr>
        <w:t xml:space="preserve">                           </w:t>
      </w:r>
    </w:p>
    <w:p w14:paraId="0E096C24">
      <w:pPr>
        <w:rPr>
          <w:rFonts w:hint="eastAsia" w:ascii="仿宋" w:hAnsi="仿宋" w:eastAsia="仿宋" w:cs="仿宋"/>
          <w:color w:val="auto"/>
          <w:highlight w:val="none"/>
        </w:rPr>
      </w:pPr>
    </w:p>
    <w:tbl>
      <w:tblPr>
        <w:tblStyle w:val="26"/>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1F94C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1B34183A">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03BF02B2">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5863A918">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52F88BD6">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合同</w:t>
            </w:r>
          </w:p>
          <w:p w14:paraId="1E3DE066">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6AEED806">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701EBABA">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验收报告</w:t>
            </w:r>
          </w:p>
          <w:p w14:paraId="01B07E18">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（有/无）</w:t>
            </w:r>
          </w:p>
        </w:tc>
      </w:tr>
      <w:tr w14:paraId="332B2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420E0E31">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313A9C2F">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34CDC30B">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5AC24D93">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7E50427E">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2F19C459">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r>
      <w:tr w14:paraId="6E570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78BAD8AE">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0E5E04A2">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23D1751B">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4C833C70">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4D8E1584">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237E14E9">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r>
      <w:tr w14:paraId="4AFBE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0DF01EE5">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4CBE16CD">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022BB2D5">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6E3B0843">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5F669B08">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09CAF5F5">
            <w:pPr>
              <w:pBdr>
                <w:top w:val="none" w:color="auto" w:sz="0" w:space="0"/>
                <w:left w:val="none" w:color="auto" w:sz="0" w:space="0"/>
                <w:bottom w:val="none" w:color="auto" w:sz="0" w:space="0"/>
                <w:right w:val="none" w:color="auto" w:sz="0" w:space="0"/>
              </w:pBdr>
              <w:jc w:val="center"/>
              <w:rPr>
                <w:rFonts w:hint="eastAsia" w:ascii="仿宋" w:hAnsi="仿宋" w:eastAsia="仿宋" w:cs="仿宋"/>
                <w:color w:val="auto"/>
                <w:kern w:val="2"/>
                <w:sz w:val="24"/>
                <w:szCs w:val="20"/>
                <w:highlight w:val="none"/>
                <w:u w:val="none"/>
              </w:rPr>
            </w:pPr>
          </w:p>
        </w:tc>
      </w:tr>
    </w:tbl>
    <w:p w14:paraId="0BE81C61">
      <w:pP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备注：</w:t>
      </w:r>
    </w:p>
    <w:p w14:paraId="1E66260F">
      <w:pPr>
        <w:numPr>
          <w:ilvl w:val="0"/>
          <w:numId w:val="11"/>
        </w:numPr>
        <w:rPr>
          <w:rFonts w:hint="eastAsia" w:ascii="仿宋" w:hAnsi="仿宋" w:eastAsia="仿宋" w:cs="仿宋"/>
          <w:color w:val="auto"/>
          <w:kern w:val="2"/>
          <w:sz w:val="24"/>
          <w:szCs w:val="20"/>
          <w:highlight w:val="none"/>
          <w:u w:val="none"/>
        </w:rPr>
      </w:pPr>
      <w:r>
        <w:rPr>
          <w:rFonts w:hint="eastAsia" w:ascii="仿宋" w:hAnsi="仿宋" w:eastAsia="仿宋" w:cs="仿宋"/>
          <w:color w:val="auto"/>
          <w:kern w:val="2"/>
          <w:sz w:val="24"/>
          <w:szCs w:val="20"/>
          <w:highlight w:val="none"/>
          <w:u w:val="none"/>
        </w:rPr>
        <w:t>请在此表后附上类似业绩的合同、验收报告原件扫描件或彩色图片（如有）。</w:t>
      </w:r>
    </w:p>
    <w:p w14:paraId="6695B4B8">
      <w:pPr>
        <w:numPr>
          <w:ilvl w:val="0"/>
          <w:numId w:val="11"/>
        </w:numPr>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所投核心产品中有被省级及省级以上主管部门认定为“首台套产品”或“制造精品”的，自认定之日起2年内视同已具备相应销售业绩，参加政府采购活动时该供应商的业绩分为满分。提供相关证明文件彩色扫描件或图片。</w:t>
      </w:r>
    </w:p>
    <w:p w14:paraId="7119CC89">
      <w:pPr>
        <w:rPr>
          <w:rFonts w:hint="eastAsia" w:ascii="仿宋" w:hAnsi="仿宋" w:eastAsia="仿宋" w:cs="仿宋"/>
          <w:color w:val="auto"/>
          <w:kern w:val="2"/>
          <w:sz w:val="24"/>
          <w:szCs w:val="20"/>
          <w:highlight w:val="none"/>
          <w:u w:val="none"/>
        </w:rPr>
      </w:pPr>
    </w:p>
    <w:p w14:paraId="01D694CB">
      <w:pPr>
        <w:rPr>
          <w:rFonts w:hint="eastAsia" w:ascii="仿宋" w:hAnsi="仿宋" w:eastAsia="仿宋" w:cs="仿宋"/>
          <w:color w:val="auto"/>
          <w:kern w:val="2"/>
          <w:sz w:val="24"/>
          <w:szCs w:val="20"/>
          <w:highlight w:val="none"/>
          <w:u w:val="none"/>
        </w:rPr>
      </w:pPr>
    </w:p>
    <w:p w14:paraId="785B5642">
      <w:pPr>
        <w:rPr>
          <w:rFonts w:hint="eastAsia" w:ascii="仿宋" w:hAnsi="仿宋" w:eastAsia="仿宋" w:cs="仿宋"/>
          <w:color w:val="auto"/>
          <w:kern w:val="2"/>
          <w:sz w:val="24"/>
          <w:szCs w:val="20"/>
          <w:highlight w:val="none"/>
          <w:u w:val="none"/>
        </w:rPr>
      </w:pPr>
    </w:p>
    <w:p w14:paraId="67013F60">
      <w:pPr>
        <w:rPr>
          <w:rFonts w:hint="eastAsia" w:ascii="仿宋" w:hAnsi="仿宋" w:eastAsia="仿宋" w:cs="仿宋"/>
          <w:color w:val="auto"/>
          <w:kern w:val="2"/>
          <w:sz w:val="24"/>
          <w:szCs w:val="20"/>
          <w:highlight w:val="none"/>
          <w:u w:val="none"/>
        </w:rPr>
      </w:pPr>
    </w:p>
    <w:p w14:paraId="7F704776">
      <w:pPr>
        <w:rPr>
          <w:rFonts w:hint="eastAsia" w:ascii="仿宋" w:hAnsi="仿宋" w:eastAsia="仿宋" w:cs="仿宋"/>
          <w:color w:val="auto"/>
          <w:kern w:val="2"/>
          <w:sz w:val="24"/>
          <w:szCs w:val="20"/>
          <w:highlight w:val="none"/>
          <w:u w:val="none"/>
        </w:rPr>
      </w:pPr>
    </w:p>
    <w:p w14:paraId="4EF9B23B">
      <w:pPr>
        <w:rPr>
          <w:rFonts w:hint="eastAsia" w:ascii="仿宋" w:hAnsi="仿宋" w:eastAsia="仿宋" w:cs="仿宋"/>
          <w:color w:val="auto"/>
          <w:kern w:val="2"/>
          <w:sz w:val="24"/>
          <w:szCs w:val="20"/>
          <w:highlight w:val="none"/>
          <w:u w:val="none"/>
        </w:rPr>
      </w:pPr>
    </w:p>
    <w:p w14:paraId="76444285">
      <w:pPr>
        <w:rPr>
          <w:rFonts w:hint="eastAsia" w:ascii="仿宋" w:hAnsi="仿宋" w:eastAsia="仿宋" w:cs="仿宋"/>
          <w:color w:val="auto"/>
          <w:kern w:val="2"/>
          <w:sz w:val="24"/>
          <w:szCs w:val="20"/>
          <w:highlight w:val="none"/>
          <w:u w:val="none"/>
        </w:rPr>
      </w:pPr>
    </w:p>
    <w:p w14:paraId="61E5C658">
      <w:pPr>
        <w:rPr>
          <w:rFonts w:hint="eastAsia" w:ascii="仿宋" w:hAnsi="仿宋" w:eastAsia="仿宋" w:cs="仿宋"/>
          <w:color w:val="auto"/>
          <w:kern w:val="2"/>
          <w:sz w:val="24"/>
          <w:szCs w:val="20"/>
          <w:highlight w:val="none"/>
          <w:u w:val="none"/>
        </w:rPr>
      </w:pPr>
    </w:p>
    <w:p w14:paraId="65C88BD3">
      <w:pPr>
        <w:rPr>
          <w:rFonts w:hint="eastAsia" w:ascii="仿宋" w:hAnsi="仿宋" w:eastAsia="仿宋" w:cs="仿宋"/>
          <w:color w:val="auto"/>
          <w:kern w:val="2"/>
          <w:sz w:val="24"/>
          <w:szCs w:val="20"/>
          <w:highlight w:val="none"/>
          <w:u w:val="none"/>
        </w:rPr>
      </w:pPr>
    </w:p>
    <w:p w14:paraId="543A324C">
      <w:pPr>
        <w:snapToGrid w:val="0"/>
        <w:spacing w:before="156"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法定代表人或其授权代表（签字或盖章）：          </w:t>
      </w:r>
    </w:p>
    <w:p w14:paraId="41133D57">
      <w:pPr>
        <w:snapToGrid w:val="0"/>
        <w:spacing w:before="156" w:beforeLines="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日期： </w:t>
      </w:r>
    </w:p>
    <w:p w14:paraId="38D0A218">
      <w:pPr>
        <w:rPr>
          <w:rFonts w:hint="eastAsia" w:ascii="仿宋" w:hAnsi="仿宋" w:eastAsia="仿宋" w:cs="仿宋"/>
          <w:color w:val="auto"/>
          <w:kern w:val="2"/>
          <w:sz w:val="24"/>
          <w:szCs w:val="20"/>
          <w:highlight w:val="none"/>
          <w:u w:val="none"/>
        </w:rPr>
      </w:pPr>
    </w:p>
    <w:p w14:paraId="1C5117F5">
      <w:pPr>
        <w:rPr>
          <w:rFonts w:hint="eastAsia" w:ascii="仿宋" w:hAnsi="仿宋" w:eastAsia="仿宋" w:cs="仿宋"/>
          <w:color w:val="auto"/>
          <w:kern w:val="2"/>
          <w:sz w:val="24"/>
          <w:szCs w:val="20"/>
          <w:highlight w:val="none"/>
          <w:u w:val="none"/>
        </w:rPr>
      </w:pPr>
    </w:p>
    <w:p w14:paraId="69318E5C">
      <w:pPr>
        <w:rPr>
          <w:rFonts w:hint="eastAsia" w:ascii="仿宋" w:hAnsi="仿宋" w:eastAsia="仿宋" w:cs="仿宋"/>
          <w:color w:val="auto"/>
          <w:spacing w:val="20"/>
          <w:sz w:val="24"/>
          <w:szCs w:val="24"/>
          <w:highlight w:val="none"/>
          <w:u w:val="single"/>
        </w:rPr>
      </w:pPr>
    </w:p>
    <w:p w14:paraId="5B6B97F5">
      <w:pPr>
        <w:snapToGrid w:val="0"/>
        <w:spacing w:before="156" w:beforeLines="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附件1</w:t>
      </w:r>
      <w:r>
        <w:rPr>
          <w:rFonts w:hint="eastAsia" w:ascii="仿宋" w:hAnsi="仿宋" w:eastAsia="仿宋" w:cs="仿宋"/>
          <w:b/>
          <w:bCs/>
          <w:color w:val="auto"/>
          <w:sz w:val="30"/>
          <w:szCs w:val="30"/>
          <w:highlight w:val="none"/>
          <w:lang w:val="en-US" w:eastAsia="zh-CN"/>
        </w:rPr>
        <w:t>4</w:t>
      </w:r>
      <w:r>
        <w:rPr>
          <w:rFonts w:hint="eastAsia" w:ascii="仿宋" w:hAnsi="仿宋" w:eastAsia="仿宋" w:cs="仿宋"/>
          <w:b/>
          <w:bCs/>
          <w:color w:val="auto"/>
          <w:sz w:val="30"/>
          <w:szCs w:val="30"/>
          <w:highlight w:val="none"/>
        </w:rPr>
        <w:t>：报价文件封面</w:t>
      </w:r>
    </w:p>
    <w:p w14:paraId="4284024B">
      <w:pPr>
        <w:snapToGrid w:val="0"/>
        <w:spacing w:before="156" w:beforeLines="50" w:after="50"/>
        <w:jc w:val="right"/>
        <w:rPr>
          <w:rFonts w:hint="eastAsia" w:ascii="仿宋" w:hAnsi="仿宋" w:eastAsia="仿宋" w:cs="仿宋"/>
          <w:b/>
          <w:color w:val="auto"/>
          <w:sz w:val="30"/>
          <w:szCs w:val="30"/>
          <w:highlight w:val="none"/>
        </w:rPr>
      </w:pPr>
    </w:p>
    <w:p w14:paraId="490E04B5">
      <w:pPr>
        <w:snapToGrid w:val="0"/>
        <w:spacing w:before="156" w:beforeLines="50" w:after="50"/>
        <w:jc w:val="right"/>
        <w:rPr>
          <w:rFonts w:hint="eastAsia" w:ascii="仿宋" w:hAnsi="仿宋" w:eastAsia="仿宋" w:cs="仿宋"/>
          <w:bCs/>
          <w:color w:val="auto"/>
          <w:sz w:val="30"/>
          <w:szCs w:val="30"/>
          <w:highlight w:val="none"/>
        </w:rPr>
      </w:pPr>
    </w:p>
    <w:p w14:paraId="5234C2BB">
      <w:pPr>
        <w:spacing w:line="400" w:lineRule="exact"/>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项目名称：</w:t>
      </w:r>
      <w:r>
        <w:rPr>
          <w:rFonts w:hint="eastAsia" w:ascii="仿宋" w:hAnsi="仿宋" w:eastAsia="仿宋" w:cs="仿宋"/>
          <w:color w:val="auto"/>
          <w:spacing w:val="40"/>
          <w:sz w:val="30"/>
          <w:szCs w:val="30"/>
          <w:highlight w:val="none"/>
          <w:u w:val="single"/>
        </w:rPr>
        <w:t xml:space="preserve">           </w:t>
      </w:r>
    </w:p>
    <w:p w14:paraId="53B5242D">
      <w:pPr>
        <w:spacing w:before="312" w:beforeLines="100" w:line="400" w:lineRule="exact"/>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项目编号：</w:t>
      </w:r>
      <w:r>
        <w:rPr>
          <w:rFonts w:hint="eastAsia" w:ascii="仿宋" w:hAnsi="仿宋" w:eastAsia="仿宋" w:cs="仿宋"/>
          <w:color w:val="auto"/>
          <w:sz w:val="30"/>
          <w:szCs w:val="30"/>
          <w:highlight w:val="none"/>
          <w:u w:val="single"/>
        </w:rPr>
        <w:t xml:space="preserve">                   </w:t>
      </w:r>
    </w:p>
    <w:p w14:paraId="56E71F87">
      <w:pPr>
        <w:spacing w:before="312" w:beforeLines="100" w:line="400" w:lineRule="exac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标项：</w:t>
      </w:r>
      <w:r>
        <w:rPr>
          <w:rFonts w:hint="eastAsia" w:ascii="仿宋" w:hAnsi="仿宋" w:eastAsia="仿宋" w:cs="仿宋"/>
          <w:color w:val="auto"/>
          <w:sz w:val="30"/>
          <w:szCs w:val="30"/>
          <w:highlight w:val="none"/>
          <w:u w:val="single"/>
        </w:rPr>
        <w:t xml:space="preserve">                    </w:t>
      </w:r>
    </w:p>
    <w:p w14:paraId="791D186B">
      <w:pPr>
        <w:spacing w:line="1200" w:lineRule="exact"/>
        <w:ind w:right="6"/>
        <w:jc w:val="center"/>
        <w:rPr>
          <w:rFonts w:hint="eastAsia" w:ascii="仿宋" w:hAnsi="仿宋" w:eastAsia="仿宋" w:cs="仿宋"/>
          <w:color w:val="auto"/>
          <w:sz w:val="72"/>
          <w:szCs w:val="72"/>
          <w:highlight w:val="none"/>
        </w:rPr>
      </w:pPr>
    </w:p>
    <w:p w14:paraId="3F6124CB">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报</w:t>
      </w:r>
    </w:p>
    <w:p w14:paraId="0B21B687">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价</w:t>
      </w:r>
    </w:p>
    <w:p w14:paraId="286A5F3D">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文</w:t>
      </w:r>
    </w:p>
    <w:p w14:paraId="4DECDCF2">
      <w:pPr>
        <w:spacing w:line="1200" w:lineRule="exact"/>
        <w:ind w:right="6"/>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件</w:t>
      </w:r>
    </w:p>
    <w:p w14:paraId="2CEED3BC">
      <w:pPr>
        <w:spacing w:line="1200" w:lineRule="exact"/>
        <w:ind w:right="6"/>
        <w:jc w:val="center"/>
        <w:rPr>
          <w:rFonts w:hint="eastAsia" w:ascii="仿宋" w:hAnsi="仿宋" w:eastAsia="仿宋" w:cs="仿宋"/>
          <w:color w:val="auto"/>
          <w:sz w:val="72"/>
          <w:szCs w:val="72"/>
          <w:highlight w:val="none"/>
        </w:rPr>
      </w:pPr>
    </w:p>
    <w:p w14:paraId="13F1A6AD">
      <w:pPr>
        <w:spacing w:line="1200" w:lineRule="exact"/>
        <w:ind w:right="6"/>
        <w:jc w:val="center"/>
        <w:rPr>
          <w:rFonts w:hint="eastAsia" w:ascii="仿宋" w:hAnsi="仿宋" w:eastAsia="仿宋" w:cs="仿宋"/>
          <w:color w:val="auto"/>
          <w:sz w:val="72"/>
          <w:szCs w:val="72"/>
          <w:highlight w:val="none"/>
        </w:rPr>
      </w:pPr>
    </w:p>
    <w:p w14:paraId="64236107">
      <w:pPr>
        <w:spacing w:line="360" w:lineRule="auto"/>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投标人名称（盖章）：</w:t>
      </w:r>
    </w:p>
    <w:p w14:paraId="168B0C69">
      <w:pPr>
        <w:spacing w:line="360" w:lineRule="auto"/>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地    址：</w:t>
      </w:r>
    </w:p>
    <w:p w14:paraId="5E7BCFB1">
      <w:pPr>
        <w:spacing w:line="360" w:lineRule="auto"/>
        <w:ind w:right="-110"/>
        <w:rPr>
          <w:rFonts w:hint="eastAsia" w:ascii="仿宋" w:hAnsi="仿宋" w:eastAsia="仿宋" w:cs="仿宋"/>
          <w:color w:val="auto"/>
          <w:spacing w:val="40"/>
          <w:sz w:val="30"/>
          <w:szCs w:val="30"/>
          <w:highlight w:val="none"/>
        </w:rPr>
      </w:pPr>
      <w:r>
        <w:rPr>
          <w:rFonts w:hint="eastAsia" w:ascii="仿宋" w:hAnsi="仿宋" w:eastAsia="仿宋" w:cs="仿宋"/>
          <w:color w:val="auto"/>
          <w:spacing w:val="40"/>
          <w:sz w:val="30"/>
          <w:szCs w:val="30"/>
          <w:highlight w:val="none"/>
        </w:rPr>
        <w:t>日    期：</w:t>
      </w:r>
    </w:p>
    <w:p w14:paraId="19B2C30E">
      <w:pPr>
        <w:rPr>
          <w:rFonts w:hint="eastAsia" w:ascii="仿宋" w:hAnsi="仿宋" w:eastAsia="仿宋" w:cs="仿宋"/>
          <w:color w:val="auto"/>
          <w:kern w:val="2"/>
          <w:sz w:val="24"/>
          <w:szCs w:val="20"/>
          <w:highlight w:val="none"/>
          <w:u w:val="none"/>
        </w:rPr>
      </w:pPr>
    </w:p>
    <w:p w14:paraId="2CA5236A">
      <w:pPr>
        <w:snapToGrid w:val="0"/>
        <w:spacing w:before="156" w:beforeLines="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附件1</w:t>
      </w:r>
      <w:r>
        <w:rPr>
          <w:rFonts w:hint="eastAsia" w:ascii="仿宋" w:hAnsi="仿宋" w:eastAsia="仿宋" w:cs="仿宋"/>
          <w:b/>
          <w:bCs/>
          <w:color w:val="auto"/>
          <w:sz w:val="30"/>
          <w:szCs w:val="30"/>
          <w:highlight w:val="none"/>
          <w:lang w:val="en-US" w:eastAsia="zh-CN"/>
        </w:rPr>
        <w:t>5</w:t>
      </w:r>
      <w:r>
        <w:rPr>
          <w:rFonts w:hint="eastAsia" w:ascii="仿宋" w:hAnsi="仿宋" w:eastAsia="仿宋" w:cs="仿宋"/>
          <w:b/>
          <w:bCs/>
          <w:color w:val="auto"/>
          <w:sz w:val="30"/>
          <w:szCs w:val="30"/>
          <w:highlight w:val="none"/>
        </w:rPr>
        <w:t>：报价文件目录</w:t>
      </w:r>
    </w:p>
    <w:p w14:paraId="116ABFFE">
      <w:pPr>
        <w:snapToGrid w:val="0"/>
        <w:spacing w:before="156" w:beforeLines="50" w:after="50"/>
        <w:jc w:val="left"/>
        <w:rPr>
          <w:rFonts w:hint="eastAsia" w:ascii="仿宋" w:hAnsi="仿宋" w:eastAsia="仿宋" w:cs="仿宋"/>
          <w:color w:val="auto"/>
          <w:sz w:val="30"/>
          <w:szCs w:val="30"/>
          <w:highlight w:val="none"/>
        </w:rPr>
      </w:pPr>
    </w:p>
    <w:p w14:paraId="1769715F">
      <w:pPr>
        <w:pStyle w:val="41"/>
        <w:spacing w:line="360" w:lineRule="auto"/>
        <w:ind w:firstLine="0" w:firstLineChars="0"/>
        <w:jc w:val="center"/>
        <w:rPr>
          <w:rFonts w:hint="eastAsia" w:ascii="仿宋" w:hAnsi="仿宋" w:eastAsia="仿宋" w:cs="仿宋"/>
          <w:color w:val="auto"/>
          <w:highlight w:val="none"/>
        </w:rPr>
      </w:pPr>
      <w:bookmarkStart w:id="77" w:name="_Toc64369825"/>
      <w:r>
        <w:rPr>
          <w:rFonts w:hint="eastAsia" w:ascii="仿宋" w:hAnsi="仿宋" w:eastAsia="仿宋" w:cs="仿宋"/>
          <w:color w:val="auto"/>
          <w:highlight w:val="none"/>
        </w:rPr>
        <w:t>目 录</w:t>
      </w:r>
      <w:bookmarkEnd w:id="77"/>
    </w:p>
    <w:p w14:paraId="76D49124">
      <w:pPr>
        <w:pStyle w:val="39"/>
        <w:keepNext w:val="0"/>
        <w:keepLines w:val="0"/>
        <w:pageBreakBefore w:val="0"/>
        <w:widowControl w:val="0"/>
        <w:numPr>
          <w:ilvl w:val="1"/>
          <w:numId w:val="0"/>
        </w:numPr>
        <w:kinsoku/>
        <w:wordWrap/>
        <w:overflowPunct/>
        <w:topLinePunct w:val="0"/>
        <w:autoSpaceDE/>
        <w:autoSpaceDN/>
        <w:bidi w:val="0"/>
        <w:snapToGrid/>
        <w:spacing w:line="360" w:lineRule="auto"/>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开标一览表 …………………………………………………………………（页码）</w:t>
      </w:r>
    </w:p>
    <w:p w14:paraId="5C9F33B0">
      <w:pPr>
        <w:pStyle w:val="41"/>
        <w:keepNext w:val="0"/>
        <w:keepLines w:val="0"/>
        <w:pageBreakBefore w:val="0"/>
        <w:widowControl w:val="0"/>
        <w:kinsoku/>
        <w:wordWrap/>
        <w:overflowPunct/>
        <w:topLinePunct w:val="0"/>
        <w:autoSpaceDE/>
        <w:autoSpaceDN/>
        <w:bidi w:val="0"/>
        <w:snapToGrid/>
        <w:spacing w:line="360" w:lineRule="auto"/>
        <w:ind w:firstLine="0" w:firstLineChars="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.中小企业声明函（如有）…………………………………………………（页码）</w:t>
      </w:r>
    </w:p>
    <w:p w14:paraId="323961F9">
      <w:pPr>
        <w:pStyle w:val="41"/>
        <w:keepNext w:val="0"/>
        <w:keepLines w:val="0"/>
        <w:pageBreakBefore w:val="0"/>
        <w:widowControl w:val="0"/>
        <w:kinsoku/>
        <w:wordWrap/>
        <w:overflowPunct/>
        <w:topLinePunct w:val="0"/>
        <w:autoSpaceDE/>
        <w:autoSpaceDN/>
        <w:bidi w:val="0"/>
        <w:snapToGrid/>
        <w:spacing w:line="360" w:lineRule="auto"/>
        <w:ind w:firstLine="0" w:firstLineChars="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.残疾人福利性单位声明函（如有）………………………………………（页码）</w:t>
      </w:r>
    </w:p>
    <w:p w14:paraId="09CC17AB">
      <w:pPr>
        <w:pStyle w:val="41"/>
        <w:keepNext w:val="0"/>
        <w:keepLines w:val="0"/>
        <w:pageBreakBefore w:val="0"/>
        <w:widowControl w:val="0"/>
        <w:kinsoku/>
        <w:wordWrap/>
        <w:overflowPunct/>
        <w:topLinePunct w:val="0"/>
        <w:autoSpaceDE/>
        <w:autoSpaceDN/>
        <w:bidi w:val="0"/>
        <w:snapToGrid/>
        <w:spacing w:line="360" w:lineRule="auto"/>
        <w:ind w:firstLine="0" w:firstLineChars="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.关于报价的其他说明（如有，自拟）……………………………………（页码）</w:t>
      </w:r>
    </w:p>
    <w:p w14:paraId="5D44E02B">
      <w:pPr>
        <w:snapToGrid w:val="0"/>
        <w:spacing w:before="50" w:after="50"/>
        <w:jc w:val="left"/>
        <w:rPr>
          <w:rFonts w:hint="eastAsia" w:ascii="仿宋" w:hAnsi="仿宋" w:eastAsia="仿宋" w:cs="仿宋"/>
          <w:b/>
          <w:color w:val="auto"/>
          <w:sz w:val="36"/>
          <w:szCs w:val="36"/>
          <w:highlight w:val="none"/>
        </w:rPr>
      </w:pPr>
    </w:p>
    <w:p w14:paraId="2F0AD1F6">
      <w:pPr>
        <w:snapToGrid w:val="0"/>
        <w:spacing w:before="50" w:after="50"/>
        <w:jc w:val="left"/>
        <w:rPr>
          <w:rFonts w:hint="eastAsia" w:ascii="仿宋" w:hAnsi="仿宋" w:eastAsia="仿宋" w:cs="仿宋"/>
          <w:b/>
          <w:color w:val="auto"/>
          <w:sz w:val="36"/>
          <w:szCs w:val="36"/>
          <w:highlight w:val="none"/>
        </w:rPr>
      </w:pPr>
    </w:p>
    <w:p w14:paraId="53F6D2E5">
      <w:pPr>
        <w:snapToGrid w:val="0"/>
        <w:spacing w:before="50" w:after="50"/>
        <w:jc w:val="left"/>
        <w:rPr>
          <w:rFonts w:hint="eastAsia" w:ascii="仿宋" w:hAnsi="仿宋" w:eastAsia="仿宋" w:cs="仿宋"/>
          <w:b/>
          <w:color w:val="auto"/>
          <w:sz w:val="36"/>
          <w:szCs w:val="36"/>
          <w:highlight w:val="none"/>
        </w:rPr>
      </w:pPr>
    </w:p>
    <w:p w14:paraId="7FFD58D6">
      <w:pPr>
        <w:snapToGrid w:val="0"/>
        <w:spacing w:line="440" w:lineRule="exact"/>
        <w:jc w:val="left"/>
        <w:rPr>
          <w:rFonts w:hint="eastAsia" w:ascii="仿宋" w:hAnsi="仿宋" w:eastAsia="仿宋" w:cs="仿宋"/>
          <w:b/>
          <w:bCs/>
          <w:color w:val="auto"/>
          <w:sz w:val="32"/>
          <w:szCs w:val="32"/>
          <w:highlight w:val="none"/>
          <w:u w:val="single"/>
        </w:rPr>
      </w:pPr>
      <w:r>
        <w:rPr>
          <w:rFonts w:hint="eastAsia" w:ascii="仿宋" w:hAnsi="仿宋" w:eastAsia="仿宋" w:cs="仿宋"/>
          <w:b/>
          <w:bCs/>
          <w:color w:val="auto"/>
          <w:sz w:val="32"/>
          <w:szCs w:val="32"/>
          <w:highlight w:val="none"/>
          <w:u w:val="single"/>
        </w:rPr>
        <w:t>注：“开标一览表”按采购文件规定的内容填写，内容有实质性偏离的作无效投标处理。</w:t>
      </w:r>
    </w:p>
    <w:p w14:paraId="2E8EE0A5">
      <w:pPr>
        <w:snapToGrid w:val="0"/>
        <w:spacing w:before="50" w:after="50"/>
        <w:jc w:val="left"/>
        <w:rPr>
          <w:rFonts w:hint="eastAsia" w:ascii="仿宋" w:hAnsi="仿宋" w:eastAsia="仿宋" w:cs="仿宋"/>
          <w:b/>
          <w:color w:val="auto"/>
          <w:sz w:val="36"/>
          <w:szCs w:val="36"/>
          <w:highlight w:val="none"/>
        </w:rPr>
      </w:pPr>
    </w:p>
    <w:p w14:paraId="46856002">
      <w:pPr>
        <w:snapToGrid w:val="0"/>
        <w:spacing w:before="50" w:after="50"/>
        <w:jc w:val="left"/>
        <w:rPr>
          <w:rFonts w:hint="eastAsia" w:ascii="仿宋" w:hAnsi="仿宋" w:eastAsia="仿宋" w:cs="仿宋"/>
          <w:b/>
          <w:color w:val="auto"/>
          <w:sz w:val="36"/>
          <w:szCs w:val="36"/>
          <w:highlight w:val="none"/>
        </w:rPr>
      </w:pPr>
    </w:p>
    <w:p w14:paraId="6B208AF5">
      <w:pPr>
        <w:snapToGrid w:val="0"/>
        <w:spacing w:before="50" w:after="50"/>
        <w:jc w:val="left"/>
        <w:rPr>
          <w:rFonts w:hint="eastAsia" w:ascii="仿宋" w:hAnsi="仿宋" w:eastAsia="仿宋" w:cs="仿宋"/>
          <w:b/>
          <w:color w:val="auto"/>
          <w:sz w:val="36"/>
          <w:szCs w:val="36"/>
          <w:highlight w:val="none"/>
        </w:rPr>
      </w:pPr>
    </w:p>
    <w:p w14:paraId="12EC8113">
      <w:pPr>
        <w:snapToGrid w:val="0"/>
        <w:spacing w:before="50" w:after="50"/>
        <w:jc w:val="left"/>
        <w:rPr>
          <w:rFonts w:hint="eastAsia" w:ascii="仿宋" w:hAnsi="仿宋" w:eastAsia="仿宋" w:cs="仿宋"/>
          <w:b/>
          <w:color w:val="auto"/>
          <w:sz w:val="36"/>
          <w:szCs w:val="36"/>
          <w:highlight w:val="none"/>
        </w:rPr>
      </w:pPr>
    </w:p>
    <w:p w14:paraId="6AB97277">
      <w:pPr>
        <w:snapToGrid w:val="0"/>
        <w:spacing w:before="50" w:after="50"/>
        <w:jc w:val="left"/>
        <w:rPr>
          <w:rFonts w:hint="eastAsia" w:ascii="仿宋" w:hAnsi="仿宋" w:eastAsia="仿宋" w:cs="仿宋"/>
          <w:b/>
          <w:color w:val="auto"/>
          <w:sz w:val="36"/>
          <w:szCs w:val="36"/>
          <w:highlight w:val="none"/>
        </w:rPr>
      </w:pPr>
    </w:p>
    <w:p w14:paraId="1E6007F3">
      <w:pPr>
        <w:snapToGrid w:val="0"/>
        <w:spacing w:before="50" w:after="50"/>
        <w:jc w:val="left"/>
        <w:rPr>
          <w:rFonts w:hint="eastAsia" w:ascii="仿宋" w:hAnsi="仿宋" w:eastAsia="仿宋" w:cs="仿宋"/>
          <w:b/>
          <w:color w:val="auto"/>
          <w:sz w:val="36"/>
          <w:szCs w:val="36"/>
          <w:highlight w:val="none"/>
        </w:rPr>
      </w:pPr>
    </w:p>
    <w:p w14:paraId="6700CF60">
      <w:pPr>
        <w:snapToGrid w:val="0"/>
        <w:spacing w:before="50" w:after="50"/>
        <w:jc w:val="left"/>
        <w:rPr>
          <w:rFonts w:hint="eastAsia" w:ascii="仿宋" w:hAnsi="仿宋" w:eastAsia="仿宋" w:cs="仿宋"/>
          <w:b/>
          <w:color w:val="auto"/>
          <w:sz w:val="36"/>
          <w:szCs w:val="36"/>
          <w:highlight w:val="none"/>
        </w:rPr>
      </w:pPr>
    </w:p>
    <w:p w14:paraId="7A8058B7">
      <w:pPr>
        <w:snapToGrid w:val="0"/>
        <w:spacing w:before="50" w:after="50"/>
        <w:jc w:val="left"/>
        <w:rPr>
          <w:rFonts w:hint="eastAsia" w:ascii="仿宋" w:hAnsi="仿宋" w:eastAsia="仿宋" w:cs="仿宋"/>
          <w:b/>
          <w:color w:val="auto"/>
          <w:sz w:val="36"/>
          <w:szCs w:val="36"/>
          <w:highlight w:val="none"/>
        </w:rPr>
      </w:pPr>
    </w:p>
    <w:p w14:paraId="0D34CB1A">
      <w:pPr>
        <w:snapToGrid w:val="0"/>
        <w:spacing w:before="50" w:after="50"/>
        <w:jc w:val="left"/>
        <w:rPr>
          <w:rFonts w:hint="eastAsia" w:ascii="仿宋" w:hAnsi="仿宋" w:eastAsia="仿宋" w:cs="仿宋"/>
          <w:b/>
          <w:color w:val="auto"/>
          <w:sz w:val="36"/>
          <w:szCs w:val="36"/>
          <w:highlight w:val="none"/>
        </w:rPr>
      </w:pPr>
    </w:p>
    <w:p w14:paraId="4DEB73C8">
      <w:pPr>
        <w:snapToGrid w:val="0"/>
        <w:spacing w:before="50" w:after="50"/>
        <w:jc w:val="left"/>
        <w:rPr>
          <w:rFonts w:hint="eastAsia" w:ascii="仿宋" w:hAnsi="仿宋" w:eastAsia="仿宋" w:cs="仿宋"/>
          <w:b/>
          <w:color w:val="auto"/>
          <w:sz w:val="36"/>
          <w:szCs w:val="36"/>
          <w:highlight w:val="none"/>
        </w:rPr>
      </w:pPr>
    </w:p>
    <w:p w14:paraId="1AB0B8D4">
      <w:pPr>
        <w:snapToGrid w:val="0"/>
        <w:spacing w:before="50" w:after="50"/>
        <w:jc w:val="left"/>
        <w:rPr>
          <w:rFonts w:hint="eastAsia" w:ascii="仿宋" w:hAnsi="仿宋" w:eastAsia="仿宋" w:cs="仿宋"/>
          <w:b/>
          <w:color w:val="auto"/>
          <w:sz w:val="36"/>
          <w:szCs w:val="36"/>
          <w:highlight w:val="none"/>
        </w:rPr>
      </w:pPr>
    </w:p>
    <w:p w14:paraId="28FAE700">
      <w:pPr>
        <w:rPr>
          <w:rFonts w:hint="eastAsia" w:ascii="Times New Roman" w:hAnsi="Times New Roman" w:eastAsia="宋体" w:cs="Times New Roman"/>
          <w:color w:val="auto"/>
          <w:kern w:val="2"/>
          <w:sz w:val="21"/>
          <w:szCs w:val="20"/>
          <w:highlight w:val="none"/>
          <w:lang w:val="en-US" w:eastAsia="zh-CN" w:bidi="ar-SA"/>
        </w:rPr>
        <w:sectPr>
          <w:footerReference r:id="rId8" w:type="default"/>
          <w:pgSz w:w="11907" w:h="16840"/>
          <w:pgMar w:top="1440" w:right="1463" w:bottom="1440" w:left="1803" w:header="851" w:footer="992" w:gutter="0"/>
          <w:pgNumType w:start="1"/>
          <w:cols w:space="720" w:num="1"/>
          <w:docGrid w:type="lines" w:linePitch="312" w:charSpace="0"/>
        </w:sectPr>
      </w:pPr>
    </w:p>
    <w:p w14:paraId="5E12D369">
      <w:pPr>
        <w:tabs>
          <w:tab w:val="center" w:pos="4434"/>
        </w:tabs>
        <w:snapToGrid w:val="0"/>
        <w:spacing w:before="50" w:after="50"/>
        <w:jc w:val="left"/>
        <w:rPr>
          <w:rFonts w:hint="default" w:ascii="仿宋" w:hAnsi="仿宋" w:eastAsia="仿宋" w:cs="仿宋"/>
          <w:b/>
          <w:bCs/>
          <w:color w:val="auto"/>
          <w:sz w:val="30"/>
          <w:szCs w:val="30"/>
          <w:highlight w:val="none"/>
          <w:lang w:val="en-US" w:eastAsia="zh-CN"/>
        </w:rPr>
      </w:pPr>
      <w:bookmarkStart w:id="78" w:name="_Toc24364"/>
      <w:r>
        <w:rPr>
          <w:rFonts w:hint="eastAsia" w:ascii="仿宋" w:hAnsi="仿宋" w:eastAsia="仿宋" w:cs="仿宋"/>
          <w:b/>
          <w:bCs/>
          <w:color w:val="auto"/>
          <w:sz w:val="30"/>
          <w:szCs w:val="30"/>
          <w:highlight w:val="none"/>
        </w:rPr>
        <w:t>附件1</w:t>
      </w:r>
      <w:r>
        <w:rPr>
          <w:rFonts w:hint="eastAsia" w:ascii="仿宋" w:hAnsi="仿宋" w:eastAsia="仿宋" w:cs="仿宋"/>
          <w:b/>
          <w:bCs/>
          <w:color w:val="auto"/>
          <w:sz w:val="30"/>
          <w:szCs w:val="30"/>
          <w:highlight w:val="none"/>
          <w:lang w:val="en-US" w:eastAsia="zh-CN"/>
        </w:rPr>
        <w:t>6</w:t>
      </w:r>
      <w:r>
        <w:rPr>
          <w:rFonts w:hint="eastAsia" w:ascii="仿宋" w:hAnsi="仿宋" w:eastAsia="仿宋" w:cs="仿宋"/>
          <w:b/>
          <w:bCs/>
          <w:color w:val="auto"/>
          <w:sz w:val="30"/>
          <w:szCs w:val="30"/>
          <w:highlight w:val="none"/>
        </w:rPr>
        <w:t>：</w:t>
      </w:r>
      <w:r>
        <w:rPr>
          <w:rFonts w:hint="eastAsia" w:ascii="仿宋" w:hAnsi="仿宋" w:eastAsia="仿宋" w:cs="仿宋"/>
          <w:b/>
          <w:bCs/>
          <w:color w:val="auto"/>
          <w:sz w:val="30"/>
          <w:szCs w:val="30"/>
          <w:highlight w:val="none"/>
          <w:lang w:val="en-US" w:eastAsia="zh-CN"/>
        </w:rPr>
        <w:t>开标一览表</w:t>
      </w:r>
    </w:p>
    <w:p w14:paraId="2805E3C6">
      <w:pPr>
        <w:snapToGrid w:val="0"/>
        <w:spacing w:line="336"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4C0334D">
      <w:pPr>
        <w:snapToGrid w:val="0"/>
        <w:spacing w:line="336"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w:t>
      </w:r>
      <w:r>
        <w:rPr>
          <w:rFonts w:hint="eastAsia" w:ascii="仿宋" w:hAnsi="仿宋" w:eastAsia="仿宋" w:cs="仿宋"/>
          <w:color w:val="auto"/>
          <w:kern w:val="0"/>
          <w:sz w:val="24"/>
          <w:highlight w:val="none"/>
          <w:lang w:val="en-US" w:eastAsia="zh-CN"/>
        </w:rPr>
        <w:t>招标</w:t>
      </w:r>
      <w:r>
        <w:rPr>
          <w:rFonts w:hint="eastAsia" w:ascii="仿宋" w:hAnsi="仿宋" w:eastAsia="仿宋" w:cs="仿宋"/>
          <w:color w:val="auto"/>
          <w:kern w:val="0"/>
          <w:sz w:val="24"/>
          <w:highlight w:val="none"/>
          <w:lang w:val="zh-CN"/>
        </w:rPr>
        <w:t>文件要求，谨此向你方发出要约如下：我方承诺按照如下开标一览表（报价表）的价格完成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lang w:val="en-US" w:eastAsia="zh-CN"/>
        </w:rPr>
        <w:t>招标</w:t>
      </w:r>
      <w:r>
        <w:rPr>
          <w:rFonts w:hint="eastAsia" w:ascii="仿宋" w:hAnsi="仿宋" w:eastAsia="仿宋" w:cs="仿宋"/>
          <w:color w:val="auto"/>
          <w:kern w:val="0"/>
          <w:sz w:val="24"/>
          <w:highlight w:val="none"/>
          <w:lang w:val="zh-CN"/>
        </w:rPr>
        <w:t>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51B7624D">
      <w:pPr>
        <w:spacing w:line="336" w:lineRule="auto"/>
        <w:jc w:val="center"/>
        <w:rPr>
          <w:rFonts w:hint="eastAsia" w:ascii="仿宋" w:hAnsi="仿宋" w:eastAsia="仿宋" w:cs="仿宋"/>
          <w:b/>
          <w:color w:val="auto"/>
          <w:kern w:val="0"/>
          <w:sz w:val="28"/>
          <w:szCs w:val="21"/>
          <w:highlight w:val="none"/>
          <w:lang w:val="zh-CN"/>
        </w:rPr>
      </w:pPr>
      <w:r>
        <w:rPr>
          <w:rFonts w:hint="eastAsia" w:ascii="仿宋" w:hAnsi="仿宋" w:eastAsia="仿宋" w:cs="仿宋"/>
          <w:b/>
          <w:color w:val="auto"/>
          <w:kern w:val="0"/>
          <w:sz w:val="28"/>
          <w:szCs w:val="21"/>
          <w:highlight w:val="none"/>
          <w:lang w:val="en-US" w:eastAsia="zh-CN"/>
        </w:rPr>
        <w:t>开标一览表</w:t>
      </w:r>
      <w:r>
        <w:rPr>
          <w:rFonts w:hint="eastAsia" w:ascii="仿宋" w:hAnsi="仿宋" w:eastAsia="仿宋" w:cs="仿宋"/>
          <w:b/>
          <w:color w:val="auto"/>
          <w:kern w:val="0"/>
          <w:sz w:val="28"/>
          <w:szCs w:val="21"/>
          <w:highlight w:val="none"/>
          <w:lang w:val="zh-CN"/>
        </w:rPr>
        <w:t>（报价表）(单位均为人民币元)</w:t>
      </w:r>
    </w:p>
    <w:tbl>
      <w:tblPr>
        <w:tblStyle w:val="26"/>
        <w:tblW w:w="51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817"/>
        <w:gridCol w:w="1560"/>
        <w:gridCol w:w="2268"/>
        <w:gridCol w:w="1875"/>
      </w:tblGrid>
      <w:tr w14:paraId="4BCA6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33" w:type="pct"/>
            <w:noWrap w:val="0"/>
            <w:vAlign w:val="center"/>
          </w:tcPr>
          <w:p w14:paraId="30737BB6">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序号</w:t>
            </w:r>
          </w:p>
        </w:tc>
        <w:tc>
          <w:tcPr>
            <w:tcW w:w="1509" w:type="pct"/>
            <w:noWrap w:val="0"/>
            <w:vAlign w:val="center"/>
          </w:tcPr>
          <w:p w14:paraId="31BF5302">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名称</w:t>
            </w:r>
          </w:p>
        </w:tc>
        <w:tc>
          <w:tcPr>
            <w:tcW w:w="836" w:type="pct"/>
            <w:noWrap w:val="0"/>
            <w:vAlign w:val="center"/>
          </w:tcPr>
          <w:p w14:paraId="467F74D5">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上限价</w:t>
            </w:r>
          </w:p>
          <w:p w14:paraId="7A9BE143">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（元/人）</w:t>
            </w:r>
          </w:p>
        </w:tc>
        <w:tc>
          <w:tcPr>
            <w:tcW w:w="1215" w:type="pct"/>
            <w:noWrap w:val="0"/>
            <w:vAlign w:val="center"/>
          </w:tcPr>
          <w:p w14:paraId="03D0F9AB">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投标报价</w:t>
            </w:r>
          </w:p>
          <w:p w14:paraId="6304D1A0">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（元/人）</w:t>
            </w:r>
          </w:p>
        </w:tc>
        <w:tc>
          <w:tcPr>
            <w:tcW w:w="1005" w:type="pct"/>
            <w:noWrap w:val="0"/>
            <w:vAlign w:val="center"/>
          </w:tcPr>
          <w:p w14:paraId="63D102FD">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备注</w:t>
            </w:r>
          </w:p>
        </w:tc>
      </w:tr>
      <w:tr w14:paraId="19A04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433" w:type="pct"/>
            <w:noWrap w:val="0"/>
            <w:vAlign w:val="center"/>
          </w:tcPr>
          <w:p w14:paraId="64F9C963">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01</w:t>
            </w:r>
          </w:p>
        </w:tc>
        <w:tc>
          <w:tcPr>
            <w:tcW w:w="1509" w:type="pct"/>
            <w:noWrap w:val="0"/>
            <w:vAlign w:val="center"/>
          </w:tcPr>
          <w:p w14:paraId="679CFCAA">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舟山-岱山/杭州线-富阳桐庐/福州-平潭岛线路</w:t>
            </w:r>
          </w:p>
        </w:tc>
        <w:tc>
          <w:tcPr>
            <w:tcW w:w="836" w:type="pct"/>
            <w:noWrap w:val="0"/>
            <w:vAlign w:val="center"/>
          </w:tcPr>
          <w:p w14:paraId="68B1FB92">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default"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3000</w:t>
            </w:r>
          </w:p>
        </w:tc>
        <w:tc>
          <w:tcPr>
            <w:tcW w:w="1215" w:type="pct"/>
            <w:noWrap w:val="0"/>
            <w:vAlign w:val="center"/>
          </w:tcPr>
          <w:p w14:paraId="524169C3">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3000</w:t>
            </w:r>
          </w:p>
        </w:tc>
        <w:tc>
          <w:tcPr>
            <w:tcW w:w="1005" w:type="pct"/>
            <w:noWrap w:val="0"/>
            <w:vAlign w:val="center"/>
          </w:tcPr>
          <w:p w14:paraId="66C9B332">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_GB2312"/>
                <w:color w:val="auto"/>
                <w:sz w:val="24"/>
                <w:highlight w:val="none"/>
              </w:rPr>
              <w:t>无须另行报价，否则作无效标处理。</w:t>
            </w:r>
          </w:p>
        </w:tc>
      </w:tr>
      <w:tr w14:paraId="0FFBB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433" w:type="pct"/>
            <w:noWrap w:val="0"/>
            <w:vAlign w:val="center"/>
          </w:tcPr>
          <w:p w14:paraId="3563F789">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default"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02</w:t>
            </w:r>
          </w:p>
        </w:tc>
        <w:tc>
          <w:tcPr>
            <w:tcW w:w="1509" w:type="pct"/>
            <w:noWrap w:val="0"/>
            <w:vAlign w:val="center"/>
          </w:tcPr>
          <w:p w14:paraId="7368CD27">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default" w:ascii="仿宋" w:hAnsi="仿宋" w:eastAsia="仿宋" w:cs="仿宋"/>
                <w:b/>
                <w:bCs w:val="0"/>
                <w:color w:val="auto"/>
                <w:sz w:val="24"/>
                <w:szCs w:val="24"/>
                <w:highlight w:val="none"/>
                <w:lang w:val="en-US"/>
              </w:rPr>
            </w:pPr>
            <w:r>
              <w:rPr>
                <w:rFonts w:hint="eastAsia" w:ascii="仿宋" w:hAnsi="仿宋" w:eastAsia="仿宋" w:cs="仿宋"/>
                <w:b/>
                <w:bCs w:val="0"/>
                <w:color w:val="auto"/>
                <w:sz w:val="24"/>
                <w:szCs w:val="24"/>
                <w:highlight w:val="none"/>
                <w:lang w:val="en-US" w:eastAsia="zh-CN"/>
              </w:rPr>
              <w:t>新疆阿克苏、巴音布鲁克、赛里木湖线路</w:t>
            </w:r>
          </w:p>
        </w:tc>
        <w:tc>
          <w:tcPr>
            <w:tcW w:w="836" w:type="pct"/>
            <w:noWrap w:val="0"/>
            <w:vAlign w:val="center"/>
          </w:tcPr>
          <w:p w14:paraId="7E8DAB00">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default"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10000</w:t>
            </w:r>
          </w:p>
        </w:tc>
        <w:tc>
          <w:tcPr>
            <w:tcW w:w="1215" w:type="pct"/>
            <w:noWrap w:val="0"/>
            <w:vAlign w:val="center"/>
          </w:tcPr>
          <w:p w14:paraId="107EF8A4">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仿宋" w:hAnsi="仿宋" w:eastAsia="仿宋" w:cs="仿宋"/>
                <w:b/>
                <w:bCs w:val="0"/>
                <w:color w:val="auto"/>
                <w:sz w:val="24"/>
                <w:szCs w:val="24"/>
                <w:highlight w:val="none"/>
              </w:rPr>
            </w:pPr>
          </w:p>
        </w:tc>
        <w:tc>
          <w:tcPr>
            <w:tcW w:w="1005" w:type="pct"/>
            <w:noWrap w:val="0"/>
            <w:vAlign w:val="center"/>
          </w:tcPr>
          <w:p w14:paraId="5894D2CD">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_GB2312"/>
                <w:color w:val="auto"/>
                <w:sz w:val="24"/>
                <w:highlight w:val="none"/>
              </w:rPr>
              <w:t>最高报价不得超过</w:t>
            </w:r>
            <w:r>
              <w:rPr>
                <w:rFonts w:hint="eastAsia" w:ascii="仿宋" w:hAnsi="仿宋" w:eastAsia="仿宋" w:cs="仿宋_GB2312"/>
                <w:color w:val="auto"/>
                <w:sz w:val="24"/>
                <w:highlight w:val="none"/>
                <w:u w:val="single"/>
                <w:lang w:val="en-US" w:eastAsia="zh-CN"/>
              </w:rPr>
              <w:t>100</w:t>
            </w:r>
            <w:r>
              <w:rPr>
                <w:rFonts w:hint="eastAsia" w:ascii="仿宋" w:hAnsi="仿宋" w:eastAsia="仿宋" w:cs="仿宋_GB2312"/>
                <w:color w:val="auto"/>
                <w:sz w:val="24"/>
                <w:highlight w:val="none"/>
                <w:u w:val="single"/>
              </w:rPr>
              <w:t>00</w:t>
            </w:r>
            <w:r>
              <w:rPr>
                <w:rFonts w:hint="eastAsia" w:ascii="仿宋" w:hAnsi="仿宋" w:eastAsia="仿宋" w:cs="仿宋_GB2312"/>
                <w:color w:val="auto"/>
                <w:sz w:val="24"/>
                <w:highlight w:val="none"/>
              </w:rPr>
              <w:t>元/人，否则作无效标处理。</w:t>
            </w:r>
          </w:p>
        </w:tc>
      </w:tr>
      <w:tr w14:paraId="0D4E9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5000" w:type="pct"/>
            <w:gridSpan w:val="5"/>
            <w:noWrap w:val="0"/>
            <w:vAlign w:val="center"/>
          </w:tcPr>
          <w:p w14:paraId="6F9FB637">
            <w:pPr>
              <w:spacing w:line="240" w:lineRule="auto"/>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1、</w:t>
            </w:r>
            <w:r>
              <w:rPr>
                <w:rFonts w:hint="eastAsia" w:ascii="仿宋" w:hAnsi="仿宋" w:eastAsia="仿宋" w:cs="仿宋"/>
                <w:bCs/>
                <w:color w:val="auto"/>
                <w:kern w:val="0"/>
                <w:sz w:val="24"/>
                <w:szCs w:val="24"/>
                <w:highlight w:val="none"/>
              </w:rPr>
              <w:t>新疆</w:t>
            </w:r>
            <w:r>
              <w:rPr>
                <w:rFonts w:hint="eastAsia" w:ascii="仿宋" w:hAnsi="仿宋" w:eastAsia="仿宋" w:cs="仿宋"/>
                <w:bCs/>
                <w:color w:val="auto"/>
                <w:kern w:val="0"/>
                <w:sz w:val="24"/>
                <w:szCs w:val="24"/>
                <w:highlight w:val="none"/>
                <w:lang w:val="en-US" w:eastAsia="zh-CN"/>
              </w:rPr>
              <w:t>线路时间暂定为8月中下旬或9月初。</w:t>
            </w:r>
          </w:p>
          <w:p w14:paraId="257F0523">
            <w:pPr>
              <w:keepNext w:val="0"/>
              <w:keepLines w:val="0"/>
              <w:pageBreakBefore w:val="0"/>
              <w:widowControl w:val="0"/>
              <w:tabs>
                <w:tab w:val="left" w:pos="3495"/>
              </w:tabs>
              <w:kinsoku/>
              <w:wordWrap/>
              <w:overflowPunct/>
              <w:topLinePunct w:val="0"/>
              <w:autoSpaceDE/>
              <w:autoSpaceDN/>
              <w:bidi w:val="0"/>
              <w:adjustRightInd w:val="0"/>
              <w:spacing w:line="312" w:lineRule="auto"/>
              <w:jc w:val="left"/>
              <w:textAlignment w:val="auto"/>
              <w:rPr>
                <w:rFonts w:hint="eastAsia" w:ascii="仿宋" w:hAnsi="仿宋" w:eastAsia="仿宋" w:cs="仿宋"/>
                <w:b/>
                <w:bCs w:val="0"/>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如</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因工作需要调整线路</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中标人必须配合</w:t>
            </w:r>
            <w:r>
              <w:rPr>
                <w:rFonts w:hint="eastAsia" w:ascii="仿宋" w:hAnsi="仿宋" w:eastAsia="仿宋" w:cs="仿宋"/>
                <w:color w:val="auto"/>
                <w:sz w:val="24"/>
                <w:szCs w:val="24"/>
                <w:highlight w:val="none"/>
                <w:lang w:eastAsia="zh-CN"/>
              </w:rPr>
              <w:t>，并</w:t>
            </w:r>
            <w:r>
              <w:rPr>
                <w:rFonts w:hint="eastAsia" w:ascii="仿宋" w:hAnsi="仿宋" w:eastAsia="仿宋" w:cs="仿宋"/>
                <w:color w:val="auto"/>
                <w:sz w:val="24"/>
                <w:szCs w:val="24"/>
                <w:highlight w:val="none"/>
                <w:lang w:val="en-US" w:eastAsia="zh-CN"/>
              </w:rPr>
              <w:t>提供同等优惠条件的线路</w:t>
            </w:r>
            <w:r>
              <w:rPr>
                <w:rFonts w:hint="eastAsia" w:ascii="仿宋" w:hAnsi="仿宋" w:eastAsia="仿宋" w:cs="仿宋"/>
                <w:color w:val="auto"/>
                <w:sz w:val="24"/>
                <w:szCs w:val="24"/>
                <w:highlight w:val="none"/>
              </w:rPr>
              <w:t>。疗休养出行具体时间、总人数根据</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实际情况而定。</w:t>
            </w:r>
          </w:p>
        </w:tc>
      </w:tr>
    </w:tbl>
    <w:p w14:paraId="680A4358">
      <w:pPr>
        <w:spacing w:line="336" w:lineRule="auto"/>
        <w:jc w:val="center"/>
        <w:rPr>
          <w:rFonts w:hint="eastAsia" w:ascii="仿宋" w:hAnsi="仿宋" w:eastAsia="仿宋" w:cs="仿宋"/>
          <w:b/>
          <w:color w:val="auto"/>
          <w:kern w:val="0"/>
          <w:sz w:val="24"/>
          <w:highlight w:val="none"/>
          <w:lang w:val="zh-CN"/>
        </w:rPr>
      </w:pPr>
    </w:p>
    <w:p w14:paraId="5B3BE217">
      <w:pPr>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注: 1</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rPr>
        <w:t>报价一经涂改，应在涂改处加盖单位公章或者由法定代表人或其授权代表签字或盖章，否则作无效投标处理。</w:t>
      </w:r>
    </w:p>
    <w:p w14:paraId="676D30E8">
      <w:pPr>
        <w:ind w:firstLine="480" w:firstLineChars="2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2、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人不能作出合理解释的，视为投标文件含有采购人不能接受的附加条件的，投标无效。</w:t>
      </w:r>
    </w:p>
    <w:p w14:paraId="6A2E447F">
      <w:pPr>
        <w:ind w:firstLine="480" w:firstLineChars="2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3、特别提示：采购代理机构将对项目名称和项目编号，中标供应商名称、地址和中标金额，主要中标标的名称、服务范围、服务要求、服务时间、服务标准等予以公示。</w:t>
      </w:r>
    </w:p>
    <w:p w14:paraId="7F25998E">
      <w:pPr>
        <w:ind w:firstLine="480" w:firstLineChars="200"/>
        <w:rPr>
          <w:rFonts w:ascii="仿宋_GB2312" w:eastAsia="仿宋_GB2312"/>
          <w:b/>
          <w:color w:val="auto"/>
          <w:kern w:val="0"/>
          <w:sz w:val="24"/>
          <w:szCs w:val="24"/>
          <w:highlight w:val="none"/>
          <w:u w:val="single"/>
        </w:rPr>
      </w:pPr>
      <w:r>
        <w:rPr>
          <w:rFonts w:hint="eastAsia" w:ascii="仿宋_GB2312" w:eastAsia="仿宋_GB2312"/>
          <w:color w:val="auto"/>
          <w:sz w:val="24"/>
          <w:szCs w:val="24"/>
          <w:highlight w:val="none"/>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D7AB059">
      <w:pPr>
        <w:snapToGrid w:val="0"/>
        <w:ind w:firstLine="480" w:firstLineChars="200"/>
        <w:jc w:val="left"/>
        <w:rPr>
          <w:rFonts w:hint="eastAsia" w:ascii="仿宋_GB2312" w:eastAsia="仿宋_GB2312"/>
          <w:color w:val="auto"/>
          <w:sz w:val="24"/>
          <w:szCs w:val="24"/>
          <w:highlight w:val="none"/>
        </w:rPr>
      </w:pPr>
    </w:p>
    <w:p w14:paraId="3E961F22">
      <w:pPr>
        <w:snapToGrid w:val="0"/>
        <w:ind w:firstLine="480" w:firstLineChars="200"/>
        <w:jc w:val="left"/>
        <w:rPr>
          <w:rFonts w:hint="eastAsia" w:ascii="仿宋_GB2312" w:eastAsia="仿宋_GB2312"/>
          <w:color w:val="auto"/>
          <w:sz w:val="24"/>
          <w:szCs w:val="24"/>
          <w:highlight w:val="none"/>
        </w:rPr>
      </w:pPr>
    </w:p>
    <w:p w14:paraId="02045E0E">
      <w:pPr>
        <w:snapToGrid w:val="0"/>
        <w:ind w:firstLine="480" w:firstLineChars="200"/>
        <w:jc w:val="left"/>
        <w:rPr>
          <w:rFonts w:hint="eastAsia" w:ascii="仿宋_GB2312" w:eastAsia="仿宋_GB2312"/>
          <w:color w:val="auto"/>
          <w:sz w:val="24"/>
          <w:szCs w:val="24"/>
          <w:highlight w:val="none"/>
        </w:rPr>
      </w:pPr>
    </w:p>
    <w:p w14:paraId="004EA0DF">
      <w:pPr>
        <w:snapToGrid w:val="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 xml:space="preserve">法定代表人或其授权代表签字（或盖章）：            </w:t>
      </w:r>
    </w:p>
    <w:p w14:paraId="60E895B5">
      <w:pPr>
        <w:rPr>
          <w:color w:val="auto"/>
          <w:szCs w:val="21"/>
          <w:highlight w:val="none"/>
        </w:rPr>
      </w:pPr>
      <w:r>
        <w:rPr>
          <w:color w:val="auto"/>
          <w:szCs w:val="21"/>
          <w:highlight w:val="none"/>
        </w:rPr>
        <w:t xml:space="preserve"> </w:t>
      </w:r>
    </w:p>
    <w:p w14:paraId="02A495CA">
      <w:pPr>
        <w:rPr>
          <w:rFonts w:hint="eastAsia" w:ascii="仿宋" w:hAnsi="仿宋" w:eastAsia="仿宋" w:cs="仿宋"/>
          <w:b/>
          <w:bCs/>
          <w:color w:val="auto"/>
          <w:sz w:val="30"/>
          <w:szCs w:val="30"/>
          <w:highlight w:val="none"/>
        </w:rPr>
      </w:pPr>
      <w:r>
        <w:rPr>
          <w:rFonts w:hint="eastAsia" w:ascii="仿宋_GB2312" w:eastAsia="仿宋_GB2312"/>
          <w:color w:val="auto"/>
          <w:sz w:val="24"/>
          <w:szCs w:val="24"/>
          <w:highlight w:val="none"/>
        </w:rPr>
        <w:t>日期：    年   月   日</w:t>
      </w:r>
    </w:p>
    <w:p w14:paraId="1690FFDF">
      <w:pP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br w:type="page"/>
      </w:r>
    </w:p>
    <w:p w14:paraId="174AA7CE">
      <w:pPr>
        <w:snapToGrid w:val="0"/>
        <w:spacing w:before="50" w:after="50"/>
        <w:jc w:val="left"/>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附件</w:t>
      </w:r>
      <w:r>
        <w:rPr>
          <w:rFonts w:hint="eastAsia" w:ascii="仿宋" w:hAnsi="仿宋" w:eastAsia="仿宋" w:cs="仿宋"/>
          <w:b/>
          <w:bCs/>
          <w:color w:val="auto"/>
          <w:sz w:val="30"/>
          <w:szCs w:val="30"/>
          <w:highlight w:val="none"/>
          <w:lang w:val="en-US" w:eastAsia="zh-CN"/>
        </w:rPr>
        <w:t>17</w:t>
      </w:r>
      <w:r>
        <w:rPr>
          <w:rFonts w:hint="eastAsia" w:ascii="仿宋" w:hAnsi="仿宋" w:eastAsia="仿宋" w:cs="仿宋"/>
          <w:b/>
          <w:bCs/>
          <w:color w:val="auto"/>
          <w:sz w:val="30"/>
          <w:szCs w:val="30"/>
          <w:highlight w:val="none"/>
        </w:rPr>
        <w:t>（如有）：</w:t>
      </w:r>
    </w:p>
    <w:p w14:paraId="16EAA976">
      <w:pPr>
        <w:snapToGrid w:val="0"/>
        <w:spacing w:before="50" w:after="50" w:line="48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w:t>
      </w:r>
    </w:p>
    <w:p w14:paraId="1B357DD0">
      <w:pPr>
        <w:snapToGrid w:val="0"/>
        <w:spacing w:before="50" w:after="5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本公司（联合体）郑重声明，根据《政府采购促进中小企业发展管理办法》 （财库﹝2020﹞46 号）的规定，本公司（联合体）参加</w:t>
      </w:r>
      <w:r>
        <w:rPr>
          <w:rFonts w:hint="eastAsia" w:ascii="仿宋" w:hAnsi="仿宋" w:eastAsia="仿宋" w:cs="仿宋"/>
          <w:color w:val="auto"/>
          <w:sz w:val="24"/>
          <w:szCs w:val="24"/>
          <w:highlight w:val="none"/>
          <w:u w:val="single"/>
        </w:rPr>
        <w:t xml:space="preserve">    （采购人名称）    </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 xml:space="preserve">  （项目名称）  </w:t>
      </w:r>
      <w:r>
        <w:rPr>
          <w:rFonts w:hint="eastAsia" w:ascii="仿宋" w:hAnsi="仿宋" w:eastAsia="仿宋" w:cs="仿宋"/>
          <w:color w:val="auto"/>
          <w:sz w:val="24"/>
          <w:szCs w:val="24"/>
          <w:highlight w:val="none"/>
        </w:rPr>
        <w:t>采购活动，服务全部由符合政策要求的中小企业承接。相关企业（含联合体中的中小企业、签订分包意向协议的中小企业）的具体情况如下：</w:t>
      </w:r>
    </w:p>
    <w:p w14:paraId="043E1FEB">
      <w:pPr>
        <w:snapToGrid w:val="0"/>
        <w:spacing w:before="50" w:after="5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u w:val="single"/>
        </w:rPr>
        <w:t xml:space="preserve">   （标的名称）   </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 xml:space="preserve">       （采购文件中明确的所属行业）   </w:t>
      </w:r>
      <w:r>
        <w:rPr>
          <w:rFonts w:hint="eastAsia" w:ascii="仿宋" w:hAnsi="仿宋" w:eastAsia="仿宋" w:cs="仿宋"/>
          <w:color w:val="auto"/>
          <w:sz w:val="24"/>
          <w:szCs w:val="24"/>
          <w:highlight w:val="none"/>
        </w:rPr>
        <w:t>；承建（承接）企业为</w:t>
      </w:r>
      <w:r>
        <w:rPr>
          <w:rFonts w:hint="eastAsia" w:ascii="仿宋" w:hAnsi="仿宋" w:eastAsia="仿宋" w:cs="仿宋"/>
          <w:color w:val="auto"/>
          <w:sz w:val="24"/>
          <w:szCs w:val="24"/>
          <w:highlight w:val="none"/>
          <w:u w:val="single"/>
        </w:rPr>
        <w:t xml:space="preserve">     （企业名称）   </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 ，属于</w:t>
      </w:r>
      <w:r>
        <w:rPr>
          <w:rFonts w:hint="eastAsia" w:ascii="仿宋" w:hAnsi="仿宋" w:eastAsia="仿宋" w:cs="仿宋"/>
          <w:color w:val="auto"/>
          <w:sz w:val="24"/>
          <w:szCs w:val="24"/>
          <w:highlight w:val="none"/>
          <w:u w:val="single"/>
        </w:rPr>
        <w:t xml:space="preserve">     （中型企业、小型企业、微型企业）      </w:t>
      </w:r>
      <w:r>
        <w:rPr>
          <w:rFonts w:hint="eastAsia" w:ascii="仿宋" w:hAnsi="仿宋" w:eastAsia="仿宋" w:cs="仿宋"/>
          <w:color w:val="auto"/>
          <w:sz w:val="24"/>
          <w:szCs w:val="24"/>
          <w:highlight w:val="none"/>
        </w:rPr>
        <w:t xml:space="preserve"> ；</w:t>
      </w:r>
    </w:p>
    <w:p w14:paraId="7541CDD6">
      <w:pPr>
        <w:snapToGrid w:val="0"/>
        <w:spacing w:before="50" w:after="5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u w:val="single"/>
        </w:rPr>
        <w:t xml:space="preserve">        （标的名称）    </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 xml:space="preserve">    （采购文件中明确的所属行业）   </w:t>
      </w:r>
      <w:r>
        <w:rPr>
          <w:rFonts w:hint="eastAsia" w:ascii="仿宋" w:hAnsi="仿宋" w:eastAsia="仿宋" w:cs="仿宋"/>
          <w:color w:val="auto"/>
          <w:sz w:val="24"/>
          <w:szCs w:val="24"/>
          <w:highlight w:val="none"/>
        </w:rPr>
        <w:t>；承建（承接）企业为</w:t>
      </w:r>
      <w:r>
        <w:rPr>
          <w:rFonts w:hint="eastAsia" w:ascii="仿宋" w:hAnsi="仿宋" w:eastAsia="仿宋" w:cs="仿宋"/>
          <w:color w:val="auto"/>
          <w:sz w:val="24"/>
          <w:szCs w:val="24"/>
          <w:highlight w:val="none"/>
          <w:u w:val="single"/>
        </w:rPr>
        <w:t xml:space="preserve">      （企业名称）   </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 ，属于</w:t>
      </w:r>
      <w:r>
        <w:rPr>
          <w:rFonts w:hint="eastAsia" w:ascii="仿宋" w:hAnsi="仿宋" w:eastAsia="仿宋" w:cs="仿宋"/>
          <w:color w:val="auto"/>
          <w:sz w:val="24"/>
          <w:szCs w:val="24"/>
          <w:highlight w:val="none"/>
          <w:u w:val="single"/>
        </w:rPr>
        <w:t xml:space="preserve">       （中型企业、小型企业、微型企业）   </w:t>
      </w:r>
      <w:r>
        <w:rPr>
          <w:rFonts w:hint="eastAsia" w:ascii="仿宋" w:hAnsi="仿宋" w:eastAsia="仿宋" w:cs="仿宋"/>
          <w:color w:val="auto"/>
          <w:sz w:val="24"/>
          <w:szCs w:val="24"/>
          <w:highlight w:val="none"/>
        </w:rPr>
        <w:t xml:space="preserve"> ；</w:t>
      </w:r>
    </w:p>
    <w:p w14:paraId="54A1ABB7">
      <w:pPr>
        <w:snapToGrid w:val="0"/>
        <w:spacing w:before="50" w:after="5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5E368835">
      <w:pPr>
        <w:snapToGrid w:val="0"/>
        <w:spacing w:before="50" w:after="5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14:paraId="70F1411A">
      <w:pPr>
        <w:snapToGrid w:val="0"/>
        <w:spacing w:before="50" w:after="5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14:paraId="73D13CD7">
      <w:pPr>
        <w:snapToGrid w:val="0"/>
        <w:spacing w:before="50" w:after="50" w:line="360" w:lineRule="auto"/>
        <w:ind w:firstLine="480" w:firstLineChars="200"/>
        <w:jc w:val="left"/>
        <w:rPr>
          <w:rFonts w:hint="eastAsia" w:ascii="仿宋" w:hAnsi="仿宋" w:eastAsia="仿宋" w:cs="仿宋"/>
          <w:color w:val="auto"/>
          <w:sz w:val="24"/>
          <w:szCs w:val="24"/>
          <w:highlight w:val="none"/>
        </w:rPr>
      </w:pPr>
    </w:p>
    <w:p w14:paraId="399DBCDD">
      <w:pPr>
        <w:snapToGrid w:val="0"/>
        <w:spacing w:before="50" w:after="50" w:line="360" w:lineRule="auto"/>
        <w:ind w:firstLine="480" w:firstLineChars="200"/>
        <w:jc w:val="left"/>
        <w:rPr>
          <w:rFonts w:hint="eastAsia" w:ascii="仿宋" w:hAnsi="仿宋" w:eastAsia="仿宋" w:cs="仿宋"/>
          <w:color w:val="auto"/>
          <w:sz w:val="24"/>
          <w:szCs w:val="24"/>
          <w:highlight w:val="none"/>
        </w:rPr>
      </w:pPr>
    </w:p>
    <w:p w14:paraId="5C80A769">
      <w:pPr>
        <w:snapToGrid w:val="0"/>
        <w:spacing w:before="50" w:after="50" w:line="360" w:lineRule="auto"/>
        <w:ind w:firstLine="480" w:firstLineChars="200"/>
        <w:jc w:val="left"/>
        <w:rPr>
          <w:rFonts w:hint="eastAsia" w:ascii="仿宋" w:hAnsi="仿宋" w:eastAsia="仿宋" w:cs="仿宋"/>
          <w:color w:val="auto"/>
          <w:sz w:val="24"/>
          <w:szCs w:val="24"/>
          <w:highlight w:val="none"/>
        </w:rPr>
      </w:pPr>
    </w:p>
    <w:p w14:paraId="53F8AE46">
      <w:pPr>
        <w:snapToGrid w:val="0"/>
        <w:spacing w:before="50" w:after="5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企业名称（盖章）： </w:t>
      </w:r>
    </w:p>
    <w:p w14:paraId="61005713">
      <w:pPr>
        <w:snapToGrid w:val="0"/>
        <w:spacing w:before="50" w:after="50"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7938CAE8">
      <w:pPr>
        <w:snapToGrid w:val="0"/>
        <w:spacing w:before="50" w:after="5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w:t>
      </w:r>
    </w:p>
    <w:p w14:paraId="74EF5F9C">
      <w:pPr>
        <w:numPr>
          <w:ilvl w:val="0"/>
          <w:numId w:val="12"/>
        </w:numPr>
        <w:snapToGrid w:val="0"/>
        <w:spacing w:before="50" w:after="5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highlight w:val="none"/>
        </w:rPr>
        <w:t>规模划分按《工信部关于印发中小企业划型标准规定的通知（工信部联企业〔2011〕300号）》文件执行，</w:t>
      </w:r>
      <w:r>
        <w:rPr>
          <w:rFonts w:hint="eastAsia" w:ascii="仿宋" w:hAnsi="仿宋" w:eastAsia="仿宋" w:cs="仿宋"/>
          <w:b/>
          <w:bCs/>
          <w:color w:val="auto"/>
          <w:sz w:val="24"/>
          <w:szCs w:val="24"/>
          <w:highlight w:val="none"/>
        </w:rPr>
        <w:t>从业人员、营业收入、资产总额填报上一年度数据，无上一年度数据的新成立企业可不填报。</w:t>
      </w:r>
    </w:p>
    <w:p w14:paraId="45247F41">
      <w:pPr>
        <w:numPr>
          <w:ilvl w:val="0"/>
          <w:numId w:val="12"/>
        </w:numPr>
        <w:snapToGrid w:val="0"/>
        <w:spacing w:before="50" w:after="5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highlight w:val="none"/>
        </w:rPr>
        <w:t>本函与中标（成交）公告同时发布，接受社会监督。</w:t>
      </w:r>
    </w:p>
    <w:p w14:paraId="3826BA13">
      <w:pPr>
        <w:numPr>
          <w:ilvl w:val="0"/>
          <w:numId w:val="12"/>
        </w:numPr>
        <w:snapToGrid w:val="0"/>
        <w:spacing w:before="50" w:after="50" w:line="240" w:lineRule="auto"/>
        <w:jc w:val="left"/>
        <w:rPr>
          <w:rFonts w:hint="eastAsia" w:ascii="仿宋" w:hAnsi="仿宋" w:eastAsia="仿宋" w:cs="仿宋"/>
          <w:b/>
          <w:color w:val="auto"/>
          <w:sz w:val="24"/>
          <w:highlight w:val="none"/>
        </w:rPr>
      </w:pPr>
      <w:r>
        <w:rPr>
          <w:rFonts w:hint="eastAsia" w:ascii="仿宋" w:hAnsi="仿宋" w:eastAsia="仿宋" w:cs="仿宋"/>
          <w:b/>
          <w:bCs/>
          <w:color w:val="auto"/>
          <w:sz w:val="24"/>
          <w:highlight w:val="none"/>
          <w:u w:val="single"/>
          <w:lang w:eastAsia="zh-CN"/>
        </w:rPr>
        <w:t>“标的名称”、“所属行业”按前附表所列填写，有实质性偏离的将不予享受价格扣除。</w:t>
      </w:r>
    </w:p>
    <w:p w14:paraId="103E62FE">
      <w:pPr>
        <w:numPr>
          <w:ilvl w:val="0"/>
          <w:numId w:val="12"/>
        </w:numPr>
        <w:snapToGrid w:val="0"/>
        <w:spacing w:before="50" w:after="50" w:line="24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highlight w:val="none"/>
        </w:rPr>
        <w:t>供应商提供由省级以上监狱管理局、戒毒管理局（含新疆生产建设兵团）出具的属于监狱企业的证明文件（格式自拟），视同为小型和微型企业。</w:t>
      </w:r>
    </w:p>
    <w:p w14:paraId="470DC1DE">
      <w:pPr>
        <w:spacing w:line="588" w:lineRule="exact"/>
        <w:rPr>
          <w:rFonts w:hint="eastAsia" w:ascii="仿宋" w:hAnsi="仿宋" w:eastAsia="仿宋" w:cs="仿宋"/>
          <w:b/>
          <w:color w:val="auto"/>
          <w:spacing w:val="6"/>
          <w:sz w:val="30"/>
          <w:szCs w:val="30"/>
          <w:highlight w:val="none"/>
        </w:rPr>
      </w:pPr>
      <w:bookmarkStart w:id="79" w:name="_Hlk523382353"/>
      <w:r>
        <w:rPr>
          <w:rFonts w:hint="eastAsia" w:ascii="仿宋" w:hAnsi="仿宋" w:eastAsia="仿宋" w:cs="仿宋"/>
          <w:b/>
          <w:color w:val="auto"/>
          <w:spacing w:val="6"/>
          <w:sz w:val="30"/>
          <w:szCs w:val="30"/>
          <w:highlight w:val="none"/>
        </w:rPr>
        <w:t>附件</w:t>
      </w:r>
      <w:r>
        <w:rPr>
          <w:rFonts w:hint="eastAsia" w:ascii="仿宋" w:hAnsi="仿宋" w:eastAsia="仿宋" w:cs="仿宋"/>
          <w:b/>
          <w:color w:val="auto"/>
          <w:spacing w:val="6"/>
          <w:sz w:val="30"/>
          <w:szCs w:val="30"/>
          <w:highlight w:val="none"/>
          <w:lang w:val="en-US" w:eastAsia="zh-CN"/>
        </w:rPr>
        <w:t>18</w:t>
      </w:r>
      <w:r>
        <w:rPr>
          <w:rFonts w:hint="eastAsia" w:ascii="仿宋" w:hAnsi="仿宋" w:eastAsia="仿宋" w:cs="仿宋"/>
          <w:b/>
          <w:color w:val="auto"/>
          <w:spacing w:val="6"/>
          <w:sz w:val="30"/>
          <w:szCs w:val="30"/>
          <w:highlight w:val="none"/>
        </w:rPr>
        <w:t>（如有）：</w:t>
      </w:r>
    </w:p>
    <w:bookmarkEnd w:id="79"/>
    <w:p w14:paraId="4ED8D4CB">
      <w:pPr>
        <w:spacing w:line="588" w:lineRule="exact"/>
        <w:ind w:firstLine="667"/>
        <w:jc w:val="center"/>
        <w:rPr>
          <w:rFonts w:hint="eastAsia" w:ascii="仿宋" w:hAnsi="仿宋" w:eastAsia="仿宋" w:cs="仿宋"/>
          <w:b/>
          <w:color w:val="auto"/>
          <w:spacing w:val="6"/>
          <w:sz w:val="32"/>
          <w:szCs w:val="32"/>
          <w:highlight w:val="none"/>
        </w:rPr>
      </w:pPr>
    </w:p>
    <w:p w14:paraId="7CF21D7A">
      <w:pPr>
        <w:spacing w:line="588" w:lineRule="exact"/>
        <w:ind w:firstLine="667"/>
        <w:jc w:val="center"/>
        <w:rPr>
          <w:rFonts w:hint="eastAsia" w:ascii="仿宋" w:hAnsi="仿宋" w:eastAsia="仿宋" w:cs="仿宋"/>
          <w:b/>
          <w:color w:val="auto"/>
          <w:spacing w:val="6"/>
          <w:sz w:val="36"/>
          <w:szCs w:val="36"/>
          <w:highlight w:val="none"/>
        </w:rPr>
      </w:pPr>
      <w:r>
        <w:rPr>
          <w:rFonts w:hint="eastAsia" w:ascii="仿宋" w:hAnsi="仿宋" w:eastAsia="仿宋" w:cs="仿宋"/>
          <w:b/>
          <w:color w:val="auto"/>
          <w:spacing w:val="6"/>
          <w:sz w:val="36"/>
          <w:szCs w:val="36"/>
          <w:highlight w:val="none"/>
        </w:rPr>
        <w:t>残疾人福利性单位声明函</w:t>
      </w:r>
    </w:p>
    <w:p w14:paraId="45B89177">
      <w:pPr>
        <w:spacing w:line="588" w:lineRule="exact"/>
        <w:ind w:firstLine="626"/>
        <w:rPr>
          <w:rFonts w:hint="eastAsia" w:ascii="仿宋" w:hAnsi="仿宋" w:eastAsia="仿宋" w:cs="仿宋"/>
          <w:b/>
          <w:color w:val="auto"/>
          <w:spacing w:val="6"/>
          <w:sz w:val="30"/>
          <w:szCs w:val="30"/>
          <w:highlight w:val="none"/>
        </w:rPr>
      </w:pPr>
    </w:p>
    <w:p w14:paraId="59CEB444">
      <w:pPr>
        <w:spacing w:line="588"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highlight w:val="none"/>
          <w:u w:val="single"/>
        </w:rPr>
        <w:t xml:space="preserve">  （请填写采购人名称）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（请填写项目名称）  </w:t>
      </w:r>
      <w:r>
        <w:rPr>
          <w:rFonts w:hint="eastAsia" w:ascii="仿宋" w:hAnsi="仿宋" w:eastAsia="仿宋" w:cs="仿宋"/>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6EE8022F">
      <w:pPr>
        <w:spacing w:line="588"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6DAC69C3">
      <w:pPr>
        <w:spacing w:line="588" w:lineRule="exact"/>
        <w:ind w:firstLine="480"/>
        <w:rPr>
          <w:rFonts w:hint="eastAsia" w:ascii="仿宋" w:hAnsi="仿宋" w:eastAsia="仿宋" w:cs="仿宋"/>
          <w:color w:val="auto"/>
          <w:sz w:val="24"/>
          <w:highlight w:val="none"/>
        </w:rPr>
      </w:pPr>
    </w:p>
    <w:p w14:paraId="7D3DB9C4">
      <w:pPr>
        <w:spacing w:line="588" w:lineRule="exact"/>
        <w:ind w:firstLine="480"/>
        <w:rPr>
          <w:rFonts w:hint="eastAsia" w:ascii="仿宋" w:hAnsi="仿宋" w:eastAsia="仿宋" w:cs="仿宋"/>
          <w:color w:val="auto"/>
          <w:sz w:val="24"/>
          <w:highlight w:val="none"/>
        </w:rPr>
      </w:pPr>
    </w:p>
    <w:p w14:paraId="4AC7209F">
      <w:pPr>
        <w:spacing w:line="588" w:lineRule="exact"/>
        <w:ind w:firstLine="480"/>
        <w:rPr>
          <w:rFonts w:hint="eastAsia" w:ascii="仿宋" w:hAnsi="仿宋" w:eastAsia="仿宋" w:cs="仿宋"/>
          <w:color w:val="auto"/>
          <w:sz w:val="24"/>
          <w:highlight w:val="none"/>
        </w:rPr>
      </w:pPr>
    </w:p>
    <w:p w14:paraId="2ED37B4D">
      <w:pPr>
        <w:spacing w:line="588" w:lineRule="exact"/>
        <w:ind w:firstLine="480"/>
        <w:rPr>
          <w:rFonts w:hint="eastAsia" w:ascii="仿宋" w:hAnsi="仿宋" w:eastAsia="仿宋" w:cs="仿宋"/>
          <w:color w:val="auto"/>
          <w:sz w:val="24"/>
          <w:highlight w:val="none"/>
        </w:rPr>
      </w:pPr>
    </w:p>
    <w:p w14:paraId="71D40E78">
      <w:pPr>
        <w:spacing w:line="588" w:lineRule="exact"/>
        <w:ind w:firstLine="480"/>
        <w:rPr>
          <w:rFonts w:hint="eastAsia" w:ascii="仿宋" w:hAnsi="仿宋" w:eastAsia="仿宋" w:cs="仿宋"/>
          <w:color w:val="auto"/>
          <w:sz w:val="24"/>
          <w:highlight w:val="none"/>
        </w:rPr>
      </w:pPr>
    </w:p>
    <w:p w14:paraId="60392B2B">
      <w:pPr>
        <w:tabs>
          <w:tab w:val="left" w:pos="4860"/>
        </w:tabs>
        <w:spacing w:line="588" w:lineRule="exact"/>
        <w:ind w:right="1560" w:firstLine="48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单位名称（盖章）：</w:t>
      </w:r>
    </w:p>
    <w:p w14:paraId="2FB49E9C">
      <w:pPr>
        <w:spacing w:line="480" w:lineRule="exact"/>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621DEB14">
      <w:pPr>
        <w:ind w:firstLine="480"/>
        <w:rPr>
          <w:rFonts w:hint="eastAsia" w:ascii="仿宋" w:hAnsi="仿宋" w:eastAsia="仿宋" w:cs="仿宋"/>
          <w:color w:val="auto"/>
          <w:sz w:val="24"/>
          <w:highlight w:val="none"/>
        </w:rPr>
      </w:pPr>
    </w:p>
    <w:p w14:paraId="08E85F55">
      <w:pPr>
        <w:ind w:firstLine="420"/>
        <w:rPr>
          <w:rFonts w:hint="eastAsia" w:ascii="仿宋" w:hAnsi="仿宋" w:eastAsia="仿宋" w:cs="仿宋"/>
          <w:color w:val="auto"/>
          <w:highlight w:val="none"/>
        </w:rPr>
      </w:pPr>
    </w:p>
    <w:p w14:paraId="65C463AF">
      <w:pPr>
        <w:ind w:firstLine="420"/>
        <w:rPr>
          <w:rFonts w:hint="eastAsia" w:ascii="仿宋" w:hAnsi="仿宋" w:eastAsia="仿宋" w:cs="仿宋"/>
          <w:color w:val="auto"/>
          <w:highlight w:val="none"/>
        </w:rPr>
      </w:pPr>
    </w:p>
    <w:p w14:paraId="420EF2AC">
      <w:pPr>
        <w:ind w:firstLine="420"/>
        <w:rPr>
          <w:rFonts w:hint="eastAsia" w:ascii="仿宋" w:hAnsi="仿宋" w:eastAsia="仿宋" w:cs="仿宋"/>
          <w:color w:val="auto"/>
          <w:highlight w:val="none"/>
        </w:rPr>
      </w:pPr>
    </w:p>
    <w:p w14:paraId="41531DFB">
      <w:pPr>
        <w:ind w:firstLine="420"/>
        <w:rPr>
          <w:rFonts w:hint="eastAsia" w:ascii="仿宋" w:hAnsi="仿宋" w:eastAsia="仿宋" w:cs="仿宋"/>
          <w:color w:val="auto"/>
          <w:highlight w:val="none"/>
        </w:rPr>
      </w:pPr>
    </w:p>
    <w:p w14:paraId="188CE6E8">
      <w:pPr>
        <w:ind w:firstLine="420"/>
        <w:rPr>
          <w:rFonts w:hint="eastAsia" w:ascii="仿宋" w:hAnsi="仿宋" w:eastAsia="仿宋" w:cs="仿宋"/>
          <w:color w:val="auto"/>
          <w:highlight w:val="none"/>
        </w:rPr>
      </w:pPr>
    </w:p>
    <w:p w14:paraId="199019BB">
      <w:pPr>
        <w:ind w:firstLine="420"/>
        <w:rPr>
          <w:rFonts w:hint="eastAsia" w:ascii="仿宋" w:hAnsi="仿宋" w:eastAsia="仿宋" w:cs="仿宋"/>
          <w:color w:val="auto"/>
          <w:highlight w:val="none"/>
        </w:rPr>
      </w:pPr>
    </w:p>
    <w:p w14:paraId="67AB8686">
      <w:pPr>
        <w:ind w:firstLine="482" w:firstLineChars="200"/>
        <w:rPr>
          <w:rFonts w:hint="eastAsia" w:ascii="仿宋" w:hAnsi="仿宋" w:eastAsia="仿宋" w:cs="仿宋"/>
          <w:b/>
          <w:color w:val="auto"/>
          <w:kern w:val="0"/>
          <w:sz w:val="24"/>
          <w:highlight w:val="none"/>
          <w:u w:val="single"/>
          <w:lang w:val="zh-CN"/>
        </w:rPr>
      </w:pPr>
      <w:r>
        <w:rPr>
          <w:rFonts w:hint="eastAsia" w:ascii="仿宋" w:hAnsi="仿宋" w:eastAsia="仿宋" w:cs="仿宋"/>
          <w:b/>
          <w:color w:val="auto"/>
          <w:kern w:val="0"/>
          <w:sz w:val="24"/>
          <w:highlight w:val="none"/>
          <w:u w:val="single"/>
          <w:lang w:val="zh-CN"/>
        </w:rPr>
        <w:t>特别提示：采购机构将在中标公告中公布中标人的《残疾人福利性单位声明函》，接受社会监督。</w:t>
      </w:r>
    </w:p>
    <w:bookmarkEnd w:id="78"/>
    <w:p w14:paraId="74E2DB56">
      <w:pPr>
        <w:pStyle w:val="2"/>
        <w:keepNext/>
        <w:keepLines/>
        <w:pageBreakBefore w:val="0"/>
        <w:widowControl w:val="0"/>
        <w:suppressLineNumbers w:val="0"/>
        <w:suppressAutoHyphens w:val="0"/>
        <w:spacing w:line="578"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第七章  询问、质疑及投诉</w:t>
      </w:r>
    </w:p>
    <w:p w14:paraId="7D3E756F">
      <w:pPr>
        <w:pStyle w:val="1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646D1970">
      <w:pPr>
        <w:pStyle w:val="3"/>
        <w:spacing w:line="415" w:lineRule="auto"/>
        <w:jc w:val="center"/>
        <w:rPr>
          <w:rFonts w:hint="eastAsia" w:ascii="仿宋" w:hAnsi="仿宋" w:eastAsia="仿宋" w:cs="仿宋"/>
          <w:color w:val="auto"/>
          <w:highlight w:val="none"/>
        </w:rPr>
      </w:pPr>
      <w:bookmarkStart w:id="80" w:name="_Toc10413"/>
      <w:r>
        <w:rPr>
          <w:rFonts w:hint="eastAsia" w:ascii="仿宋" w:hAnsi="仿宋" w:eastAsia="仿宋" w:cs="仿宋"/>
          <w:color w:val="auto"/>
          <w:highlight w:val="none"/>
        </w:rPr>
        <w:t>一、供应商询问</w:t>
      </w:r>
      <w:bookmarkEnd w:id="80"/>
    </w:p>
    <w:p w14:paraId="37C9096D">
      <w:pPr>
        <w:pStyle w:val="16"/>
        <w:spacing w:line="360" w:lineRule="auto"/>
        <w:ind w:left="0"/>
        <w:rPr>
          <w:rFonts w:hint="eastAsia" w:ascii="仿宋" w:eastAsia="仿宋"/>
          <w:color w:val="auto"/>
          <w:sz w:val="24"/>
          <w:highlight w:val="none"/>
        </w:rPr>
      </w:pPr>
      <w:bookmarkStart w:id="81" w:name="_Toc15985"/>
      <w:r>
        <w:rPr>
          <w:rFonts w:hint="eastAsia" w:ascii="仿宋" w:eastAsia="仿宋"/>
          <w:color w:val="auto"/>
          <w:sz w:val="24"/>
          <w:highlight w:val="none"/>
        </w:rPr>
        <w:t>1.1供应商对</w:t>
      </w:r>
      <w:r>
        <w:rPr>
          <w:rFonts w:ascii="仿宋" w:eastAsia="仿宋"/>
          <w:color w:val="auto"/>
          <w:sz w:val="24"/>
          <w:highlight w:val="none"/>
        </w:rPr>
        <w:t>采购文件、</w:t>
      </w:r>
      <w:r>
        <w:rPr>
          <w:rFonts w:hint="eastAsia" w:ascii="仿宋" w:eastAsia="仿宋"/>
          <w:color w:val="auto"/>
          <w:sz w:val="24"/>
          <w:highlight w:val="none"/>
        </w:rPr>
        <w:t>采购活动事项有疑问</w:t>
      </w:r>
      <w:r>
        <w:rPr>
          <w:rFonts w:ascii="仿宋" w:eastAsia="仿宋"/>
          <w:color w:val="auto"/>
          <w:sz w:val="24"/>
          <w:highlight w:val="none"/>
        </w:rPr>
        <w:t>需要解释</w:t>
      </w:r>
      <w:r>
        <w:rPr>
          <w:rFonts w:hint="eastAsia" w:ascii="仿宋" w:eastAsia="仿宋"/>
          <w:color w:val="auto"/>
          <w:sz w:val="24"/>
          <w:highlight w:val="none"/>
        </w:rPr>
        <w:t>的，可以向采购机构提出询问，采购机构将</w:t>
      </w:r>
      <w:r>
        <w:rPr>
          <w:rFonts w:ascii="仿宋" w:eastAsia="仿宋"/>
          <w:color w:val="auto"/>
          <w:sz w:val="24"/>
          <w:highlight w:val="none"/>
        </w:rPr>
        <w:t>在3个工作日内</w:t>
      </w:r>
      <w:r>
        <w:rPr>
          <w:rFonts w:hint="eastAsia" w:ascii="仿宋" w:eastAsia="仿宋"/>
          <w:color w:val="auto"/>
          <w:sz w:val="24"/>
          <w:highlight w:val="none"/>
        </w:rPr>
        <w:t>对供应商依法提出的询问作出答复，但答复的内容不得涉及商业秘密。</w:t>
      </w:r>
    </w:p>
    <w:p w14:paraId="56F56CD2">
      <w:pPr>
        <w:pStyle w:val="16"/>
        <w:spacing w:line="360" w:lineRule="auto"/>
        <w:ind w:left="0"/>
        <w:rPr>
          <w:rFonts w:hint="eastAsia" w:ascii="仿宋" w:eastAsia="仿宋"/>
          <w:color w:val="auto"/>
          <w:sz w:val="24"/>
          <w:highlight w:val="none"/>
        </w:rPr>
      </w:pPr>
      <w:r>
        <w:rPr>
          <w:rFonts w:hint="eastAsia" w:ascii="仿宋" w:eastAsia="仿宋"/>
          <w:color w:val="auto"/>
          <w:sz w:val="24"/>
          <w:highlight w:val="none"/>
        </w:rPr>
        <w:t>1.</w:t>
      </w:r>
      <w:r>
        <w:rPr>
          <w:rFonts w:ascii="仿宋" w:eastAsia="仿宋"/>
          <w:color w:val="auto"/>
          <w:sz w:val="24"/>
          <w:highlight w:val="none"/>
        </w:rPr>
        <w:t>2</w:t>
      </w:r>
      <w:r>
        <w:rPr>
          <w:rFonts w:hint="eastAsia" w:ascii="仿宋" w:eastAsia="仿宋"/>
          <w:color w:val="auto"/>
          <w:sz w:val="24"/>
          <w:highlight w:val="none"/>
        </w:rPr>
        <w:t>采购机构一般通过</w:t>
      </w:r>
      <w:r>
        <w:rPr>
          <w:rFonts w:ascii="仿宋" w:eastAsia="仿宋"/>
          <w:color w:val="auto"/>
          <w:sz w:val="24"/>
          <w:highlight w:val="none"/>
        </w:rPr>
        <w:t>与询问相同的</w:t>
      </w:r>
      <w:r>
        <w:rPr>
          <w:rFonts w:hint="eastAsia" w:ascii="仿宋" w:eastAsia="仿宋"/>
          <w:color w:val="auto"/>
          <w:sz w:val="24"/>
          <w:highlight w:val="none"/>
        </w:rPr>
        <w:t>形式答复。</w:t>
      </w:r>
    </w:p>
    <w:p w14:paraId="7289F7FF">
      <w:pPr>
        <w:pStyle w:val="3"/>
        <w:spacing w:line="415"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二、供应商质疑</w:t>
      </w:r>
      <w:bookmarkEnd w:id="81"/>
    </w:p>
    <w:p w14:paraId="26235A26">
      <w:pPr>
        <w:pStyle w:val="16"/>
        <w:spacing w:line="360" w:lineRule="auto"/>
        <w:ind w:left="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2.1质疑有效期：</w:t>
      </w:r>
    </w:p>
    <w:p w14:paraId="0BE10A84">
      <w:pPr>
        <w:pStyle w:val="16"/>
        <w:spacing w:line="360" w:lineRule="auto"/>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供应商可以在知道或者应知其权益受到损害之日起七个工作日内，以书面形式向</w:t>
      </w:r>
      <w:r>
        <w:rPr>
          <w:rFonts w:hint="eastAsia" w:ascii="仿宋" w:hAnsi="仿宋" w:eastAsia="仿宋" w:cs="仿宋"/>
          <w:b/>
          <w:bCs/>
          <w:color w:val="auto"/>
          <w:sz w:val="24"/>
          <w:highlight w:val="none"/>
        </w:rPr>
        <w:t>采购机构</w:t>
      </w:r>
      <w:r>
        <w:rPr>
          <w:rFonts w:hint="eastAsia" w:ascii="仿宋" w:hAnsi="仿宋" w:eastAsia="仿宋" w:cs="仿宋"/>
          <w:color w:val="auto"/>
          <w:sz w:val="24"/>
          <w:highlight w:val="none"/>
        </w:rPr>
        <w:t>提出质疑，否则，采购机构不予受理：</w:t>
      </w:r>
    </w:p>
    <w:p w14:paraId="24969BC8">
      <w:pPr>
        <w:pStyle w:val="16"/>
        <w:spacing w:line="360" w:lineRule="auto"/>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（1）采购公告中的资格条件、获取采购文件时间设定等不符合有关规定，致使供应商不能参与本项目采购活动的，质疑期限自采购公告发布之日起计算。</w:t>
      </w:r>
    </w:p>
    <w:p w14:paraId="4771D44E">
      <w:pPr>
        <w:pStyle w:val="1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76E936A0">
      <w:pPr>
        <w:pStyle w:val="16"/>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（3）对采购过程提出质疑的，质疑期限为各采购程序环节结束之日起计算。</w:t>
      </w:r>
    </w:p>
    <w:p w14:paraId="3A16EE52">
      <w:pPr>
        <w:pStyle w:val="1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（4）对采购结果提出质疑的，质疑期限自采购结果公告（包括公示、预公告、结果更正公告等）期限届满之日起计算。</w:t>
      </w:r>
    </w:p>
    <w:p w14:paraId="78243944">
      <w:pPr>
        <w:pStyle w:val="1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（5）供应商应在法定质疑期内一次性提出针对同一采购程序环节的质疑。提供新的事实或证据的除外。</w:t>
      </w:r>
    </w:p>
    <w:p w14:paraId="705A9AB4">
      <w:pPr>
        <w:pStyle w:val="16"/>
        <w:spacing w:line="360" w:lineRule="auto"/>
        <w:ind w:left="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2.2质疑主体的有效性：</w:t>
      </w:r>
    </w:p>
    <w:p w14:paraId="5495AF37">
      <w:pPr>
        <w:pStyle w:val="16"/>
        <w:spacing w:line="360" w:lineRule="auto"/>
        <w:ind w:left="0"/>
        <w:rPr>
          <w:rFonts w:hint="eastAsia" w:ascii="仿宋" w:hAnsi="仿宋" w:eastAsia="仿宋" w:cs="仿宋"/>
          <w:color w:val="auto"/>
          <w:sz w:val="24"/>
          <w:highlight w:val="none"/>
        </w:rPr>
      </w:pPr>
      <w:r>
        <w:rPr>
          <w:rFonts w:hint="eastAsia" w:ascii="仿宋" w:hAnsi="仿宋" w:eastAsia="仿宋" w:cs="仿宋"/>
          <w:color w:val="auto"/>
          <w:sz w:val="24"/>
          <w:highlight w:val="none"/>
        </w:rPr>
        <w:t>2.2.1提出质疑的供应商应当是参与所质疑项目采购活动的供应商。</w:t>
      </w:r>
    </w:p>
    <w:p w14:paraId="0EE1BDA0">
      <w:pPr>
        <w:pStyle w:val="16"/>
        <w:spacing w:line="360" w:lineRule="auto"/>
        <w:ind w:left="0"/>
        <w:rPr>
          <w:rFonts w:hint="eastAsia" w:ascii="仿宋" w:hAnsi="仿宋" w:eastAsia="仿宋" w:cs="仿宋"/>
          <w:color w:val="auto"/>
          <w:sz w:val="24"/>
          <w:highlight w:val="none"/>
        </w:rPr>
      </w:pPr>
      <w:r>
        <w:rPr>
          <w:rFonts w:hint="eastAsia" w:ascii="仿宋" w:hAnsi="仿宋" w:eastAsia="仿宋" w:cs="仿宋"/>
          <w:color w:val="auto"/>
          <w:sz w:val="24"/>
          <w:highlight w:val="none"/>
        </w:rPr>
        <w:t>2.2.2质疑人应当与质疑事项存在利害关系,不得提出“自杀式质疑”。</w:t>
      </w:r>
    </w:p>
    <w:p w14:paraId="6C84E71B">
      <w:pPr>
        <w:pStyle w:val="16"/>
        <w:spacing w:line="360" w:lineRule="auto"/>
        <w:ind w:left="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2.3质疑的答复</w:t>
      </w:r>
    </w:p>
    <w:p w14:paraId="7CE2D276">
      <w:pPr>
        <w:pStyle w:val="1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采购机构将在收到供应商的质疑后七个工作日内作出答复，但答复的内容不得涉及商业秘密。采购机构视情以变更公告等形式通知其他与质疑处理结果有利害关系的政府采购当事人。</w:t>
      </w:r>
    </w:p>
    <w:p w14:paraId="45E5297F">
      <w:pPr>
        <w:pStyle w:val="16"/>
        <w:spacing w:line="360" w:lineRule="auto"/>
        <w:ind w:lef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询问或者质疑事项可能影响采购结果的，采购人应当暂停签订合同，已经签订合同的，应当中止履行合同。</w:t>
      </w:r>
    </w:p>
    <w:p w14:paraId="363EE5E3">
      <w:pPr>
        <w:pStyle w:val="16"/>
        <w:spacing w:line="360" w:lineRule="auto"/>
        <w:ind w:left="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2.4质疑的撤回</w:t>
      </w:r>
    </w:p>
    <w:p w14:paraId="06C5F255">
      <w:pPr>
        <w:widowControl/>
        <w:snapToGrid w:val="0"/>
        <w:spacing w:line="480" w:lineRule="exact"/>
        <w:ind w:firstLine="480" w:firstLineChars="200"/>
        <w:rPr>
          <w:rFonts w:hint="eastAsia" w:ascii="仿宋" w:hAnsi="仿宋" w:eastAsia="仿宋" w:cs="仿宋"/>
          <w:color w:val="auto"/>
          <w:kern w:val="0"/>
          <w:sz w:val="24"/>
          <w:highlight w:val="none"/>
        </w:rPr>
      </w:pPr>
      <w:bookmarkStart w:id="82" w:name="_Toc24698"/>
      <w:r>
        <w:rPr>
          <w:rFonts w:hint="eastAsia" w:ascii="仿宋" w:hAnsi="仿宋" w:eastAsia="仿宋" w:cs="仿宋"/>
          <w:color w:val="auto"/>
          <w:kern w:val="0"/>
          <w:sz w:val="24"/>
          <w:highlight w:val="none"/>
        </w:rPr>
        <w:t>供应商可以通过书面形式（或加盖电子公章的数据电文）撤回已经被受理的质疑书。</w:t>
      </w:r>
    </w:p>
    <w:p w14:paraId="44A3937E">
      <w:pPr>
        <w:pStyle w:val="3"/>
        <w:keepNext/>
        <w:keepLines/>
        <w:pageBreakBefore w:val="0"/>
        <w:widowControl w:val="0"/>
        <w:suppressLineNumbers w:val="0"/>
        <w:suppressAutoHyphens w:val="0"/>
        <w:spacing w:line="415" w:lineRule="auto"/>
        <w:rPr>
          <w:rFonts w:hint="eastAsia" w:ascii="仿宋" w:hAnsi="仿宋" w:eastAsia="仿宋" w:cs="仿宋"/>
          <w:color w:val="auto"/>
          <w:highlight w:val="none"/>
        </w:rPr>
      </w:pPr>
      <w:r>
        <w:rPr>
          <w:rFonts w:hint="eastAsia" w:ascii="仿宋" w:hAnsi="仿宋" w:eastAsia="仿宋" w:cs="仿宋"/>
          <w:color w:val="auto"/>
          <w:highlight w:val="none"/>
        </w:rPr>
        <w:t>三、供应商投诉</w:t>
      </w:r>
      <w:bookmarkEnd w:id="82"/>
    </w:p>
    <w:p w14:paraId="151AAC7A">
      <w:pPr>
        <w:widowControl/>
        <w:snapToGrid w:val="0"/>
        <w:spacing w:line="480" w:lineRule="exac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3.1投诉有效期</w:t>
      </w:r>
    </w:p>
    <w:p w14:paraId="30C21B5B">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质疑供应商对采购人、采购代理机构的答复不满意，或者采购人、采购代理机构未在规定时间内作出答复的，可以在答复期满后 15 个工作日内向采购监督部门提起投诉。</w:t>
      </w:r>
    </w:p>
    <w:p w14:paraId="2A94C183">
      <w:pPr>
        <w:widowControl/>
        <w:snapToGrid w:val="0"/>
        <w:spacing w:line="480" w:lineRule="exact"/>
        <w:rPr>
          <w:rFonts w:hint="eastAsia" w:ascii="仿宋" w:hAnsi="仿宋" w:eastAsia="仿宋" w:cs="仿宋"/>
          <w:b/>
          <w:bCs/>
          <w:color w:val="auto"/>
          <w:kern w:val="0"/>
          <w:sz w:val="24"/>
          <w:highlight w:val="none"/>
          <w:u w:val="single"/>
        </w:rPr>
      </w:pPr>
      <w:r>
        <w:rPr>
          <w:rFonts w:hint="eastAsia" w:ascii="仿宋" w:hAnsi="仿宋" w:eastAsia="仿宋" w:cs="仿宋"/>
          <w:b/>
          <w:bCs/>
          <w:color w:val="auto"/>
          <w:kern w:val="0"/>
          <w:sz w:val="24"/>
          <w:highlight w:val="none"/>
          <w:u w:val="single"/>
        </w:rPr>
        <w:t>特别提醒：质疑是投诉的前置程序，供应商必须先质疑后投诉。</w:t>
      </w:r>
    </w:p>
    <w:p w14:paraId="1613DB1E">
      <w:pPr>
        <w:widowControl/>
        <w:snapToGrid w:val="0"/>
        <w:spacing w:line="480" w:lineRule="exac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3.2投诉内容</w:t>
      </w:r>
    </w:p>
    <w:p w14:paraId="2D08598D">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供应商投诉的事项不得超出已质疑事项的范围，但基于质疑答复内容提出的投诉事项除外。</w:t>
      </w:r>
    </w:p>
    <w:p w14:paraId="7292C2EE">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投诉书需包括以下内容：</w:t>
      </w:r>
    </w:p>
    <w:p w14:paraId="3DF3D02D">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（一）投诉人和被投诉人的姓名或者名称、通讯地址、邮编、联系人及联系电话；</w:t>
      </w:r>
    </w:p>
    <w:p w14:paraId="79A75B49">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（二）质疑和质疑答复情况说明及相关证明材料；</w:t>
      </w:r>
    </w:p>
    <w:p w14:paraId="6BC6E802">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（三）具体、明确的投诉事项和与投诉事项相关的投诉请求；</w:t>
      </w:r>
    </w:p>
    <w:p w14:paraId="55462AE2">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（四）事实依据；</w:t>
      </w:r>
    </w:p>
    <w:p w14:paraId="05E07708">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（五）法律依据；</w:t>
      </w:r>
    </w:p>
    <w:p w14:paraId="47B466CB">
      <w:pPr>
        <w:widowControl/>
        <w:snapToGrid w:val="0"/>
        <w:spacing w:line="48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（六）提起投诉的日期。</w:t>
      </w:r>
    </w:p>
    <w:p w14:paraId="5AEC3DB8">
      <w:pPr>
        <w:widowControl/>
        <w:snapToGrid w:val="0"/>
        <w:spacing w:line="48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投诉人为自然人的，应当由本人签字；投诉人为法人或者其他组织的，应当由法定代表人、主要负责人，或者其授权代表签字或者盖章，并加盖公章。</w:t>
      </w:r>
    </w:p>
    <w:p w14:paraId="23E28E03">
      <w:pPr>
        <w:widowControl/>
        <w:snapToGrid w:val="0"/>
        <w:spacing w:line="480" w:lineRule="exact"/>
        <w:rPr>
          <w:rFonts w:hint="eastAsia" w:ascii="仿宋" w:hAnsi="仿宋" w:eastAsia="仿宋" w:cs="仿宋"/>
          <w:color w:val="auto"/>
          <w:kern w:val="0"/>
          <w:sz w:val="24"/>
          <w:highlight w:val="none"/>
        </w:rPr>
      </w:pPr>
    </w:p>
    <w:p w14:paraId="28A617F7">
      <w:pPr>
        <w:widowControl/>
        <w:snapToGrid w:val="0"/>
        <w:spacing w:line="480" w:lineRule="exact"/>
        <w:rPr>
          <w:rFonts w:hint="eastAsia" w:ascii="仿宋" w:hAnsi="仿宋" w:eastAsia="仿宋" w:cs="仿宋"/>
          <w:color w:val="auto"/>
          <w:kern w:val="0"/>
          <w:sz w:val="24"/>
          <w:highlight w:val="none"/>
        </w:rPr>
      </w:pPr>
    </w:p>
    <w:p w14:paraId="5BFD6BBA">
      <w:pPr>
        <w:widowControl/>
        <w:snapToGrid w:val="0"/>
        <w:spacing w:line="480" w:lineRule="exact"/>
        <w:rPr>
          <w:rFonts w:hint="eastAsia" w:ascii="仿宋" w:hAnsi="仿宋" w:eastAsia="仿宋" w:cs="仿宋"/>
          <w:color w:val="auto"/>
          <w:kern w:val="0"/>
          <w:sz w:val="24"/>
          <w:highlight w:val="none"/>
        </w:rPr>
      </w:pPr>
    </w:p>
    <w:p w14:paraId="70686972">
      <w:pPr>
        <w:widowControl/>
        <w:snapToGrid w:val="0"/>
        <w:spacing w:line="480" w:lineRule="exact"/>
        <w:rPr>
          <w:rFonts w:hint="eastAsia" w:ascii="仿宋" w:hAnsi="仿宋" w:eastAsia="仿宋" w:cs="仿宋"/>
          <w:color w:val="auto"/>
          <w:kern w:val="0"/>
          <w:sz w:val="24"/>
          <w:highlight w:val="none"/>
        </w:rPr>
      </w:pPr>
    </w:p>
    <w:p w14:paraId="446109A6">
      <w:pPr>
        <w:widowControl/>
        <w:snapToGrid w:val="0"/>
        <w:spacing w:line="480" w:lineRule="exact"/>
        <w:rPr>
          <w:rFonts w:hint="eastAsia" w:ascii="仿宋" w:hAnsi="仿宋" w:eastAsia="仿宋" w:cs="仿宋"/>
          <w:color w:val="auto"/>
          <w:kern w:val="0"/>
          <w:sz w:val="24"/>
          <w:highlight w:val="none"/>
        </w:rPr>
      </w:pPr>
    </w:p>
    <w:p w14:paraId="01CC2969">
      <w:pPr>
        <w:widowControl/>
        <w:snapToGrid w:val="0"/>
        <w:spacing w:line="480" w:lineRule="exact"/>
        <w:rPr>
          <w:rFonts w:hint="eastAsia" w:ascii="仿宋" w:hAnsi="仿宋" w:eastAsia="仿宋" w:cs="仿宋"/>
          <w:color w:val="auto"/>
          <w:kern w:val="0"/>
          <w:sz w:val="24"/>
          <w:highlight w:val="none"/>
        </w:rPr>
      </w:pPr>
    </w:p>
    <w:p w14:paraId="35772613">
      <w:pPr>
        <w:widowControl/>
        <w:snapToGrid w:val="0"/>
        <w:spacing w:line="480" w:lineRule="exact"/>
        <w:rPr>
          <w:rFonts w:hint="eastAsia" w:ascii="仿宋" w:hAnsi="仿宋" w:eastAsia="仿宋" w:cs="仿宋"/>
          <w:color w:val="auto"/>
          <w:kern w:val="0"/>
          <w:sz w:val="24"/>
          <w:highlight w:val="none"/>
        </w:rPr>
      </w:pPr>
    </w:p>
    <w:p w14:paraId="3A56B5DB">
      <w:pPr>
        <w:widowControl/>
        <w:snapToGrid w:val="0"/>
        <w:spacing w:line="480" w:lineRule="exact"/>
        <w:rPr>
          <w:rFonts w:hint="eastAsia" w:ascii="仿宋" w:hAnsi="仿宋" w:eastAsia="仿宋" w:cs="仿宋"/>
          <w:color w:val="auto"/>
          <w:kern w:val="0"/>
          <w:sz w:val="24"/>
          <w:highlight w:val="none"/>
        </w:rPr>
      </w:pPr>
    </w:p>
    <w:p w14:paraId="7B336B3D">
      <w:pPr>
        <w:widowControl/>
        <w:snapToGrid w:val="0"/>
        <w:spacing w:line="480" w:lineRule="exact"/>
        <w:rPr>
          <w:rFonts w:hint="eastAsia" w:ascii="仿宋" w:hAnsi="仿宋" w:eastAsia="仿宋" w:cs="仿宋"/>
          <w:color w:val="auto"/>
          <w:kern w:val="0"/>
          <w:sz w:val="24"/>
          <w:highlight w:val="none"/>
        </w:rPr>
      </w:pPr>
    </w:p>
    <w:p w14:paraId="67786B73">
      <w:pPr>
        <w:widowControl/>
        <w:snapToGrid w:val="0"/>
        <w:spacing w:line="480" w:lineRule="exact"/>
        <w:rPr>
          <w:rFonts w:hint="eastAsia" w:ascii="仿宋" w:hAnsi="仿宋" w:eastAsia="仿宋" w:cs="仿宋"/>
          <w:color w:val="auto"/>
          <w:kern w:val="0"/>
          <w:sz w:val="24"/>
          <w:highlight w:val="none"/>
        </w:rPr>
      </w:pPr>
    </w:p>
    <w:p w14:paraId="3C0C943E">
      <w:pPr>
        <w:widowControl/>
        <w:snapToGrid w:val="0"/>
        <w:spacing w:line="480" w:lineRule="exact"/>
        <w:rPr>
          <w:rFonts w:hint="eastAsia" w:ascii="仿宋" w:hAnsi="仿宋" w:eastAsia="仿宋" w:cs="仿宋"/>
          <w:color w:val="auto"/>
          <w:kern w:val="0"/>
          <w:sz w:val="24"/>
          <w:highlight w:val="none"/>
        </w:rPr>
      </w:pPr>
    </w:p>
    <w:p w14:paraId="2A1107DB">
      <w:pPr>
        <w:widowControl/>
        <w:snapToGrid w:val="0"/>
        <w:spacing w:line="480" w:lineRule="exact"/>
        <w:rPr>
          <w:rFonts w:hint="eastAsia" w:ascii="仿宋" w:hAnsi="仿宋" w:eastAsia="仿宋" w:cs="仿宋"/>
          <w:color w:val="auto"/>
          <w:kern w:val="0"/>
          <w:sz w:val="24"/>
          <w:highlight w:val="none"/>
        </w:rPr>
      </w:pPr>
    </w:p>
    <w:p w14:paraId="4DF064A7">
      <w:pPr>
        <w:widowControl/>
        <w:snapToGrid w:val="0"/>
        <w:spacing w:line="480" w:lineRule="exact"/>
        <w:rPr>
          <w:rFonts w:hint="eastAsia" w:ascii="仿宋" w:hAnsi="仿宋" w:eastAsia="仿宋" w:cs="仿宋"/>
          <w:color w:val="auto"/>
          <w:kern w:val="0"/>
          <w:sz w:val="24"/>
          <w:highlight w:val="none"/>
        </w:rPr>
      </w:pPr>
    </w:p>
    <w:p w14:paraId="66A14181">
      <w:pPr>
        <w:widowControl/>
        <w:snapToGrid w:val="0"/>
        <w:spacing w:line="480" w:lineRule="exact"/>
        <w:rPr>
          <w:rFonts w:hint="eastAsia" w:ascii="仿宋" w:hAnsi="仿宋" w:eastAsia="仿宋" w:cs="仿宋"/>
          <w:color w:val="auto"/>
          <w:kern w:val="0"/>
          <w:sz w:val="24"/>
          <w:highlight w:val="none"/>
        </w:rPr>
      </w:pPr>
    </w:p>
    <w:p w14:paraId="4C415884">
      <w:pPr>
        <w:widowControl/>
        <w:snapToGrid w:val="0"/>
        <w:spacing w:line="480" w:lineRule="exact"/>
        <w:rPr>
          <w:rFonts w:hint="eastAsia" w:ascii="仿宋" w:hAnsi="仿宋" w:eastAsia="仿宋" w:cs="仿宋"/>
          <w:color w:val="auto"/>
          <w:kern w:val="0"/>
          <w:sz w:val="24"/>
          <w:highlight w:val="none"/>
        </w:rPr>
      </w:pPr>
    </w:p>
    <w:p w14:paraId="065A3955">
      <w:pPr>
        <w:widowControl/>
        <w:snapToGrid w:val="0"/>
        <w:spacing w:line="480" w:lineRule="exact"/>
        <w:rPr>
          <w:rFonts w:hint="eastAsia" w:ascii="仿宋" w:hAnsi="仿宋" w:eastAsia="仿宋" w:cs="仿宋"/>
          <w:color w:val="auto"/>
          <w:kern w:val="0"/>
          <w:sz w:val="24"/>
          <w:highlight w:val="none"/>
        </w:rPr>
      </w:pPr>
    </w:p>
    <w:p w14:paraId="6B0EA4DE">
      <w:pPr>
        <w:widowControl/>
        <w:snapToGrid w:val="0"/>
        <w:spacing w:line="480" w:lineRule="exact"/>
        <w:rPr>
          <w:rFonts w:hint="eastAsia" w:ascii="仿宋" w:hAnsi="仿宋" w:eastAsia="仿宋" w:cs="仿宋"/>
          <w:color w:val="auto"/>
          <w:kern w:val="0"/>
          <w:sz w:val="24"/>
          <w:highlight w:val="none"/>
        </w:rPr>
      </w:pPr>
    </w:p>
    <w:p w14:paraId="68992117">
      <w:pPr>
        <w:widowControl/>
        <w:snapToGrid w:val="0"/>
        <w:spacing w:line="480" w:lineRule="exact"/>
        <w:rPr>
          <w:rFonts w:hint="eastAsia" w:ascii="仿宋" w:hAnsi="仿宋" w:eastAsia="仿宋" w:cs="仿宋"/>
          <w:color w:val="auto"/>
          <w:kern w:val="0"/>
          <w:sz w:val="24"/>
          <w:highlight w:val="none"/>
        </w:rPr>
      </w:pPr>
    </w:p>
    <w:p w14:paraId="1C2A3A72">
      <w:pPr>
        <w:widowControl/>
        <w:snapToGrid w:val="0"/>
        <w:spacing w:line="480" w:lineRule="exact"/>
        <w:rPr>
          <w:rFonts w:hint="eastAsia" w:ascii="仿宋" w:hAnsi="仿宋" w:eastAsia="仿宋" w:cs="仿宋"/>
          <w:color w:val="auto"/>
          <w:kern w:val="0"/>
          <w:sz w:val="24"/>
          <w:highlight w:val="none"/>
        </w:rPr>
      </w:pPr>
    </w:p>
    <w:p w14:paraId="0283E354">
      <w:pPr>
        <w:widowControl/>
        <w:snapToGrid w:val="0"/>
        <w:spacing w:line="480" w:lineRule="exact"/>
        <w:rPr>
          <w:rFonts w:hint="eastAsia" w:ascii="仿宋" w:hAnsi="仿宋" w:eastAsia="仿宋" w:cs="仿宋"/>
          <w:color w:val="auto"/>
          <w:kern w:val="0"/>
          <w:sz w:val="24"/>
          <w:highlight w:val="none"/>
        </w:rPr>
      </w:pPr>
    </w:p>
    <w:p w14:paraId="3EF98BCA">
      <w:pPr>
        <w:widowControl/>
        <w:snapToGrid w:val="0"/>
        <w:spacing w:line="480" w:lineRule="exact"/>
        <w:rPr>
          <w:rFonts w:hint="eastAsia" w:ascii="仿宋" w:hAnsi="仿宋" w:eastAsia="仿宋" w:cs="仿宋"/>
          <w:color w:val="auto"/>
          <w:kern w:val="0"/>
          <w:sz w:val="24"/>
          <w:highlight w:val="none"/>
        </w:rPr>
      </w:pPr>
    </w:p>
    <w:p w14:paraId="3CA8164B">
      <w:pPr>
        <w:widowControl/>
        <w:snapToGrid w:val="0"/>
        <w:spacing w:line="480" w:lineRule="exact"/>
        <w:rPr>
          <w:rFonts w:hint="eastAsia" w:ascii="仿宋" w:hAnsi="仿宋" w:eastAsia="仿宋" w:cs="仿宋"/>
          <w:color w:val="auto"/>
          <w:kern w:val="0"/>
          <w:sz w:val="24"/>
          <w:highlight w:val="none"/>
        </w:rPr>
      </w:pPr>
    </w:p>
    <w:p w14:paraId="5A41684F">
      <w:pPr>
        <w:widowControl/>
        <w:snapToGrid w:val="0"/>
        <w:spacing w:line="480" w:lineRule="exact"/>
        <w:rPr>
          <w:rFonts w:hint="eastAsia" w:ascii="仿宋" w:hAnsi="仿宋" w:eastAsia="仿宋" w:cs="仿宋"/>
          <w:color w:val="auto"/>
          <w:kern w:val="0"/>
          <w:sz w:val="24"/>
          <w:highlight w:val="none"/>
        </w:rPr>
      </w:pPr>
    </w:p>
    <w:p w14:paraId="5D5980AA">
      <w:pPr>
        <w:widowControl/>
        <w:snapToGrid w:val="0"/>
        <w:spacing w:line="480" w:lineRule="exact"/>
        <w:rPr>
          <w:rFonts w:hint="eastAsia" w:ascii="仿宋" w:hAnsi="仿宋" w:eastAsia="仿宋" w:cs="仿宋"/>
          <w:color w:val="auto"/>
          <w:kern w:val="0"/>
          <w:sz w:val="24"/>
          <w:highlight w:val="none"/>
        </w:rPr>
      </w:pPr>
    </w:p>
    <w:p w14:paraId="57B46B2B">
      <w:pPr>
        <w:widowControl/>
        <w:snapToGrid w:val="0"/>
        <w:spacing w:line="480" w:lineRule="exact"/>
        <w:rPr>
          <w:rFonts w:hint="eastAsia" w:ascii="仿宋" w:hAnsi="仿宋" w:eastAsia="仿宋" w:cs="仿宋"/>
          <w:color w:val="auto"/>
          <w:kern w:val="0"/>
          <w:sz w:val="24"/>
          <w:highlight w:val="none"/>
        </w:rPr>
      </w:pPr>
    </w:p>
    <w:p w14:paraId="346BC728">
      <w:pPr>
        <w:widowControl/>
        <w:snapToGrid w:val="0"/>
        <w:spacing w:line="480" w:lineRule="exact"/>
        <w:rPr>
          <w:rFonts w:hint="eastAsia" w:ascii="仿宋" w:hAnsi="仿宋" w:eastAsia="仿宋" w:cs="仿宋"/>
          <w:b/>
          <w:bCs/>
          <w:color w:val="auto"/>
          <w:kern w:val="0"/>
          <w:sz w:val="24"/>
          <w:szCs w:val="24"/>
          <w:highlight w:val="none"/>
        </w:rPr>
      </w:pPr>
    </w:p>
    <w:p w14:paraId="47E22FD2">
      <w:pPr>
        <w:widowControl/>
        <w:snapToGrid w:val="0"/>
        <w:spacing w:line="480" w:lineRule="exac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附件：质疑函范本</w:t>
      </w:r>
    </w:p>
    <w:p w14:paraId="5F684C63">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质疑函</w:t>
      </w:r>
    </w:p>
    <w:p w14:paraId="233F7F57">
      <w:pPr>
        <w:adjustRightInd w:val="0"/>
        <w:snapToGrid w:val="0"/>
        <w:spacing w:before="312" w:beforeLines="100"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一、质疑供应商基本信息</w:t>
      </w:r>
    </w:p>
    <w:p w14:paraId="565EA843">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质疑供应商：</w:t>
      </w:r>
      <w:r>
        <w:rPr>
          <w:rFonts w:hint="eastAsia" w:ascii="仿宋" w:hAnsi="仿宋" w:eastAsia="仿宋" w:cs="仿宋"/>
          <w:color w:val="auto"/>
          <w:sz w:val="24"/>
          <w:szCs w:val="24"/>
          <w:highlight w:val="none"/>
          <w:u w:val="single"/>
        </w:rPr>
        <w:t xml:space="preserve">                                        </w:t>
      </w:r>
    </w:p>
    <w:p w14:paraId="4CB3759F">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single"/>
        </w:rPr>
        <w:t xml:space="preserve">                         </w:t>
      </w:r>
    </w:p>
    <w:p w14:paraId="4F336F48">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p>
    <w:p w14:paraId="65B618E1">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邮箱：</w:t>
      </w:r>
      <w:r>
        <w:rPr>
          <w:rFonts w:hint="eastAsia" w:ascii="仿宋" w:hAnsi="仿宋" w:eastAsia="仿宋" w:cs="仿宋"/>
          <w:color w:val="auto"/>
          <w:sz w:val="24"/>
          <w:szCs w:val="24"/>
          <w:highlight w:val="none"/>
          <w:u w:val="single"/>
        </w:rPr>
        <w:t xml:space="preserve">                                      </w:t>
      </w:r>
    </w:p>
    <w:p w14:paraId="469B1B8E">
      <w:pPr>
        <w:adjustRightInd w:val="0"/>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二、质疑项目基本情况</w:t>
      </w:r>
    </w:p>
    <w:p w14:paraId="4A4BC519">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w:t>
      </w:r>
      <w:r>
        <w:rPr>
          <w:rFonts w:hint="eastAsia" w:ascii="仿宋" w:hAnsi="仿宋" w:eastAsia="仿宋" w:cs="仿宋"/>
          <w:color w:val="auto"/>
          <w:sz w:val="24"/>
          <w:szCs w:val="24"/>
          <w:highlight w:val="none"/>
          <w:u w:val="single"/>
        </w:rPr>
        <w:t xml:space="preserve">                                      </w:t>
      </w:r>
    </w:p>
    <w:p w14:paraId="69AB0C7C">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标项：</w:t>
      </w:r>
      <w:r>
        <w:rPr>
          <w:rFonts w:hint="eastAsia" w:ascii="仿宋" w:hAnsi="仿宋" w:eastAsia="仿宋" w:cs="仿宋"/>
          <w:color w:val="auto"/>
          <w:sz w:val="24"/>
          <w:szCs w:val="24"/>
          <w:highlight w:val="none"/>
          <w:u w:val="single"/>
        </w:rPr>
        <w:t xml:space="preserve">                 </w:t>
      </w:r>
    </w:p>
    <w:p w14:paraId="652B6D29">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u w:val="single"/>
        </w:rPr>
        <w:t xml:space="preserve">                                         </w:t>
      </w:r>
    </w:p>
    <w:p w14:paraId="53AB8AE6">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采购文件获取日期：</w:t>
      </w:r>
      <w:r>
        <w:rPr>
          <w:rFonts w:hint="eastAsia" w:ascii="仿宋" w:hAnsi="仿宋" w:eastAsia="仿宋" w:cs="仿宋"/>
          <w:color w:val="auto"/>
          <w:sz w:val="24"/>
          <w:szCs w:val="24"/>
          <w:highlight w:val="none"/>
          <w:u w:val="single"/>
        </w:rPr>
        <w:t xml:space="preserve">                                           </w:t>
      </w:r>
    </w:p>
    <w:p w14:paraId="1DB09453">
      <w:pPr>
        <w:adjustRightInd w:val="0"/>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三、质疑事项具体内容</w:t>
      </w:r>
    </w:p>
    <w:p w14:paraId="4755D9C5">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质疑事项1：</w:t>
      </w:r>
      <w:r>
        <w:rPr>
          <w:rFonts w:hint="eastAsia" w:ascii="仿宋" w:hAnsi="仿宋" w:eastAsia="仿宋" w:cs="仿宋"/>
          <w:color w:val="auto"/>
          <w:sz w:val="24"/>
          <w:szCs w:val="24"/>
          <w:highlight w:val="none"/>
          <w:u w:val="single"/>
        </w:rPr>
        <w:t xml:space="preserve">                                         </w:t>
      </w:r>
    </w:p>
    <w:p w14:paraId="40A9BF51">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事实依据：</w:t>
      </w:r>
      <w:r>
        <w:rPr>
          <w:rFonts w:hint="eastAsia" w:ascii="仿宋" w:hAnsi="仿宋" w:eastAsia="仿宋" w:cs="仿宋"/>
          <w:color w:val="auto"/>
          <w:sz w:val="24"/>
          <w:szCs w:val="24"/>
          <w:highlight w:val="none"/>
          <w:u w:val="single"/>
        </w:rPr>
        <w:t xml:space="preserve">                                          </w:t>
      </w:r>
    </w:p>
    <w:p w14:paraId="38086C1B">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single"/>
        </w:rPr>
        <w:t xml:space="preserve">                                          </w:t>
      </w:r>
    </w:p>
    <w:p w14:paraId="157332CB">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质疑事项2</w:t>
      </w:r>
    </w:p>
    <w:p w14:paraId="7984BA3F">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7A9ADA8F">
      <w:pPr>
        <w:adjustRightInd w:val="0"/>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四、与质疑事项相关的请求</w:t>
      </w:r>
    </w:p>
    <w:p w14:paraId="31EE3B66">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请求1：</w:t>
      </w:r>
      <w:r>
        <w:rPr>
          <w:rFonts w:hint="eastAsia" w:ascii="仿宋" w:hAnsi="仿宋" w:eastAsia="仿宋" w:cs="仿宋"/>
          <w:color w:val="auto"/>
          <w:sz w:val="24"/>
          <w:szCs w:val="24"/>
          <w:highlight w:val="none"/>
          <w:u w:val="single"/>
        </w:rPr>
        <w:t xml:space="preserve">                                               </w:t>
      </w:r>
    </w:p>
    <w:p w14:paraId="37761EA0">
      <w:pPr>
        <w:adjustRightInd w:val="0"/>
        <w:snapToGrid w:val="0"/>
        <w:spacing w:line="360" w:lineRule="auto"/>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请求2：</w:t>
      </w:r>
      <w:r>
        <w:rPr>
          <w:rFonts w:hint="eastAsia" w:ascii="仿宋" w:hAnsi="仿宋" w:eastAsia="仿宋" w:cs="仿宋"/>
          <w:color w:val="auto"/>
          <w:sz w:val="24"/>
          <w:szCs w:val="24"/>
          <w:highlight w:val="none"/>
          <w:u w:val="single"/>
        </w:rPr>
        <w:t xml:space="preserve">                                            </w:t>
      </w:r>
    </w:p>
    <w:p w14:paraId="52DA4BB0">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1003C7A7">
      <w:pPr>
        <w:adjustRightInd w:val="0"/>
        <w:snapToGri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本公司承诺接受数据电文形式的质疑答复，视为书面答复。</w:t>
      </w:r>
    </w:p>
    <w:p w14:paraId="4221C7E4">
      <w:pPr>
        <w:adjustRightInd w:val="0"/>
        <w:snapToGrid w:val="0"/>
        <w:spacing w:line="360" w:lineRule="auto"/>
        <w:rPr>
          <w:rFonts w:hint="eastAsia" w:ascii="仿宋" w:hAnsi="仿宋" w:eastAsia="仿宋" w:cs="仿宋"/>
          <w:b/>
          <w:bCs/>
          <w:color w:val="auto"/>
          <w:sz w:val="24"/>
          <w:szCs w:val="24"/>
          <w:highlight w:val="none"/>
          <w:u w:val="double"/>
          <w:lang w:eastAsia="zh-CN"/>
        </w:rPr>
      </w:pPr>
      <w:r>
        <w:rPr>
          <w:rFonts w:hint="eastAsia" w:ascii="仿宋" w:hAnsi="仿宋" w:eastAsia="仿宋" w:cs="仿宋"/>
          <w:b/>
          <w:bCs/>
          <w:color w:val="auto"/>
          <w:sz w:val="24"/>
          <w:szCs w:val="24"/>
          <w:highlight w:val="none"/>
          <w:u w:val="double"/>
          <w:lang w:eastAsia="zh-CN"/>
        </w:rPr>
        <w:t>（需附供应商法定代表人的授权委托书，以委托授权代表提出质疑，格式自拟）</w:t>
      </w:r>
    </w:p>
    <w:p w14:paraId="5DA27722">
      <w:pPr>
        <w:adjustRightInd w:val="0"/>
        <w:snapToGrid w:val="0"/>
        <w:spacing w:line="360" w:lineRule="auto"/>
        <w:rPr>
          <w:rFonts w:hint="eastAsia" w:ascii="仿宋" w:hAnsi="仿宋" w:eastAsia="仿宋" w:cs="仿宋"/>
          <w:color w:val="auto"/>
          <w:sz w:val="24"/>
          <w:szCs w:val="24"/>
          <w:highlight w:val="none"/>
          <w:u w:val="dotted"/>
        </w:rPr>
      </w:pPr>
    </w:p>
    <w:p w14:paraId="7F62841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授权代表签字(签章)：                 投标人签章：                      </w:t>
      </w:r>
    </w:p>
    <w:p w14:paraId="070C6BC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w:t>
      </w:r>
    </w:p>
    <w:p w14:paraId="51AEA5FC">
      <w:pPr>
        <w:adjustRightInd w:val="0"/>
        <w:snapToGrid w:val="0"/>
        <w:spacing w:line="360" w:lineRule="auto"/>
        <w:rPr>
          <w:rFonts w:hint="eastAsia" w:ascii="仿宋" w:hAnsi="仿宋" w:eastAsia="仿宋" w:cs="仿宋"/>
          <w:color w:val="auto"/>
          <w:kern w:val="0"/>
          <w:sz w:val="24"/>
          <w:szCs w:val="24"/>
          <w:highlight w:val="none"/>
        </w:rPr>
      </w:pPr>
    </w:p>
    <w:p w14:paraId="3EDBFBA2">
      <w:pPr>
        <w:adjustRightInd w:val="0"/>
        <w:snapToGrid w:val="0"/>
        <w:spacing w:line="360" w:lineRule="auto"/>
        <w:rPr>
          <w:rFonts w:hint="eastAsia" w:ascii="仿宋" w:hAnsi="仿宋" w:eastAsia="仿宋" w:cs="仿宋"/>
          <w:color w:val="auto"/>
          <w:kern w:val="0"/>
          <w:sz w:val="24"/>
          <w:szCs w:val="24"/>
          <w:highlight w:val="none"/>
        </w:rPr>
      </w:pPr>
    </w:p>
    <w:bookmarkEnd w:id="83"/>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F4F04">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14:paraId="2274A933">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14:paraId="5D5EA10E">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1B002">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BDAED">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14:paraId="41FD256E">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85FBF">
    <w:pPr>
      <w:pStyle w:val="19"/>
      <w:pBdr>
        <w:bottom w:val="none" w:color="auto" w:sz="0" w:space="1"/>
      </w:pBdr>
      <w:jc w:val="both"/>
      <w:rPr>
        <w:rFonts w:hint="eastAsia" w:eastAsia="宋体"/>
        <w:u w:val="none"/>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1775F"/>
    <w:multiLevelType w:val="singleLevel"/>
    <w:tmpl w:val="89A1775F"/>
    <w:lvl w:ilvl="0" w:tentative="0">
      <w:start w:val="1"/>
      <w:numFmt w:val="decimal"/>
      <w:suff w:val="nothing"/>
      <w:lvlText w:val="（%1）"/>
      <w:lvlJc w:val="left"/>
    </w:lvl>
  </w:abstractNum>
  <w:abstractNum w:abstractNumId="1">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2">
    <w:nsid w:val="99862FA4"/>
    <w:multiLevelType w:val="singleLevel"/>
    <w:tmpl w:val="99862FA4"/>
    <w:lvl w:ilvl="0" w:tentative="0">
      <w:start w:val="2"/>
      <w:numFmt w:val="decimal"/>
      <w:suff w:val="nothing"/>
      <w:lvlText w:val="%1．"/>
      <w:lvlJc w:val="left"/>
    </w:lvl>
  </w:abstractNum>
  <w:abstractNum w:abstractNumId="3">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4">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39"/>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5">
    <w:nsid w:val="00000002"/>
    <w:multiLevelType w:val="multilevel"/>
    <w:tmpl w:val="00000002"/>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pStyle w:val="33"/>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6">
    <w:nsid w:val="2707A767"/>
    <w:multiLevelType w:val="singleLevel"/>
    <w:tmpl w:val="2707A767"/>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7">
    <w:nsid w:val="2D2F05BA"/>
    <w:multiLevelType w:val="singleLevel"/>
    <w:tmpl w:val="2D2F05BA"/>
    <w:lvl w:ilvl="0" w:tentative="0">
      <w:start w:val="1"/>
      <w:numFmt w:val="chineseCounting"/>
      <w:suff w:val="space"/>
      <w:lvlText w:val="第%1章"/>
      <w:lvlJc w:val="left"/>
      <w:rPr>
        <w:rFonts w:hint="eastAsia"/>
      </w:rPr>
    </w:lvl>
  </w:abstractNum>
  <w:abstractNum w:abstractNumId="8">
    <w:nsid w:val="363D7897"/>
    <w:multiLevelType w:val="multilevel"/>
    <w:tmpl w:val="363D7897"/>
    <w:lvl w:ilvl="0" w:tentative="0">
      <w:start w:val="1"/>
      <w:numFmt w:val="decimal"/>
      <w:pStyle w:val="47"/>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0">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1">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6"/>
  </w:num>
  <w:num w:numId="2">
    <w:abstractNumId w:val="5"/>
  </w:num>
  <w:num w:numId="3">
    <w:abstractNumId w:val="4"/>
  </w:num>
  <w:num w:numId="4">
    <w:abstractNumId w:val="8"/>
  </w:num>
  <w:num w:numId="5">
    <w:abstractNumId w:val="7"/>
  </w:num>
  <w:num w:numId="6">
    <w:abstractNumId w:val="3"/>
  </w:num>
  <w:num w:numId="7">
    <w:abstractNumId w:val="0"/>
  </w:num>
  <w:num w:numId="8">
    <w:abstractNumId w:val="10"/>
  </w:num>
  <w:num w:numId="9">
    <w:abstractNumId w:val="2"/>
  </w:num>
  <w:num w:numId="10">
    <w:abstractNumId w:val="9"/>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useAltKinsokuLineBreakRules/>
    <w:compatSetting w:name="compatibilityMode" w:uri="http://schemas.microsoft.com/office/word" w:val="15"/>
  </w:compat>
  <w:docVars>
    <w:docVar w:name="commondata" w:val="eyJoZGlkIjoiNDExYTI4NGRiMjE3YzZjMzJhMGE3NGQxNjgxMjk5ZWIifQ=="/>
  </w:docVars>
  <w:rsids>
    <w:rsidRoot w:val="00000000"/>
    <w:rsid w:val="002A5627"/>
    <w:rsid w:val="00405C9A"/>
    <w:rsid w:val="00F81728"/>
    <w:rsid w:val="010F7FF3"/>
    <w:rsid w:val="01233CF5"/>
    <w:rsid w:val="015056AB"/>
    <w:rsid w:val="01D8661F"/>
    <w:rsid w:val="03004097"/>
    <w:rsid w:val="030653F3"/>
    <w:rsid w:val="03653EFA"/>
    <w:rsid w:val="038E4E9F"/>
    <w:rsid w:val="03A35E63"/>
    <w:rsid w:val="03BD3D36"/>
    <w:rsid w:val="04284C5D"/>
    <w:rsid w:val="050E1DC6"/>
    <w:rsid w:val="058058AC"/>
    <w:rsid w:val="05C80770"/>
    <w:rsid w:val="069D7E4F"/>
    <w:rsid w:val="07334CB8"/>
    <w:rsid w:val="08D200D0"/>
    <w:rsid w:val="09025EC2"/>
    <w:rsid w:val="096918DF"/>
    <w:rsid w:val="0A125676"/>
    <w:rsid w:val="0A165F4E"/>
    <w:rsid w:val="0A3F75E5"/>
    <w:rsid w:val="0ABB5878"/>
    <w:rsid w:val="0AFD44E7"/>
    <w:rsid w:val="0B015F5D"/>
    <w:rsid w:val="0C1F2AF1"/>
    <w:rsid w:val="0C673A60"/>
    <w:rsid w:val="0C753884"/>
    <w:rsid w:val="0CB11601"/>
    <w:rsid w:val="0CBD4DA7"/>
    <w:rsid w:val="0CCD48BE"/>
    <w:rsid w:val="0D660F9A"/>
    <w:rsid w:val="0D9F502D"/>
    <w:rsid w:val="0DC61566"/>
    <w:rsid w:val="0DCC53EB"/>
    <w:rsid w:val="0DF2282E"/>
    <w:rsid w:val="0E3F0194"/>
    <w:rsid w:val="0E455054"/>
    <w:rsid w:val="0E61454E"/>
    <w:rsid w:val="0E8536A2"/>
    <w:rsid w:val="0F806BAF"/>
    <w:rsid w:val="10F863AD"/>
    <w:rsid w:val="110D3F28"/>
    <w:rsid w:val="116A4F9F"/>
    <w:rsid w:val="11CC65C8"/>
    <w:rsid w:val="11CD7A14"/>
    <w:rsid w:val="124845A6"/>
    <w:rsid w:val="132D7B77"/>
    <w:rsid w:val="13761404"/>
    <w:rsid w:val="139018F9"/>
    <w:rsid w:val="140C364C"/>
    <w:rsid w:val="1417096A"/>
    <w:rsid w:val="14CA1BFF"/>
    <w:rsid w:val="1545494E"/>
    <w:rsid w:val="15542020"/>
    <w:rsid w:val="156F0C08"/>
    <w:rsid w:val="157D1577"/>
    <w:rsid w:val="159B048A"/>
    <w:rsid w:val="164C3341"/>
    <w:rsid w:val="171C4DC0"/>
    <w:rsid w:val="175B754F"/>
    <w:rsid w:val="17C20E04"/>
    <w:rsid w:val="18522621"/>
    <w:rsid w:val="18843D7F"/>
    <w:rsid w:val="188B7807"/>
    <w:rsid w:val="18CC3DA6"/>
    <w:rsid w:val="191B158C"/>
    <w:rsid w:val="19431A7B"/>
    <w:rsid w:val="1A0062D3"/>
    <w:rsid w:val="1A3A17E5"/>
    <w:rsid w:val="1A3B5B39"/>
    <w:rsid w:val="1A7F91E0"/>
    <w:rsid w:val="1AA93733"/>
    <w:rsid w:val="1AB75BA5"/>
    <w:rsid w:val="1B223ED6"/>
    <w:rsid w:val="1B281F85"/>
    <w:rsid w:val="1B912A8E"/>
    <w:rsid w:val="1B922910"/>
    <w:rsid w:val="1BC73E2B"/>
    <w:rsid w:val="1C1477D8"/>
    <w:rsid w:val="1C737230"/>
    <w:rsid w:val="1C8B43C0"/>
    <w:rsid w:val="1CF35F62"/>
    <w:rsid w:val="1D8F1E47"/>
    <w:rsid w:val="1D9C4FE8"/>
    <w:rsid w:val="1DA022A7"/>
    <w:rsid w:val="1DF77238"/>
    <w:rsid w:val="1E130802"/>
    <w:rsid w:val="1E917EFC"/>
    <w:rsid w:val="1EA374D2"/>
    <w:rsid w:val="1EE937D9"/>
    <w:rsid w:val="1EF33ABA"/>
    <w:rsid w:val="1F751511"/>
    <w:rsid w:val="1FDB1F40"/>
    <w:rsid w:val="20164B52"/>
    <w:rsid w:val="202C1BA1"/>
    <w:rsid w:val="20D26C96"/>
    <w:rsid w:val="20EC75B1"/>
    <w:rsid w:val="20FE7A8B"/>
    <w:rsid w:val="219E1A02"/>
    <w:rsid w:val="21BC7F82"/>
    <w:rsid w:val="23044B6F"/>
    <w:rsid w:val="23047BC6"/>
    <w:rsid w:val="23BF4B9C"/>
    <w:rsid w:val="23E8163D"/>
    <w:rsid w:val="24523BCF"/>
    <w:rsid w:val="24822706"/>
    <w:rsid w:val="24982977"/>
    <w:rsid w:val="24CA7C09"/>
    <w:rsid w:val="25103294"/>
    <w:rsid w:val="25AF0888"/>
    <w:rsid w:val="263661FB"/>
    <w:rsid w:val="26396DF4"/>
    <w:rsid w:val="26A2056C"/>
    <w:rsid w:val="27930786"/>
    <w:rsid w:val="28AA222B"/>
    <w:rsid w:val="294C12D8"/>
    <w:rsid w:val="298E3F12"/>
    <w:rsid w:val="299C3663"/>
    <w:rsid w:val="29FC5FD7"/>
    <w:rsid w:val="2A1B4A63"/>
    <w:rsid w:val="2A356D27"/>
    <w:rsid w:val="2A94050F"/>
    <w:rsid w:val="2B3C1135"/>
    <w:rsid w:val="2BC576F6"/>
    <w:rsid w:val="2C43682A"/>
    <w:rsid w:val="2C587AAB"/>
    <w:rsid w:val="2CFC5020"/>
    <w:rsid w:val="2E4C30B4"/>
    <w:rsid w:val="2E831BD3"/>
    <w:rsid w:val="2E9C2616"/>
    <w:rsid w:val="2EBB7762"/>
    <w:rsid w:val="2ED33BDD"/>
    <w:rsid w:val="2EE96B95"/>
    <w:rsid w:val="2EF04710"/>
    <w:rsid w:val="2FFA4434"/>
    <w:rsid w:val="30641F7A"/>
    <w:rsid w:val="30F1797F"/>
    <w:rsid w:val="316867E0"/>
    <w:rsid w:val="31E542D4"/>
    <w:rsid w:val="323527BC"/>
    <w:rsid w:val="326671A8"/>
    <w:rsid w:val="33115877"/>
    <w:rsid w:val="335F2275"/>
    <w:rsid w:val="340311E4"/>
    <w:rsid w:val="342626D8"/>
    <w:rsid w:val="343A05A5"/>
    <w:rsid w:val="343D57A7"/>
    <w:rsid w:val="34544CF6"/>
    <w:rsid w:val="34A93637"/>
    <w:rsid w:val="356E638F"/>
    <w:rsid w:val="35944404"/>
    <w:rsid w:val="35CC4F53"/>
    <w:rsid w:val="364424C3"/>
    <w:rsid w:val="36FB486C"/>
    <w:rsid w:val="3776777C"/>
    <w:rsid w:val="37E40B8A"/>
    <w:rsid w:val="385F1093"/>
    <w:rsid w:val="38C14902"/>
    <w:rsid w:val="391815C9"/>
    <w:rsid w:val="396B7EF6"/>
    <w:rsid w:val="39DD11D9"/>
    <w:rsid w:val="3A5F7E3C"/>
    <w:rsid w:val="3B5F8EAF"/>
    <w:rsid w:val="3B765F9D"/>
    <w:rsid w:val="3BCB62E9"/>
    <w:rsid w:val="3BCD5481"/>
    <w:rsid w:val="3C5B588C"/>
    <w:rsid w:val="3D351EEC"/>
    <w:rsid w:val="3D48434D"/>
    <w:rsid w:val="3D68010F"/>
    <w:rsid w:val="3D757E12"/>
    <w:rsid w:val="3D77F157"/>
    <w:rsid w:val="3D8E0BF2"/>
    <w:rsid w:val="3DB462B6"/>
    <w:rsid w:val="3E200EB1"/>
    <w:rsid w:val="3F5B0B3F"/>
    <w:rsid w:val="3FB45D1C"/>
    <w:rsid w:val="410A78B3"/>
    <w:rsid w:val="41207DEE"/>
    <w:rsid w:val="414508EB"/>
    <w:rsid w:val="420405FD"/>
    <w:rsid w:val="4256763B"/>
    <w:rsid w:val="426469F4"/>
    <w:rsid w:val="42680D6B"/>
    <w:rsid w:val="443F2A4E"/>
    <w:rsid w:val="44A818BD"/>
    <w:rsid w:val="44BA339E"/>
    <w:rsid w:val="44BE3CB9"/>
    <w:rsid w:val="455B7BD7"/>
    <w:rsid w:val="4568104C"/>
    <w:rsid w:val="45845F4C"/>
    <w:rsid w:val="45D264C6"/>
    <w:rsid w:val="46AB193D"/>
    <w:rsid w:val="46D729A5"/>
    <w:rsid w:val="46EA51C7"/>
    <w:rsid w:val="473A7D4B"/>
    <w:rsid w:val="476B4E24"/>
    <w:rsid w:val="47B10A89"/>
    <w:rsid w:val="48152406"/>
    <w:rsid w:val="482A6D9A"/>
    <w:rsid w:val="483A58FA"/>
    <w:rsid w:val="48403BBB"/>
    <w:rsid w:val="48531BE9"/>
    <w:rsid w:val="48541414"/>
    <w:rsid w:val="48591494"/>
    <w:rsid w:val="4979723C"/>
    <w:rsid w:val="49E862B8"/>
    <w:rsid w:val="49FC7FB5"/>
    <w:rsid w:val="4A6F4C2B"/>
    <w:rsid w:val="4B2832DF"/>
    <w:rsid w:val="4BAA3A61"/>
    <w:rsid w:val="4D527243"/>
    <w:rsid w:val="4D7D140D"/>
    <w:rsid w:val="4DED4BFE"/>
    <w:rsid w:val="4EB75081"/>
    <w:rsid w:val="4FAE3B00"/>
    <w:rsid w:val="4FC36C7C"/>
    <w:rsid w:val="502D0652"/>
    <w:rsid w:val="50393DA6"/>
    <w:rsid w:val="50BB2978"/>
    <w:rsid w:val="50C225C9"/>
    <w:rsid w:val="50F76284"/>
    <w:rsid w:val="51095E03"/>
    <w:rsid w:val="514E19D5"/>
    <w:rsid w:val="52145F74"/>
    <w:rsid w:val="524B1ADA"/>
    <w:rsid w:val="527F1783"/>
    <w:rsid w:val="52BB4A50"/>
    <w:rsid w:val="53280F63"/>
    <w:rsid w:val="53802D86"/>
    <w:rsid w:val="538708F0"/>
    <w:rsid w:val="54300F87"/>
    <w:rsid w:val="545A24A8"/>
    <w:rsid w:val="54963C63"/>
    <w:rsid w:val="553152CF"/>
    <w:rsid w:val="558C61FC"/>
    <w:rsid w:val="55A0038E"/>
    <w:rsid w:val="55BA66A9"/>
    <w:rsid w:val="55CE00CF"/>
    <w:rsid w:val="55F04E72"/>
    <w:rsid w:val="564231F4"/>
    <w:rsid w:val="56FA60FC"/>
    <w:rsid w:val="5767596B"/>
    <w:rsid w:val="579655A5"/>
    <w:rsid w:val="57A27A35"/>
    <w:rsid w:val="5814471C"/>
    <w:rsid w:val="58795E50"/>
    <w:rsid w:val="58A61818"/>
    <w:rsid w:val="58BA6694"/>
    <w:rsid w:val="58C24642"/>
    <w:rsid w:val="59C13398"/>
    <w:rsid w:val="5A1C0A47"/>
    <w:rsid w:val="5A843E47"/>
    <w:rsid w:val="5A852DDB"/>
    <w:rsid w:val="5B0824F2"/>
    <w:rsid w:val="5B1C5C1B"/>
    <w:rsid w:val="5B691F89"/>
    <w:rsid w:val="5B90068A"/>
    <w:rsid w:val="5C312C71"/>
    <w:rsid w:val="5C957F91"/>
    <w:rsid w:val="5CD8555F"/>
    <w:rsid w:val="5D0D6309"/>
    <w:rsid w:val="5D284EF1"/>
    <w:rsid w:val="5E084D23"/>
    <w:rsid w:val="5E524518"/>
    <w:rsid w:val="5EDF3D92"/>
    <w:rsid w:val="608C39E9"/>
    <w:rsid w:val="60A71781"/>
    <w:rsid w:val="60B82FE3"/>
    <w:rsid w:val="61CE3B8D"/>
    <w:rsid w:val="621E2D67"/>
    <w:rsid w:val="621F273B"/>
    <w:rsid w:val="62235D99"/>
    <w:rsid w:val="6226148A"/>
    <w:rsid w:val="62850519"/>
    <w:rsid w:val="62D82F16"/>
    <w:rsid w:val="62E6604F"/>
    <w:rsid w:val="639130C5"/>
    <w:rsid w:val="63F23558"/>
    <w:rsid w:val="643B5E02"/>
    <w:rsid w:val="64D12312"/>
    <w:rsid w:val="65647860"/>
    <w:rsid w:val="65763BDC"/>
    <w:rsid w:val="65D51CF6"/>
    <w:rsid w:val="666C3245"/>
    <w:rsid w:val="668A2F6D"/>
    <w:rsid w:val="66A5285D"/>
    <w:rsid w:val="66B32709"/>
    <w:rsid w:val="66B47C92"/>
    <w:rsid w:val="66B94E0C"/>
    <w:rsid w:val="675E1586"/>
    <w:rsid w:val="679F1FBD"/>
    <w:rsid w:val="67F0692D"/>
    <w:rsid w:val="68041EA0"/>
    <w:rsid w:val="686C5E08"/>
    <w:rsid w:val="68A20250"/>
    <w:rsid w:val="68B4267B"/>
    <w:rsid w:val="68BD19FF"/>
    <w:rsid w:val="693A5826"/>
    <w:rsid w:val="69624F19"/>
    <w:rsid w:val="6972446D"/>
    <w:rsid w:val="69894F6A"/>
    <w:rsid w:val="69BD4C13"/>
    <w:rsid w:val="6A88233D"/>
    <w:rsid w:val="6A8B3798"/>
    <w:rsid w:val="6ACA7D81"/>
    <w:rsid w:val="6ACD4147"/>
    <w:rsid w:val="6B120F8F"/>
    <w:rsid w:val="6B1B7E43"/>
    <w:rsid w:val="6B601CFA"/>
    <w:rsid w:val="6B6E01BF"/>
    <w:rsid w:val="6C316E88"/>
    <w:rsid w:val="6C6F7383"/>
    <w:rsid w:val="6CD97B8D"/>
    <w:rsid w:val="6D115714"/>
    <w:rsid w:val="6D374F86"/>
    <w:rsid w:val="6D5E733D"/>
    <w:rsid w:val="6DDF7187"/>
    <w:rsid w:val="6E8E30AF"/>
    <w:rsid w:val="6F2946B6"/>
    <w:rsid w:val="6F4D6671"/>
    <w:rsid w:val="6F4D6A39"/>
    <w:rsid w:val="6F750E90"/>
    <w:rsid w:val="6FAC3760"/>
    <w:rsid w:val="6FC1421C"/>
    <w:rsid w:val="6FDD7DBD"/>
    <w:rsid w:val="6FE85DAF"/>
    <w:rsid w:val="702013BB"/>
    <w:rsid w:val="70626515"/>
    <w:rsid w:val="712F5307"/>
    <w:rsid w:val="71333A0D"/>
    <w:rsid w:val="71751460"/>
    <w:rsid w:val="718F2DF7"/>
    <w:rsid w:val="720E0702"/>
    <w:rsid w:val="720F6228"/>
    <w:rsid w:val="724C2FD8"/>
    <w:rsid w:val="725F674C"/>
    <w:rsid w:val="72BB1F0C"/>
    <w:rsid w:val="72F0605A"/>
    <w:rsid w:val="73221F8B"/>
    <w:rsid w:val="733E5017"/>
    <w:rsid w:val="73886E83"/>
    <w:rsid w:val="739B0D6D"/>
    <w:rsid w:val="73B91B51"/>
    <w:rsid w:val="73CC6ED6"/>
    <w:rsid w:val="73DC07FC"/>
    <w:rsid w:val="74755C2F"/>
    <w:rsid w:val="74793E2D"/>
    <w:rsid w:val="74A4534E"/>
    <w:rsid w:val="74DC60D9"/>
    <w:rsid w:val="75095E65"/>
    <w:rsid w:val="75416FA7"/>
    <w:rsid w:val="75A719AB"/>
    <w:rsid w:val="75DA6862"/>
    <w:rsid w:val="76E96B39"/>
    <w:rsid w:val="76F66DC1"/>
    <w:rsid w:val="77B46856"/>
    <w:rsid w:val="77E74B0A"/>
    <w:rsid w:val="7AAC6418"/>
    <w:rsid w:val="7AD62C51"/>
    <w:rsid w:val="7B33733F"/>
    <w:rsid w:val="7B440A55"/>
    <w:rsid w:val="7B95154C"/>
    <w:rsid w:val="7BAC49F6"/>
    <w:rsid w:val="7BEA4DFC"/>
    <w:rsid w:val="7BFA3AA5"/>
    <w:rsid w:val="7C4B26EC"/>
    <w:rsid w:val="7CCB254C"/>
    <w:rsid w:val="7D2C7C8E"/>
    <w:rsid w:val="7D3312A7"/>
    <w:rsid w:val="7D9D2809"/>
    <w:rsid w:val="7DD42E2F"/>
    <w:rsid w:val="7DD50C28"/>
    <w:rsid w:val="7DD8051E"/>
    <w:rsid w:val="7E412340"/>
    <w:rsid w:val="7E8A4F78"/>
    <w:rsid w:val="7EAF6DC9"/>
    <w:rsid w:val="7EB048EF"/>
    <w:rsid w:val="7FA12A31"/>
    <w:rsid w:val="7FF7D216"/>
    <w:rsid w:val="E877084B"/>
    <w:rsid w:val="FAA792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8">
    <w:name w:val="Default Paragraph Font"/>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6">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semiHidden/>
    <w:unhideWhenUsed/>
    <w:qFormat/>
    <w:uiPriority w:val="99"/>
    <w:pPr>
      <w:spacing w:after="120"/>
    </w:pPr>
  </w:style>
  <w:style w:type="paragraph" w:styleId="13">
    <w:name w:val="Body Text Indent"/>
    <w:basedOn w:val="1"/>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toc 5"/>
    <w:basedOn w:val="1"/>
    <w:next w:val="1"/>
    <w:qFormat/>
    <w:uiPriority w:val="0"/>
    <w:pPr>
      <w:ind w:left="1680"/>
    </w:pPr>
  </w:style>
  <w:style w:type="paragraph" w:styleId="15">
    <w:name w:val="toc 3"/>
    <w:basedOn w:val="1"/>
    <w:next w:val="1"/>
    <w:qFormat/>
    <w:uiPriority w:val="0"/>
    <w:pPr>
      <w:ind w:left="840"/>
    </w:pPr>
  </w:style>
  <w:style w:type="paragraph" w:styleId="16">
    <w:name w:val="Plain Text"/>
    <w:basedOn w:val="1"/>
    <w:qFormat/>
    <w:uiPriority w:val="0"/>
    <w:pPr>
      <w:widowControl w:val="0"/>
      <w:jc w:val="both"/>
    </w:pPr>
    <w:rPr>
      <w:rFonts w:ascii="宋体" w:hAnsi="Times New Roman" w:eastAsia="宋体" w:cs="Times New Roman"/>
      <w:kern w:val="2"/>
      <w:sz w:val="21"/>
      <w:szCs w:val="20"/>
      <w:lang w:val="en-US" w:eastAsia="zh-CN" w:bidi="ar-SA"/>
    </w:rPr>
  </w:style>
  <w:style w:type="paragraph" w:styleId="17">
    <w:name w:val="Date"/>
    <w:basedOn w:val="1"/>
    <w:next w:val="1"/>
    <w:qFormat/>
    <w:uiPriority w:val="0"/>
    <w:pPr>
      <w:ind w:left="2500" w:leftChars="2500"/>
    </w:pPr>
  </w:style>
  <w:style w:type="paragraph" w:styleId="18">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0"/>
  </w:style>
  <w:style w:type="paragraph" w:styleId="21">
    <w:name w:val="toc 4"/>
    <w:basedOn w:val="1"/>
    <w:next w:val="1"/>
    <w:qFormat/>
    <w:uiPriority w:val="0"/>
    <w:pPr>
      <w:ind w:left="1260"/>
    </w:pPr>
  </w:style>
  <w:style w:type="paragraph" w:styleId="22">
    <w:name w:val="toc 2"/>
    <w:basedOn w:val="1"/>
    <w:next w:val="1"/>
    <w:qFormat/>
    <w:uiPriority w:val="0"/>
    <w:pPr>
      <w:ind w:left="420"/>
    </w:pPr>
  </w:style>
  <w:style w:type="paragraph" w:styleId="23">
    <w:name w:val="Normal (Web)"/>
    <w:basedOn w:val="1"/>
    <w:qFormat/>
    <w:uiPriority w:val="0"/>
    <w:rPr>
      <w:sz w:val="24"/>
    </w:rPr>
  </w:style>
  <w:style w:type="paragraph" w:styleId="24">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5">
    <w:name w:val="annotation subject"/>
    <w:basedOn w:val="10"/>
    <w:next w:val="10"/>
    <w:qFormat/>
    <w:uiPriority w:val="0"/>
    <w:rPr>
      <w:b/>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rPr>
  </w:style>
  <w:style w:type="character" w:styleId="30">
    <w:name w:val="page number"/>
    <w:basedOn w:val="28"/>
    <w:qFormat/>
    <w:uiPriority w:val="0"/>
  </w:style>
  <w:style w:type="character" w:styleId="31">
    <w:name w:val="FollowedHyperlink"/>
    <w:basedOn w:val="28"/>
    <w:qFormat/>
    <w:uiPriority w:val="0"/>
    <w:rPr>
      <w:color w:val="800080"/>
      <w:u w:val="single"/>
    </w:rPr>
  </w:style>
  <w:style w:type="character" w:styleId="32">
    <w:name w:val="Hyperlink"/>
    <w:qFormat/>
    <w:uiPriority w:val="0"/>
    <w:rPr>
      <w:color w:val="0000FF"/>
      <w:u w:val="single"/>
    </w:rPr>
  </w:style>
  <w:style w:type="paragraph" w:customStyle="1" w:styleId="33">
    <w:name w:val="首行缩进"/>
    <w:basedOn w:val="1"/>
    <w:qFormat/>
    <w:uiPriority w:val="0"/>
    <w:pPr>
      <w:widowControl/>
      <w:numPr>
        <w:ilvl w:val="6"/>
        <w:numId w:val="2"/>
      </w:numPr>
      <w:tabs>
        <w:tab w:val="left" w:pos="360"/>
        <w:tab w:val="left" w:pos="822"/>
      </w:tabs>
      <w:snapToGrid w:val="0"/>
      <w:spacing w:before="40" w:after="40" w:line="300" w:lineRule="atLeast"/>
    </w:pPr>
    <w:rPr>
      <w:rFonts w:ascii="Arial" w:hAnsi="Arial"/>
    </w:rPr>
  </w:style>
  <w:style w:type="paragraph" w:customStyle="1" w:styleId="34">
    <w:name w:val="Default"/>
    <w:next w:val="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5">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36">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7">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8">
    <w:name w:val="正文文字 7"/>
    <w:basedOn w:val="1"/>
    <w:next w:val="1"/>
    <w:qFormat/>
    <w:uiPriority w:val="0"/>
    <w:pPr>
      <w:ind w:left="240"/>
    </w:pPr>
    <w:rPr>
      <w:sz w:val="20"/>
    </w:rPr>
  </w:style>
  <w:style w:type="paragraph" w:customStyle="1" w:styleId="39">
    <w:name w:val="正文文字 8"/>
    <w:basedOn w:val="1"/>
    <w:next w:val="1"/>
    <w:qFormat/>
    <w:uiPriority w:val="0"/>
    <w:pPr>
      <w:numPr>
        <w:ilvl w:val="1"/>
        <w:numId w:val="3"/>
      </w:numPr>
      <w:ind w:left="805"/>
    </w:pPr>
    <w:rPr>
      <w:sz w:val="16"/>
    </w:rPr>
  </w:style>
  <w:style w:type="paragraph" w:customStyle="1" w:styleId="40">
    <w:name w:val="列出段落1"/>
    <w:next w:val="38"/>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41">
    <w:name w:val="样式5"/>
    <w:next w:val="39"/>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43">
    <w:name w:val="Table Normal"/>
    <w:semiHidden/>
    <w:unhideWhenUsed/>
    <w:qFormat/>
    <w:uiPriority w:val="0"/>
    <w:tblPr>
      <w:tblCellMar>
        <w:top w:w="0" w:type="dxa"/>
        <w:left w:w="0" w:type="dxa"/>
        <w:bottom w:w="0" w:type="dxa"/>
        <w:right w:w="0" w:type="dxa"/>
      </w:tblCellMar>
    </w:tblPr>
  </w:style>
  <w:style w:type="paragraph" w:customStyle="1" w:styleId="44">
    <w:name w:val="UserStyle_0"/>
    <w:qFormat/>
    <w:uiPriority w:val="0"/>
    <w:pPr>
      <w:textAlignment w:val="baseline"/>
    </w:pPr>
    <w:rPr>
      <w:rFonts w:ascii="仿宋" w:hAnsi="仿宋" w:eastAsia="仿宋" w:cs="Times New Roman"/>
      <w:color w:val="000000"/>
      <w:sz w:val="24"/>
      <w:szCs w:val="24"/>
      <w:lang w:val="en-US" w:eastAsia="zh-CN" w:bidi="ar-SA"/>
    </w:rPr>
  </w:style>
  <w:style w:type="paragraph" w:customStyle="1" w:styleId="45">
    <w:name w:val="2 标题"/>
    <w:basedOn w:val="3"/>
    <w:next w:val="12"/>
    <w:qFormat/>
    <w:uiPriority w:val="0"/>
    <w:rPr>
      <w:rFonts w:ascii="Cambria" w:hAnsi="Cambria" w:eastAsia="宋体" w:cs="Times New Roman"/>
      <w:sz w:val="30"/>
    </w:rPr>
  </w:style>
  <w:style w:type="paragraph" w:customStyle="1" w:styleId="46">
    <w:name w:val="正文1"/>
    <w:basedOn w:val="1"/>
    <w:qFormat/>
    <w:uiPriority w:val="0"/>
    <w:pPr>
      <w:spacing w:line="360" w:lineRule="auto"/>
      <w:ind w:firstLine="420"/>
    </w:pPr>
    <w:rPr>
      <w:rFonts w:ascii="宋体" w:hAnsi="宋体" w:eastAsia="仿宋_GB2312" w:cstheme="minorBidi"/>
      <w:sz w:val="24"/>
      <w:szCs w:val="21"/>
    </w:rPr>
  </w:style>
  <w:style w:type="paragraph" w:customStyle="1" w:styleId="47">
    <w:name w:val="1标题"/>
    <w:basedOn w:val="2"/>
    <w:next w:val="12"/>
    <w:qFormat/>
    <w:uiPriority w:val="0"/>
    <w:pPr>
      <w:keepNext w:val="0"/>
      <w:numPr>
        <w:ilvl w:val="0"/>
        <w:numId w:val="4"/>
      </w:numPr>
      <w:spacing w:after="20"/>
    </w:pPr>
    <w:rPr>
      <w:sz w:val="36"/>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61</Pages>
  <Words>361</Words>
  <Characters>400</Characters>
  <Lines>1498</Lines>
  <Paragraphs>801</Paragraphs>
  <TotalTime>6</TotalTime>
  <ScaleCrop>false</ScaleCrop>
  <LinksUpToDate>false</LinksUpToDate>
  <CharactersWithSpaces>434</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2020-01-03T15:28:00Z</dcterms:created>
  <dc:creator>admin8</dc:creator>
  <cp:lastModifiedBy>395</cp:lastModifiedBy>
  <cp:lastPrinted>2020-02-28T11:07:00Z</cp:lastPrinted>
  <dcterms:modified xsi:type="dcterms:W3CDTF">2025-07-11T00:45:24Z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5B961921D61941118EE3F72294C7D076_13</vt:lpwstr>
  </property>
  <property fmtid="{D5CDD505-2E9C-101B-9397-08002B2CF9AE}" pid="4" name="KSOTemplateDocerSaveRecord">
    <vt:lpwstr>eyJoZGlkIjoiNzdhNmM0NDA0OGM1OWYwNzJjNjNiODUxNDgyMDA4ZjkiLCJ1c2VySWQiOiIzNTUwNzQxNTQifQ==</vt:lpwstr>
  </property>
</Properties>
</file>