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BC2D1">
      <w:pPr>
        <w:shd w:val="clear"/>
        <w:spacing w:line="360" w:lineRule="auto"/>
        <w:jc w:val="center"/>
        <w:rPr>
          <w:rFonts w:ascii="宋体" w:hAnsi="宋体" w:cs="仿宋"/>
          <w:b/>
          <w:color w:val="auto"/>
          <w:sz w:val="24"/>
          <w:highlight w:val="none"/>
        </w:rPr>
      </w:pPr>
      <w:bookmarkStart w:id="486" w:name="_GoBack"/>
    </w:p>
    <w:p w14:paraId="4AA183FD">
      <w:pPr>
        <w:shd w:val="clear"/>
        <w:adjustRightInd/>
        <w:spacing w:line="360" w:lineRule="auto"/>
        <w:rPr>
          <w:rFonts w:ascii="宋体" w:hAnsi="宋体" w:cs="仿宋"/>
          <w:b/>
          <w:color w:val="auto"/>
          <w:sz w:val="44"/>
          <w:szCs w:val="44"/>
          <w:highlight w:val="none"/>
        </w:rPr>
      </w:pPr>
    </w:p>
    <w:p w14:paraId="0DC606F8">
      <w:pPr>
        <w:shd w:val="clear"/>
        <w:spacing w:line="360" w:lineRule="auto"/>
        <w:jc w:val="center"/>
        <w:rPr>
          <w:rFonts w:ascii="宋体" w:hAnsi="宋体" w:cs="仿宋"/>
          <w:b/>
          <w:color w:val="auto"/>
          <w:sz w:val="40"/>
          <w:szCs w:val="40"/>
          <w:highlight w:val="none"/>
        </w:rPr>
      </w:pPr>
      <w:bookmarkStart w:id="0" w:name="OLE_LINK15"/>
      <w:bookmarkStart w:id="1" w:name="OLE_LINK14"/>
      <w:r>
        <w:rPr>
          <w:rFonts w:hint="eastAsia" w:ascii="宋体" w:hAnsi="宋体" w:cs="仿宋"/>
          <w:b/>
          <w:color w:val="auto"/>
          <w:sz w:val="40"/>
          <w:szCs w:val="40"/>
          <w:highlight w:val="none"/>
        </w:rPr>
        <w:t>2025-2027年嵊州市公共投资建设项目造价咨询</w:t>
      </w:r>
    </w:p>
    <w:p w14:paraId="3F59D93D">
      <w:pPr>
        <w:shd w:val="clear"/>
        <w:spacing w:line="360" w:lineRule="auto"/>
        <w:jc w:val="center"/>
        <w:rPr>
          <w:rFonts w:ascii="宋体" w:hAnsi="宋体" w:cs="仿宋"/>
          <w:b/>
          <w:color w:val="auto"/>
          <w:sz w:val="40"/>
          <w:szCs w:val="40"/>
          <w:highlight w:val="none"/>
        </w:rPr>
      </w:pPr>
      <w:r>
        <w:rPr>
          <w:rFonts w:hint="eastAsia" w:ascii="宋体" w:hAnsi="宋体" w:cs="仿宋"/>
          <w:b/>
          <w:color w:val="auto"/>
          <w:sz w:val="40"/>
          <w:szCs w:val="40"/>
          <w:highlight w:val="none"/>
        </w:rPr>
        <w:t>服务框架协议采购项目（封闭式）</w:t>
      </w:r>
      <w:bookmarkEnd w:id="0"/>
    </w:p>
    <w:bookmarkEnd w:id="1"/>
    <w:p w14:paraId="11B3C8E4">
      <w:pPr>
        <w:shd w:val="clear"/>
        <w:spacing w:line="360" w:lineRule="auto"/>
        <w:jc w:val="center"/>
        <w:rPr>
          <w:rFonts w:hint="default" w:ascii="宋体" w:hAnsi="宋体" w:eastAsia="宋体" w:cs="仿宋"/>
          <w:b/>
          <w:color w:val="auto"/>
          <w:sz w:val="44"/>
          <w:szCs w:val="44"/>
          <w:highlight w:val="none"/>
          <w:lang w:val="en-US" w:eastAsia="zh-CN"/>
        </w:rPr>
      </w:pPr>
      <w:r>
        <w:rPr>
          <w:rFonts w:hint="eastAsia" w:ascii="宋体" w:hAnsi="宋体" w:cs="仿宋"/>
          <w:color w:val="auto"/>
          <w:sz w:val="30"/>
          <w:szCs w:val="30"/>
          <w:highlight w:val="none"/>
        </w:rPr>
        <w:t>项目编号: ZJTY2025-J-</w:t>
      </w:r>
      <w:r>
        <w:rPr>
          <w:rFonts w:hint="eastAsia" w:ascii="宋体" w:hAnsi="宋体" w:cs="仿宋"/>
          <w:color w:val="auto"/>
          <w:sz w:val="30"/>
          <w:szCs w:val="30"/>
          <w:highlight w:val="none"/>
          <w:lang w:val="en-US" w:eastAsia="zh-CN"/>
        </w:rPr>
        <w:t>132</w:t>
      </w:r>
    </w:p>
    <w:p w14:paraId="06A939C6">
      <w:pPr>
        <w:shd w:val="clear"/>
        <w:spacing w:line="360" w:lineRule="auto"/>
        <w:jc w:val="center"/>
        <w:rPr>
          <w:rFonts w:ascii="宋体" w:hAnsi="宋体" w:cs="仿宋"/>
          <w:b/>
          <w:color w:val="auto"/>
          <w:sz w:val="44"/>
          <w:szCs w:val="44"/>
          <w:highlight w:val="none"/>
        </w:rPr>
      </w:pPr>
    </w:p>
    <w:p w14:paraId="54DEA2D3">
      <w:pPr>
        <w:shd w:val="clear"/>
        <w:jc w:val="center"/>
        <w:outlineLvl w:val="0"/>
        <w:rPr>
          <w:rFonts w:ascii="宋体" w:hAnsi="宋体" w:cs="仿宋"/>
          <w:b/>
          <w:color w:val="auto"/>
          <w:sz w:val="56"/>
          <w:szCs w:val="56"/>
          <w:highlight w:val="none"/>
        </w:rPr>
      </w:pPr>
      <w:r>
        <w:rPr>
          <w:rFonts w:hint="eastAsia" w:ascii="宋体" w:hAnsi="宋体" w:cs="仿宋"/>
          <w:b/>
          <w:color w:val="auto"/>
          <w:sz w:val="56"/>
          <w:szCs w:val="56"/>
          <w:highlight w:val="none"/>
        </w:rPr>
        <w:t>公开征集文件</w:t>
      </w:r>
    </w:p>
    <w:p w14:paraId="0F64063A">
      <w:pPr>
        <w:pStyle w:val="2"/>
        <w:shd w:val="clear"/>
        <w:ind w:left="0" w:firstLine="0"/>
        <w:rPr>
          <w:rFonts w:ascii="宋体" w:hAnsi="宋体" w:eastAsia="宋体" w:cs="仿宋"/>
          <w:b w:val="0"/>
          <w:color w:val="auto"/>
          <w:sz w:val="56"/>
          <w:szCs w:val="56"/>
          <w:highlight w:val="none"/>
        </w:rPr>
      </w:pPr>
    </w:p>
    <w:p w14:paraId="6364C37A">
      <w:pPr>
        <w:shd w:val="clear"/>
        <w:jc w:val="center"/>
        <w:rPr>
          <w:rFonts w:ascii="宋体" w:hAnsi="宋体" w:cs="仿宋"/>
          <w:color w:val="auto"/>
          <w:highlight w:val="none"/>
        </w:rPr>
      </w:pPr>
      <w:r>
        <w:rPr>
          <w:rFonts w:hint="eastAsia" w:ascii="宋体" w:hAnsi="宋体" w:cs="仿宋"/>
          <w:b/>
          <w:color w:val="auto"/>
          <w:sz w:val="44"/>
          <w:szCs w:val="44"/>
          <w:highlight w:val="none"/>
        </w:rPr>
        <w:t>（电子招投标）</w:t>
      </w:r>
    </w:p>
    <w:p w14:paraId="29AAAE9B">
      <w:pPr>
        <w:shd w:val="clear"/>
        <w:spacing w:line="360" w:lineRule="auto"/>
        <w:jc w:val="center"/>
        <w:rPr>
          <w:rFonts w:ascii="宋体" w:hAnsi="宋体" w:cs="仿宋"/>
          <w:b/>
          <w:color w:val="auto"/>
          <w:sz w:val="24"/>
          <w:highlight w:val="none"/>
        </w:rPr>
      </w:pPr>
    </w:p>
    <w:p w14:paraId="480EE572">
      <w:pPr>
        <w:shd w:val="clear"/>
        <w:spacing w:line="360" w:lineRule="auto"/>
        <w:jc w:val="center"/>
        <w:rPr>
          <w:rFonts w:ascii="宋体" w:hAnsi="宋体" w:cs="仿宋"/>
          <w:b/>
          <w:color w:val="auto"/>
          <w:sz w:val="24"/>
          <w:highlight w:val="none"/>
        </w:rPr>
      </w:pPr>
    </w:p>
    <w:p w14:paraId="552D422F">
      <w:pPr>
        <w:pStyle w:val="2"/>
        <w:shd w:val="clear"/>
        <w:ind w:left="0" w:firstLine="0"/>
        <w:rPr>
          <w:rFonts w:ascii="宋体" w:hAnsi="宋体" w:eastAsia="宋体" w:cs="仿宋"/>
          <w:color w:val="auto"/>
          <w:highlight w:val="none"/>
        </w:rPr>
      </w:pPr>
    </w:p>
    <w:p w14:paraId="1C82D6D2">
      <w:pPr>
        <w:shd w:val="clear"/>
        <w:rPr>
          <w:rFonts w:ascii="宋体" w:hAnsi="宋体" w:cs="仿宋"/>
          <w:b/>
          <w:color w:val="auto"/>
          <w:sz w:val="24"/>
          <w:highlight w:val="none"/>
        </w:rPr>
      </w:pPr>
    </w:p>
    <w:p w14:paraId="2D54181A">
      <w:pPr>
        <w:shd w:val="clear"/>
        <w:rPr>
          <w:rFonts w:ascii="宋体" w:hAnsi="宋体" w:cs="仿宋"/>
          <w:b/>
          <w:color w:val="auto"/>
          <w:sz w:val="24"/>
          <w:highlight w:val="none"/>
        </w:rPr>
      </w:pPr>
    </w:p>
    <w:p w14:paraId="283251FA">
      <w:pPr>
        <w:shd w:val="clear"/>
        <w:rPr>
          <w:rFonts w:ascii="宋体" w:hAnsi="宋体" w:cs="仿宋"/>
          <w:b/>
          <w:color w:val="auto"/>
          <w:sz w:val="24"/>
          <w:highlight w:val="none"/>
        </w:rPr>
      </w:pPr>
    </w:p>
    <w:p w14:paraId="62A4A71E">
      <w:pPr>
        <w:pStyle w:val="2"/>
        <w:shd w:val="clear"/>
        <w:ind w:left="0" w:firstLine="0"/>
        <w:rPr>
          <w:rFonts w:ascii="宋体" w:hAnsi="宋体" w:eastAsia="宋体"/>
          <w:color w:val="auto"/>
          <w:highlight w:val="none"/>
        </w:rPr>
      </w:pPr>
    </w:p>
    <w:p w14:paraId="7DC732B4">
      <w:pPr>
        <w:shd w:val="clear"/>
        <w:rPr>
          <w:rFonts w:ascii="宋体" w:hAnsi="宋体" w:cs="仿宋"/>
          <w:color w:val="auto"/>
          <w:highlight w:val="none"/>
        </w:rPr>
      </w:pPr>
    </w:p>
    <w:p w14:paraId="35D3F571">
      <w:pPr>
        <w:shd w:val="clear"/>
        <w:spacing w:line="360" w:lineRule="auto"/>
        <w:jc w:val="center"/>
        <w:rPr>
          <w:rFonts w:ascii="宋体" w:hAnsi="宋体" w:cs="仿宋"/>
          <w:b/>
          <w:color w:val="auto"/>
          <w:sz w:val="24"/>
          <w:highlight w:val="none"/>
        </w:rPr>
      </w:pPr>
    </w:p>
    <w:p w14:paraId="5398F22F">
      <w:pPr>
        <w:shd w:val="clear"/>
        <w:spacing w:line="360" w:lineRule="auto"/>
        <w:ind w:firstLine="1280" w:firstLineChars="400"/>
        <w:rPr>
          <w:rFonts w:ascii="宋体" w:hAnsi="宋体" w:cs="仿宋"/>
          <w:color w:val="auto"/>
          <w:sz w:val="32"/>
          <w:szCs w:val="32"/>
          <w:highlight w:val="none"/>
        </w:rPr>
      </w:pPr>
      <w:r>
        <w:rPr>
          <w:rFonts w:hint="eastAsia" w:ascii="宋体" w:hAnsi="宋体" w:cs="仿宋"/>
          <w:color w:val="auto"/>
          <w:sz w:val="32"/>
          <w:szCs w:val="32"/>
          <w:highlight w:val="none"/>
        </w:rPr>
        <w:t xml:space="preserve">采购单位（征集人）：嵊州市政府投资项目审计中心  </w:t>
      </w:r>
    </w:p>
    <w:p w14:paraId="679C0E3B">
      <w:pPr>
        <w:shd w:val="clear"/>
        <w:spacing w:line="360" w:lineRule="auto"/>
        <w:ind w:firstLine="1280" w:firstLineChars="400"/>
        <w:rPr>
          <w:rFonts w:ascii="宋体" w:hAnsi="宋体" w:cs="仿宋"/>
          <w:bCs/>
          <w:color w:val="auto"/>
          <w:sz w:val="32"/>
          <w:szCs w:val="32"/>
          <w:highlight w:val="none"/>
        </w:rPr>
      </w:pPr>
      <w:r>
        <w:rPr>
          <w:rFonts w:hint="eastAsia" w:ascii="宋体" w:hAnsi="宋体" w:cs="仿宋"/>
          <w:bCs/>
          <w:color w:val="auto"/>
          <w:sz w:val="32"/>
          <w:szCs w:val="32"/>
          <w:highlight w:val="none"/>
        </w:rPr>
        <w:t>采购代理机构：浙江天源工程管理咨询有限公司</w:t>
      </w:r>
    </w:p>
    <w:p w14:paraId="2F2C2BB6">
      <w:pPr>
        <w:shd w:val="clear"/>
        <w:spacing w:line="360" w:lineRule="auto"/>
        <w:jc w:val="center"/>
        <w:rPr>
          <w:rFonts w:ascii="宋体" w:hAnsi="宋体" w:cs="仿宋"/>
          <w:bCs/>
          <w:color w:val="auto"/>
          <w:sz w:val="32"/>
          <w:szCs w:val="32"/>
          <w:highlight w:val="none"/>
        </w:rPr>
      </w:pPr>
      <w:r>
        <w:rPr>
          <w:rFonts w:hint="eastAsia" w:ascii="宋体" w:hAnsi="宋体" w:cs="仿宋"/>
          <w:bCs/>
          <w:color w:val="auto"/>
          <w:sz w:val="32"/>
          <w:szCs w:val="32"/>
          <w:highlight w:val="none"/>
        </w:rPr>
        <w:t xml:space="preserve">   2025年6月</w:t>
      </w:r>
    </w:p>
    <w:p w14:paraId="384D1CC9">
      <w:pPr>
        <w:shd w:val="clear"/>
        <w:spacing w:line="360" w:lineRule="auto"/>
        <w:jc w:val="center"/>
        <w:rPr>
          <w:rFonts w:ascii="宋体" w:hAnsi="宋体" w:cs="仿宋"/>
          <w:color w:val="auto"/>
          <w:sz w:val="24"/>
          <w:highlight w:val="none"/>
        </w:rPr>
      </w:pPr>
      <w:r>
        <w:rPr>
          <w:rFonts w:hint="eastAsia" w:ascii="宋体" w:hAnsi="宋体" w:cs="仿宋"/>
          <w:color w:val="auto"/>
          <w:sz w:val="24"/>
          <w:highlight w:val="none"/>
        </w:rPr>
        <w:br w:type="page"/>
      </w:r>
      <w:bookmarkStart w:id="2" w:name="_Hlt67893495"/>
      <w:bookmarkEnd w:id="2"/>
    </w:p>
    <w:p w14:paraId="31158BE7">
      <w:pPr>
        <w:shd w:val="clear"/>
        <w:spacing w:line="360" w:lineRule="auto"/>
        <w:jc w:val="center"/>
        <w:rPr>
          <w:rFonts w:ascii="宋体" w:hAnsi="宋体" w:cs="仿宋"/>
          <w:b/>
          <w:color w:val="auto"/>
          <w:sz w:val="48"/>
          <w:szCs w:val="48"/>
          <w:highlight w:val="none"/>
        </w:rPr>
      </w:pPr>
    </w:p>
    <w:p w14:paraId="22E9B182">
      <w:pPr>
        <w:shd w:val="clear"/>
        <w:spacing w:line="360" w:lineRule="auto"/>
        <w:jc w:val="center"/>
        <w:rPr>
          <w:rFonts w:ascii="宋体" w:hAnsi="宋体" w:cs="仿宋"/>
          <w:b/>
          <w:color w:val="auto"/>
          <w:sz w:val="48"/>
          <w:szCs w:val="48"/>
          <w:highlight w:val="none"/>
        </w:rPr>
      </w:pPr>
      <w:r>
        <w:rPr>
          <w:rFonts w:hint="eastAsia" w:ascii="宋体" w:hAnsi="宋体" w:cs="仿宋"/>
          <w:b/>
          <w:color w:val="auto"/>
          <w:sz w:val="48"/>
          <w:szCs w:val="48"/>
          <w:highlight w:val="none"/>
        </w:rPr>
        <w:t>目  录</w:t>
      </w:r>
    </w:p>
    <w:p w14:paraId="70A6C139">
      <w:pPr>
        <w:shd w:val="clear"/>
        <w:spacing w:line="360" w:lineRule="auto"/>
        <w:rPr>
          <w:rFonts w:ascii="宋体" w:hAnsi="宋体" w:cs="仿宋"/>
          <w:color w:val="auto"/>
          <w:sz w:val="32"/>
          <w:szCs w:val="32"/>
          <w:highlight w:val="none"/>
        </w:rPr>
      </w:pPr>
    </w:p>
    <w:p w14:paraId="6832C544">
      <w:pPr>
        <w:shd w:val="clear"/>
        <w:spacing w:line="360" w:lineRule="auto"/>
        <w:rPr>
          <w:rFonts w:ascii="宋体" w:hAnsi="宋体" w:cs="仿宋"/>
          <w:color w:val="auto"/>
          <w:sz w:val="32"/>
          <w:szCs w:val="32"/>
          <w:highlight w:val="none"/>
        </w:rPr>
      </w:pPr>
    </w:p>
    <w:p w14:paraId="2137F047">
      <w:pPr>
        <w:shd w:val="clear"/>
        <w:spacing w:line="360" w:lineRule="auto"/>
        <w:ind w:firstLine="1280" w:firstLineChars="400"/>
        <w:rPr>
          <w:rFonts w:ascii="宋体" w:hAnsi="宋体" w:cs="仿宋"/>
          <w:color w:val="auto"/>
          <w:sz w:val="32"/>
          <w:szCs w:val="32"/>
          <w:highlight w:val="none"/>
        </w:rPr>
      </w:pPr>
      <w:r>
        <w:rPr>
          <w:rFonts w:hint="eastAsia" w:ascii="宋体" w:hAnsi="宋体" w:cs="仿宋"/>
          <w:color w:val="auto"/>
          <w:sz w:val="32"/>
          <w:szCs w:val="32"/>
          <w:highlight w:val="none"/>
        </w:rPr>
        <w:t>第一部分      征集公告</w:t>
      </w:r>
    </w:p>
    <w:p w14:paraId="2FD4FECD">
      <w:pPr>
        <w:shd w:val="clear"/>
        <w:spacing w:line="360" w:lineRule="auto"/>
        <w:ind w:firstLine="1280" w:firstLineChars="400"/>
        <w:rPr>
          <w:rFonts w:ascii="宋体" w:hAnsi="宋体" w:cs="仿宋"/>
          <w:color w:val="auto"/>
          <w:sz w:val="32"/>
          <w:szCs w:val="32"/>
          <w:highlight w:val="none"/>
        </w:rPr>
      </w:pPr>
      <w:r>
        <w:rPr>
          <w:rFonts w:hint="eastAsia" w:ascii="宋体" w:hAnsi="宋体" w:cs="仿宋"/>
          <w:color w:val="auto"/>
          <w:sz w:val="32"/>
          <w:szCs w:val="32"/>
          <w:highlight w:val="none"/>
        </w:rPr>
        <w:t>第二部分      投标人须知</w:t>
      </w:r>
    </w:p>
    <w:p w14:paraId="2E9EB6F1">
      <w:pPr>
        <w:shd w:val="clear"/>
        <w:spacing w:line="360" w:lineRule="auto"/>
        <w:ind w:firstLine="1280" w:firstLineChars="400"/>
        <w:rPr>
          <w:rFonts w:ascii="宋体" w:hAnsi="宋体" w:cs="仿宋"/>
          <w:color w:val="auto"/>
          <w:sz w:val="32"/>
          <w:szCs w:val="32"/>
          <w:highlight w:val="none"/>
        </w:rPr>
      </w:pPr>
      <w:r>
        <w:rPr>
          <w:rFonts w:hint="eastAsia" w:ascii="宋体" w:hAnsi="宋体" w:cs="仿宋"/>
          <w:color w:val="auto"/>
          <w:sz w:val="32"/>
          <w:szCs w:val="32"/>
          <w:highlight w:val="none"/>
        </w:rPr>
        <w:t>第三部分      采购需求</w:t>
      </w:r>
    </w:p>
    <w:p w14:paraId="126F132A">
      <w:pPr>
        <w:shd w:val="clear"/>
        <w:spacing w:line="360" w:lineRule="auto"/>
        <w:ind w:firstLine="1280" w:firstLineChars="400"/>
        <w:rPr>
          <w:rFonts w:ascii="宋体" w:hAnsi="宋体" w:cs="仿宋"/>
          <w:color w:val="auto"/>
          <w:sz w:val="32"/>
          <w:szCs w:val="32"/>
          <w:highlight w:val="none"/>
        </w:rPr>
      </w:pPr>
      <w:r>
        <w:rPr>
          <w:rFonts w:hint="eastAsia" w:ascii="宋体" w:hAnsi="宋体" w:cs="仿宋"/>
          <w:color w:val="auto"/>
          <w:sz w:val="32"/>
          <w:szCs w:val="32"/>
          <w:highlight w:val="none"/>
        </w:rPr>
        <w:t>第四部分      评标方法及评分标准</w:t>
      </w:r>
    </w:p>
    <w:p w14:paraId="100E5582">
      <w:pPr>
        <w:shd w:val="clear"/>
        <w:spacing w:line="360" w:lineRule="auto"/>
        <w:ind w:firstLine="1280" w:firstLineChars="400"/>
        <w:rPr>
          <w:rFonts w:ascii="宋体" w:hAnsi="宋体" w:cs="仿宋"/>
          <w:color w:val="auto"/>
          <w:sz w:val="32"/>
          <w:szCs w:val="32"/>
          <w:highlight w:val="none"/>
        </w:rPr>
      </w:pPr>
      <w:r>
        <w:rPr>
          <w:rFonts w:hint="eastAsia" w:ascii="宋体" w:hAnsi="宋体" w:cs="仿宋"/>
          <w:color w:val="auto"/>
          <w:sz w:val="32"/>
          <w:szCs w:val="32"/>
          <w:highlight w:val="none"/>
        </w:rPr>
        <w:t>第五部分      拟签订的合同文本</w:t>
      </w:r>
    </w:p>
    <w:p w14:paraId="4743157A">
      <w:pPr>
        <w:shd w:val="clear"/>
        <w:spacing w:line="360" w:lineRule="auto"/>
        <w:ind w:firstLine="1280" w:firstLineChars="400"/>
        <w:rPr>
          <w:rFonts w:ascii="宋体" w:hAnsi="宋体" w:cs="仿宋"/>
          <w:color w:val="auto"/>
          <w:sz w:val="32"/>
          <w:szCs w:val="32"/>
          <w:highlight w:val="none"/>
        </w:rPr>
      </w:pPr>
      <w:r>
        <w:rPr>
          <w:rFonts w:hint="eastAsia" w:ascii="宋体" w:hAnsi="宋体" w:cs="仿宋"/>
          <w:color w:val="auto"/>
          <w:sz w:val="32"/>
          <w:szCs w:val="32"/>
          <w:highlight w:val="none"/>
        </w:rPr>
        <w:t>第六部分      应提交的有关格式范例</w:t>
      </w:r>
    </w:p>
    <w:p w14:paraId="17B4BD18">
      <w:pPr>
        <w:shd w:val="clear"/>
        <w:spacing w:line="360" w:lineRule="auto"/>
        <w:ind w:firstLine="549" w:firstLineChars="229"/>
        <w:rPr>
          <w:rFonts w:ascii="宋体" w:hAnsi="宋体" w:cs="仿宋"/>
          <w:color w:val="auto"/>
          <w:sz w:val="24"/>
          <w:highlight w:val="none"/>
        </w:rPr>
      </w:pPr>
      <w:bookmarkStart w:id="3" w:name="_Hlt91233176"/>
      <w:bookmarkEnd w:id="3"/>
      <w:bookmarkStart w:id="4" w:name="_Toc91899869"/>
    </w:p>
    <w:p w14:paraId="71D98FD0">
      <w:pPr>
        <w:shd w:val="clear"/>
        <w:spacing w:line="360" w:lineRule="auto"/>
        <w:ind w:firstLine="549" w:firstLineChars="229"/>
        <w:rPr>
          <w:rFonts w:ascii="宋体" w:hAnsi="宋体" w:cs="仿宋"/>
          <w:color w:val="auto"/>
          <w:sz w:val="24"/>
          <w:highlight w:val="none"/>
        </w:rPr>
      </w:pPr>
    </w:p>
    <w:p w14:paraId="361F8623">
      <w:pPr>
        <w:shd w:val="clear"/>
        <w:spacing w:line="360" w:lineRule="auto"/>
        <w:ind w:firstLine="549" w:firstLineChars="229"/>
        <w:rPr>
          <w:rFonts w:ascii="宋体" w:hAnsi="宋体" w:cs="仿宋"/>
          <w:color w:val="auto"/>
          <w:sz w:val="24"/>
          <w:highlight w:val="none"/>
        </w:rPr>
      </w:pPr>
    </w:p>
    <w:p w14:paraId="7521600B">
      <w:pPr>
        <w:shd w:val="clear"/>
        <w:spacing w:line="360" w:lineRule="auto"/>
        <w:ind w:firstLine="549" w:firstLineChars="229"/>
        <w:rPr>
          <w:rFonts w:ascii="宋体" w:hAnsi="宋体" w:cs="仿宋"/>
          <w:color w:val="auto"/>
          <w:sz w:val="24"/>
          <w:highlight w:val="none"/>
        </w:rPr>
      </w:pPr>
    </w:p>
    <w:p w14:paraId="49D1B60E">
      <w:pPr>
        <w:shd w:val="clear"/>
        <w:spacing w:line="360" w:lineRule="auto"/>
        <w:ind w:firstLine="549" w:firstLineChars="229"/>
        <w:rPr>
          <w:rFonts w:ascii="宋体" w:hAnsi="宋体" w:cs="仿宋"/>
          <w:color w:val="auto"/>
          <w:sz w:val="24"/>
          <w:highlight w:val="none"/>
        </w:rPr>
      </w:pPr>
    </w:p>
    <w:p w14:paraId="67ABE545">
      <w:pPr>
        <w:shd w:val="clear"/>
        <w:spacing w:line="360" w:lineRule="auto"/>
        <w:ind w:firstLine="549" w:firstLineChars="229"/>
        <w:rPr>
          <w:rFonts w:ascii="宋体" w:hAnsi="宋体" w:cs="仿宋"/>
          <w:color w:val="auto"/>
          <w:sz w:val="24"/>
          <w:highlight w:val="none"/>
        </w:rPr>
      </w:pPr>
    </w:p>
    <w:p w14:paraId="771FEDA5">
      <w:pPr>
        <w:shd w:val="clear"/>
        <w:spacing w:line="360" w:lineRule="auto"/>
        <w:ind w:firstLine="549" w:firstLineChars="229"/>
        <w:rPr>
          <w:rFonts w:ascii="宋体" w:hAnsi="宋体" w:cs="仿宋"/>
          <w:color w:val="auto"/>
          <w:sz w:val="24"/>
          <w:highlight w:val="none"/>
        </w:rPr>
      </w:pPr>
    </w:p>
    <w:p w14:paraId="2129F8D1">
      <w:pPr>
        <w:shd w:val="clear"/>
        <w:spacing w:line="360" w:lineRule="auto"/>
        <w:ind w:firstLine="549" w:firstLineChars="229"/>
        <w:rPr>
          <w:rFonts w:ascii="宋体" w:hAnsi="宋体" w:cs="仿宋"/>
          <w:color w:val="auto"/>
          <w:sz w:val="24"/>
          <w:highlight w:val="none"/>
        </w:rPr>
      </w:pPr>
    </w:p>
    <w:p w14:paraId="18F7BA99">
      <w:pPr>
        <w:shd w:val="clear"/>
        <w:spacing w:line="360" w:lineRule="auto"/>
        <w:ind w:firstLine="549" w:firstLineChars="229"/>
        <w:rPr>
          <w:rFonts w:ascii="宋体" w:hAnsi="宋体" w:cs="仿宋"/>
          <w:color w:val="auto"/>
          <w:sz w:val="24"/>
          <w:highlight w:val="none"/>
        </w:rPr>
      </w:pPr>
    </w:p>
    <w:p w14:paraId="326F8CDA">
      <w:pPr>
        <w:shd w:val="clear"/>
        <w:spacing w:line="360" w:lineRule="auto"/>
        <w:ind w:firstLine="549" w:firstLineChars="229"/>
        <w:rPr>
          <w:rFonts w:ascii="宋体" w:hAnsi="宋体" w:cs="仿宋"/>
          <w:color w:val="auto"/>
          <w:sz w:val="24"/>
          <w:highlight w:val="none"/>
        </w:rPr>
      </w:pPr>
    </w:p>
    <w:p w14:paraId="34DF17D8">
      <w:pPr>
        <w:shd w:val="clear"/>
        <w:spacing w:line="360" w:lineRule="auto"/>
        <w:ind w:firstLine="549" w:firstLineChars="229"/>
        <w:rPr>
          <w:rFonts w:ascii="宋体" w:hAnsi="宋体" w:cs="仿宋"/>
          <w:color w:val="auto"/>
          <w:sz w:val="24"/>
          <w:highlight w:val="none"/>
        </w:rPr>
      </w:pPr>
    </w:p>
    <w:p w14:paraId="5EF8441B">
      <w:pPr>
        <w:shd w:val="clear"/>
        <w:spacing w:line="360" w:lineRule="auto"/>
        <w:ind w:firstLine="549" w:firstLineChars="229"/>
        <w:rPr>
          <w:rFonts w:ascii="宋体" w:hAnsi="宋体" w:cs="仿宋"/>
          <w:color w:val="auto"/>
          <w:sz w:val="24"/>
          <w:highlight w:val="none"/>
        </w:rPr>
      </w:pPr>
    </w:p>
    <w:p w14:paraId="615DA391">
      <w:pPr>
        <w:shd w:val="clear"/>
        <w:spacing w:line="360" w:lineRule="auto"/>
        <w:ind w:firstLine="549" w:firstLineChars="229"/>
        <w:rPr>
          <w:rFonts w:ascii="宋体" w:hAnsi="宋体" w:cs="仿宋"/>
          <w:color w:val="auto"/>
          <w:sz w:val="24"/>
          <w:highlight w:val="none"/>
        </w:rPr>
      </w:pPr>
    </w:p>
    <w:p w14:paraId="7A461D60">
      <w:pPr>
        <w:shd w:val="clear"/>
        <w:spacing w:line="360" w:lineRule="auto"/>
        <w:rPr>
          <w:rFonts w:ascii="宋体" w:hAnsi="宋体" w:cs="仿宋"/>
          <w:color w:val="auto"/>
          <w:sz w:val="24"/>
          <w:highlight w:val="none"/>
        </w:rPr>
      </w:pPr>
    </w:p>
    <w:p w14:paraId="34DED7A1">
      <w:pPr>
        <w:shd w:val="clear"/>
        <w:adjustRightInd/>
        <w:spacing w:line="360" w:lineRule="auto"/>
        <w:jc w:val="center"/>
        <w:outlineLvl w:val="0"/>
        <w:rPr>
          <w:rFonts w:ascii="宋体" w:hAnsi="宋体" w:cs="仿宋"/>
          <w:b/>
          <w:color w:val="auto"/>
          <w:sz w:val="36"/>
          <w:szCs w:val="20"/>
          <w:highlight w:val="none"/>
        </w:rPr>
      </w:pPr>
      <w:bookmarkStart w:id="5" w:name="第一部分"/>
      <w:r>
        <w:rPr>
          <w:rFonts w:hint="eastAsia" w:ascii="宋体" w:hAnsi="宋体" w:cs="仿宋"/>
          <w:b/>
          <w:color w:val="auto"/>
          <w:sz w:val="36"/>
          <w:szCs w:val="36"/>
          <w:highlight w:val="none"/>
        </w:rPr>
        <w:br w:type="page"/>
      </w:r>
      <w:bookmarkEnd w:id="4"/>
      <w:bookmarkEnd w:id="5"/>
      <w:bookmarkStart w:id="6" w:name="_Hlt74707423"/>
      <w:bookmarkEnd w:id="6"/>
      <w:bookmarkStart w:id="7" w:name="_Hlt74729822"/>
      <w:bookmarkEnd w:id="7"/>
      <w:bookmarkStart w:id="8" w:name="_Hlt74728647"/>
      <w:bookmarkEnd w:id="8"/>
      <w:bookmarkStart w:id="9" w:name="_Hlt74649545"/>
      <w:bookmarkEnd w:id="9"/>
      <w:bookmarkStart w:id="10" w:name="第二部分"/>
      <w:bookmarkStart w:id="11" w:name="_Toc91899870"/>
      <w:bookmarkStart w:id="12" w:name="_Toc91899871"/>
      <w:r>
        <w:rPr>
          <w:rFonts w:hint="eastAsia" w:ascii="宋体" w:hAnsi="宋体" w:cs="仿宋"/>
          <w:b/>
          <w:color w:val="auto"/>
          <w:sz w:val="36"/>
          <w:szCs w:val="20"/>
          <w:highlight w:val="none"/>
        </w:rPr>
        <w:t>第一部分 征集公告</w:t>
      </w:r>
    </w:p>
    <w:p w14:paraId="684D0C08">
      <w:pPr>
        <w:pBdr>
          <w:top w:val="single" w:color="auto" w:sz="4" w:space="1"/>
          <w:left w:val="single" w:color="auto" w:sz="4" w:space="4"/>
          <w:bottom w:val="single" w:color="auto" w:sz="4" w:space="1"/>
          <w:right w:val="single" w:color="auto" w:sz="4" w:space="4"/>
        </w:pBdr>
        <w:shd w:val="clear"/>
        <w:rPr>
          <w:rFonts w:ascii="宋体" w:hAnsi="宋体" w:cs="仿宋"/>
          <w:color w:val="auto"/>
          <w:sz w:val="24"/>
          <w:szCs w:val="28"/>
          <w:highlight w:val="none"/>
        </w:rPr>
      </w:pPr>
      <w:r>
        <w:rPr>
          <w:rFonts w:hint="eastAsia" w:ascii="宋体" w:hAnsi="宋体" w:cs="仿宋"/>
          <w:color w:val="auto"/>
          <w:sz w:val="24"/>
          <w:szCs w:val="28"/>
          <w:highlight w:val="none"/>
        </w:rPr>
        <w:t>项目概况</w:t>
      </w:r>
    </w:p>
    <w:p w14:paraId="5E2FF5C3">
      <w:pPr>
        <w:pBdr>
          <w:top w:val="single" w:color="auto" w:sz="4" w:space="1"/>
          <w:left w:val="single" w:color="auto" w:sz="4" w:space="4"/>
          <w:bottom w:val="single" w:color="auto" w:sz="4" w:space="1"/>
          <w:right w:val="single" w:color="auto" w:sz="4" w:space="4"/>
        </w:pBdr>
        <w:shd w:val="clear"/>
        <w:ind w:firstLine="480" w:firstLineChars="200"/>
        <w:rPr>
          <w:rFonts w:ascii="宋体" w:hAnsi="宋体" w:cs="仿宋"/>
          <w:color w:val="auto"/>
          <w:sz w:val="24"/>
          <w:szCs w:val="28"/>
          <w:highlight w:val="none"/>
        </w:rPr>
      </w:pPr>
      <w:r>
        <w:rPr>
          <w:rFonts w:hint="eastAsia" w:ascii="宋体" w:hAnsi="宋体" w:cs="仿宋"/>
          <w:color w:val="auto"/>
          <w:sz w:val="24"/>
          <w:szCs w:val="28"/>
          <w:highlight w:val="none"/>
          <w:u w:val="single"/>
        </w:rPr>
        <w:t>2025-2027年嵊州市公共投资建设项目造价咨询服务框架协议采购项目（封闭式）</w:t>
      </w:r>
      <w:r>
        <w:rPr>
          <w:rFonts w:hint="eastAsia" w:ascii="宋体" w:hAnsi="宋体" w:cs="仿宋"/>
          <w:color w:val="auto"/>
          <w:sz w:val="24"/>
          <w:szCs w:val="28"/>
          <w:highlight w:val="none"/>
        </w:rPr>
        <w:t>的潜在投标人应在</w:t>
      </w:r>
      <w:r>
        <w:rPr>
          <w:rFonts w:hint="eastAsia" w:ascii="宋体" w:hAnsi="宋体" w:cs="仿宋"/>
          <w:color w:val="auto"/>
          <w:sz w:val="24"/>
          <w:szCs w:val="28"/>
          <w:highlight w:val="none"/>
          <w:u w:val="single"/>
        </w:rPr>
        <w:t>政采云系统在线</w:t>
      </w:r>
      <w:r>
        <w:rPr>
          <w:rFonts w:hint="eastAsia" w:ascii="宋体" w:hAnsi="宋体" w:cs="仿宋"/>
          <w:color w:val="auto"/>
          <w:sz w:val="24"/>
          <w:szCs w:val="28"/>
          <w:highlight w:val="none"/>
        </w:rPr>
        <w:t>获取征集文件，并于</w:t>
      </w:r>
      <w:r>
        <w:rPr>
          <w:rFonts w:hint="eastAsia" w:ascii="宋体" w:hAnsi="宋体" w:cs="仿宋"/>
          <w:color w:val="auto"/>
          <w:sz w:val="24"/>
          <w:szCs w:val="28"/>
          <w:highlight w:val="none"/>
          <w:u w:val="single"/>
        </w:rPr>
        <w:t>2025年 月 日</w:t>
      </w:r>
      <w:r>
        <w:rPr>
          <w:rFonts w:hint="eastAsia" w:ascii="宋体" w:hAnsi="宋体" w:cs="仿宋"/>
          <w:bCs/>
          <w:color w:val="auto"/>
          <w:sz w:val="24"/>
          <w:szCs w:val="28"/>
          <w:highlight w:val="none"/>
          <w:u w:val="single"/>
        </w:rPr>
        <w:t>9点30分（</w:t>
      </w:r>
      <w:r>
        <w:rPr>
          <w:rFonts w:hint="eastAsia" w:ascii="宋体" w:hAnsi="宋体" w:cs="仿宋"/>
          <w:bCs/>
          <w:color w:val="auto"/>
          <w:sz w:val="24"/>
          <w:szCs w:val="28"/>
          <w:highlight w:val="none"/>
        </w:rPr>
        <w:t>北京时间）前递交响应文件</w:t>
      </w:r>
      <w:r>
        <w:rPr>
          <w:rFonts w:hint="eastAsia" w:ascii="宋体" w:hAnsi="宋体" w:cs="仿宋"/>
          <w:color w:val="auto"/>
          <w:sz w:val="24"/>
          <w:szCs w:val="28"/>
          <w:highlight w:val="none"/>
        </w:rPr>
        <w:t>。</w:t>
      </w:r>
    </w:p>
    <w:p w14:paraId="675DC5C1">
      <w:pPr>
        <w:shd w:val="clear"/>
        <w:rPr>
          <w:rFonts w:ascii="宋体" w:hAnsi="宋体" w:cs="仿宋"/>
          <w:color w:val="auto"/>
          <w:sz w:val="24"/>
          <w:szCs w:val="28"/>
          <w:highlight w:val="none"/>
        </w:rPr>
      </w:pPr>
    </w:p>
    <w:p w14:paraId="055AB9D2">
      <w:pPr>
        <w:shd w:val="clear"/>
        <w:spacing w:line="360" w:lineRule="auto"/>
        <w:ind w:left="420" w:leftChars="200"/>
        <w:jc w:val="left"/>
        <w:rPr>
          <w:rFonts w:ascii="宋体" w:hAnsi="宋体" w:cs="仿宋"/>
          <w:color w:val="auto"/>
          <w:sz w:val="24"/>
          <w:szCs w:val="28"/>
          <w:highlight w:val="none"/>
        </w:rPr>
      </w:pPr>
      <w:bookmarkStart w:id="13" w:name="_Toc28359002"/>
      <w:bookmarkStart w:id="14" w:name="_Toc35393790"/>
      <w:bookmarkStart w:id="15" w:name="_Toc28359079"/>
      <w:bookmarkStart w:id="16" w:name="_Toc35393621"/>
      <w:bookmarkStart w:id="17" w:name="_Hlk24379207"/>
      <w:r>
        <w:rPr>
          <w:rFonts w:hint="eastAsia" w:ascii="宋体" w:hAnsi="宋体" w:cs="仿宋"/>
          <w:color w:val="auto"/>
          <w:sz w:val="24"/>
          <w:szCs w:val="28"/>
          <w:highlight w:val="none"/>
        </w:rPr>
        <w:t>一、项目基本情况</w:t>
      </w:r>
      <w:bookmarkEnd w:id="13"/>
      <w:bookmarkEnd w:id="14"/>
      <w:bookmarkEnd w:id="15"/>
      <w:bookmarkEnd w:id="16"/>
    </w:p>
    <w:bookmarkEnd w:id="17"/>
    <w:p w14:paraId="52752BFD">
      <w:pPr>
        <w:shd w:val="clear"/>
        <w:spacing w:line="360" w:lineRule="auto"/>
        <w:ind w:left="420" w:leftChars="200"/>
        <w:jc w:val="left"/>
        <w:rPr>
          <w:rFonts w:hint="default" w:ascii="宋体" w:hAnsi="宋体" w:eastAsia="宋体" w:cs="仿宋"/>
          <w:color w:val="auto"/>
          <w:sz w:val="24"/>
          <w:szCs w:val="28"/>
          <w:highlight w:val="none"/>
          <w:lang w:val="en-US" w:eastAsia="zh-CN"/>
        </w:rPr>
      </w:pPr>
      <w:r>
        <w:rPr>
          <w:rFonts w:hint="eastAsia" w:ascii="宋体" w:hAnsi="宋体" w:cs="仿宋"/>
          <w:color w:val="auto"/>
          <w:sz w:val="24"/>
          <w:szCs w:val="28"/>
          <w:highlight w:val="none"/>
        </w:rPr>
        <w:t>项目编号：ZJTY2025-J-</w:t>
      </w:r>
      <w:r>
        <w:rPr>
          <w:rFonts w:hint="eastAsia" w:ascii="宋体" w:hAnsi="宋体" w:cs="仿宋"/>
          <w:color w:val="auto"/>
          <w:sz w:val="24"/>
          <w:szCs w:val="28"/>
          <w:highlight w:val="none"/>
          <w:lang w:val="en-US" w:eastAsia="zh-CN"/>
        </w:rPr>
        <w:t>132</w:t>
      </w:r>
    </w:p>
    <w:p w14:paraId="20DE9692">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 xml:space="preserve">项目名称：2025-2027年嵊州市公共投资建设项目造价咨询服务框架协议采购项目（封闭式） </w:t>
      </w:r>
    </w:p>
    <w:p w14:paraId="61F601E8">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最高限价（元）：第三部分采购需求中附件《建设工程造价咨询服务收费标准》中</w:t>
      </w:r>
      <w:r>
        <w:rPr>
          <w:rFonts w:hint="eastAsia" w:ascii="宋体" w:hAnsi="宋体" w:cs="宋体"/>
          <w:color w:val="auto"/>
          <w:sz w:val="24"/>
          <w:szCs w:val="28"/>
          <w:highlight w:val="none"/>
        </w:rPr>
        <w:t>对应咨询项目</w:t>
      </w:r>
      <w:r>
        <w:rPr>
          <w:rFonts w:hint="eastAsia" w:ascii="宋体" w:hAnsi="宋体" w:cs="仿宋"/>
          <w:color w:val="auto"/>
          <w:sz w:val="24"/>
          <w:szCs w:val="28"/>
          <w:highlight w:val="none"/>
        </w:rPr>
        <w:t>收费标准的65%</w:t>
      </w:r>
    </w:p>
    <w:p w14:paraId="33C65E8A">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 xml:space="preserve">采购需求： </w:t>
      </w:r>
    </w:p>
    <w:p w14:paraId="411D979E">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标项一：</w:t>
      </w:r>
    </w:p>
    <w:p w14:paraId="399D80F7">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标项名称：</w:t>
      </w:r>
      <w:bookmarkStart w:id="18" w:name="OLE_LINK18"/>
      <w:r>
        <w:rPr>
          <w:rFonts w:hint="eastAsia" w:ascii="宋体" w:hAnsi="宋体" w:cs="仿宋"/>
          <w:color w:val="auto"/>
          <w:sz w:val="24"/>
          <w:szCs w:val="28"/>
          <w:highlight w:val="none"/>
        </w:rPr>
        <w:t>2025-2027年嵊州市公共投资建设项目造价咨询服务</w:t>
      </w:r>
      <w:bookmarkEnd w:id="18"/>
      <w:r>
        <w:rPr>
          <w:rFonts w:hint="eastAsia" w:ascii="宋体" w:hAnsi="宋体" w:cs="仿宋"/>
          <w:color w:val="auto"/>
          <w:sz w:val="24"/>
          <w:szCs w:val="28"/>
          <w:highlight w:val="none"/>
        </w:rPr>
        <w:t>框架协议采购项目（封闭式）</w:t>
      </w:r>
    </w:p>
    <w:p w14:paraId="6628D06E">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数量： 不限</w:t>
      </w:r>
    </w:p>
    <w:p w14:paraId="3593F69A">
      <w:pPr>
        <w:shd w:val="clear"/>
        <w:spacing w:line="360" w:lineRule="auto"/>
        <w:ind w:left="420" w:leftChars="200"/>
        <w:rPr>
          <w:rFonts w:ascii="宋体" w:hAnsi="宋体" w:cs="仿宋"/>
          <w:color w:val="auto"/>
          <w:sz w:val="24"/>
          <w:szCs w:val="28"/>
          <w:highlight w:val="none"/>
        </w:rPr>
      </w:pPr>
      <w:r>
        <w:rPr>
          <w:rFonts w:hint="eastAsia" w:ascii="宋体" w:hAnsi="宋体" w:cs="仿宋"/>
          <w:color w:val="auto"/>
          <w:sz w:val="24"/>
          <w:szCs w:val="28"/>
          <w:highlight w:val="none"/>
        </w:rPr>
        <w:t>简要规格描述或项目基本概况介绍、用途：2025-2027年嵊州市公共投资建设项目造价咨询服务，嵊州市范围内单项工程施工图预算（标底）金额在 10 万元（含）以上且单项业务服务费在</w:t>
      </w:r>
      <w:r>
        <w:rPr>
          <w:rFonts w:hint="eastAsia" w:ascii="宋体" w:hAnsi="宋体" w:cs="仿宋"/>
          <w:b/>
          <w:bCs/>
          <w:color w:val="auto"/>
          <w:sz w:val="24"/>
          <w:szCs w:val="28"/>
          <w:highlight w:val="none"/>
        </w:rPr>
        <w:t>相关规定标准限额以下</w:t>
      </w:r>
      <w:r>
        <w:rPr>
          <w:rFonts w:hint="eastAsia" w:ascii="宋体" w:hAnsi="宋体" w:cs="仿宋"/>
          <w:color w:val="auto"/>
          <w:sz w:val="24"/>
          <w:szCs w:val="28"/>
          <w:highlight w:val="none"/>
        </w:rPr>
        <w:t>的公共投资建设项目的工程类造价咨询第三方服务机构，公开征集</w:t>
      </w:r>
      <w:r>
        <w:rPr>
          <w:rFonts w:hint="eastAsia" w:ascii="宋体" w:hAnsi="宋体" w:cs="仿宋"/>
          <w:b/>
          <w:bCs/>
          <w:color w:val="auto"/>
          <w:sz w:val="24"/>
          <w:szCs w:val="28"/>
          <w:highlight w:val="none"/>
        </w:rPr>
        <w:t>30家</w:t>
      </w:r>
      <w:r>
        <w:rPr>
          <w:rFonts w:hint="eastAsia" w:ascii="宋体" w:hAnsi="宋体" w:cs="仿宋"/>
          <w:color w:val="auto"/>
          <w:sz w:val="24"/>
          <w:szCs w:val="28"/>
          <w:highlight w:val="none"/>
        </w:rPr>
        <w:t>（</w:t>
      </w:r>
      <w:r>
        <w:rPr>
          <w:rFonts w:hint="eastAsia" w:ascii="宋体" w:hAnsi="宋体" w:cs="仿宋"/>
          <w:b/>
          <w:bCs/>
          <w:color w:val="auto"/>
          <w:sz w:val="24"/>
          <w:szCs w:val="28"/>
          <w:highlight w:val="none"/>
        </w:rPr>
        <w:t>适用于响应供应商≥38家</w:t>
      </w:r>
      <w:r>
        <w:rPr>
          <w:rFonts w:hint="eastAsia" w:ascii="宋体" w:hAnsi="宋体" w:cs="仿宋"/>
          <w:color w:val="auto"/>
          <w:sz w:val="24"/>
          <w:szCs w:val="28"/>
          <w:highlight w:val="none"/>
        </w:rPr>
        <w:t>）</w:t>
      </w:r>
      <w:r>
        <w:rPr>
          <w:rFonts w:ascii="宋体" w:hAnsi="宋体" w:cs="仿宋"/>
          <w:color w:val="auto"/>
          <w:sz w:val="24"/>
          <w:szCs w:val="28"/>
          <w:highlight w:val="none"/>
        </w:rPr>
        <w:t>，</w:t>
      </w:r>
      <w:r>
        <w:rPr>
          <w:rFonts w:hint="eastAsia" w:ascii="宋体" w:hAnsi="宋体" w:cs="仿宋"/>
          <w:color w:val="auto"/>
          <w:sz w:val="24"/>
          <w:szCs w:val="28"/>
          <w:highlight w:val="none"/>
        </w:rPr>
        <w:t>入围供应商淘汰比例20%（适用于供应商＜38家）且至少淘汰1家。要求每家中介机构派出团队成员提供所需的造价咨询服务，采购年限为二年。造价咨询服务具体包括工程预算（招标控制价）编制和预算审核、施工阶段全过程工程造价控制、竣工结算审核、审计造价质量抽查及审计重大工程跟踪等工作。</w:t>
      </w:r>
    </w:p>
    <w:p w14:paraId="26BCD713">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备注：</w:t>
      </w:r>
    </w:p>
    <w:p w14:paraId="074D18FC">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合同履行期限：2年。</w:t>
      </w:r>
    </w:p>
    <w:p w14:paraId="6EA6F2EC">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本项目（否）接受联合体投标。</w:t>
      </w:r>
    </w:p>
    <w:p w14:paraId="48DD9614">
      <w:pPr>
        <w:shd w:val="clear"/>
        <w:spacing w:line="360" w:lineRule="auto"/>
        <w:ind w:left="420" w:leftChars="200"/>
        <w:jc w:val="left"/>
        <w:rPr>
          <w:rFonts w:ascii="宋体" w:hAnsi="宋体" w:cs="仿宋"/>
          <w:color w:val="auto"/>
          <w:sz w:val="24"/>
          <w:szCs w:val="28"/>
          <w:highlight w:val="none"/>
        </w:rPr>
      </w:pPr>
      <w:bookmarkStart w:id="19" w:name="_Toc35393622"/>
      <w:bookmarkStart w:id="20" w:name="_Toc35393791"/>
      <w:bookmarkStart w:id="21" w:name="_Toc28359003"/>
      <w:bookmarkStart w:id="22" w:name="_Toc28359080"/>
      <w:r>
        <w:rPr>
          <w:rFonts w:hint="eastAsia" w:ascii="宋体" w:hAnsi="宋体" w:cs="仿宋"/>
          <w:color w:val="auto"/>
          <w:sz w:val="24"/>
          <w:szCs w:val="28"/>
          <w:highlight w:val="none"/>
        </w:rPr>
        <w:t>二、申请人的资格要求：</w:t>
      </w:r>
      <w:bookmarkEnd w:id="19"/>
      <w:bookmarkEnd w:id="20"/>
      <w:bookmarkEnd w:id="21"/>
      <w:bookmarkEnd w:id="22"/>
    </w:p>
    <w:p w14:paraId="7B3C2DAC">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满足《中华人民共和国政府采购法》第二十二条规定；且未被“信用中国”（www.creditchina.gov.cn）、中国政府采购网（www.ccgp.gov.cn）列入失信被执行人、重大税收违法案件当事人名单、政府采购严重违法失信行为记录名单；</w:t>
      </w:r>
    </w:p>
    <w:p w14:paraId="01556B8E">
      <w:pPr>
        <w:shd w:val="clear"/>
        <w:spacing w:line="360" w:lineRule="auto"/>
        <w:ind w:left="420" w:leftChars="200"/>
        <w:jc w:val="left"/>
        <w:rPr>
          <w:rFonts w:ascii="宋体" w:hAnsi="宋体" w:cs="仿宋"/>
          <w:color w:val="auto"/>
          <w:sz w:val="24"/>
          <w:szCs w:val="28"/>
          <w:highlight w:val="none"/>
        </w:rPr>
      </w:pPr>
      <w:bookmarkStart w:id="23" w:name="_Toc28359081"/>
      <w:bookmarkStart w:id="24" w:name="_Toc28359004"/>
      <w:r>
        <w:rPr>
          <w:rFonts w:hint="eastAsia" w:ascii="宋体" w:hAnsi="宋体" w:cs="仿宋"/>
          <w:color w:val="auto"/>
          <w:sz w:val="24"/>
          <w:szCs w:val="28"/>
          <w:highlight w:val="none"/>
        </w:rPr>
        <w:t>落实政府采购政策需满足的资格要求：</w:t>
      </w:r>
    </w:p>
    <w:p w14:paraId="58BD4C54">
      <w:pPr>
        <w:shd w:val="clear"/>
        <w:spacing w:line="360" w:lineRule="auto"/>
        <w:ind w:left="420" w:leftChars="200"/>
        <w:jc w:val="left"/>
        <w:rPr>
          <w:rFonts w:ascii="宋体" w:hAnsi="宋体" w:cs="仿宋"/>
          <w:color w:val="auto"/>
          <w:sz w:val="24"/>
          <w:szCs w:val="28"/>
          <w:highlight w:val="none"/>
        </w:rPr>
      </w:pPr>
      <w:r>
        <w:rPr>
          <w:rFonts w:hint="eastAsia" w:ascii="MS Mincho" w:hAnsi="MS Mincho" w:eastAsia="MS Mincho" w:cs="MS Mincho"/>
          <w:color w:val="auto"/>
          <w:sz w:val="24"/>
          <w:szCs w:val="28"/>
          <w:highlight w:val="none"/>
        </w:rPr>
        <w:t>☐</w:t>
      </w:r>
      <w:r>
        <w:rPr>
          <w:rFonts w:hint="eastAsia" w:ascii="宋体" w:hAnsi="宋体" w:cs="仿宋"/>
          <w:color w:val="auto"/>
          <w:sz w:val="24"/>
          <w:szCs w:val="28"/>
          <w:highlight w:val="none"/>
        </w:rPr>
        <w:t>无；</w:t>
      </w:r>
    </w:p>
    <w:p w14:paraId="3E565425">
      <w:pPr>
        <w:shd w:val="clear"/>
        <w:spacing w:line="360" w:lineRule="auto"/>
        <w:ind w:left="420" w:leftChars="200"/>
        <w:jc w:val="left"/>
        <w:rPr>
          <w:rFonts w:ascii="宋体" w:hAnsi="宋体" w:cs="仿宋"/>
          <w:color w:val="auto"/>
          <w:sz w:val="24"/>
          <w:szCs w:val="28"/>
          <w:highlight w:val="none"/>
        </w:rPr>
      </w:pPr>
      <w:bookmarkStart w:id="25" w:name="OLE_LINK38"/>
      <w:bookmarkStart w:id="26" w:name="OLE_LINK37"/>
      <w:r>
        <w:rPr>
          <w:rFonts w:hint="eastAsia" w:ascii="宋体" w:hAnsi="宋体" w:cs="仿宋"/>
          <w:color w:val="auto"/>
          <w:sz w:val="24"/>
          <w:szCs w:val="28"/>
          <w:highlight w:val="none"/>
        </w:rPr>
        <w:t>☑</w:t>
      </w:r>
      <w:bookmarkEnd w:id="25"/>
      <w:bookmarkEnd w:id="26"/>
      <w:r>
        <w:rPr>
          <w:rFonts w:hint="eastAsia" w:ascii="宋体" w:hAnsi="宋体" w:cs="仿宋"/>
          <w:color w:val="auto"/>
          <w:sz w:val="24"/>
          <w:szCs w:val="28"/>
          <w:highlight w:val="none"/>
        </w:rPr>
        <w:t>专门面向中小企业；</w:t>
      </w:r>
    </w:p>
    <w:p w14:paraId="648A7D54">
      <w:pPr>
        <w:shd w:val="clear"/>
        <w:spacing w:line="360" w:lineRule="auto"/>
        <w:ind w:left="420" w:leftChars="200"/>
        <w:jc w:val="left"/>
        <w:rPr>
          <w:rFonts w:ascii="宋体" w:hAnsi="宋体" w:cs="仿宋"/>
          <w:color w:val="auto"/>
          <w:sz w:val="24"/>
          <w:szCs w:val="28"/>
          <w:highlight w:val="none"/>
        </w:rPr>
      </w:pPr>
      <w:r>
        <w:rPr>
          <w:rFonts w:hint="eastAsia" w:ascii="MS Mincho" w:hAnsi="MS Mincho" w:eastAsia="MS Mincho" w:cs="MS Mincho"/>
          <w:color w:val="auto"/>
          <w:sz w:val="24"/>
          <w:szCs w:val="28"/>
          <w:highlight w:val="none"/>
        </w:rPr>
        <w:t>☑</w:t>
      </w:r>
      <w:r>
        <w:rPr>
          <w:rFonts w:hint="eastAsia" w:ascii="宋体" w:hAnsi="宋体" w:cs="仿宋"/>
          <w:color w:val="auto"/>
          <w:sz w:val="24"/>
          <w:szCs w:val="28"/>
          <w:highlight w:val="none"/>
        </w:rPr>
        <w:t>服务全部由符合政策要求的中小企业承接，提供中小企业声明函；</w:t>
      </w:r>
    </w:p>
    <w:p w14:paraId="4EEFBA29">
      <w:pPr>
        <w:shd w:val="clear"/>
        <w:spacing w:line="360" w:lineRule="auto"/>
        <w:ind w:left="420" w:leftChars="200"/>
        <w:jc w:val="left"/>
        <w:rPr>
          <w:rFonts w:ascii="宋体" w:hAnsi="宋体" w:cs="仿宋"/>
          <w:color w:val="auto"/>
          <w:sz w:val="24"/>
          <w:szCs w:val="28"/>
          <w:highlight w:val="none"/>
        </w:rPr>
      </w:pPr>
      <w:bookmarkStart w:id="27" w:name="OLE_LINK19"/>
      <w:bookmarkStart w:id="28" w:name="OLE_LINK20"/>
      <w:r>
        <w:rPr>
          <w:rFonts w:hint="eastAsia" w:ascii="宋体" w:hAnsi="宋体" w:cs="仿宋"/>
          <w:color w:val="auto"/>
          <w:sz w:val="24"/>
          <w:szCs w:val="28"/>
          <w:highlight w:val="none"/>
        </w:rPr>
        <w:t>☐</w:t>
      </w:r>
      <w:bookmarkEnd w:id="27"/>
      <w:bookmarkEnd w:id="28"/>
      <w:r>
        <w:rPr>
          <w:rFonts w:hint="eastAsia" w:ascii="宋体" w:hAnsi="宋体" w:cs="仿宋"/>
          <w:color w:val="auto"/>
          <w:sz w:val="24"/>
          <w:szCs w:val="28"/>
          <w:highlight w:val="none"/>
        </w:rPr>
        <w:t>服务全部由符合政策要求的小微企业承接，提供中小企业声明函；</w:t>
      </w:r>
    </w:p>
    <w:p w14:paraId="4146D181">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w:t>
      </w:r>
      <w:bookmarkStart w:id="29" w:name="_Hlk101132524"/>
      <w:r>
        <w:rPr>
          <w:rFonts w:hint="eastAsia" w:ascii="宋体" w:hAnsi="宋体" w:cs="仿宋"/>
          <w:color w:val="auto"/>
          <w:sz w:val="24"/>
          <w:szCs w:val="28"/>
          <w:highlight w:val="none"/>
        </w:rPr>
        <w:t>要求以联合体形式参加，提供联合协议和中小企业声明函，联合体协议书中中小企业合同金额应当达到__%，其中小微企业合同金额应当达到__%;如果供应商本身提供所有标的均由中小企业制造、承建或承接，并相应达到了前述比例要求，视同符合了资格条件，无需再与其他中小企业组成联合体参加政府采购活动，无需提供联合协议；</w:t>
      </w:r>
    </w:p>
    <w:bookmarkEnd w:id="29"/>
    <w:p w14:paraId="3901309B">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☐要求合同分包，提供分包意向协议和中小企业声明函，分包意向协议中中小企业合同金额应当达到__% ，其中小微企业合同金额应当达到__% ;如果供应商本身提供所有标的均由中小企业制造、承建或承接，并相应达到了前述比例要求，视同符合了资格条件，无需再向中小企业分包，无需提供分包意向协议；</w:t>
      </w:r>
    </w:p>
    <w:p w14:paraId="402380AD">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本项目的特定资格要求：/。</w:t>
      </w:r>
      <w:r>
        <w:rPr>
          <w:rFonts w:hint="eastAsia" w:ascii="宋体" w:hAnsi="宋体" w:cs="仿宋"/>
          <w:color w:val="auto"/>
          <w:sz w:val="24"/>
          <w:szCs w:val="28"/>
          <w:highlight w:val="none"/>
        </w:rPr>
        <w:tab/>
      </w:r>
    </w:p>
    <w:p w14:paraId="70DEC0AF">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F79BF7">
      <w:pPr>
        <w:shd w:val="clear"/>
        <w:spacing w:line="360" w:lineRule="auto"/>
        <w:ind w:left="420" w:leftChars="200"/>
        <w:jc w:val="left"/>
        <w:rPr>
          <w:rFonts w:ascii="宋体" w:hAnsi="宋体" w:cs="仿宋"/>
          <w:color w:val="auto"/>
          <w:sz w:val="24"/>
          <w:szCs w:val="28"/>
          <w:highlight w:val="none"/>
        </w:rPr>
      </w:pPr>
      <w:bookmarkStart w:id="30" w:name="_Toc35393792"/>
      <w:bookmarkStart w:id="31" w:name="_Toc35393623"/>
      <w:r>
        <w:rPr>
          <w:rFonts w:hint="eastAsia" w:ascii="宋体" w:hAnsi="宋体" w:cs="仿宋"/>
          <w:color w:val="auto"/>
          <w:sz w:val="24"/>
          <w:szCs w:val="28"/>
          <w:highlight w:val="none"/>
        </w:rPr>
        <w:t>三、获取</w:t>
      </w:r>
      <w:bookmarkEnd w:id="23"/>
      <w:bookmarkEnd w:id="24"/>
      <w:bookmarkEnd w:id="30"/>
      <w:bookmarkEnd w:id="31"/>
      <w:r>
        <w:rPr>
          <w:rFonts w:hint="eastAsia" w:ascii="宋体" w:hAnsi="宋体" w:cs="仿宋"/>
          <w:color w:val="auto"/>
          <w:sz w:val="24"/>
          <w:szCs w:val="28"/>
          <w:highlight w:val="none"/>
        </w:rPr>
        <w:t>征集文件</w:t>
      </w:r>
    </w:p>
    <w:p w14:paraId="56680173">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时间：/至2025年 月 日，每天上午00:00至12:00 ，下午12:00至23:59（北京时间，线上获取法定节假日均可，线下获取文件法定节假日除外）</w:t>
      </w:r>
    </w:p>
    <w:p w14:paraId="09315022">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地点（网址）：浙江政府采购网（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仿宋"/>
          <w:color w:val="auto"/>
          <w:sz w:val="24"/>
          <w:szCs w:val="28"/>
          <w:highlight w:val="none"/>
        </w:rPr>
        <w:t>http://zfcg.czt.zj.gov.cn/</w:t>
      </w:r>
      <w:r>
        <w:rPr>
          <w:rFonts w:hint="eastAsia" w:ascii="宋体" w:hAnsi="宋体" w:cs="仿宋"/>
          <w:color w:val="auto"/>
          <w:sz w:val="24"/>
          <w:szCs w:val="28"/>
          <w:highlight w:val="none"/>
        </w:rPr>
        <w:fldChar w:fldCharType="end"/>
      </w:r>
      <w:r>
        <w:rPr>
          <w:rFonts w:hint="eastAsia" w:ascii="宋体" w:hAnsi="宋体" w:cs="仿宋"/>
          <w:color w:val="auto"/>
          <w:sz w:val="24"/>
          <w:szCs w:val="28"/>
          <w:highlight w:val="none"/>
        </w:rPr>
        <w:t>）；</w:t>
      </w:r>
    </w:p>
    <w:p w14:paraId="6E3244D8">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方式：供应商登录政采云平台http://www.zcygov.cn/，在线申请获取征集文件（进入“项目采购”应用，在获取征集文件菜单中选择项目，申请获取征集文件）。公告页面附件征集文件可以下载，仅供浏览使用；</w:t>
      </w:r>
    </w:p>
    <w:p w14:paraId="3E0D6455">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售价：0。</w:t>
      </w:r>
    </w:p>
    <w:p w14:paraId="36E72714">
      <w:pPr>
        <w:shd w:val="clear"/>
        <w:spacing w:line="360" w:lineRule="auto"/>
        <w:ind w:left="420" w:leftChars="200"/>
        <w:jc w:val="left"/>
        <w:rPr>
          <w:rFonts w:ascii="宋体" w:hAnsi="宋体" w:cs="仿宋"/>
          <w:color w:val="auto"/>
          <w:sz w:val="24"/>
          <w:szCs w:val="28"/>
          <w:highlight w:val="none"/>
        </w:rPr>
      </w:pPr>
      <w:bookmarkStart w:id="32" w:name="_Toc28359082"/>
      <w:bookmarkStart w:id="33" w:name="_Toc28359005"/>
      <w:bookmarkStart w:id="34" w:name="_Toc35393624"/>
      <w:bookmarkStart w:id="35" w:name="_Toc35393793"/>
      <w:r>
        <w:rPr>
          <w:rFonts w:hint="eastAsia" w:ascii="宋体" w:hAnsi="宋体" w:cs="仿宋"/>
          <w:color w:val="auto"/>
          <w:sz w:val="24"/>
          <w:szCs w:val="28"/>
          <w:highlight w:val="none"/>
        </w:rPr>
        <w:t>四、提交</w:t>
      </w:r>
      <w:bookmarkEnd w:id="32"/>
      <w:bookmarkEnd w:id="33"/>
      <w:r>
        <w:rPr>
          <w:rFonts w:hint="eastAsia" w:ascii="宋体" w:hAnsi="宋体" w:cs="仿宋"/>
          <w:color w:val="auto"/>
          <w:sz w:val="24"/>
          <w:szCs w:val="28"/>
          <w:highlight w:val="none"/>
        </w:rPr>
        <w:t>响应文件截止时间、开标时间和地点</w:t>
      </w:r>
      <w:bookmarkEnd w:id="34"/>
      <w:bookmarkEnd w:id="35"/>
    </w:p>
    <w:p w14:paraId="295DCBEB">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提交响应文件截止时间：2025年 月 日9点30分（北京时间）</w:t>
      </w:r>
    </w:p>
    <w:p w14:paraId="13816B71">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投标地点（网址）：政府采购云平台（https://www.zcygov.cn）</w:t>
      </w:r>
    </w:p>
    <w:p w14:paraId="6458964E">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开标时间：2025年 月 日9点30分</w:t>
      </w:r>
    </w:p>
    <w:p w14:paraId="7710EA04">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开标地点（网址）：https://www.zcygov.cn，通过政府采购云平台（https://www.zcygov.cn）在线开标。</w:t>
      </w:r>
    </w:p>
    <w:p w14:paraId="04C62E2C">
      <w:pPr>
        <w:shd w:val="clear"/>
        <w:spacing w:line="360" w:lineRule="auto"/>
        <w:ind w:left="420" w:leftChars="200"/>
        <w:jc w:val="left"/>
        <w:rPr>
          <w:rFonts w:ascii="宋体" w:hAnsi="宋体" w:cs="仿宋"/>
          <w:color w:val="auto"/>
          <w:sz w:val="24"/>
          <w:szCs w:val="28"/>
          <w:highlight w:val="none"/>
        </w:rPr>
      </w:pPr>
      <w:bookmarkStart w:id="36" w:name="_Toc35393625"/>
      <w:bookmarkStart w:id="37" w:name="_Toc28359084"/>
      <w:bookmarkStart w:id="38" w:name="_Toc28359007"/>
      <w:bookmarkStart w:id="39" w:name="_Toc35393794"/>
      <w:r>
        <w:rPr>
          <w:rFonts w:hint="eastAsia" w:ascii="宋体" w:hAnsi="宋体" w:cs="仿宋"/>
          <w:color w:val="auto"/>
          <w:sz w:val="24"/>
          <w:szCs w:val="28"/>
          <w:highlight w:val="none"/>
        </w:rPr>
        <w:t>五、公告期限</w:t>
      </w:r>
      <w:bookmarkEnd w:id="36"/>
      <w:bookmarkEnd w:id="37"/>
      <w:bookmarkEnd w:id="38"/>
      <w:bookmarkEnd w:id="39"/>
    </w:p>
    <w:p w14:paraId="78EF745B">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自本公告发布之日起5个工作日。</w:t>
      </w:r>
    </w:p>
    <w:p w14:paraId="4F3792DA">
      <w:pPr>
        <w:shd w:val="clear"/>
        <w:spacing w:line="360" w:lineRule="auto"/>
        <w:ind w:left="420" w:leftChars="200"/>
        <w:jc w:val="left"/>
        <w:rPr>
          <w:rFonts w:ascii="宋体" w:hAnsi="宋体" w:cs="仿宋"/>
          <w:color w:val="auto"/>
          <w:sz w:val="24"/>
          <w:szCs w:val="28"/>
          <w:highlight w:val="none"/>
        </w:rPr>
      </w:pPr>
      <w:bookmarkStart w:id="40" w:name="_Toc35393626"/>
      <w:bookmarkStart w:id="41" w:name="_Toc35393795"/>
      <w:r>
        <w:rPr>
          <w:rFonts w:hint="eastAsia" w:ascii="宋体" w:hAnsi="宋体" w:cs="仿宋"/>
          <w:color w:val="auto"/>
          <w:sz w:val="24"/>
          <w:szCs w:val="28"/>
          <w:highlight w:val="none"/>
        </w:rPr>
        <w:t>六、其他补充事宜</w:t>
      </w:r>
      <w:bookmarkEnd w:id="40"/>
      <w:bookmarkEnd w:id="41"/>
    </w:p>
    <w:p w14:paraId="6B4E8679">
      <w:pPr>
        <w:shd w:val="clear"/>
        <w:spacing w:line="360" w:lineRule="auto"/>
        <w:ind w:left="420" w:leftChars="200"/>
        <w:jc w:val="left"/>
        <w:rPr>
          <w:rFonts w:ascii="宋体" w:hAnsi="宋体" w:cs="仿宋"/>
          <w:color w:val="auto"/>
          <w:sz w:val="24"/>
          <w:szCs w:val="28"/>
          <w:highlight w:val="none"/>
        </w:rPr>
      </w:pPr>
      <w:bookmarkStart w:id="42" w:name="_Toc35393627"/>
      <w:bookmarkStart w:id="43" w:name="_Toc28359008"/>
      <w:bookmarkStart w:id="44" w:name="_Toc28359085"/>
      <w:bookmarkStart w:id="45" w:name="_Toc35393796"/>
      <w:r>
        <w:rPr>
          <w:rFonts w:hint="eastAsia" w:ascii="宋体" w:hAnsi="宋体" w:cs="仿宋"/>
          <w:color w:val="auto"/>
          <w:sz w:val="24"/>
          <w:szCs w:val="28"/>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15F4073">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C72BF34">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3.供应商认为征集文件使自己的权益受到损害的，可以自获取征集文件之日或者征集文件公告期限届满之日（公告期限届满后获取征集文件的，以公告期限届满之日为准）起7个工作日内，以书面形式向征集人和采购代理机构提出质疑。质疑供应商对征集人、采购代理机构的答复不满意或者征集人、采购代理机构未在规定的时间内作出答复的，可以在答复期满后十五个工作日内向同级政府采购监督管理部门投诉。质疑函范本、投诉书范本请到浙江政府采购网下载专区下载。</w:t>
      </w:r>
    </w:p>
    <w:p w14:paraId="38A83BAB">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4.其他事项：（1）需要落实的政府采购政策：包括节约资源、保护环境、支持创新、促进中小企业发展等。详见征集文件的第二部分总则。（2）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征集文件的获取：使用账号登录或者使用CA登录政采云平台；进入“项目采购”应用，在获取征集文件菜单中选择项目，获取征集文件；④响应文件的制作：在“政采云电子交易客户端”中完成“填写基本信息”、“导入响应文件”、“标书关联”、“标书检查”、“电子签名”、“生成电子标书”等操作；⑤征集人、采购代理机构将依托政采云平台完成本项目的电子交易活动，平台不接受未按上述方式获取征集文件的供应商进行投标活动；⑥对未按上述方式获取征集文件的供应商对该文件提出的质疑，征集人或采购代理机构将不予处理；⑦不提供征集文件纸质版；⑧响应文件的传输递交：投标人在投标截止时间前将加密的响应文件上传至政府采购云平台，还可以在投标截止时间前直接提交或者以邮政快递方式递交备份响应文件1份。备份响应文件的制作、存储、密封详见征集文件第二部分第15点—“备份响应文件”；⑨响应文件的解密：投标人按照平台提示和征集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投标人仅提交备份响应文件，未在电子交易平台传输递交响应文件的，投标无效；⑩具体操作指南：详见政采云平台“服务中心-帮助文档-项目采购-操作流程-电子招投标-政府采购项目电子交易管理操作指南-供应商”。（3）征集文件公告期限与征集公告的公告期限一致。</w:t>
      </w:r>
    </w:p>
    <w:p w14:paraId="1AE0A03D">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七、对本次采购提出询问、质疑、投诉，请按以下方式联系。</w:t>
      </w:r>
      <w:bookmarkEnd w:id="42"/>
      <w:bookmarkEnd w:id="43"/>
      <w:bookmarkEnd w:id="44"/>
      <w:bookmarkEnd w:id="45"/>
    </w:p>
    <w:p w14:paraId="497E80D9">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1.征集人信息</w:t>
      </w:r>
    </w:p>
    <w:p w14:paraId="0B3722E4">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 xml:space="preserve">名称： </w:t>
      </w:r>
      <w:bookmarkStart w:id="46" w:name="OLE_LINK26"/>
      <w:bookmarkStart w:id="47" w:name="OLE_LINK23"/>
      <w:bookmarkStart w:id="48" w:name="OLE_LINK24"/>
      <w:r>
        <w:rPr>
          <w:rFonts w:hint="eastAsia" w:ascii="宋体" w:hAnsi="宋体" w:cs="仿宋"/>
          <w:color w:val="auto"/>
          <w:sz w:val="24"/>
          <w:szCs w:val="28"/>
          <w:highlight w:val="none"/>
        </w:rPr>
        <w:t>嵊州市政府投资项目审计中心</w:t>
      </w:r>
      <w:bookmarkEnd w:id="46"/>
      <w:bookmarkEnd w:id="47"/>
      <w:bookmarkEnd w:id="48"/>
    </w:p>
    <w:p w14:paraId="0644065C">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地址：‌‌嵊州市北直街40号</w:t>
      </w:r>
    </w:p>
    <w:p w14:paraId="007DDC6D">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传真：/</w:t>
      </w:r>
    </w:p>
    <w:p w14:paraId="68435652">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项目联系人（询问）： 邵先生</w:t>
      </w:r>
    </w:p>
    <w:p w14:paraId="4A1C29D5">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 xml:space="preserve">项目联系方式（询问）：0575-83118971 </w:t>
      </w:r>
    </w:p>
    <w:p w14:paraId="71613FD8">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质疑联系人： 王女士</w:t>
      </w:r>
    </w:p>
    <w:p w14:paraId="79A9A29A">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质疑联系方式：0575-83118892</w:t>
      </w:r>
    </w:p>
    <w:p w14:paraId="57CB466C">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2.采购代理机构信息</w:t>
      </w:r>
    </w:p>
    <w:p w14:paraId="4F749C2F">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名 称：浙江天源工程管理咨询有限公司</w:t>
      </w:r>
    </w:p>
    <w:p w14:paraId="7B6A2F93">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地 址：绍兴市越城区兰江路11号1楼</w:t>
      </w:r>
    </w:p>
    <w:p w14:paraId="360EFAA1">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传 真：0575-85111480</w:t>
      </w:r>
    </w:p>
    <w:p w14:paraId="14272AFB">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项目联系人（询问）：俞晓萍、李露娜</w:t>
      </w:r>
    </w:p>
    <w:p w14:paraId="3E39A5A3">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项目联系方式（询问）：0575-85127153</w:t>
      </w:r>
    </w:p>
    <w:p w14:paraId="21698124">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质疑联系人：龚征亚、潘灵凤</w:t>
      </w:r>
    </w:p>
    <w:p w14:paraId="5F12E3C8">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质疑联系方式：0575-85111480</w:t>
      </w:r>
    </w:p>
    <w:p w14:paraId="2C053C50">
      <w:pPr>
        <w:shd w:val="clear"/>
        <w:spacing w:line="360" w:lineRule="auto"/>
        <w:ind w:left="420" w:leftChars="200"/>
        <w:jc w:val="left"/>
        <w:rPr>
          <w:rFonts w:ascii="宋体" w:hAnsi="宋体" w:cs="仿宋"/>
          <w:color w:val="auto"/>
          <w:sz w:val="24"/>
          <w:highlight w:val="none"/>
        </w:rPr>
      </w:pPr>
      <w:r>
        <w:rPr>
          <w:rFonts w:hint="eastAsia" w:ascii="宋体" w:hAnsi="宋体" w:cs="仿宋"/>
          <w:color w:val="auto"/>
          <w:sz w:val="24"/>
          <w:highlight w:val="none"/>
        </w:rPr>
        <w:t xml:space="preserve">3.同级政府采购监督管理部门 </w:t>
      </w:r>
    </w:p>
    <w:p w14:paraId="015ADD46">
      <w:pPr>
        <w:shd w:val="clear"/>
        <w:spacing w:line="360" w:lineRule="auto"/>
        <w:ind w:left="420" w:leftChars="200"/>
        <w:jc w:val="left"/>
        <w:rPr>
          <w:rFonts w:ascii="宋体" w:hAnsi="宋体" w:cs="仿宋"/>
          <w:color w:val="auto"/>
          <w:sz w:val="24"/>
          <w:highlight w:val="none"/>
        </w:rPr>
      </w:pPr>
      <w:bookmarkStart w:id="49" w:name="OLE_LINK1"/>
      <w:bookmarkStart w:id="50" w:name="OLE_LINK2"/>
      <w:r>
        <w:rPr>
          <w:rFonts w:hint="eastAsia" w:ascii="宋体" w:hAnsi="宋体" w:cs="仿宋"/>
          <w:color w:val="auto"/>
          <w:sz w:val="24"/>
          <w:highlight w:val="none"/>
        </w:rPr>
        <w:t>名称：</w:t>
      </w:r>
      <w:r>
        <w:rPr>
          <w:rFonts w:hint="eastAsia" w:ascii="宋体" w:hAnsi="宋体"/>
          <w:color w:val="auto"/>
          <w:sz w:val="24"/>
          <w:highlight w:val="none"/>
        </w:rPr>
        <w:t>嵊州市财政局</w:t>
      </w:r>
    </w:p>
    <w:p w14:paraId="7948C547">
      <w:pPr>
        <w:shd w:val="clear"/>
        <w:spacing w:line="360" w:lineRule="auto"/>
        <w:ind w:left="420" w:leftChars="200"/>
        <w:jc w:val="left"/>
        <w:rPr>
          <w:rFonts w:ascii="宋体" w:hAnsi="宋体" w:cs="仿宋"/>
          <w:color w:val="auto"/>
          <w:sz w:val="24"/>
          <w:highlight w:val="none"/>
        </w:rPr>
      </w:pPr>
      <w:r>
        <w:rPr>
          <w:rFonts w:hint="eastAsia" w:ascii="宋体" w:hAnsi="宋体" w:cs="仿宋"/>
          <w:color w:val="auto"/>
          <w:sz w:val="24"/>
          <w:highlight w:val="none"/>
        </w:rPr>
        <w:t>地址：</w:t>
      </w:r>
      <w:r>
        <w:rPr>
          <w:rFonts w:hint="eastAsia" w:ascii="宋体" w:hAnsi="宋体"/>
          <w:color w:val="auto"/>
          <w:sz w:val="24"/>
          <w:highlight w:val="none"/>
        </w:rPr>
        <w:t>嵊州市三江街道国资综合大楼1004室</w:t>
      </w:r>
    </w:p>
    <w:p w14:paraId="3750127D">
      <w:pPr>
        <w:shd w:val="clear"/>
        <w:spacing w:line="360" w:lineRule="auto"/>
        <w:ind w:left="420" w:leftChars="200"/>
        <w:jc w:val="left"/>
        <w:rPr>
          <w:rFonts w:ascii="宋体" w:hAnsi="宋体" w:cs="仿宋"/>
          <w:color w:val="auto"/>
          <w:sz w:val="24"/>
          <w:highlight w:val="none"/>
        </w:rPr>
      </w:pPr>
      <w:r>
        <w:rPr>
          <w:rFonts w:hint="eastAsia" w:ascii="宋体" w:hAnsi="宋体" w:cs="仿宋"/>
          <w:color w:val="auto"/>
          <w:sz w:val="24"/>
          <w:highlight w:val="none"/>
        </w:rPr>
        <w:t>传真：/ </w:t>
      </w:r>
    </w:p>
    <w:p w14:paraId="10C38A3E">
      <w:pPr>
        <w:shd w:val="clear"/>
        <w:spacing w:line="360" w:lineRule="auto"/>
        <w:ind w:left="420" w:leftChars="200"/>
        <w:jc w:val="left"/>
        <w:rPr>
          <w:rFonts w:ascii="宋体" w:hAnsi="宋体" w:cs="仿宋"/>
          <w:color w:val="auto"/>
          <w:sz w:val="24"/>
          <w:highlight w:val="none"/>
        </w:rPr>
      </w:pPr>
      <w:r>
        <w:rPr>
          <w:rFonts w:hint="eastAsia" w:ascii="宋体" w:hAnsi="宋体" w:cs="仿宋"/>
          <w:color w:val="auto"/>
          <w:sz w:val="24"/>
          <w:highlight w:val="none"/>
        </w:rPr>
        <w:t>联系人：郑先生</w:t>
      </w:r>
    </w:p>
    <w:p w14:paraId="79B139A6">
      <w:pPr>
        <w:shd w:val="clear"/>
        <w:spacing w:line="360" w:lineRule="auto"/>
        <w:ind w:left="420" w:leftChars="200"/>
        <w:jc w:val="left"/>
        <w:rPr>
          <w:rFonts w:ascii="宋体" w:hAnsi="宋体" w:cs="仿宋"/>
          <w:color w:val="auto"/>
          <w:sz w:val="24"/>
          <w:highlight w:val="none"/>
        </w:rPr>
      </w:pPr>
      <w:r>
        <w:rPr>
          <w:rFonts w:hint="eastAsia" w:ascii="宋体" w:hAnsi="宋体" w:cs="仿宋"/>
          <w:color w:val="auto"/>
          <w:sz w:val="24"/>
          <w:highlight w:val="none"/>
        </w:rPr>
        <w:t>监督投诉电话：</w:t>
      </w:r>
      <w:bookmarkEnd w:id="49"/>
      <w:bookmarkEnd w:id="50"/>
      <w:r>
        <w:rPr>
          <w:rFonts w:hint="eastAsia" w:ascii="宋体" w:hAnsi="宋体"/>
          <w:color w:val="auto"/>
          <w:sz w:val="24"/>
          <w:highlight w:val="none"/>
        </w:rPr>
        <w:t>0575-83032507</w:t>
      </w:r>
    </w:p>
    <w:p w14:paraId="387CEA73">
      <w:pPr>
        <w:shd w:val="clear"/>
        <w:spacing w:line="360" w:lineRule="auto"/>
        <w:ind w:left="420" w:leftChars="200"/>
        <w:jc w:val="left"/>
        <w:rPr>
          <w:rFonts w:ascii="宋体" w:hAnsi="宋体" w:cs="仿宋"/>
          <w:color w:val="auto"/>
          <w:sz w:val="24"/>
          <w:highlight w:val="none"/>
        </w:rPr>
      </w:pPr>
      <w:r>
        <w:rPr>
          <w:rFonts w:hint="eastAsia" w:ascii="宋体" w:hAnsi="宋体" w:cs="仿宋"/>
          <w:color w:val="auto"/>
          <w:sz w:val="24"/>
          <w:highlight w:val="none"/>
        </w:rPr>
        <w:t>八、本项目公开征集文件由嵊州市政府投资项目审计中心和浙江天源工程管理咨询有限公司共同负责解释。</w:t>
      </w:r>
    </w:p>
    <w:p w14:paraId="58316186">
      <w:pPr>
        <w:shd w:val="clear"/>
        <w:spacing w:line="360" w:lineRule="auto"/>
        <w:ind w:left="420" w:leftChars="200"/>
        <w:jc w:val="left"/>
        <w:rPr>
          <w:rFonts w:ascii="宋体" w:hAnsi="宋体" w:cs="仿宋"/>
          <w:color w:val="auto"/>
          <w:sz w:val="24"/>
          <w:highlight w:val="none"/>
        </w:rPr>
      </w:pPr>
    </w:p>
    <w:p w14:paraId="4706C4FF">
      <w:pPr>
        <w:shd w:val="clear"/>
        <w:spacing w:line="360" w:lineRule="auto"/>
        <w:ind w:left="420" w:leftChars="200"/>
        <w:jc w:val="left"/>
        <w:rPr>
          <w:rFonts w:ascii="宋体" w:hAnsi="宋体" w:cs="仿宋"/>
          <w:color w:val="auto"/>
          <w:sz w:val="24"/>
          <w:highlight w:val="none"/>
        </w:rPr>
      </w:pPr>
    </w:p>
    <w:p w14:paraId="36E26821">
      <w:pPr>
        <w:shd w:val="clear"/>
        <w:spacing w:line="360" w:lineRule="auto"/>
        <w:ind w:left="420" w:leftChars="200"/>
        <w:jc w:val="left"/>
        <w:rPr>
          <w:rFonts w:ascii="宋体" w:hAnsi="宋体" w:cs="仿宋"/>
          <w:color w:val="auto"/>
          <w:sz w:val="24"/>
          <w:highlight w:val="none"/>
        </w:rPr>
      </w:pPr>
      <w:r>
        <w:rPr>
          <w:rFonts w:hint="eastAsia" w:ascii="宋体" w:hAnsi="宋体"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3505556F">
      <w:pPr>
        <w:shd w:val="clear"/>
        <w:spacing w:line="360" w:lineRule="auto"/>
        <w:ind w:left="420" w:leftChars="200"/>
        <w:jc w:val="left"/>
        <w:rPr>
          <w:rFonts w:ascii="宋体" w:hAnsi="宋体" w:cs="仿宋"/>
          <w:color w:val="auto"/>
          <w:sz w:val="24"/>
          <w:highlight w:val="none"/>
        </w:rPr>
      </w:pPr>
      <w:r>
        <w:rPr>
          <w:rFonts w:hint="eastAsia" w:ascii="宋体" w:hAnsi="宋体" w:cs="仿宋"/>
          <w:color w:val="auto"/>
          <w:sz w:val="24"/>
          <w:highlight w:val="none"/>
        </w:rPr>
        <w:t>CA问题联系电话（人工）：汇信CA 400-888-4636；天谷CA 400-087-8198。</w:t>
      </w:r>
    </w:p>
    <w:p w14:paraId="1F8C1091">
      <w:pPr>
        <w:pStyle w:val="56"/>
        <w:shd w:val="clear"/>
        <w:jc w:val="both"/>
        <w:rPr>
          <w:rFonts w:ascii="宋体" w:hAnsi="宋体" w:cs="仿宋"/>
          <w:color w:val="auto"/>
          <w:highlight w:val="none"/>
          <w:lang w:val="en-US"/>
        </w:rPr>
      </w:pPr>
    </w:p>
    <w:p w14:paraId="42405D6B">
      <w:pPr>
        <w:shd w:val="clear"/>
        <w:adjustRightInd/>
        <w:spacing w:line="360" w:lineRule="auto"/>
        <w:jc w:val="center"/>
        <w:outlineLvl w:val="0"/>
        <w:rPr>
          <w:rFonts w:ascii="宋体" w:hAnsi="宋体" w:cs="仿宋"/>
          <w:b/>
          <w:color w:val="auto"/>
          <w:sz w:val="36"/>
          <w:szCs w:val="20"/>
          <w:highlight w:val="none"/>
        </w:rPr>
      </w:pPr>
      <w:r>
        <w:rPr>
          <w:rFonts w:hint="eastAsia" w:ascii="宋体" w:hAnsi="宋体" w:cs="仿宋"/>
          <w:b/>
          <w:color w:val="auto"/>
          <w:sz w:val="36"/>
          <w:szCs w:val="20"/>
          <w:highlight w:val="none"/>
        </w:rPr>
        <w:br w:type="page"/>
      </w:r>
      <w:r>
        <w:rPr>
          <w:rFonts w:hint="eastAsia" w:ascii="宋体" w:hAnsi="宋体" w:cs="仿宋"/>
          <w:b/>
          <w:color w:val="auto"/>
          <w:sz w:val="36"/>
          <w:szCs w:val="20"/>
          <w:highlight w:val="none"/>
        </w:rPr>
        <w:t>第二部分</w:t>
      </w:r>
      <w:bookmarkEnd w:id="10"/>
      <w:r>
        <w:rPr>
          <w:rFonts w:hint="eastAsia" w:ascii="宋体" w:hAnsi="宋体" w:cs="仿宋"/>
          <w:b/>
          <w:color w:val="auto"/>
          <w:sz w:val="36"/>
          <w:szCs w:val="20"/>
          <w:highlight w:val="none"/>
        </w:rPr>
        <w:t xml:space="preserve"> 投标人须知</w:t>
      </w:r>
      <w:bookmarkEnd w:id="11"/>
    </w:p>
    <w:p w14:paraId="4A341D3E">
      <w:pPr>
        <w:shd w:val="clear"/>
        <w:snapToGrid w:val="0"/>
        <w:spacing w:line="360" w:lineRule="auto"/>
        <w:jc w:val="center"/>
        <w:rPr>
          <w:rFonts w:ascii="宋体" w:hAnsi="宋体" w:cs="仿宋"/>
          <w:b/>
          <w:color w:val="auto"/>
          <w:sz w:val="32"/>
          <w:szCs w:val="20"/>
          <w:highlight w:val="none"/>
        </w:rPr>
      </w:pPr>
      <w:r>
        <w:rPr>
          <w:rFonts w:hint="eastAsia" w:ascii="宋体" w:hAnsi="宋体" w:cs="仿宋"/>
          <w:b/>
          <w:color w:val="auto"/>
          <w:sz w:val="32"/>
          <w:szCs w:val="20"/>
          <w:highlight w:val="none"/>
        </w:rPr>
        <w:t>前附表</w:t>
      </w:r>
    </w:p>
    <w:tbl>
      <w:tblPr>
        <w:tblStyle w:val="60"/>
        <w:tblW w:w="965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83"/>
      </w:tblGrid>
      <w:tr w14:paraId="01A0E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77CAE6F6">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BEAFC18">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事项</w:t>
            </w:r>
          </w:p>
        </w:tc>
        <w:tc>
          <w:tcPr>
            <w:tcW w:w="7183" w:type="dxa"/>
            <w:tcBorders>
              <w:top w:val="single" w:color="auto" w:sz="4" w:space="0"/>
              <w:left w:val="single" w:color="auto" w:sz="4" w:space="0"/>
              <w:bottom w:val="single" w:color="auto" w:sz="4" w:space="0"/>
              <w:right w:val="single" w:color="auto" w:sz="4" w:space="0"/>
            </w:tcBorders>
            <w:vAlign w:val="center"/>
          </w:tcPr>
          <w:p w14:paraId="69224504">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本项目的特别规定</w:t>
            </w:r>
          </w:p>
        </w:tc>
      </w:tr>
      <w:tr w14:paraId="6CCDD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18C03AB6">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2BB727DD">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报价要求</w:t>
            </w:r>
          </w:p>
        </w:tc>
        <w:tc>
          <w:tcPr>
            <w:tcW w:w="7183" w:type="dxa"/>
            <w:tcBorders>
              <w:top w:val="single" w:color="auto" w:sz="4" w:space="0"/>
              <w:left w:val="single" w:color="auto" w:sz="4" w:space="0"/>
              <w:bottom w:val="single" w:color="auto" w:sz="4" w:space="0"/>
              <w:right w:val="single" w:color="auto" w:sz="4" w:space="0"/>
            </w:tcBorders>
            <w:vAlign w:val="center"/>
          </w:tcPr>
          <w:p w14:paraId="4B6F5BA2">
            <w:pPr>
              <w:shd w:val="clear"/>
              <w:snapToGrid w:val="0"/>
              <w:spacing w:line="340" w:lineRule="exact"/>
              <w:jc w:val="left"/>
              <w:rPr>
                <w:rFonts w:ascii="宋体" w:hAnsi="宋体" w:cs="宋体"/>
                <w:color w:val="auto"/>
                <w:sz w:val="24"/>
                <w:szCs w:val="28"/>
                <w:highlight w:val="none"/>
              </w:rPr>
            </w:pPr>
            <w:r>
              <w:rPr>
                <w:rFonts w:hint="eastAsia" w:ascii="宋体" w:hAnsi="宋体" w:cs="宋体"/>
                <w:color w:val="auto"/>
                <w:sz w:val="24"/>
                <w:szCs w:val="28"/>
                <w:highlight w:val="none"/>
              </w:rPr>
              <w:t>有关本项目开展所需人员工资、福利、工具、利润、税金、保险及不可预见费用等均计入报价。招标文件未列明，而投标人认为必需的费用也需列入报价。</w:t>
            </w:r>
          </w:p>
          <w:p w14:paraId="62A79A42">
            <w:pPr>
              <w:shd w:val="clear"/>
              <w:snapToGrid w:val="0"/>
              <w:spacing w:line="340" w:lineRule="exact"/>
              <w:jc w:val="left"/>
              <w:rPr>
                <w:rFonts w:ascii="宋体" w:hAnsi="宋体" w:cs="宋体"/>
                <w:color w:val="auto"/>
                <w:sz w:val="24"/>
                <w:szCs w:val="28"/>
                <w:highlight w:val="none"/>
              </w:rPr>
            </w:pPr>
            <w:r>
              <w:rPr>
                <w:rFonts w:hint="eastAsia" w:ascii="宋体" w:hAnsi="宋体" w:cs="宋体"/>
                <w:color w:val="auto"/>
                <w:sz w:val="24"/>
                <w:szCs w:val="28"/>
                <w:highlight w:val="none"/>
              </w:rPr>
              <w:t>▲供应商以第三部分采购需求中附件《建设工程造价咨询服务收费标准》中</w:t>
            </w:r>
            <w:bookmarkStart w:id="51" w:name="OLE_LINK3"/>
            <w:bookmarkStart w:id="52" w:name="OLE_LINK4"/>
            <w:r>
              <w:rPr>
                <w:rFonts w:hint="eastAsia" w:ascii="宋体" w:hAnsi="宋体" w:cs="宋体"/>
                <w:color w:val="auto"/>
                <w:sz w:val="24"/>
                <w:szCs w:val="28"/>
                <w:highlight w:val="none"/>
              </w:rPr>
              <w:t>对应咨询项目</w:t>
            </w:r>
            <w:bookmarkEnd w:id="51"/>
            <w:bookmarkEnd w:id="52"/>
            <w:r>
              <w:rPr>
                <w:rFonts w:hint="eastAsia" w:ascii="宋体" w:hAnsi="宋体" w:cs="宋体"/>
                <w:color w:val="auto"/>
                <w:sz w:val="24"/>
                <w:szCs w:val="28"/>
                <w:highlight w:val="none"/>
              </w:rPr>
              <w:t>收费标准的基础上进行折扣率报价。投标供应商的报价折扣率</w:t>
            </w:r>
            <w:r>
              <w:rPr>
                <w:rFonts w:ascii="宋体" w:hAnsi="宋体" w:cs="宋体"/>
                <w:color w:val="auto"/>
                <w:sz w:val="24"/>
                <w:szCs w:val="28"/>
                <w:highlight w:val="none"/>
              </w:rPr>
              <w:t>必须等于或者小于</w:t>
            </w:r>
            <w:r>
              <w:rPr>
                <w:rFonts w:hint="eastAsia" w:ascii="宋体" w:hAnsi="宋体" w:cs="宋体"/>
                <w:color w:val="auto"/>
                <w:sz w:val="24"/>
                <w:szCs w:val="28"/>
                <w:highlight w:val="none"/>
                <w:u w:val="single"/>
              </w:rPr>
              <w:t>65</w:t>
            </w:r>
            <w:r>
              <w:rPr>
                <w:rFonts w:hint="eastAsia" w:ascii="宋体" w:hAnsi="宋体" w:cs="宋体"/>
                <w:color w:val="auto"/>
                <w:sz w:val="24"/>
                <w:szCs w:val="28"/>
                <w:highlight w:val="none"/>
              </w:rPr>
              <w:t>%，</w:t>
            </w:r>
            <w:r>
              <w:rPr>
                <w:rFonts w:ascii="宋体" w:hAnsi="宋体" w:cs="宋体"/>
                <w:color w:val="auto"/>
                <w:sz w:val="24"/>
                <w:szCs w:val="28"/>
                <w:highlight w:val="none"/>
              </w:rPr>
              <w:t>超过</w:t>
            </w:r>
            <w:r>
              <w:rPr>
                <w:rFonts w:hint="eastAsia" w:ascii="宋体" w:hAnsi="宋体" w:cs="宋体"/>
                <w:color w:val="auto"/>
                <w:sz w:val="24"/>
                <w:szCs w:val="28"/>
                <w:highlight w:val="none"/>
              </w:rPr>
              <w:t>以上折扣的作无效标处理。价格不列为评审因素。</w:t>
            </w:r>
          </w:p>
          <w:p w14:paraId="17DF005F">
            <w:pPr>
              <w:shd w:val="clear"/>
              <w:snapToGrid w:val="0"/>
              <w:spacing w:line="340" w:lineRule="exact"/>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ADD7B85">
            <w:pPr>
              <w:shd w:val="clear"/>
              <w:snapToGrid w:val="0"/>
              <w:spacing w:line="340" w:lineRule="exact"/>
              <w:jc w:val="left"/>
              <w:rPr>
                <w:rFonts w:ascii="宋体" w:hAnsi="宋体" w:cs="宋体"/>
                <w:b/>
                <w:color w:val="auto"/>
                <w:kern w:val="0"/>
                <w:sz w:val="24"/>
                <w:highlight w:val="none"/>
                <w:lang w:val="zh-CN"/>
              </w:rPr>
            </w:pPr>
            <w:r>
              <w:rPr>
                <w:rFonts w:hint="eastAsia" w:ascii="宋体" w:hAnsi="宋体" w:cs="宋体"/>
                <w:b/>
                <w:color w:val="auto"/>
                <w:sz w:val="24"/>
                <w:highlight w:val="none"/>
              </w:rPr>
              <w:t>▲</w:t>
            </w:r>
            <w:r>
              <w:rPr>
                <w:rFonts w:hint="eastAsia" w:ascii="宋体" w:hAnsi="宋体" w:cs="宋体"/>
                <w:b/>
                <w:color w:val="auto"/>
                <w:kern w:val="0"/>
                <w:sz w:val="24"/>
                <w:highlight w:val="none"/>
                <w:lang w:val="zh-CN"/>
              </w:rPr>
              <w:t>投标文件出现不是唯一的、有选择性投标报价的；</w:t>
            </w:r>
          </w:p>
          <w:p w14:paraId="02AE1DEF">
            <w:pPr>
              <w:shd w:val="clear"/>
              <w:snapToGrid w:val="0"/>
              <w:spacing w:line="340" w:lineRule="exact"/>
              <w:jc w:val="left"/>
              <w:rPr>
                <w:rFonts w:ascii="宋体" w:hAnsi="宋体" w:cs="宋体"/>
                <w:color w:val="auto"/>
                <w:kern w:val="0"/>
                <w:sz w:val="24"/>
                <w:highlight w:val="none"/>
                <w:lang w:val="zh-CN"/>
              </w:rPr>
            </w:pPr>
            <w:r>
              <w:rPr>
                <w:rFonts w:hint="eastAsia" w:ascii="宋体" w:hAnsi="宋体" w:cs="宋体"/>
                <w:b/>
                <w:color w:val="auto"/>
                <w:sz w:val="24"/>
                <w:highlight w:val="none"/>
              </w:rPr>
              <w:t>▲投标报价高于本项目采购预算或者最高限价的;</w:t>
            </w:r>
          </w:p>
          <w:p w14:paraId="26E8F282">
            <w:pPr>
              <w:shd w:val="clear"/>
              <w:spacing w:line="340" w:lineRule="exact"/>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kern w:val="0"/>
                <w:sz w:val="24"/>
                <w:highlight w:val="none"/>
              </w:rPr>
              <w:t>报价明显低于其他通过符合性审查投标人的报价，有可能影响服务产品质量或者不能诚信履约的，未能按要求提供书面说明或者提交相关证明材料，不能证明其报价合理性的</w:t>
            </w:r>
            <w:r>
              <w:rPr>
                <w:rFonts w:hint="eastAsia" w:ascii="宋体" w:hAnsi="宋体" w:cs="宋体"/>
                <w:b/>
                <w:color w:val="auto"/>
                <w:sz w:val="24"/>
                <w:szCs w:val="21"/>
                <w:highlight w:val="none"/>
              </w:rPr>
              <w:t>;</w:t>
            </w:r>
          </w:p>
          <w:p w14:paraId="4EDA1A75">
            <w:pPr>
              <w:shd w:val="clear"/>
              <w:spacing w:line="340" w:lineRule="exact"/>
              <w:rPr>
                <w:rFonts w:ascii="宋体" w:hAnsi="宋体" w:cs="宋体"/>
                <w:color w:val="auto"/>
                <w:sz w:val="24"/>
                <w:szCs w:val="21"/>
                <w:highlight w:val="none"/>
              </w:rPr>
            </w:pPr>
            <w:r>
              <w:rPr>
                <w:rFonts w:hint="eastAsia" w:ascii="宋体" w:hAnsi="宋体" w:cs="宋体"/>
                <w:b/>
                <w:color w:val="auto"/>
                <w:sz w:val="24"/>
                <w:highlight w:val="none"/>
              </w:rPr>
              <w:t>▲《开标一览表（报价表）》填写不完整或字迹不能辨认或有漏项的,经评标委员会认定属于重大偏差的；</w:t>
            </w:r>
          </w:p>
          <w:p w14:paraId="15D35ECC">
            <w:pPr>
              <w:shd w:val="clear"/>
              <w:spacing w:line="360" w:lineRule="auto"/>
              <w:rPr>
                <w:rFonts w:ascii="宋体" w:hAnsi="宋体" w:cs="仿宋"/>
                <w:color w:val="auto"/>
                <w:sz w:val="24"/>
                <w:szCs w:val="28"/>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4C63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176DE2A">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5F03E596">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项目采购类型</w:t>
            </w:r>
          </w:p>
        </w:tc>
        <w:tc>
          <w:tcPr>
            <w:tcW w:w="7183" w:type="dxa"/>
            <w:tcBorders>
              <w:top w:val="single" w:color="auto" w:sz="4" w:space="0"/>
              <w:left w:val="single" w:color="auto" w:sz="4" w:space="0"/>
              <w:bottom w:val="single" w:color="auto" w:sz="4" w:space="0"/>
              <w:right w:val="single" w:color="auto" w:sz="4" w:space="0"/>
            </w:tcBorders>
            <w:vAlign w:val="center"/>
          </w:tcPr>
          <w:p w14:paraId="08D28BF3">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本项目为</w:t>
            </w:r>
            <w:r>
              <w:rPr>
                <w:rFonts w:hint="eastAsia" w:ascii="宋体" w:hAnsi="宋体" w:cs="仿宋"/>
                <w:color w:val="auto"/>
                <w:sz w:val="24"/>
                <w:highlight w:val="none"/>
                <w:u w:val="single"/>
              </w:rPr>
              <w:t>服务类</w:t>
            </w:r>
            <w:r>
              <w:rPr>
                <w:rFonts w:hint="eastAsia" w:ascii="宋体" w:hAnsi="宋体" w:cs="仿宋"/>
                <w:color w:val="auto"/>
                <w:sz w:val="24"/>
                <w:highlight w:val="none"/>
              </w:rPr>
              <w:t>采购项目</w:t>
            </w:r>
          </w:p>
        </w:tc>
      </w:tr>
      <w:tr w14:paraId="414AB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0AFC0E7">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06BDA384">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分包或转包</w:t>
            </w:r>
          </w:p>
        </w:tc>
        <w:tc>
          <w:tcPr>
            <w:tcW w:w="7183" w:type="dxa"/>
            <w:tcBorders>
              <w:top w:val="single" w:color="auto" w:sz="4" w:space="0"/>
              <w:left w:val="single" w:color="auto" w:sz="4" w:space="0"/>
              <w:bottom w:val="single" w:color="auto" w:sz="4" w:space="0"/>
              <w:right w:val="single" w:color="auto" w:sz="4" w:space="0"/>
            </w:tcBorders>
            <w:vAlign w:val="center"/>
          </w:tcPr>
          <w:p w14:paraId="670493FA">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（1）征集人不同意分包。</w:t>
            </w:r>
          </w:p>
          <w:p w14:paraId="6CDCE1A2">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（2）本项目不得转包。</w:t>
            </w:r>
          </w:p>
        </w:tc>
      </w:tr>
      <w:tr w14:paraId="08065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EA9F619">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6734D3D3">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中小企业划分标准所属行业</w:t>
            </w:r>
          </w:p>
        </w:tc>
        <w:tc>
          <w:tcPr>
            <w:tcW w:w="7183" w:type="dxa"/>
            <w:tcBorders>
              <w:top w:val="single" w:color="auto" w:sz="4" w:space="0"/>
              <w:left w:val="single" w:color="auto" w:sz="4" w:space="0"/>
              <w:bottom w:val="single" w:color="auto" w:sz="4" w:space="0"/>
              <w:right w:val="single" w:color="auto" w:sz="4" w:space="0"/>
            </w:tcBorders>
            <w:vAlign w:val="center"/>
          </w:tcPr>
          <w:p w14:paraId="4FAD0CF9">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（1）采购标的：</w:t>
            </w:r>
            <w:r>
              <w:rPr>
                <w:rFonts w:hint="eastAsia" w:ascii="宋体" w:hAnsi="宋体" w:cs="仿宋"/>
                <w:color w:val="auto"/>
                <w:sz w:val="24"/>
                <w:szCs w:val="28"/>
                <w:highlight w:val="none"/>
              </w:rPr>
              <w:t>2025-2027年嵊州市公共投资建设项目造价咨询服务框架协议采购项目（封闭式）</w:t>
            </w:r>
          </w:p>
          <w:p w14:paraId="4EB34A56">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（2）所属行业：</w:t>
            </w:r>
            <w:r>
              <w:rPr>
                <w:rFonts w:hint="eastAsia" w:ascii="宋体" w:hAnsi="宋体" w:cs="仿宋"/>
                <w:color w:val="auto"/>
                <w:sz w:val="24"/>
                <w:szCs w:val="20"/>
                <w:highlight w:val="none"/>
              </w:rPr>
              <w:t>租赁和商务服务业。</w:t>
            </w:r>
          </w:p>
        </w:tc>
      </w:tr>
      <w:tr w14:paraId="6A7CE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197922C6">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2B4E3DFA">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开标前答疑会或现场考察</w:t>
            </w:r>
          </w:p>
        </w:tc>
        <w:tc>
          <w:tcPr>
            <w:tcW w:w="7183" w:type="dxa"/>
            <w:tcBorders>
              <w:top w:val="single" w:color="auto" w:sz="4" w:space="0"/>
              <w:left w:val="single" w:color="auto" w:sz="4" w:space="0"/>
              <w:bottom w:val="single" w:color="auto" w:sz="4" w:space="0"/>
              <w:right w:val="single" w:color="auto" w:sz="4" w:space="0"/>
            </w:tcBorders>
            <w:vAlign w:val="center"/>
          </w:tcPr>
          <w:p w14:paraId="25E456C2">
            <w:pPr>
              <w:pStyle w:val="31"/>
              <w:shd w:val="clear"/>
              <w:spacing w:line="360" w:lineRule="auto"/>
              <w:rPr>
                <w:rFonts w:hAnsi="宋体" w:cs="仿宋"/>
                <w:snapToGrid/>
                <w:color w:val="auto"/>
                <w:sz w:val="24"/>
                <w:szCs w:val="20"/>
                <w:highlight w:val="none"/>
              </w:rPr>
            </w:pPr>
            <w:r>
              <w:rPr>
                <w:rFonts w:hint="eastAsia" w:hAnsi="宋体" w:cs="仿宋"/>
                <w:b/>
                <w:snapToGrid/>
                <w:color w:val="auto"/>
                <w:sz w:val="24"/>
                <w:szCs w:val="20"/>
                <w:highlight w:val="none"/>
              </w:rPr>
              <w:t>不组织。</w:t>
            </w:r>
          </w:p>
        </w:tc>
      </w:tr>
      <w:tr w14:paraId="7BF69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4F19944">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6748C798">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样品提供</w:t>
            </w:r>
          </w:p>
        </w:tc>
        <w:tc>
          <w:tcPr>
            <w:tcW w:w="7183" w:type="dxa"/>
            <w:tcBorders>
              <w:top w:val="single" w:color="auto" w:sz="4" w:space="0"/>
              <w:left w:val="single" w:color="auto" w:sz="4" w:space="0"/>
              <w:bottom w:val="single" w:color="auto" w:sz="4" w:space="0"/>
              <w:right w:val="single" w:color="auto" w:sz="4" w:space="0"/>
            </w:tcBorders>
            <w:vAlign w:val="center"/>
          </w:tcPr>
          <w:p w14:paraId="79F7B18E">
            <w:pPr>
              <w:shd w:val="clear"/>
              <w:spacing w:line="360" w:lineRule="auto"/>
              <w:rPr>
                <w:rFonts w:ascii="宋体" w:hAnsi="宋体" w:cs="仿宋"/>
                <w:color w:val="auto"/>
                <w:sz w:val="24"/>
                <w:highlight w:val="none"/>
              </w:rPr>
            </w:pPr>
            <w:r>
              <w:rPr>
                <w:rFonts w:hint="eastAsia" w:ascii="宋体" w:hAnsi="宋体" w:cs="仿宋"/>
                <w:color w:val="auto"/>
                <w:kern w:val="0"/>
                <w:sz w:val="24"/>
                <w:highlight w:val="none"/>
              </w:rPr>
              <w:sym w:font="Wingdings" w:char="00FE"/>
            </w:r>
            <w:r>
              <w:rPr>
                <w:rFonts w:hint="eastAsia" w:ascii="宋体" w:hAnsi="宋体" w:cs="仿宋"/>
                <w:color w:val="auto"/>
                <w:kern w:val="0"/>
                <w:sz w:val="24"/>
                <w:highlight w:val="none"/>
              </w:rPr>
              <w:t>A</w:t>
            </w:r>
            <w:r>
              <w:rPr>
                <w:rFonts w:hint="eastAsia" w:ascii="宋体" w:hAnsi="宋体" w:cs="仿宋"/>
                <w:color w:val="auto"/>
                <w:sz w:val="24"/>
                <w:highlight w:val="none"/>
              </w:rPr>
              <w:t>不要求提供。</w:t>
            </w:r>
          </w:p>
          <w:p w14:paraId="4AF27A5D">
            <w:pPr>
              <w:shd w:val="clear"/>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☐B要求提供，</w:t>
            </w:r>
          </w:p>
          <w:p w14:paraId="5F457EC8">
            <w:pPr>
              <w:shd w:val="clear"/>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（1）</w:t>
            </w:r>
            <w:r>
              <w:rPr>
                <w:rFonts w:hint="eastAsia" w:ascii="宋体" w:hAnsi="宋体" w:cs="仿宋"/>
                <w:snapToGrid w:val="0"/>
                <w:color w:val="auto"/>
                <w:kern w:val="28"/>
                <w:sz w:val="24"/>
                <w:highlight w:val="none"/>
              </w:rPr>
              <w:t>样品：______</w:t>
            </w:r>
            <w:r>
              <w:rPr>
                <w:rFonts w:hint="eastAsia" w:ascii="宋体" w:hAnsi="宋体" w:cs="仿宋"/>
                <w:color w:val="auto"/>
                <w:kern w:val="0"/>
                <w:sz w:val="24"/>
                <w:highlight w:val="none"/>
              </w:rPr>
              <w:t>；</w:t>
            </w:r>
          </w:p>
          <w:p w14:paraId="45A57A2E">
            <w:pPr>
              <w:shd w:val="clear"/>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（2）</w:t>
            </w:r>
            <w:r>
              <w:rPr>
                <w:rFonts w:hint="eastAsia" w:ascii="宋体" w:hAnsi="宋体" w:cs="仿宋"/>
                <w:snapToGrid w:val="0"/>
                <w:color w:val="auto"/>
                <w:kern w:val="28"/>
                <w:sz w:val="24"/>
                <w:highlight w:val="none"/>
              </w:rPr>
              <w:t>样品制作的标准和要求：______</w:t>
            </w:r>
            <w:r>
              <w:rPr>
                <w:rFonts w:hint="eastAsia" w:ascii="宋体" w:hAnsi="宋体" w:cs="仿宋"/>
                <w:color w:val="auto"/>
                <w:kern w:val="0"/>
                <w:sz w:val="24"/>
                <w:highlight w:val="none"/>
              </w:rPr>
              <w:t>；</w:t>
            </w:r>
          </w:p>
          <w:p w14:paraId="7A909381">
            <w:pPr>
              <w:shd w:val="clear"/>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（3）样品的评审方法以及评审标准</w:t>
            </w:r>
            <w:r>
              <w:rPr>
                <w:rFonts w:hint="eastAsia" w:ascii="宋体" w:hAnsi="宋体" w:cs="仿宋"/>
                <w:snapToGrid w:val="0"/>
                <w:color w:val="auto"/>
                <w:kern w:val="28"/>
                <w:sz w:val="24"/>
                <w:highlight w:val="none"/>
              </w:rPr>
              <w:t>：详见</w:t>
            </w:r>
            <w:r>
              <w:rPr>
                <w:rFonts w:hint="eastAsia" w:ascii="宋体" w:hAnsi="宋体" w:cs="仿宋"/>
                <w:color w:val="auto"/>
                <w:sz w:val="24"/>
                <w:highlight w:val="none"/>
                <w:u w:val="single"/>
              </w:rPr>
              <w:t>评标办法</w:t>
            </w:r>
            <w:r>
              <w:rPr>
                <w:rFonts w:hint="eastAsia" w:ascii="宋体" w:hAnsi="宋体" w:cs="仿宋"/>
                <w:color w:val="auto"/>
                <w:kern w:val="0"/>
                <w:sz w:val="24"/>
                <w:highlight w:val="none"/>
              </w:rPr>
              <w:t>；</w:t>
            </w:r>
          </w:p>
          <w:p w14:paraId="3C02C1C4">
            <w:pPr>
              <w:shd w:val="clear"/>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（4）是否需要随样品提交检测报告：☐否；☐是，检测机构的要求：________；检测内容：________。</w:t>
            </w:r>
          </w:p>
          <w:p w14:paraId="3C039EB5">
            <w:pPr>
              <w:shd w:val="clear"/>
              <w:spacing w:line="360" w:lineRule="auto"/>
              <w:rPr>
                <w:rFonts w:ascii="宋体" w:hAnsi="宋体" w:cs="仿宋"/>
                <w:color w:val="auto"/>
                <w:sz w:val="24"/>
                <w:highlight w:val="none"/>
              </w:rPr>
            </w:pPr>
            <w:r>
              <w:rPr>
                <w:rFonts w:hint="eastAsia" w:ascii="宋体" w:hAnsi="宋体" w:cs="仿宋"/>
                <w:color w:val="auto"/>
                <w:sz w:val="24"/>
                <w:highlight w:val="none"/>
              </w:rPr>
              <w:t>（5）提供样品的时间：</w:t>
            </w:r>
            <w:r>
              <w:rPr>
                <w:rFonts w:hint="eastAsia" w:ascii="宋体" w:hAnsi="宋体" w:cs="仿宋"/>
                <w:snapToGrid w:val="0"/>
                <w:color w:val="auto"/>
                <w:kern w:val="28"/>
                <w:sz w:val="24"/>
                <w:highlight w:val="none"/>
              </w:rPr>
              <w:t>______</w:t>
            </w:r>
            <w:r>
              <w:rPr>
                <w:rFonts w:hint="eastAsia" w:ascii="宋体" w:hAnsi="宋体" w:cs="仿宋"/>
                <w:color w:val="auto"/>
                <w:kern w:val="0"/>
                <w:sz w:val="24"/>
                <w:highlight w:val="none"/>
              </w:rPr>
              <w:t>；地点：</w:t>
            </w:r>
            <w:r>
              <w:rPr>
                <w:rFonts w:hint="eastAsia" w:ascii="宋体" w:hAnsi="宋体" w:cs="仿宋"/>
                <w:snapToGrid w:val="0"/>
                <w:color w:val="auto"/>
                <w:kern w:val="28"/>
                <w:sz w:val="24"/>
                <w:highlight w:val="none"/>
              </w:rPr>
              <w:t>______</w:t>
            </w:r>
            <w:r>
              <w:rPr>
                <w:rFonts w:hint="eastAsia" w:ascii="宋体" w:hAnsi="宋体" w:cs="仿宋"/>
                <w:color w:val="auto"/>
                <w:kern w:val="0"/>
                <w:sz w:val="24"/>
                <w:highlight w:val="none"/>
              </w:rPr>
              <w:t>；联系人</w:t>
            </w:r>
            <w:r>
              <w:rPr>
                <w:rFonts w:hint="eastAsia" w:ascii="宋体" w:hAnsi="宋体" w:cs="仿宋"/>
                <w:color w:val="auto"/>
                <w:sz w:val="24"/>
                <w:highlight w:val="none"/>
              </w:rPr>
              <w:t>：</w:t>
            </w:r>
            <w:r>
              <w:rPr>
                <w:rFonts w:hint="eastAsia" w:ascii="宋体" w:hAnsi="宋体" w:cs="仿宋"/>
                <w:snapToGrid w:val="0"/>
                <w:color w:val="auto"/>
                <w:kern w:val="28"/>
                <w:sz w:val="24"/>
                <w:highlight w:val="none"/>
              </w:rPr>
              <w:t>______</w:t>
            </w:r>
            <w:r>
              <w:rPr>
                <w:rFonts w:hint="eastAsia" w:ascii="宋体" w:hAnsi="宋体" w:cs="仿宋"/>
                <w:color w:val="auto"/>
                <w:sz w:val="24"/>
                <w:highlight w:val="none"/>
              </w:rPr>
              <w:t>，</w:t>
            </w:r>
            <w:r>
              <w:rPr>
                <w:rFonts w:hint="eastAsia" w:ascii="宋体" w:hAnsi="宋体" w:cs="仿宋"/>
                <w:color w:val="auto"/>
                <w:kern w:val="28"/>
                <w:sz w:val="24"/>
                <w:highlight w:val="none"/>
              </w:rPr>
              <w:t>联系电话：</w:t>
            </w:r>
            <w:r>
              <w:rPr>
                <w:rFonts w:hint="eastAsia" w:ascii="宋体" w:hAnsi="宋体" w:cs="仿宋"/>
                <w:snapToGrid w:val="0"/>
                <w:color w:val="auto"/>
                <w:kern w:val="28"/>
                <w:sz w:val="24"/>
                <w:highlight w:val="none"/>
              </w:rPr>
              <w:t>______</w:t>
            </w:r>
            <w:r>
              <w:rPr>
                <w:rFonts w:hint="eastAsia" w:ascii="宋体" w:hAnsi="宋体" w:cs="仿宋"/>
                <w:color w:val="auto"/>
                <w:sz w:val="24"/>
                <w:highlight w:val="none"/>
              </w:rPr>
              <w:t>。请投标人在上述时间内提供样品并按规定位置安装完毕。超过截止时间的，征集人或采购代理机构将不予接收，并将清场并封闭样品现场。</w:t>
            </w:r>
          </w:p>
          <w:p w14:paraId="01E3E386">
            <w:pPr>
              <w:shd w:val="clear"/>
              <w:spacing w:line="360" w:lineRule="auto"/>
              <w:rPr>
                <w:rFonts w:ascii="宋体" w:hAnsi="宋体" w:cs="仿宋"/>
                <w:color w:val="auto"/>
                <w:sz w:val="24"/>
                <w:highlight w:val="none"/>
              </w:rPr>
            </w:pPr>
            <w:r>
              <w:rPr>
                <w:rFonts w:hint="eastAsia" w:ascii="宋体" w:hAnsi="宋体" w:cs="仿宋"/>
                <w:color w:val="auto"/>
                <w:sz w:val="24"/>
                <w:highlight w:val="none"/>
              </w:rPr>
              <w:t>（6）采购活动结束后，对于未中标人提供的样品，征集人、采购代理机构将通知未中标人在规定的时间内取回，逾期未取回的，征集人、采购代理机构不负保管义务；对于中标人提供的样品，征集人将进行保管、封存，并作为履约验收的参考。</w:t>
            </w:r>
          </w:p>
          <w:p w14:paraId="64840DF2">
            <w:pPr>
              <w:shd w:val="clear"/>
              <w:spacing w:line="360" w:lineRule="auto"/>
              <w:rPr>
                <w:rFonts w:ascii="宋体" w:hAnsi="宋体" w:cs="仿宋"/>
                <w:color w:val="auto"/>
                <w:sz w:val="24"/>
                <w:highlight w:val="none"/>
              </w:rPr>
            </w:pPr>
            <w:r>
              <w:rPr>
                <w:rFonts w:hint="eastAsia" w:ascii="宋体" w:hAnsi="宋体" w:cs="仿宋"/>
                <w:color w:val="auto"/>
                <w:sz w:val="24"/>
                <w:highlight w:val="none"/>
              </w:rPr>
              <w:t>（7）制作、运输、安装和保管样品所发生的一切费用由投标人自理。</w:t>
            </w:r>
          </w:p>
          <w:p w14:paraId="4C158427">
            <w:pPr>
              <w:shd w:val="clear"/>
              <w:spacing w:line="360" w:lineRule="auto"/>
              <w:rPr>
                <w:rFonts w:ascii="宋体" w:hAnsi="宋体" w:cs="仿宋"/>
                <w:b/>
                <w:color w:val="auto"/>
                <w:sz w:val="24"/>
                <w:highlight w:val="none"/>
              </w:rPr>
            </w:pPr>
            <w:r>
              <w:rPr>
                <w:rFonts w:hint="eastAsia" w:ascii="宋体" w:hAnsi="宋体" w:cs="仿宋"/>
                <w:color w:val="auto"/>
                <w:sz w:val="24"/>
                <w:highlight w:val="none"/>
              </w:rPr>
              <w:t>▲</w:t>
            </w:r>
            <w:r>
              <w:rPr>
                <w:rFonts w:hint="eastAsia" w:ascii="宋体" w:hAnsi="宋体" w:cs="仿宋"/>
                <w:b/>
                <w:snapToGrid w:val="0"/>
                <w:color w:val="auto"/>
                <w:kern w:val="28"/>
                <w:sz w:val="24"/>
                <w:highlight w:val="none"/>
              </w:rPr>
              <w:t>对未提供样品或提供样品不满足采购需求实质性条件，投标无效。</w:t>
            </w:r>
          </w:p>
        </w:tc>
      </w:tr>
      <w:tr w14:paraId="54366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C4983AB">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7</w:t>
            </w:r>
          </w:p>
        </w:tc>
        <w:tc>
          <w:tcPr>
            <w:tcW w:w="1843" w:type="dxa"/>
            <w:tcBorders>
              <w:top w:val="single" w:color="auto" w:sz="4" w:space="0"/>
              <w:left w:val="single" w:color="auto" w:sz="4" w:space="0"/>
              <w:bottom w:val="single" w:color="auto" w:sz="4" w:space="0"/>
              <w:right w:val="single" w:color="auto" w:sz="4" w:space="0"/>
            </w:tcBorders>
            <w:vAlign w:val="center"/>
          </w:tcPr>
          <w:p w14:paraId="4497D229">
            <w:pPr>
              <w:shd w:val="clear"/>
              <w:snapToGrid w:val="0"/>
              <w:spacing w:line="360" w:lineRule="auto"/>
              <w:jc w:val="center"/>
              <w:rPr>
                <w:rFonts w:ascii="宋体" w:hAnsi="宋体" w:cs="仿宋"/>
                <w:bCs/>
                <w:color w:val="auto"/>
                <w:sz w:val="24"/>
                <w:highlight w:val="none"/>
              </w:rPr>
            </w:pPr>
            <w:r>
              <w:rPr>
                <w:rFonts w:hint="eastAsia" w:ascii="宋体" w:hAnsi="宋体" w:cs="仿宋"/>
                <w:b/>
                <w:color w:val="auto"/>
                <w:sz w:val="24"/>
                <w:highlight w:val="none"/>
              </w:rPr>
              <w:t>演示</w:t>
            </w:r>
          </w:p>
        </w:tc>
        <w:tc>
          <w:tcPr>
            <w:tcW w:w="7183" w:type="dxa"/>
            <w:tcBorders>
              <w:top w:val="single" w:color="auto" w:sz="4" w:space="0"/>
              <w:left w:val="single" w:color="auto" w:sz="4" w:space="0"/>
              <w:bottom w:val="single" w:color="auto" w:sz="4" w:space="0"/>
              <w:right w:val="single" w:color="auto" w:sz="4" w:space="0"/>
            </w:tcBorders>
            <w:vAlign w:val="center"/>
          </w:tcPr>
          <w:p w14:paraId="3870AF27">
            <w:pPr>
              <w:shd w:val="clear"/>
              <w:spacing w:line="360" w:lineRule="auto"/>
              <w:rPr>
                <w:rFonts w:ascii="宋体" w:hAnsi="宋体" w:cs="仿宋"/>
                <w:color w:val="auto"/>
                <w:sz w:val="24"/>
                <w:highlight w:val="none"/>
              </w:rPr>
            </w:pPr>
            <w:r>
              <w:rPr>
                <w:rFonts w:hint="eastAsia" w:ascii="宋体" w:hAnsi="宋体" w:cs="仿宋"/>
                <w:color w:val="auto"/>
                <w:kern w:val="0"/>
                <w:sz w:val="24"/>
                <w:highlight w:val="none"/>
              </w:rPr>
              <w:sym w:font="Wingdings" w:char="00FE"/>
            </w:r>
            <w:r>
              <w:rPr>
                <w:rFonts w:hint="eastAsia" w:ascii="宋体" w:hAnsi="宋体" w:cs="仿宋"/>
                <w:color w:val="auto"/>
                <w:kern w:val="0"/>
                <w:sz w:val="24"/>
                <w:highlight w:val="none"/>
              </w:rPr>
              <w:t>A</w:t>
            </w:r>
            <w:r>
              <w:rPr>
                <w:rFonts w:hint="eastAsia" w:ascii="宋体" w:hAnsi="宋体" w:cs="仿宋"/>
                <w:color w:val="auto"/>
                <w:sz w:val="24"/>
                <w:highlight w:val="none"/>
              </w:rPr>
              <w:t>不组织。</w:t>
            </w:r>
          </w:p>
          <w:p w14:paraId="4A1E8648">
            <w:pPr>
              <w:shd w:val="clear"/>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☐B组织。</w:t>
            </w:r>
          </w:p>
          <w:p w14:paraId="4949C555">
            <w:pPr>
              <w:shd w:val="clea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（1）在评标时安排每个投标人进行演示。每个投标人时间不超过</w:t>
            </w:r>
            <w:r>
              <w:rPr>
                <w:rFonts w:hint="eastAsia" w:ascii="宋体" w:hAnsi="宋体" w:cs="仿宋"/>
                <w:color w:val="auto"/>
                <w:kern w:val="0"/>
                <w:sz w:val="24"/>
                <w:highlight w:val="none"/>
                <w:u w:val="single"/>
              </w:rPr>
              <w:t>20（编制时可根据项目情况进行调整）</w:t>
            </w:r>
            <w:r>
              <w:rPr>
                <w:rFonts w:hint="eastAsia" w:ascii="宋体" w:hAnsi="宋体" w:cs="仿宋"/>
                <w:color w:val="auto"/>
                <w:kern w:val="0"/>
                <w:sz w:val="24"/>
                <w:highlight w:val="none"/>
              </w:rPr>
              <w:t>分钟，讲解次序以响应文件解密时间先后次序为准，讲解演示人员不超过</w:t>
            </w:r>
            <w:r>
              <w:rPr>
                <w:rFonts w:hint="eastAsia" w:ascii="宋体" w:hAnsi="宋体" w:cs="仿宋"/>
                <w:color w:val="auto"/>
                <w:kern w:val="0"/>
                <w:sz w:val="24"/>
                <w:highlight w:val="none"/>
                <w:u w:val="single"/>
              </w:rPr>
              <w:t>3（编制时可根据项目情况进行调整）</w:t>
            </w:r>
            <w:r>
              <w:rPr>
                <w:rFonts w:hint="eastAsia" w:ascii="宋体" w:hAnsi="宋体" w:cs="仿宋"/>
                <w:color w:val="auto"/>
                <w:kern w:val="0"/>
                <w:sz w:val="24"/>
                <w:highlight w:val="none"/>
              </w:rPr>
              <w:t>人。讲解演示结束后按要求解答评标委员会提问。</w:t>
            </w:r>
          </w:p>
          <w:p w14:paraId="4331B07C">
            <w:pPr>
              <w:shd w:val="clea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（2）方案讲解演示可选择以下其中一种方式：</w:t>
            </w:r>
          </w:p>
          <w:p w14:paraId="4F51A5DA">
            <w:pPr>
              <w:pStyle w:val="2"/>
              <w:shd w:val="clear"/>
              <w:ind w:left="0" w:firstLine="0"/>
              <w:rPr>
                <w:rFonts w:ascii="宋体" w:hAnsi="宋体" w:eastAsia="宋体" w:cs="仿宋"/>
                <w:b w:val="0"/>
                <w:bCs w:val="0"/>
                <w:color w:val="auto"/>
                <w:kern w:val="0"/>
                <w:sz w:val="24"/>
                <w:szCs w:val="24"/>
                <w:highlight w:val="none"/>
                <w:lang w:val="en-US"/>
              </w:rPr>
            </w:pPr>
            <w:r>
              <w:rPr>
                <w:rFonts w:hint="eastAsia" w:ascii="宋体" w:hAnsi="宋体" w:eastAsia="宋体" w:cs="仿宋"/>
                <w:b w:val="0"/>
                <w:bCs w:val="0"/>
                <w:color w:val="auto"/>
                <w:kern w:val="0"/>
                <w:sz w:val="24"/>
                <w:szCs w:val="24"/>
                <w:highlight w:val="none"/>
                <w:lang w:val="en-US"/>
              </w:rPr>
              <w:t>方式一：视频演示。投标人根据交易中心操作要求做好准备工作，提前完善软硬件配置环境。</w:t>
            </w:r>
          </w:p>
          <w:p w14:paraId="6D408B53">
            <w:pPr>
              <w:shd w:val="clea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方式二：政采云平台在线讲解演示。政采云平台在线讲解需投标人根据政采云平台操作要求做好准备工作，提前完善软硬件配置环境。</w:t>
            </w:r>
          </w:p>
          <w:p w14:paraId="5B31E211">
            <w:pPr>
              <w:shd w:val="clea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方式三：现场讲解演示。现场讲解地点为____，讲解演示所用电脑等设备由投标人自备。现场讲解演示人员须携带授权委托书及身份证明，委托书格式详见征集文件格式范例附件1，否则不得讲解演示。</w:t>
            </w:r>
          </w:p>
          <w:p w14:paraId="416D6F9B">
            <w:pPr>
              <w:shd w:val="clear"/>
              <w:snapToGrid w:val="0"/>
              <w:spacing w:line="360" w:lineRule="auto"/>
              <w:rPr>
                <w:rFonts w:ascii="宋体" w:hAnsi="宋体" w:cs="仿宋"/>
                <w:b/>
                <w:color w:val="auto"/>
                <w:kern w:val="0"/>
                <w:sz w:val="24"/>
                <w:highlight w:val="none"/>
                <w:lang w:val="zh-CN"/>
              </w:rPr>
            </w:pPr>
            <w:r>
              <w:rPr>
                <w:rFonts w:hint="eastAsia" w:ascii="宋体" w:hAnsi="宋体"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AD18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5B575063">
            <w:pPr>
              <w:shd w:val="clear"/>
              <w:snapToGrid w:val="0"/>
              <w:spacing w:line="360" w:lineRule="auto"/>
              <w:jc w:val="center"/>
              <w:rPr>
                <w:rFonts w:ascii="宋体" w:hAnsi="宋体" w:cs="仿宋"/>
                <w:color w:val="auto"/>
                <w:sz w:val="24"/>
                <w:highlight w:val="none"/>
              </w:rPr>
            </w:pPr>
          </w:p>
          <w:p w14:paraId="292F534C">
            <w:pPr>
              <w:shd w:val="clear"/>
              <w:snapToGrid w:val="0"/>
              <w:spacing w:line="360" w:lineRule="auto"/>
              <w:jc w:val="center"/>
              <w:rPr>
                <w:rFonts w:ascii="宋体" w:hAnsi="宋体" w:cs="仿宋"/>
                <w:color w:val="auto"/>
                <w:sz w:val="24"/>
                <w:highlight w:val="none"/>
              </w:rPr>
            </w:pPr>
          </w:p>
          <w:p w14:paraId="455D7EDD">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8</w:t>
            </w:r>
          </w:p>
        </w:tc>
        <w:tc>
          <w:tcPr>
            <w:tcW w:w="1843" w:type="dxa"/>
            <w:tcBorders>
              <w:top w:val="single" w:color="auto" w:sz="4" w:space="0"/>
              <w:left w:val="single" w:color="auto" w:sz="4" w:space="0"/>
              <w:bottom w:val="single" w:color="auto" w:sz="4" w:space="0"/>
              <w:right w:val="single" w:color="auto" w:sz="4" w:space="0"/>
            </w:tcBorders>
            <w:vAlign w:val="center"/>
          </w:tcPr>
          <w:p w14:paraId="36870714">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节能产品、环境标志产品</w:t>
            </w:r>
          </w:p>
        </w:tc>
        <w:tc>
          <w:tcPr>
            <w:tcW w:w="7183" w:type="dxa"/>
            <w:tcBorders>
              <w:top w:val="single" w:color="auto" w:sz="4" w:space="0"/>
              <w:left w:val="single" w:color="auto" w:sz="4" w:space="0"/>
              <w:bottom w:val="single" w:color="auto" w:sz="4" w:space="0"/>
              <w:right w:val="single" w:color="auto" w:sz="4" w:space="0"/>
            </w:tcBorders>
            <w:vAlign w:val="center"/>
          </w:tcPr>
          <w:p w14:paraId="61AFEE3C">
            <w:pPr>
              <w:shd w:val="clear"/>
              <w:snapToGrid w:val="0"/>
              <w:spacing w:line="360" w:lineRule="auto"/>
              <w:rPr>
                <w:rFonts w:ascii="宋体" w:hAnsi="宋体" w:cs="仿宋"/>
                <w:color w:val="auto"/>
                <w:highlight w:val="none"/>
              </w:rPr>
            </w:pPr>
            <w:r>
              <w:rPr>
                <w:rFonts w:hint="eastAsia" w:ascii="宋体" w:hAnsi="宋体" w:cs="仿宋"/>
                <w:color w:val="auto"/>
                <w:kern w:val="0"/>
                <w:sz w:val="24"/>
                <w:highlight w:val="none"/>
              </w:rPr>
              <w:t>征集人拟采购的产品属于品目清单范围的，征集人及其委托的采购代理机构将依据国家确定的认证机构出具的、处于有效期之内的节能产品、环境标志产品认证证书，对获得证书的产品实施政府优先采购或强制采购。</w:t>
            </w:r>
          </w:p>
        </w:tc>
      </w:tr>
      <w:tr w14:paraId="29D72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16A73DDA">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14:paraId="7D8508CF">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采购代理机构代理费用</w:t>
            </w:r>
          </w:p>
        </w:tc>
        <w:tc>
          <w:tcPr>
            <w:tcW w:w="7183" w:type="dxa"/>
            <w:tcBorders>
              <w:top w:val="single" w:color="auto" w:sz="4" w:space="0"/>
              <w:left w:val="single" w:color="auto" w:sz="4" w:space="0"/>
              <w:bottom w:val="single" w:color="auto" w:sz="4" w:space="0"/>
              <w:right w:val="single" w:color="auto" w:sz="4" w:space="0"/>
            </w:tcBorders>
            <w:vAlign w:val="center"/>
          </w:tcPr>
          <w:p w14:paraId="59E8B193">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中标人支付，每家800元。</w:t>
            </w:r>
          </w:p>
        </w:tc>
      </w:tr>
      <w:tr w14:paraId="315DE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1FB5D7BD">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14:paraId="5EB195DB">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投标保证金缴纳</w:t>
            </w:r>
          </w:p>
        </w:tc>
        <w:tc>
          <w:tcPr>
            <w:tcW w:w="7183" w:type="dxa"/>
            <w:tcBorders>
              <w:top w:val="single" w:color="auto" w:sz="4" w:space="0"/>
              <w:left w:val="single" w:color="auto" w:sz="4" w:space="0"/>
              <w:bottom w:val="single" w:color="auto" w:sz="4" w:space="0"/>
              <w:right w:val="single" w:color="auto" w:sz="4" w:space="0"/>
            </w:tcBorders>
            <w:vAlign w:val="center"/>
          </w:tcPr>
          <w:p w14:paraId="60234567">
            <w:pPr>
              <w:pStyle w:val="15"/>
              <w:shd w:val="clear"/>
              <w:spacing w:line="360" w:lineRule="auto"/>
              <w:ind w:firstLine="434" w:firstLineChars="181"/>
              <w:rPr>
                <w:rFonts w:hAnsi="宋体" w:cs="仿宋"/>
                <w:color w:val="auto"/>
                <w:sz w:val="24"/>
                <w:highlight w:val="none"/>
              </w:rPr>
            </w:pPr>
            <w:r>
              <w:rPr>
                <w:rFonts w:hint="eastAsia" w:hAnsi="宋体" w:cs="仿宋"/>
                <w:color w:val="auto"/>
                <w:sz w:val="24"/>
                <w:highlight w:val="none"/>
              </w:rPr>
              <w:t>不收取投标保证金</w:t>
            </w:r>
          </w:p>
        </w:tc>
      </w:tr>
      <w:tr w14:paraId="5A623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7DBE4AC">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35818775">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履约保证金金额</w:t>
            </w:r>
          </w:p>
        </w:tc>
        <w:tc>
          <w:tcPr>
            <w:tcW w:w="7183" w:type="dxa"/>
            <w:tcBorders>
              <w:top w:val="single" w:color="auto" w:sz="4" w:space="0"/>
              <w:left w:val="single" w:color="auto" w:sz="4" w:space="0"/>
              <w:bottom w:val="single" w:color="auto" w:sz="4" w:space="0"/>
              <w:right w:val="single" w:color="auto" w:sz="4" w:space="0"/>
            </w:tcBorders>
            <w:vAlign w:val="center"/>
          </w:tcPr>
          <w:p w14:paraId="76B5FE28">
            <w:pPr>
              <w:pStyle w:val="15"/>
              <w:shd w:val="clear"/>
              <w:spacing w:line="360" w:lineRule="auto"/>
              <w:ind w:firstLine="434" w:firstLineChars="181"/>
              <w:rPr>
                <w:rFonts w:hAnsi="宋体" w:cs="仿宋"/>
                <w:color w:val="auto"/>
                <w:sz w:val="24"/>
                <w:highlight w:val="none"/>
              </w:rPr>
            </w:pPr>
            <w:r>
              <w:rPr>
                <w:rFonts w:hint="eastAsia" w:hAnsi="宋体" w:cs="仿宋"/>
                <w:color w:val="auto"/>
                <w:sz w:val="24"/>
                <w:highlight w:val="none"/>
              </w:rPr>
              <w:t>无。</w:t>
            </w:r>
          </w:p>
        </w:tc>
      </w:tr>
      <w:tr w14:paraId="26094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20A1819E">
            <w:pPr>
              <w:shd w:val="clear"/>
              <w:snapToGrid w:val="0"/>
              <w:spacing w:line="360" w:lineRule="auto"/>
              <w:rPr>
                <w:rFonts w:ascii="宋体" w:hAnsi="宋体" w:cs="仿宋"/>
                <w:color w:val="auto"/>
                <w:sz w:val="24"/>
                <w:highlight w:val="none"/>
              </w:rPr>
            </w:pPr>
          </w:p>
          <w:p w14:paraId="09DE32CD">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12</w:t>
            </w:r>
          </w:p>
        </w:tc>
        <w:tc>
          <w:tcPr>
            <w:tcW w:w="1843" w:type="dxa"/>
            <w:tcBorders>
              <w:top w:val="single" w:color="auto" w:sz="4" w:space="0"/>
              <w:left w:val="single" w:color="auto" w:sz="4" w:space="0"/>
              <w:bottom w:val="single" w:color="auto" w:sz="4" w:space="0"/>
              <w:right w:val="single" w:color="auto" w:sz="4" w:space="0"/>
            </w:tcBorders>
            <w:vAlign w:val="center"/>
          </w:tcPr>
          <w:p w14:paraId="096CB194">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中小企业信用融资</w:t>
            </w:r>
          </w:p>
        </w:tc>
        <w:tc>
          <w:tcPr>
            <w:tcW w:w="7183" w:type="dxa"/>
            <w:tcBorders>
              <w:top w:val="single" w:color="auto" w:sz="4" w:space="0"/>
              <w:left w:val="single" w:color="auto" w:sz="4" w:space="0"/>
              <w:bottom w:val="single" w:color="auto" w:sz="4" w:space="0"/>
              <w:right w:val="single" w:color="auto" w:sz="4" w:space="0"/>
            </w:tcBorders>
            <w:vAlign w:val="center"/>
          </w:tcPr>
          <w:p w14:paraId="7255D860">
            <w:pPr>
              <w:shd w:val="clear"/>
              <w:spacing w:line="360" w:lineRule="auto"/>
              <w:ind w:firstLine="480" w:firstLineChars="200"/>
              <w:rPr>
                <w:rFonts w:ascii="宋体" w:hAnsi="宋体" w:cs="仿宋"/>
                <w:color w:val="auto"/>
                <w:sz w:val="24"/>
                <w:highlight w:val="none"/>
              </w:rPr>
            </w:pPr>
            <w:r>
              <w:rPr>
                <w:rFonts w:hint="eastAsia" w:ascii="宋体" w:hAnsi="宋体"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94A9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14935B32">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14:paraId="5E8FC561">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 xml:space="preserve">备份响应文件送达地点和签收人员 </w:t>
            </w:r>
          </w:p>
        </w:tc>
        <w:tc>
          <w:tcPr>
            <w:tcW w:w="7183" w:type="dxa"/>
            <w:tcBorders>
              <w:top w:val="single" w:color="auto" w:sz="4" w:space="0"/>
              <w:left w:val="single" w:color="auto" w:sz="4" w:space="0"/>
              <w:bottom w:val="single" w:color="auto" w:sz="4" w:space="0"/>
              <w:right w:val="single" w:color="auto" w:sz="4" w:space="0"/>
            </w:tcBorders>
            <w:vAlign w:val="center"/>
          </w:tcPr>
          <w:p w14:paraId="37817BE7">
            <w:pPr>
              <w:pStyle w:val="31"/>
              <w:shd w:val="clear"/>
              <w:spacing w:line="360" w:lineRule="auto"/>
              <w:rPr>
                <w:rFonts w:hAnsi="宋体" w:cs="仿宋"/>
                <w:color w:val="auto"/>
                <w:kern w:val="28"/>
                <w:sz w:val="24"/>
                <w:highlight w:val="none"/>
              </w:rPr>
            </w:pPr>
            <w:r>
              <w:rPr>
                <w:rFonts w:hint="eastAsia" w:hAnsi="宋体" w:cs="仿宋"/>
                <w:color w:val="auto"/>
                <w:kern w:val="28"/>
                <w:sz w:val="24"/>
                <w:szCs w:val="24"/>
                <w:highlight w:val="none"/>
              </w:rPr>
              <w:t xml:space="preserve">备份响应文件送达地点：嵊州市公共资源交易中心（嵊州市官河路699号国际会展中心北楼三楼）；备份响应文件签收人员俞晓萍，联系电话：13857598194 </w:t>
            </w:r>
            <w:r>
              <w:rPr>
                <w:rFonts w:hint="eastAsia" w:hAnsi="宋体" w:cs="仿宋"/>
                <w:color w:val="auto"/>
                <w:sz w:val="24"/>
                <w:szCs w:val="24"/>
                <w:highlight w:val="none"/>
              </w:rPr>
              <w:t>。</w:t>
            </w:r>
            <w:r>
              <w:rPr>
                <w:rFonts w:hint="eastAsia" w:hAnsi="宋体" w:cs="仿宋"/>
                <w:b/>
                <w:color w:val="auto"/>
                <w:sz w:val="24"/>
                <w:szCs w:val="24"/>
                <w:highlight w:val="none"/>
              </w:rPr>
              <w:t>征集人、采购代理机构不强制或变相强制投标人提交备份响应文件。</w:t>
            </w:r>
          </w:p>
        </w:tc>
      </w:tr>
    </w:tbl>
    <w:p w14:paraId="4C143034">
      <w:pPr>
        <w:shd w:val="clear"/>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注：本项目通用总则条款与前附表等专用特别规定有冲突之处，以专用条款（特别规定）为准</w:t>
      </w:r>
    </w:p>
    <w:p w14:paraId="1802E1F0">
      <w:pPr>
        <w:shd w:val="clear"/>
        <w:adjustRightInd/>
        <w:spacing w:line="360" w:lineRule="auto"/>
        <w:ind w:firstLine="3845" w:firstLineChars="1197"/>
        <w:outlineLvl w:val="0"/>
        <w:rPr>
          <w:rFonts w:ascii="宋体" w:hAnsi="宋体" w:cs="仿宋"/>
          <w:b/>
          <w:color w:val="auto"/>
          <w:sz w:val="32"/>
          <w:szCs w:val="20"/>
          <w:highlight w:val="none"/>
        </w:rPr>
      </w:pPr>
      <w:r>
        <w:rPr>
          <w:rFonts w:hint="eastAsia" w:ascii="宋体" w:hAnsi="宋体" w:cs="仿宋"/>
          <w:b/>
          <w:color w:val="auto"/>
          <w:sz w:val="32"/>
          <w:szCs w:val="20"/>
          <w:highlight w:val="none"/>
        </w:rPr>
        <w:br w:type="page"/>
      </w:r>
      <w:bookmarkEnd w:id="12"/>
      <w:bookmarkStart w:id="53" w:name="第三部分"/>
      <w:bookmarkStart w:id="54" w:name="_Toc164416483"/>
      <w:r>
        <w:rPr>
          <w:rFonts w:hint="eastAsia" w:ascii="宋体" w:hAnsi="宋体" w:cs="仿宋"/>
          <w:b/>
          <w:color w:val="auto"/>
          <w:sz w:val="32"/>
          <w:szCs w:val="20"/>
          <w:highlight w:val="none"/>
        </w:rPr>
        <w:t>一、总则</w:t>
      </w:r>
    </w:p>
    <w:p w14:paraId="32CF5BE4">
      <w:pPr>
        <w:shd w:val="clear"/>
        <w:snapToGrid w:val="0"/>
        <w:spacing w:line="360" w:lineRule="auto"/>
        <w:ind w:firstLine="482" w:firstLineChars="200"/>
        <w:jc w:val="left"/>
        <w:outlineLvl w:val="1"/>
        <w:rPr>
          <w:rFonts w:ascii="宋体" w:hAnsi="宋体" w:cs="仿宋"/>
          <w:b/>
          <w:color w:val="auto"/>
          <w:sz w:val="24"/>
          <w:highlight w:val="none"/>
        </w:rPr>
      </w:pPr>
      <w:r>
        <w:rPr>
          <w:rFonts w:hint="eastAsia" w:ascii="宋体" w:hAnsi="宋体" w:cs="仿宋"/>
          <w:b/>
          <w:color w:val="auto"/>
          <w:sz w:val="24"/>
          <w:highlight w:val="none"/>
        </w:rPr>
        <w:t>1. 适用范围</w:t>
      </w:r>
    </w:p>
    <w:p w14:paraId="265CEDBE">
      <w:pPr>
        <w:shd w:val="clear"/>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本征集文件适用于该项目的招标、投标、开标、资格审查及信用信息查询、评标、定标、合同、验收等行为（法律、法规另有规定的，从其规定）。</w:t>
      </w:r>
    </w:p>
    <w:p w14:paraId="666D55AE">
      <w:pPr>
        <w:shd w:val="clear"/>
        <w:adjustRightInd/>
        <w:spacing w:line="360" w:lineRule="auto"/>
        <w:ind w:firstLine="482" w:firstLineChars="200"/>
        <w:jc w:val="left"/>
        <w:outlineLvl w:val="0"/>
        <w:rPr>
          <w:rFonts w:ascii="宋体" w:hAnsi="宋体" w:cs="仿宋"/>
          <w:b/>
          <w:color w:val="auto"/>
          <w:sz w:val="24"/>
          <w:highlight w:val="none"/>
        </w:rPr>
      </w:pPr>
      <w:r>
        <w:rPr>
          <w:rFonts w:hint="eastAsia" w:ascii="宋体" w:hAnsi="宋体" w:cs="仿宋"/>
          <w:b/>
          <w:color w:val="auto"/>
          <w:sz w:val="24"/>
          <w:highlight w:val="none"/>
        </w:rPr>
        <w:t>2.定义</w:t>
      </w:r>
    </w:p>
    <w:p w14:paraId="4958511E">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2.1 “征集人”系指征集公告中载明的本项目的征集人。</w:t>
      </w:r>
    </w:p>
    <w:p w14:paraId="550AC043">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2.2 “采购代理机构”系指征集公告中载明的本项目的采购代理机构。</w:t>
      </w:r>
    </w:p>
    <w:p w14:paraId="5E37F709">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2.3 “投标人”系指是指响应招标、参加投标竞争的法人、其他组织或者自然人。</w:t>
      </w:r>
    </w:p>
    <w:p w14:paraId="1BD73D0E">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2.4 “负责人”系指法人企业的法定负责人，或其他组织为法律、行政法规规定代表单位行使职权的主要负责人，或自然人本人。</w:t>
      </w:r>
    </w:p>
    <w:p w14:paraId="2F58EB20">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2.5“电子签名”系指数据电文中以电子形式所含、所附用于识别签名人身份并表明签名人认可其中内容的数据；“公章”系指单位法定名称章。</w:t>
      </w:r>
    </w:p>
    <w:p w14:paraId="57F0DC3C">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2.6“电子交易平台”系指本项目政府采购活动所依托的政府采购云平台（https://www.zcygov.cn/）。</w:t>
      </w:r>
    </w:p>
    <w:p w14:paraId="697ED7B9">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2.7 “▲” 系指实质性要求条款，“</w:t>
      </w:r>
      <w:r>
        <w:rPr>
          <w:rFonts w:hint="eastAsia" w:ascii="宋体" w:hAnsi="宋体" w:cs="仿宋"/>
          <w:color w:val="auto"/>
          <w:kern w:val="0"/>
          <w:sz w:val="24"/>
          <w:highlight w:val="none"/>
        </w:rPr>
        <w:sym w:font="Wingdings" w:char="00FE"/>
      </w:r>
      <w:r>
        <w:rPr>
          <w:rFonts w:hint="eastAsia" w:ascii="宋体" w:hAnsi="宋体" w:cs="仿宋"/>
          <w:color w:val="auto"/>
          <w:sz w:val="24"/>
          <w:highlight w:val="none"/>
        </w:rPr>
        <w:t>” 系指适用本项目的要求，“</w:t>
      </w:r>
      <w:r>
        <w:rPr>
          <w:rFonts w:hint="eastAsia" w:ascii="宋体" w:hAnsi="宋体" w:cs="仿宋"/>
          <w:color w:val="auto"/>
          <w:kern w:val="0"/>
          <w:sz w:val="24"/>
          <w:highlight w:val="none"/>
        </w:rPr>
        <w:t>☐</w:t>
      </w:r>
      <w:r>
        <w:rPr>
          <w:rFonts w:hint="eastAsia" w:ascii="宋体" w:hAnsi="宋体" w:cs="仿宋"/>
          <w:color w:val="auto"/>
          <w:sz w:val="24"/>
          <w:highlight w:val="none"/>
        </w:rPr>
        <w:t>” 系指不适用本项目的要求，“★”系产品采购项目中单一产品或核心产品。</w:t>
      </w:r>
    </w:p>
    <w:p w14:paraId="5F036A52">
      <w:pPr>
        <w:shd w:val="clear"/>
        <w:spacing w:line="360" w:lineRule="auto"/>
        <w:ind w:firstLine="482" w:firstLineChars="200"/>
        <w:jc w:val="left"/>
        <w:rPr>
          <w:rFonts w:ascii="宋体" w:hAnsi="宋体" w:cs="仿宋"/>
          <w:b/>
          <w:color w:val="auto"/>
          <w:sz w:val="24"/>
          <w:highlight w:val="none"/>
        </w:rPr>
      </w:pPr>
      <w:r>
        <w:rPr>
          <w:rFonts w:hint="eastAsia" w:ascii="宋体" w:hAnsi="宋体" w:cs="仿宋"/>
          <w:b/>
          <w:color w:val="auto"/>
          <w:sz w:val="24"/>
          <w:highlight w:val="none"/>
        </w:rPr>
        <w:t>3.采购项目需要落实的政府采购政策</w:t>
      </w:r>
    </w:p>
    <w:p w14:paraId="609587CB">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3.1 本项目原则上采购本国生产的货物、工程和服务，不允许采购进口产品。除非征集人采购进口产品，已经在采购活动开始前向财政部门提出申请并获得财政部门审核同意，且在采购需求中明确规定可以采购进口产品（但如果因信息不对称等原因，仍有满足需求的国内产品要求参与采购竞争的，征集人、采购代理机构不会对其加以限制，仍将按照公平竞争原则实施采购）；</w:t>
      </w:r>
      <w:r>
        <w:rPr>
          <w:rFonts w:hint="eastAsia" w:ascii="宋体" w:hAnsi="宋体" w:cs="仿宋"/>
          <w:color w:val="auto"/>
          <w:kern w:val="0"/>
          <w:sz w:val="24"/>
          <w:highlight w:val="none"/>
        </w:rPr>
        <w:t>优先采购向我国企业转让技术、与我国企业签订消化吸收再创新方案的供应商的进口产品</w:t>
      </w:r>
      <w:r>
        <w:rPr>
          <w:rFonts w:hint="eastAsia" w:ascii="宋体" w:hAnsi="宋体" w:cs="仿宋"/>
          <w:color w:val="auto"/>
          <w:sz w:val="24"/>
          <w:highlight w:val="none"/>
        </w:rPr>
        <w:t>。</w:t>
      </w:r>
    </w:p>
    <w:p w14:paraId="765049C5">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3.2 支持绿色发展</w:t>
      </w:r>
    </w:p>
    <w:p w14:paraId="29255B75">
      <w:pPr>
        <w:shd w:val="clear"/>
        <w:spacing w:line="360" w:lineRule="auto"/>
        <w:ind w:firstLine="482" w:firstLineChars="200"/>
        <w:jc w:val="left"/>
        <w:rPr>
          <w:rFonts w:ascii="宋体" w:hAnsi="宋体" w:cs="仿宋"/>
          <w:b/>
          <w:color w:val="auto"/>
          <w:sz w:val="24"/>
          <w:highlight w:val="none"/>
        </w:rPr>
      </w:pPr>
      <w:r>
        <w:rPr>
          <w:rFonts w:hint="eastAsia" w:ascii="宋体" w:hAnsi="宋体" w:cs="仿宋"/>
          <w:b/>
          <w:color w:val="auto"/>
          <w:sz w:val="24"/>
          <w:highlight w:val="none"/>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14:paraId="274FC7F4">
      <w:pPr>
        <w:shd w:val="clear"/>
        <w:spacing w:line="360" w:lineRule="auto"/>
        <w:ind w:firstLine="482" w:firstLineChars="200"/>
        <w:rPr>
          <w:rFonts w:ascii="宋体" w:hAnsi="宋体" w:cs="仿宋"/>
          <w:color w:val="auto"/>
          <w:kern w:val="0"/>
          <w:sz w:val="24"/>
          <w:highlight w:val="none"/>
        </w:rPr>
      </w:pPr>
      <w:r>
        <w:rPr>
          <w:rFonts w:hint="eastAsia" w:ascii="宋体" w:hAnsi="宋体" w:cs="仿宋"/>
          <w:b/>
          <w:color w:val="auto"/>
          <w:sz w:val="24"/>
          <w:highlight w:val="none"/>
        </w:rPr>
        <w:t>▲征集人拟采购的产品属于政府强制采购的节能产品品目清单范围的，投标人相应的投标产品未获得国家确定的认证机构出具的、处于有效期之内的节能产品认证证书的，投标无效。</w:t>
      </w:r>
    </w:p>
    <w:p w14:paraId="3798CB9E">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3.2.2投标人提供产品如是节能（环境标志）产品，应当优先提供《关于印发环境标志产品政府采购品目清单的通知》财库〔2019〕18号和《关于印发节能产品政府采购品目清单的通知》财库〔2019〕19号）内产品，涉及项目评分条款加分项时，请提供节能（环境标志）政府采购清单页及国家确定的认证机构出具的、处于有效期之内节能（环境标志）产品认证证书或规定网站证书查询截图。</w:t>
      </w:r>
    </w:p>
    <w:p w14:paraId="326C0A54">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3.2.3参与实施政府采购节能（环境标志）产品认证机构详见《市场监管总局关于发布参与实施政府采购节能产品、环境标志产品认证机构名录的公告》（2019第16号）。</w:t>
      </w:r>
    </w:p>
    <w:p w14:paraId="1F6B436F">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3.2.4 纳入政府采购管理的修缮、装修类项目采购建材的，鼓励采购单位将绿色建材性能、指标等作为实质性条件纳入征集文件和合同，具体性能指标要求参考相关绿色建材政府采购需求标准。</w:t>
      </w:r>
    </w:p>
    <w:p w14:paraId="1366AC6B">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A91E979">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3.2.6 鼓励供应商在参加政府采购过程中开展绿色设计、选择绿色材料、打造绿色制造工艺、开展绿色运输、做好废弃产品回收处理，实现产品全周期的绿色环保。</w:t>
      </w:r>
    </w:p>
    <w:p w14:paraId="36927B47">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3.3支持中小企业发展</w:t>
      </w:r>
    </w:p>
    <w:p w14:paraId="1B1CD9C3">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0FA345">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符合中小企业划分标准的个体工商户，在政府采购活动中视同中小企业。</w:t>
      </w:r>
    </w:p>
    <w:p w14:paraId="43F0F650">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3.3.2在政府采购活动中，投标人提供的货物、工程或者服务符合下列情形的，享受中小企业扶持政策：</w:t>
      </w:r>
    </w:p>
    <w:p w14:paraId="55A044C4">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（1）在货物采购项目中，货物由中小企业制造，即货物由中小企业生产且使用该中小企业商号或者注册商标；</w:t>
      </w:r>
    </w:p>
    <w:p w14:paraId="00E2ED71">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（2）在工程采购项目中，工程由中小企业承建，即工程施工单位为中小企业；</w:t>
      </w:r>
    </w:p>
    <w:p w14:paraId="3AE40570">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（3）在服务采购项目中，服务由中小企业承接，即提供服务的人员为中小企业依照《中华人民共和国民法典》订立劳动合同的从业人员。</w:t>
      </w:r>
    </w:p>
    <w:p w14:paraId="12E22774">
      <w:pPr>
        <w:shd w:val="clear"/>
        <w:spacing w:line="360" w:lineRule="auto"/>
        <w:ind w:firstLine="482" w:firstLineChars="200"/>
        <w:jc w:val="left"/>
        <w:rPr>
          <w:rFonts w:ascii="宋体" w:hAnsi="宋体" w:cs="仿宋"/>
          <w:b/>
          <w:color w:val="auto"/>
          <w:sz w:val="24"/>
          <w:highlight w:val="none"/>
        </w:rPr>
      </w:pPr>
      <w:r>
        <w:rPr>
          <w:rFonts w:hint="eastAsia" w:ascii="宋体" w:hAnsi="宋体" w:cs="仿宋"/>
          <w:b/>
          <w:color w:val="auto"/>
          <w:sz w:val="24"/>
          <w:highlight w:val="none"/>
        </w:rPr>
        <w:t>在货物采购项目中，投标人提供的货物既有中小企业制造货物，也有大型企业制造货物的，不享受中小企业扶持政策。</w:t>
      </w:r>
    </w:p>
    <w:p w14:paraId="2F0863CE">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以联合体形式参加政府采购活动，联合体各方均为中小企业的，联合体视同中小企业。其中，联合体各方均为小微企业的，联合体视同小微企业。</w:t>
      </w:r>
    </w:p>
    <w:p w14:paraId="5E214B4B">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仿宋"/>
          <w:b/>
          <w:color w:val="auto"/>
          <w:sz w:val="24"/>
          <w:highlight w:val="none"/>
        </w:rPr>
        <w:t>10%</w:t>
      </w:r>
      <w:r>
        <w:rPr>
          <w:rFonts w:hint="eastAsia" w:ascii="宋体" w:hAnsi="宋体" w:cs="仿宋"/>
          <w:color w:val="auto"/>
          <w:sz w:val="24"/>
          <w:highlight w:val="none"/>
        </w:rPr>
        <w:t>的扣除，用扣除后的价格参与评审。</w:t>
      </w:r>
    </w:p>
    <w:p w14:paraId="0F8D372A">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仿宋"/>
          <w:b/>
          <w:bCs/>
          <w:color w:val="auto"/>
          <w:sz w:val="24"/>
          <w:highlight w:val="none"/>
        </w:rPr>
        <w:t>4%</w:t>
      </w:r>
      <w:r>
        <w:rPr>
          <w:rFonts w:hint="eastAsia" w:ascii="宋体" w:hAnsi="宋体"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6429331A">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3.3.5符合《关于促进残疾人就业政府采购政策的通知》（财库〔2017〕141号）规定的条件并提供《残疾人福利性单位声明函》的残疾人福利性单位视同小型、微型企业；</w:t>
      </w:r>
    </w:p>
    <w:p w14:paraId="40A290D0">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14:paraId="061B8BC2">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3.3.7可享受中小企业扶持政策的投标人应按照征集文件格式要求提供《中小企业声明函》。</w:t>
      </w:r>
    </w:p>
    <w:p w14:paraId="623D617C">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3.3.8中小企业享受扶持政策获得政府采购合同的，小微企业不得将合同分包给大中型企业，中型企业不得将合同分包给大型企业。</w:t>
      </w:r>
    </w:p>
    <w:p w14:paraId="1F636CDF">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3.4</w:t>
      </w:r>
      <w:r>
        <w:rPr>
          <w:rFonts w:hint="eastAsia" w:ascii="宋体" w:hAnsi="宋体" w:cs="仿宋"/>
          <w:bCs/>
          <w:color w:val="auto"/>
          <w:sz w:val="24"/>
          <w:highlight w:val="none"/>
        </w:rPr>
        <w:t>支持创新发展</w:t>
      </w:r>
    </w:p>
    <w:p w14:paraId="2EDBF25E">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3.4.1 征集人优先采购被认定为首台套产品和“制造精品”的自主创新产品。</w:t>
      </w:r>
    </w:p>
    <w:p w14:paraId="56D3DF76">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86A8AC8">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3.5平等对待内外资企业和符合条件的破产重整企业</w:t>
      </w:r>
    </w:p>
    <w:p w14:paraId="539EA328">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平等对待内外资企业和符合条件的破产重整企业，切实保障企业公平竞争，平等维护企业的合法利益。</w:t>
      </w:r>
    </w:p>
    <w:p w14:paraId="4D241A2E">
      <w:pPr>
        <w:shd w:val="clear"/>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4. 询问、质疑、投诉</w:t>
      </w:r>
    </w:p>
    <w:p w14:paraId="064222FA">
      <w:pPr>
        <w:shd w:val="clear"/>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lang w:val="zh-CN"/>
        </w:rPr>
        <w:t>4.1在线询问、质疑、投诉</w:t>
      </w:r>
    </w:p>
    <w:p w14:paraId="1DD46A99">
      <w:pPr>
        <w:shd w:val="clear"/>
        <w:spacing w:line="360" w:lineRule="auto"/>
        <w:ind w:firstLine="480" w:firstLineChars="200"/>
        <w:rPr>
          <w:rFonts w:ascii="宋体" w:hAnsi="宋体" w:cs="仿宋"/>
          <w:b/>
          <w:color w:val="auto"/>
          <w:sz w:val="24"/>
          <w:highlight w:val="none"/>
        </w:rPr>
      </w:pPr>
      <w:r>
        <w:rPr>
          <w:rFonts w:hint="eastAsia" w:ascii="宋体" w:hAnsi="宋体" w:cs="仿宋"/>
          <w:color w:val="auto"/>
          <w:sz w:val="24"/>
          <w:highlight w:val="none"/>
          <w:lang w:val="zh-CN"/>
        </w:rPr>
        <w:t>根据《浙江省财政厅关于进一步促进政府采购公平竞争打造最优营商环境的通知》（浙财采监</w:t>
      </w:r>
      <w:r>
        <w:rPr>
          <w:rFonts w:hint="eastAsia" w:ascii="宋体" w:hAnsi="宋体" w:cs="仿宋"/>
          <w:color w:val="auto"/>
          <w:sz w:val="24"/>
          <w:highlight w:val="none"/>
        </w:rPr>
        <w:t>〔2021〕</w:t>
      </w:r>
      <w:r>
        <w:rPr>
          <w:rFonts w:hint="eastAsia" w:ascii="宋体" w:hAnsi="宋体" w:cs="仿宋"/>
          <w:color w:val="auto"/>
          <w:sz w:val="24"/>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67F78BD">
      <w:pPr>
        <w:shd w:val="clear"/>
        <w:autoSpaceDE w:val="0"/>
        <w:autoSpaceDN w:val="0"/>
        <w:spacing w:line="360" w:lineRule="auto"/>
        <w:ind w:firstLine="480" w:firstLineChars="2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4.2供应商询问</w:t>
      </w:r>
    </w:p>
    <w:p w14:paraId="704C6AE0">
      <w:pPr>
        <w:shd w:val="clear"/>
        <w:autoSpaceDE w:val="0"/>
        <w:autoSpaceDN w:val="0"/>
        <w:spacing w:line="360" w:lineRule="auto"/>
        <w:ind w:firstLine="480" w:firstLineChars="2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供应商对政府采购活动事项有疑问的，可以提出询问，征集人或者采购代理机构应当在收到供应商询问后3个工作日内对供应商依法提出的询问作出答复，但答复的内容不得涉及商业秘密。供应商提出的询问超出征集人对采购代理机构委托授权范围的，采购代理机构应当告知供应商向征集人提出。</w:t>
      </w:r>
    </w:p>
    <w:p w14:paraId="4A31506A">
      <w:pPr>
        <w:shd w:val="clear"/>
        <w:autoSpaceDE w:val="0"/>
        <w:autoSpaceDN w:val="0"/>
        <w:spacing w:line="360" w:lineRule="auto"/>
        <w:ind w:firstLine="480" w:firstLineChars="2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4.3供应商质疑</w:t>
      </w:r>
    </w:p>
    <w:p w14:paraId="7E75A140">
      <w:pPr>
        <w:pStyle w:val="31"/>
        <w:shd w:val="clear"/>
        <w:spacing w:line="360" w:lineRule="auto"/>
        <w:ind w:firstLine="480" w:firstLineChars="200"/>
        <w:rPr>
          <w:rFonts w:hAnsi="宋体" w:cs="仿宋"/>
          <w:color w:val="auto"/>
          <w:sz w:val="24"/>
          <w:szCs w:val="24"/>
          <w:highlight w:val="none"/>
        </w:rPr>
      </w:pPr>
      <w:r>
        <w:rPr>
          <w:rFonts w:hint="eastAsia" w:hAnsi="宋体" w:cs="仿宋"/>
          <w:color w:val="auto"/>
          <w:kern w:val="0"/>
          <w:sz w:val="24"/>
          <w:szCs w:val="24"/>
          <w:highlight w:val="none"/>
          <w:lang w:val="zh-CN"/>
        </w:rPr>
        <w:t>4.3</w:t>
      </w:r>
      <w:r>
        <w:rPr>
          <w:rFonts w:hint="eastAsia" w:hAnsi="宋体" w:cs="仿宋"/>
          <w:color w:val="auto"/>
          <w:sz w:val="24"/>
          <w:szCs w:val="24"/>
          <w:highlight w:val="none"/>
        </w:rPr>
        <w:t>.1提出质疑的供应商应当是参与所质疑项目采购活动的供应商。潜在供应商已依法获取其可质疑的征集文件的，可以对该文件提出质疑。</w:t>
      </w:r>
    </w:p>
    <w:p w14:paraId="04AD21B0">
      <w:pPr>
        <w:pStyle w:val="31"/>
        <w:shd w:val="clear"/>
        <w:spacing w:line="360" w:lineRule="auto"/>
        <w:ind w:firstLine="480" w:firstLineChars="200"/>
        <w:rPr>
          <w:rFonts w:hAnsi="宋体" w:cs="仿宋"/>
          <w:color w:val="auto"/>
          <w:sz w:val="24"/>
          <w:szCs w:val="24"/>
          <w:highlight w:val="none"/>
        </w:rPr>
      </w:pPr>
      <w:r>
        <w:rPr>
          <w:rFonts w:hint="eastAsia" w:hAnsi="宋体" w:cs="仿宋"/>
          <w:color w:val="auto"/>
          <w:kern w:val="0"/>
          <w:sz w:val="24"/>
          <w:szCs w:val="24"/>
          <w:highlight w:val="none"/>
          <w:lang w:val="zh-CN"/>
        </w:rPr>
        <w:t>4.3</w:t>
      </w:r>
      <w:r>
        <w:rPr>
          <w:rFonts w:hint="eastAsia" w:hAnsi="宋体" w:cs="仿宋"/>
          <w:color w:val="auto"/>
          <w:sz w:val="24"/>
          <w:szCs w:val="24"/>
          <w:highlight w:val="none"/>
        </w:rPr>
        <w:t>.2供应商认为征集文件、采购过程和中标结果使自己的权益受到损害的，可以在知道或者应知其权益受到损害之日起七个工作日内，以书面形式向征集人或者采购代理机构提出质疑，否则，征集人或者采购代理机构不予受理：</w:t>
      </w:r>
    </w:p>
    <w:p w14:paraId="48522E1B">
      <w:pPr>
        <w:pStyle w:val="15"/>
        <w:shd w:val="clear"/>
        <w:spacing w:line="360" w:lineRule="auto"/>
        <w:ind w:firstLine="480" w:firstLineChars="200"/>
        <w:rPr>
          <w:rFonts w:hAnsi="宋体" w:cs="仿宋"/>
          <w:snapToGrid/>
          <w:color w:val="auto"/>
          <w:kern w:val="2"/>
          <w:sz w:val="24"/>
          <w:szCs w:val="24"/>
          <w:highlight w:val="none"/>
        </w:rPr>
      </w:pPr>
      <w:r>
        <w:rPr>
          <w:rFonts w:hint="eastAsia" w:hAnsi="宋体" w:cs="仿宋"/>
          <w:snapToGrid/>
          <w:color w:val="auto"/>
          <w:kern w:val="2"/>
          <w:sz w:val="24"/>
          <w:szCs w:val="24"/>
          <w:highlight w:val="none"/>
        </w:rPr>
        <w:t>4.3.2.1对征集文件提出质疑的，质疑期限为供应商获得征集文件之日或者征集文件公告期限届满之日起计算。</w:t>
      </w:r>
      <w:r>
        <w:rPr>
          <w:rFonts w:hint="eastAsia" w:hAnsi="宋体" w:cs="仿宋"/>
          <w:color w:val="auto"/>
          <w:sz w:val="24"/>
          <w:szCs w:val="24"/>
          <w:highlight w:val="none"/>
        </w:rPr>
        <w:t>征集文件在公告期限届满之日后获得的，应当自征集文件公告期限届满之日起计算，且应当在采购响应截止时间之前提出。</w:t>
      </w:r>
    </w:p>
    <w:p w14:paraId="526973A5">
      <w:pPr>
        <w:pStyle w:val="31"/>
        <w:shd w:val="clear"/>
        <w:spacing w:line="360" w:lineRule="auto"/>
        <w:ind w:left="479" w:leftChars="228"/>
        <w:rPr>
          <w:rFonts w:hAnsi="宋体" w:cs="仿宋"/>
          <w:color w:val="auto"/>
          <w:sz w:val="24"/>
          <w:szCs w:val="24"/>
          <w:highlight w:val="none"/>
        </w:rPr>
      </w:pPr>
      <w:r>
        <w:rPr>
          <w:rFonts w:hint="eastAsia" w:hAnsi="宋体"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54B0C984">
      <w:pPr>
        <w:pStyle w:val="31"/>
        <w:shd w:val="clear"/>
        <w:spacing w:line="360" w:lineRule="auto"/>
        <w:ind w:firstLine="480" w:firstLineChars="200"/>
        <w:rPr>
          <w:rFonts w:hAnsi="宋体" w:cs="仿宋"/>
          <w:color w:val="auto"/>
          <w:kern w:val="0"/>
          <w:sz w:val="24"/>
          <w:szCs w:val="24"/>
          <w:highlight w:val="none"/>
          <w:lang w:val="zh-CN"/>
        </w:rPr>
      </w:pPr>
      <w:r>
        <w:rPr>
          <w:rFonts w:hint="eastAsia" w:hAnsi="宋体" w:cs="仿宋"/>
          <w:color w:val="auto"/>
          <w:kern w:val="0"/>
          <w:sz w:val="24"/>
          <w:szCs w:val="24"/>
          <w:highlight w:val="none"/>
          <w:lang w:val="zh-CN"/>
        </w:rPr>
        <w:t>4.3.3</w:t>
      </w:r>
      <w:r>
        <w:rPr>
          <w:rFonts w:hint="eastAsia" w:hAnsi="宋体" w:cs="仿宋"/>
          <w:color w:val="auto"/>
          <w:sz w:val="24"/>
          <w:szCs w:val="24"/>
          <w:highlight w:val="none"/>
        </w:rPr>
        <w:t>供应商提出质疑应当提交质疑函和必要的证明材料。质疑函应当包括下列内容：</w:t>
      </w:r>
    </w:p>
    <w:p w14:paraId="0CAAC5A2">
      <w:pPr>
        <w:pStyle w:val="31"/>
        <w:shd w:val="clear"/>
        <w:spacing w:line="360" w:lineRule="auto"/>
        <w:ind w:firstLine="480" w:firstLineChars="200"/>
        <w:rPr>
          <w:rFonts w:hAnsi="宋体" w:cs="仿宋"/>
          <w:color w:val="auto"/>
          <w:kern w:val="0"/>
          <w:sz w:val="24"/>
          <w:szCs w:val="24"/>
          <w:highlight w:val="none"/>
          <w:lang w:val="zh-CN"/>
        </w:rPr>
      </w:pPr>
      <w:r>
        <w:rPr>
          <w:rFonts w:hint="eastAsia" w:hAnsi="宋体" w:cs="仿宋"/>
          <w:color w:val="auto"/>
          <w:kern w:val="0"/>
          <w:sz w:val="24"/>
          <w:szCs w:val="24"/>
          <w:highlight w:val="none"/>
          <w:lang w:val="zh-CN"/>
        </w:rPr>
        <w:t>4.3.3.1供应商的姓名或者名称、地址、邮编、联系人及联系电话；</w:t>
      </w:r>
    </w:p>
    <w:p w14:paraId="77333BD7">
      <w:pPr>
        <w:pStyle w:val="31"/>
        <w:shd w:val="clear"/>
        <w:spacing w:line="360" w:lineRule="auto"/>
        <w:ind w:firstLine="480" w:firstLineChars="200"/>
        <w:rPr>
          <w:rFonts w:hAnsi="宋体" w:cs="仿宋"/>
          <w:color w:val="auto"/>
          <w:kern w:val="0"/>
          <w:sz w:val="24"/>
          <w:szCs w:val="24"/>
          <w:highlight w:val="none"/>
          <w:lang w:val="zh-CN"/>
        </w:rPr>
      </w:pPr>
      <w:r>
        <w:rPr>
          <w:rFonts w:hint="eastAsia" w:hAnsi="宋体" w:cs="仿宋"/>
          <w:color w:val="auto"/>
          <w:kern w:val="0"/>
          <w:sz w:val="24"/>
          <w:szCs w:val="24"/>
          <w:highlight w:val="none"/>
          <w:lang w:val="zh-CN"/>
        </w:rPr>
        <w:t>4.3.3.2质疑项目的名称、编号；</w:t>
      </w:r>
    </w:p>
    <w:p w14:paraId="792E0AB6">
      <w:pPr>
        <w:pStyle w:val="31"/>
        <w:shd w:val="clear"/>
        <w:spacing w:line="360" w:lineRule="auto"/>
        <w:ind w:firstLine="480" w:firstLineChars="200"/>
        <w:rPr>
          <w:rFonts w:hAnsi="宋体" w:cs="仿宋"/>
          <w:color w:val="auto"/>
          <w:kern w:val="0"/>
          <w:sz w:val="24"/>
          <w:szCs w:val="24"/>
          <w:highlight w:val="none"/>
          <w:lang w:val="zh-CN"/>
        </w:rPr>
      </w:pPr>
      <w:r>
        <w:rPr>
          <w:rFonts w:hint="eastAsia" w:hAnsi="宋体" w:cs="仿宋"/>
          <w:color w:val="auto"/>
          <w:kern w:val="0"/>
          <w:sz w:val="24"/>
          <w:szCs w:val="24"/>
          <w:highlight w:val="none"/>
          <w:lang w:val="zh-CN"/>
        </w:rPr>
        <w:t>4.3.3.3具体、明确的质疑事项和与质疑事项相关的请求；</w:t>
      </w:r>
    </w:p>
    <w:p w14:paraId="1AB15CB5">
      <w:pPr>
        <w:pStyle w:val="31"/>
        <w:shd w:val="clear"/>
        <w:spacing w:line="360" w:lineRule="auto"/>
        <w:ind w:firstLine="480" w:firstLineChars="200"/>
        <w:rPr>
          <w:rFonts w:hAnsi="宋体" w:cs="仿宋"/>
          <w:color w:val="auto"/>
          <w:kern w:val="0"/>
          <w:sz w:val="24"/>
          <w:szCs w:val="24"/>
          <w:highlight w:val="none"/>
          <w:lang w:val="zh-CN"/>
        </w:rPr>
      </w:pPr>
      <w:r>
        <w:rPr>
          <w:rFonts w:hint="eastAsia" w:hAnsi="宋体" w:cs="仿宋"/>
          <w:color w:val="auto"/>
          <w:kern w:val="0"/>
          <w:sz w:val="24"/>
          <w:szCs w:val="24"/>
          <w:highlight w:val="none"/>
          <w:lang w:val="zh-CN"/>
        </w:rPr>
        <w:t>4.3.3.4事实依据；</w:t>
      </w:r>
    </w:p>
    <w:p w14:paraId="0FAADB71">
      <w:pPr>
        <w:pStyle w:val="31"/>
        <w:shd w:val="clear"/>
        <w:spacing w:line="360" w:lineRule="auto"/>
        <w:ind w:firstLine="480" w:firstLineChars="200"/>
        <w:rPr>
          <w:rFonts w:hAnsi="宋体" w:cs="仿宋"/>
          <w:color w:val="auto"/>
          <w:kern w:val="0"/>
          <w:sz w:val="24"/>
          <w:szCs w:val="24"/>
          <w:highlight w:val="none"/>
          <w:lang w:val="zh-CN"/>
        </w:rPr>
      </w:pPr>
      <w:r>
        <w:rPr>
          <w:rFonts w:hint="eastAsia" w:hAnsi="宋体" w:cs="仿宋"/>
          <w:color w:val="auto"/>
          <w:kern w:val="0"/>
          <w:sz w:val="24"/>
          <w:szCs w:val="24"/>
          <w:highlight w:val="none"/>
          <w:lang w:val="zh-CN"/>
        </w:rPr>
        <w:t>4.3.3.5必要的法律依据；</w:t>
      </w:r>
    </w:p>
    <w:p w14:paraId="666809B8">
      <w:pPr>
        <w:pStyle w:val="31"/>
        <w:shd w:val="clear"/>
        <w:spacing w:line="360" w:lineRule="auto"/>
        <w:ind w:firstLine="480" w:firstLineChars="200"/>
        <w:rPr>
          <w:rFonts w:hAnsi="宋体" w:cs="仿宋"/>
          <w:color w:val="auto"/>
          <w:kern w:val="0"/>
          <w:sz w:val="24"/>
          <w:szCs w:val="24"/>
          <w:highlight w:val="none"/>
          <w:lang w:val="zh-CN"/>
        </w:rPr>
      </w:pPr>
      <w:r>
        <w:rPr>
          <w:rFonts w:hint="eastAsia" w:hAnsi="宋体" w:cs="仿宋"/>
          <w:color w:val="auto"/>
          <w:kern w:val="0"/>
          <w:sz w:val="24"/>
          <w:szCs w:val="24"/>
          <w:highlight w:val="none"/>
          <w:lang w:val="zh-CN"/>
        </w:rPr>
        <w:t>4.3.3.6提出质疑的日期。</w:t>
      </w:r>
    </w:p>
    <w:p w14:paraId="08C91CC5">
      <w:pPr>
        <w:pStyle w:val="31"/>
        <w:shd w:val="clear"/>
        <w:spacing w:line="360" w:lineRule="auto"/>
        <w:ind w:firstLine="480" w:firstLineChars="200"/>
        <w:rPr>
          <w:rFonts w:hAnsi="宋体" w:cs="仿宋"/>
          <w:color w:val="auto"/>
          <w:sz w:val="24"/>
          <w:szCs w:val="24"/>
          <w:highlight w:val="none"/>
        </w:rPr>
      </w:pPr>
      <w:r>
        <w:rPr>
          <w:rFonts w:hint="eastAsia" w:hAnsi="宋体"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6E355501">
      <w:pPr>
        <w:pStyle w:val="31"/>
        <w:shd w:val="clear"/>
        <w:spacing w:line="360" w:lineRule="auto"/>
        <w:ind w:firstLine="420" w:firstLineChars="200"/>
        <w:rPr>
          <w:rFonts w:hAnsi="宋体" w:cs="仿宋"/>
          <w:i/>
          <w:color w:val="auto"/>
          <w:highlight w:val="none"/>
        </w:rPr>
      </w:pPr>
      <w:r>
        <w:rPr>
          <w:rFonts w:hint="eastAsia" w:hAnsi="宋体" w:cs="仿宋"/>
          <w:i/>
          <w:color w:val="auto"/>
          <w:highlight w:val="none"/>
        </w:rPr>
        <w:t>质疑函范本及制作说明详见附件1。</w:t>
      </w:r>
    </w:p>
    <w:p w14:paraId="679EB963">
      <w:pPr>
        <w:pStyle w:val="31"/>
        <w:shd w:val="clear"/>
        <w:spacing w:line="360" w:lineRule="auto"/>
        <w:ind w:firstLine="480" w:firstLineChars="200"/>
        <w:rPr>
          <w:rFonts w:hAnsi="宋体" w:cs="仿宋"/>
          <w:color w:val="auto"/>
          <w:kern w:val="0"/>
          <w:sz w:val="24"/>
          <w:szCs w:val="24"/>
          <w:highlight w:val="none"/>
          <w:lang w:val="zh-CN"/>
        </w:rPr>
      </w:pPr>
      <w:r>
        <w:rPr>
          <w:rFonts w:hint="eastAsia" w:hAnsi="宋体" w:cs="仿宋"/>
          <w:color w:val="auto"/>
          <w:sz w:val="24"/>
          <w:szCs w:val="24"/>
          <w:highlight w:val="none"/>
        </w:rPr>
        <w:t>4.3.4对同一采购程序环节的质疑，供应商须在法定质疑期内一次性提出。</w:t>
      </w:r>
    </w:p>
    <w:p w14:paraId="21072A6C">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lang w:val="zh-CN"/>
        </w:rPr>
        <w:t>4.3</w:t>
      </w:r>
      <w:r>
        <w:rPr>
          <w:rFonts w:hint="eastAsia" w:ascii="宋体" w:hAnsi="宋体" w:cs="仿宋"/>
          <w:color w:val="auto"/>
          <w:sz w:val="24"/>
          <w:highlight w:val="none"/>
        </w:rPr>
        <w:t>.5征集人或者采购代理机构应当在收到供应商的书面质疑后七个工作日内作出答复，并以书面形式通知质疑供应商和其他与质疑处理结果有利害关系的政府采购当事人，但答复的内容不得涉及商业秘密。征集人或者采购代理机构将质疑答复内容及时在浙江政府采购网的“其他公告”栏目公开质疑答复，答复内容应当完整，但涉及国家秘密、个人隐私、商业秘密以及法律、法规规定应予保密的信息内容除外。</w:t>
      </w:r>
    </w:p>
    <w:p w14:paraId="24C22F5F">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lang w:val="zh-CN"/>
        </w:rPr>
        <w:t>4.3</w:t>
      </w:r>
      <w:r>
        <w:rPr>
          <w:rFonts w:hint="eastAsia" w:ascii="宋体" w:hAnsi="宋体" w:cs="仿宋"/>
          <w:color w:val="auto"/>
          <w:sz w:val="24"/>
          <w:highlight w:val="none"/>
        </w:rPr>
        <w:t>.6询问或者质疑事项可能影响采购结果的，征集人应当暂停签订合同，已经签订合同的，应当中止履行合同。</w:t>
      </w:r>
    </w:p>
    <w:p w14:paraId="1F9D533A">
      <w:pPr>
        <w:shd w:val="clear"/>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lang w:val="zh-CN"/>
        </w:rPr>
        <w:t>4.4供应商投诉</w:t>
      </w:r>
    </w:p>
    <w:p w14:paraId="1C76C569">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4.4.1质疑供应商对征集人、采购代理机构的答复不满意或者征集人、采购代理机构未在规定的时间内作出答复的，可以在答复期满后十五个工作日内向同级政府采购监督管理部门提出投诉。</w:t>
      </w:r>
    </w:p>
    <w:p w14:paraId="0C966033">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4.4.</w:t>
      </w:r>
      <w:r>
        <w:rPr>
          <w:rFonts w:hint="eastAsia" w:ascii="宋体" w:hAnsi="宋体" w:cs="仿宋"/>
          <w:color w:val="auto"/>
          <w:sz w:val="24"/>
          <w:highlight w:val="none"/>
          <w:lang w:val="zh-CN"/>
        </w:rPr>
        <w:t>2</w:t>
      </w:r>
      <w:r>
        <w:rPr>
          <w:rFonts w:hint="eastAsia" w:ascii="宋体" w:hAnsi="宋体" w:cs="仿宋"/>
          <w:color w:val="auto"/>
          <w:sz w:val="24"/>
          <w:highlight w:val="none"/>
        </w:rPr>
        <w:t>供应商投诉的事项不得超出已质疑事项的范围，基于质疑答复内容提出的投诉事项除外。</w:t>
      </w:r>
    </w:p>
    <w:p w14:paraId="0F9DDA6B">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4.4.3供应商投诉应当有明确的请求和必要的证明材料。</w:t>
      </w:r>
    </w:p>
    <w:p w14:paraId="3891EBC2">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4.4.4 以联合体形式参加政府采购活动的，其投诉应当由组成联合体的所有供应商共同提出。</w:t>
      </w:r>
    </w:p>
    <w:p w14:paraId="149BB4E9">
      <w:pPr>
        <w:shd w:val="clear"/>
        <w:spacing w:line="360" w:lineRule="auto"/>
        <w:ind w:left="420" w:leftChars="200"/>
        <w:rPr>
          <w:rFonts w:ascii="宋体" w:hAnsi="宋体" w:cs="仿宋"/>
          <w:i/>
          <w:color w:val="auto"/>
          <w:sz w:val="32"/>
          <w:szCs w:val="32"/>
          <w:highlight w:val="none"/>
        </w:rPr>
      </w:pPr>
      <w:r>
        <w:rPr>
          <w:rFonts w:hint="eastAsia" w:ascii="宋体" w:hAnsi="宋体" w:cs="仿宋"/>
          <w:i/>
          <w:color w:val="auto"/>
          <w:highlight w:val="none"/>
        </w:rPr>
        <w:t>投诉书范本及制作说明详见附件2。</w:t>
      </w:r>
    </w:p>
    <w:p w14:paraId="374C643D">
      <w:pPr>
        <w:shd w:val="clear"/>
        <w:adjustRightInd/>
        <w:spacing w:line="360" w:lineRule="auto"/>
        <w:jc w:val="center"/>
        <w:outlineLvl w:val="0"/>
        <w:rPr>
          <w:rFonts w:ascii="宋体" w:hAnsi="宋体" w:cs="仿宋"/>
          <w:b/>
          <w:color w:val="auto"/>
          <w:sz w:val="32"/>
          <w:szCs w:val="20"/>
          <w:highlight w:val="none"/>
        </w:rPr>
      </w:pPr>
      <w:bookmarkStart w:id="55" w:name="_Hlt74714665"/>
      <w:bookmarkEnd w:id="55"/>
      <w:bookmarkStart w:id="56" w:name="_Hlt74729768"/>
      <w:bookmarkEnd w:id="56"/>
      <w:bookmarkStart w:id="57" w:name="_Hlt68072990"/>
      <w:bookmarkEnd w:id="57"/>
      <w:bookmarkStart w:id="58" w:name="_Hlt68057669"/>
      <w:bookmarkEnd w:id="58"/>
      <w:bookmarkStart w:id="59" w:name="_Hlt74707468"/>
      <w:bookmarkEnd w:id="59"/>
      <w:bookmarkStart w:id="60" w:name="_Hlt74730295"/>
      <w:bookmarkEnd w:id="60"/>
      <w:bookmarkStart w:id="61" w:name="_Hlt75236290"/>
      <w:bookmarkEnd w:id="61"/>
      <w:bookmarkStart w:id="62" w:name="_Toc91899879"/>
    </w:p>
    <w:p w14:paraId="3F1D37F7">
      <w:pPr>
        <w:shd w:val="clear"/>
        <w:adjustRightInd/>
        <w:spacing w:line="360" w:lineRule="auto"/>
        <w:jc w:val="center"/>
        <w:outlineLvl w:val="0"/>
        <w:rPr>
          <w:rFonts w:ascii="宋体" w:hAnsi="宋体" w:cs="仿宋"/>
          <w:b/>
          <w:color w:val="auto"/>
          <w:sz w:val="32"/>
          <w:szCs w:val="20"/>
          <w:highlight w:val="none"/>
        </w:rPr>
      </w:pPr>
      <w:r>
        <w:rPr>
          <w:rFonts w:hint="eastAsia" w:ascii="宋体" w:hAnsi="宋体" w:cs="仿宋"/>
          <w:b/>
          <w:color w:val="auto"/>
          <w:sz w:val="32"/>
          <w:szCs w:val="20"/>
          <w:highlight w:val="none"/>
        </w:rPr>
        <w:t>二、</w:t>
      </w:r>
      <w:bookmarkEnd w:id="62"/>
      <w:r>
        <w:rPr>
          <w:rFonts w:hint="eastAsia" w:ascii="宋体" w:hAnsi="宋体" w:cs="仿宋"/>
          <w:b/>
          <w:color w:val="auto"/>
          <w:sz w:val="32"/>
          <w:szCs w:val="20"/>
          <w:highlight w:val="none"/>
        </w:rPr>
        <w:t>征集文件的构成、澄清、修改</w:t>
      </w:r>
    </w:p>
    <w:p w14:paraId="32C37055">
      <w:pPr>
        <w:pStyle w:val="31"/>
        <w:shd w:val="clear"/>
        <w:spacing w:line="360" w:lineRule="auto"/>
        <w:ind w:firstLine="482" w:firstLineChars="200"/>
        <w:rPr>
          <w:rFonts w:hAnsi="宋体" w:cs="仿宋"/>
          <w:b/>
          <w:color w:val="auto"/>
          <w:sz w:val="24"/>
          <w:szCs w:val="24"/>
          <w:highlight w:val="none"/>
        </w:rPr>
      </w:pPr>
      <w:bookmarkStart w:id="63" w:name="_Toc91899880"/>
      <w:bookmarkStart w:id="64" w:name="_Hlt74730307"/>
      <w:r>
        <w:rPr>
          <w:rFonts w:hint="eastAsia" w:hAnsi="宋体" w:cs="仿宋"/>
          <w:b/>
          <w:color w:val="auto"/>
          <w:sz w:val="24"/>
          <w:szCs w:val="24"/>
          <w:highlight w:val="none"/>
        </w:rPr>
        <w:t>5．征集文件的构成</w:t>
      </w:r>
      <w:bookmarkEnd w:id="63"/>
    </w:p>
    <w:bookmarkEnd w:id="64"/>
    <w:p w14:paraId="6A5FE8CC">
      <w:pPr>
        <w:pStyle w:val="31"/>
        <w:shd w:val="clear"/>
        <w:spacing w:line="360" w:lineRule="auto"/>
        <w:ind w:right="-512" w:firstLine="480" w:firstLineChars="200"/>
        <w:rPr>
          <w:rFonts w:hAnsi="宋体" w:cs="仿宋"/>
          <w:color w:val="auto"/>
          <w:sz w:val="24"/>
          <w:szCs w:val="24"/>
          <w:highlight w:val="none"/>
        </w:rPr>
      </w:pPr>
      <w:r>
        <w:rPr>
          <w:rFonts w:hint="eastAsia" w:hAnsi="宋体" w:cs="仿宋"/>
          <w:color w:val="auto"/>
          <w:sz w:val="24"/>
          <w:szCs w:val="24"/>
          <w:highlight w:val="none"/>
        </w:rPr>
        <w:t>5.1 征集文件包括下列文件及附件</w:t>
      </w:r>
    </w:p>
    <w:p w14:paraId="795013C0">
      <w:pPr>
        <w:pStyle w:val="31"/>
        <w:numPr>
          <w:ilvl w:val="0"/>
          <w:numId w:val="1"/>
        </w:numPr>
        <w:shd w:val="clear"/>
        <w:spacing w:line="360" w:lineRule="auto"/>
        <w:ind w:left="0" w:firstLine="480" w:firstLineChars="200"/>
        <w:rPr>
          <w:rFonts w:hAnsi="宋体" w:cs="仿宋"/>
          <w:color w:val="auto"/>
          <w:sz w:val="24"/>
          <w:szCs w:val="24"/>
          <w:highlight w:val="none"/>
        </w:rPr>
      </w:pPr>
      <w:r>
        <w:rPr>
          <w:rFonts w:hint="eastAsia" w:hAnsi="宋体" w:cs="仿宋"/>
          <w:color w:val="auto"/>
          <w:sz w:val="24"/>
          <w:szCs w:val="24"/>
          <w:highlight w:val="none"/>
        </w:rPr>
        <w:t>第一部分 征集公告</w:t>
      </w:r>
    </w:p>
    <w:p w14:paraId="3BB38398">
      <w:pPr>
        <w:pStyle w:val="31"/>
        <w:numPr>
          <w:ilvl w:val="0"/>
          <w:numId w:val="1"/>
        </w:numPr>
        <w:shd w:val="clear"/>
        <w:spacing w:line="360" w:lineRule="auto"/>
        <w:ind w:left="0" w:firstLine="480" w:firstLineChars="200"/>
        <w:rPr>
          <w:rFonts w:hAnsi="宋体" w:cs="仿宋"/>
          <w:color w:val="auto"/>
          <w:sz w:val="24"/>
          <w:szCs w:val="24"/>
          <w:highlight w:val="none"/>
        </w:rPr>
      </w:pPr>
      <w:r>
        <w:rPr>
          <w:rFonts w:hint="eastAsia" w:hAnsi="宋体" w:cs="仿宋"/>
          <w:color w:val="auto"/>
          <w:sz w:val="24"/>
          <w:szCs w:val="24"/>
          <w:highlight w:val="none"/>
        </w:rPr>
        <w:t>第二部分 投标人须知</w:t>
      </w:r>
    </w:p>
    <w:p w14:paraId="25411E15">
      <w:pPr>
        <w:pStyle w:val="31"/>
        <w:numPr>
          <w:ilvl w:val="0"/>
          <w:numId w:val="1"/>
        </w:numPr>
        <w:shd w:val="clear"/>
        <w:spacing w:line="360" w:lineRule="auto"/>
        <w:ind w:left="0" w:firstLine="480" w:firstLineChars="200"/>
        <w:rPr>
          <w:rFonts w:hAnsi="宋体" w:cs="仿宋"/>
          <w:color w:val="auto"/>
          <w:sz w:val="24"/>
          <w:szCs w:val="24"/>
          <w:highlight w:val="none"/>
        </w:rPr>
      </w:pPr>
      <w:r>
        <w:rPr>
          <w:rFonts w:hint="eastAsia" w:hAnsi="宋体" w:cs="仿宋"/>
          <w:color w:val="auto"/>
          <w:sz w:val="24"/>
          <w:szCs w:val="24"/>
          <w:highlight w:val="none"/>
        </w:rPr>
        <w:t>第三部分 采购需求</w:t>
      </w:r>
    </w:p>
    <w:p w14:paraId="029F6730">
      <w:pPr>
        <w:pStyle w:val="31"/>
        <w:numPr>
          <w:ilvl w:val="0"/>
          <w:numId w:val="1"/>
        </w:numPr>
        <w:shd w:val="clear"/>
        <w:spacing w:line="360" w:lineRule="auto"/>
        <w:ind w:left="0" w:firstLine="480" w:firstLineChars="200"/>
        <w:rPr>
          <w:rFonts w:hAnsi="宋体" w:cs="仿宋"/>
          <w:color w:val="auto"/>
          <w:sz w:val="24"/>
          <w:szCs w:val="24"/>
          <w:highlight w:val="none"/>
        </w:rPr>
      </w:pPr>
      <w:r>
        <w:rPr>
          <w:rFonts w:hint="eastAsia" w:hAnsi="宋体" w:cs="仿宋"/>
          <w:color w:val="auto"/>
          <w:sz w:val="24"/>
          <w:szCs w:val="24"/>
          <w:highlight w:val="none"/>
        </w:rPr>
        <w:t>第四部分 评标方法及评分标准</w:t>
      </w:r>
    </w:p>
    <w:p w14:paraId="6C7128B2">
      <w:pPr>
        <w:pStyle w:val="31"/>
        <w:numPr>
          <w:ilvl w:val="0"/>
          <w:numId w:val="1"/>
        </w:numPr>
        <w:shd w:val="clear"/>
        <w:spacing w:line="360" w:lineRule="auto"/>
        <w:ind w:left="0" w:firstLine="480" w:firstLineChars="200"/>
        <w:rPr>
          <w:rFonts w:hAnsi="宋体" w:cs="仿宋"/>
          <w:color w:val="auto"/>
          <w:sz w:val="24"/>
          <w:szCs w:val="24"/>
          <w:highlight w:val="none"/>
        </w:rPr>
      </w:pPr>
      <w:r>
        <w:rPr>
          <w:rFonts w:hint="eastAsia" w:hAnsi="宋体" w:cs="仿宋"/>
          <w:color w:val="auto"/>
          <w:sz w:val="24"/>
          <w:szCs w:val="24"/>
          <w:highlight w:val="none"/>
        </w:rPr>
        <w:t>第五部分 拟签订的合同文本</w:t>
      </w:r>
    </w:p>
    <w:p w14:paraId="2EC03A4A">
      <w:pPr>
        <w:pStyle w:val="31"/>
        <w:numPr>
          <w:ilvl w:val="0"/>
          <w:numId w:val="1"/>
        </w:numPr>
        <w:shd w:val="clear"/>
        <w:spacing w:line="360" w:lineRule="auto"/>
        <w:ind w:left="0" w:firstLine="480" w:firstLineChars="200"/>
        <w:rPr>
          <w:rFonts w:hAnsi="宋体" w:cs="仿宋"/>
          <w:color w:val="auto"/>
          <w:sz w:val="24"/>
          <w:szCs w:val="24"/>
          <w:highlight w:val="none"/>
        </w:rPr>
      </w:pPr>
      <w:r>
        <w:rPr>
          <w:rFonts w:hint="eastAsia" w:hAnsi="宋体" w:cs="仿宋"/>
          <w:color w:val="auto"/>
          <w:sz w:val="24"/>
          <w:szCs w:val="24"/>
          <w:highlight w:val="none"/>
        </w:rPr>
        <w:t>第六部分 应提交的有关格式范例</w:t>
      </w:r>
    </w:p>
    <w:p w14:paraId="6ACD27DD">
      <w:pPr>
        <w:shd w:val="clear"/>
        <w:spacing w:line="360" w:lineRule="auto"/>
        <w:ind w:firstLine="480" w:firstLineChars="200"/>
        <w:jc w:val="left"/>
        <w:rPr>
          <w:rFonts w:ascii="宋体" w:hAnsi="宋体" w:cs="仿宋"/>
          <w:bCs/>
          <w:color w:val="auto"/>
          <w:sz w:val="24"/>
          <w:highlight w:val="none"/>
        </w:rPr>
      </w:pPr>
      <w:r>
        <w:rPr>
          <w:rFonts w:hint="eastAsia" w:ascii="宋体" w:hAnsi="宋体" w:cs="仿宋"/>
          <w:color w:val="auto"/>
          <w:sz w:val="24"/>
          <w:highlight w:val="none"/>
        </w:rPr>
        <w:t>5.2与本项目有关的</w:t>
      </w:r>
      <w:r>
        <w:rPr>
          <w:rFonts w:hint="eastAsia" w:ascii="宋体" w:hAnsi="宋体" w:cs="仿宋"/>
          <w:bCs/>
          <w:color w:val="auto"/>
          <w:sz w:val="24"/>
          <w:highlight w:val="none"/>
        </w:rPr>
        <w:t>澄清或者修改等公告内容亦为征集文件的组成部分，投标人须自行于征集公告所在网站获取相关信息（浙江政府采购网网址http://www.zjzfcg.gov.cn）</w:t>
      </w:r>
      <w:r>
        <w:rPr>
          <w:rFonts w:hint="eastAsia" w:ascii="宋体" w:hAnsi="宋体" w:cs="仿宋"/>
          <w:color w:val="auto"/>
          <w:sz w:val="24"/>
          <w:highlight w:val="none"/>
        </w:rPr>
        <w:t>。</w:t>
      </w:r>
    </w:p>
    <w:p w14:paraId="3B3BC4EE">
      <w:pPr>
        <w:pStyle w:val="31"/>
        <w:shd w:val="clear"/>
        <w:spacing w:line="360" w:lineRule="auto"/>
        <w:ind w:firstLine="482" w:firstLineChars="200"/>
        <w:jc w:val="left"/>
        <w:rPr>
          <w:rFonts w:hAnsi="宋体" w:cs="仿宋"/>
          <w:b/>
          <w:color w:val="auto"/>
          <w:sz w:val="24"/>
          <w:szCs w:val="24"/>
          <w:highlight w:val="none"/>
        </w:rPr>
      </w:pPr>
      <w:r>
        <w:rPr>
          <w:rFonts w:hint="eastAsia" w:hAnsi="宋体" w:cs="仿宋"/>
          <w:b/>
          <w:color w:val="auto"/>
          <w:sz w:val="24"/>
          <w:szCs w:val="24"/>
          <w:highlight w:val="none"/>
        </w:rPr>
        <w:t>6. 征集文件的澄清、修改</w:t>
      </w:r>
    </w:p>
    <w:p w14:paraId="1807E56E">
      <w:pPr>
        <w:pStyle w:val="219"/>
        <w:shd w:val="clear"/>
        <w:snapToGrid w:val="0"/>
        <w:spacing w:before="0"/>
        <w:ind w:firstLine="480"/>
        <w:rPr>
          <w:rFonts w:ascii="宋体" w:hAnsi="宋体" w:cs="仿宋"/>
          <w:color w:val="auto"/>
          <w:highlight w:val="none"/>
        </w:rPr>
      </w:pPr>
      <w:r>
        <w:rPr>
          <w:rFonts w:hint="eastAsia" w:ascii="宋体" w:hAnsi="宋体" w:cs="仿宋"/>
          <w:color w:val="auto"/>
          <w:highlight w:val="none"/>
        </w:rPr>
        <w:t>征集人或者采购代理机构如对已发出的征集文件进行必要澄清或者修改的，将在发布征集公告的网站上发布更正、澄清（修改）公告，同时视情况延长投标截止时间和开标时间。该公告澄清或者修改的内容为征集文件的组成部分。</w:t>
      </w:r>
    </w:p>
    <w:p w14:paraId="487F9CD4">
      <w:pPr>
        <w:shd w:val="clear"/>
        <w:adjustRightInd/>
        <w:spacing w:line="360" w:lineRule="auto"/>
        <w:jc w:val="center"/>
        <w:outlineLvl w:val="0"/>
        <w:rPr>
          <w:rFonts w:ascii="宋体" w:hAnsi="宋体" w:cs="仿宋"/>
          <w:b/>
          <w:color w:val="auto"/>
          <w:sz w:val="32"/>
          <w:szCs w:val="20"/>
          <w:highlight w:val="none"/>
        </w:rPr>
      </w:pPr>
      <w:bookmarkStart w:id="65" w:name="_Hlt75236011"/>
      <w:bookmarkEnd w:id="65"/>
      <w:bookmarkStart w:id="66" w:name="_Toc91899884"/>
    </w:p>
    <w:p w14:paraId="1A7B0A62">
      <w:pPr>
        <w:shd w:val="clear"/>
        <w:adjustRightInd/>
        <w:spacing w:line="360" w:lineRule="auto"/>
        <w:jc w:val="center"/>
        <w:outlineLvl w:val="0"/>
        <w:rPr>
          <w:rFonts w:ascii="宋体" w:hAnsi="宋体" w:cs="仿宋"/>
          <w:b/>
          <w:color w:val="auto"/>
          <w:sz w:val="32"/>
          <w:szCs w:val="20"/>
          <w:highlight w:val="none"/>
        </w:rPr>
      </w:pPr>
      <w:r>
        <w:rPr>
          <w:rFonts w:hint="eastAsia" w:ascii="宋体" w:hAnsi="宋体" w:cs="仿宋"/>
          <w:b/>
          <w:color w:val="auto"/>
          <w:sz w:val="32"/>
          <w:szCs w:val="20"/>
          <w:highlight w:val="none"/>
        </w:rPr>
        <w:t>三、投标</w:t>
      </w:r>
      <w:bookmarkEnd w:id="66"/>
    </w:p>
    <w:p w14:paraId="5D498CEB">
      <w:pPr>
        <w:pStyle w:val="31"/>
        <w:shd w:val="clear"/>
        <w:spacing w:line="360" w:lineRule="auto"/>
        <w:ind w:firstLine="482" w:firstLineChars="200"/>
        <w:rPr>
          <w:rFonts w:hAnsi="宋体" w:cs="仿宋"/>
          <w:b/>
          <w:color w:val="auto"/>
          <w:sz w:val="24"/>
          <w:szCs w:val="24"/>
          <w:highlight w:val="none"/>
        </w:rPr>
      </w:pPr>
      <w:bookmarkStart w:id="67" w:name="_Toc91899892"/>
      <w:bookmarkStart w:id="68" w:name="_Toc86216991"/>
      <w:r>
        <w:rPr>
          <w:rFonts w:hint="eastAsia" w:hAnsi="宋体" w:cs="仿宋"/>
          <w:b/>
          <w:color w:val="auto"/>
          <w:sz w:val="24"/>
          <w:szCs w:val="24"/>
          <w:highlight w:val="none"/>
        </w:rPr>
        <w:t>7.征集文件的获取</w:t>
      </w:r>
    </w:p>
    <w:p w14:paraId="69D075FB">
      <w:pPr>
        <w:shd w:val="clear"/>
        <w:spacing w:line="360" w:lineRule="auto"/>
        <w:ind w:firstLine="480" w:firstLineChars="200"/>
        <w:rPr>
          <w:rFonts w:ascii="宋体" w:hAnsi="宋体" w:cs="仿宋"/>
          <w:snapToGrid w:val="0"/>
          <w:color w:val="auto"/>
          <w:kern w:val="28"/>
          <w:sz w:val="24"/>
          <w:highlight w:val="none"/>
        </w:rPr>
      </w:pPr>
      <w:r>
        <w:rPr>
          <w:rFonts w:hint="eastAsia" w:ascii="宋体" w:hAnsi="宋体" w:cs="仿宋"/>
          <w:snapToGrid w:val="0"/>
          <w:color w:val="auto"/>
          <w:kern w:val="28"/>
          <w:sz w:val="24"/>
          <w:highlight w:val="none"/>
        </w:rPr>
        <w:t>详见征集公告中获取征集文件的时间期限、地点、方式。附件中直接下载仅供浏览使用。</w:t>
      </w:r>
    </w:p>
    <w:p w14:paraId="1EA4B1FE">
      <w:pPr>
        <w:pStyle w:val="31"/>
        <w:shd w:val="clear"/>
        <w:spacing w:line="360" w:lineRule="auto"/>
        <w:ind w:firstLine="482" w:firstLineChars="200"/>
        <w:rPr>
          <w:rFonts w:hAnsi="宋体" w:cs="仿宋"/>
          <w:b/>
          <w:color w:val="auto"/>
          <w:sz w:val="24"/>
          <w:szCs w:val="24"/>
          <w:highlight w:val="none"/>
        </w:rPr>
      </w:pPr>
      <w:r>
        <w:rPr>
          <w:rFonts w:hint="eastAsia" w:hAnsi="宋体" w:cs="仿宋"/>
          <w:b/>
          <w:color w:val="auto"/>
          <w:sz w:val="24"/>
          <w:szCs w:val="24"/>
          <w:highlight w:val="none"/>
        </w:rPr>
        <w:t>8.开标前答疑会或现场考察</w:t>
      </w:r>
    </w:p>
    <w:p w14:paraId="0DF6E2B2">
      <w:pPr>
        <w:pStyle w:val="31"/>
        <w:shd w:val="clear"/>
        <w:spacing w:line="360" w:lineRule="auto"/>
        <w:ind w:firstLine="480" w:firstLineChars="200"/>
        <w:rPr>
          <w:rFonts w:hAnsi="宋体" w:cs="仿宋"/>
          <w:color w:val="auto"/>
          <w:sz w:val="24"/>
          <w:szCs w:val="24"/>
          <w:highlight w:val="none"/>
        </w:rPr>
      </w:pPr>
      <w:r>
        <w:rPr>
          <w:rFonts w:hint="eastAsia" w:hAnsi="宋体" w:cs="仿宋"/>
          <w:color w:val="auto"/>
          <w:sz w:val="24"/>
          <w:szCs w:val="24"/>
          <w:highlight w:val="none"/>
        </w:rPr>
        <w:t>征集人视采购项目的具体情况，如果征集人组织潜在投标人现场考察或者召开开标前答疑会的，潜在投标人按前附表的规定参加现场考察或者开标前答疑会。</w:t>
      </w:r>
    </w:p>
    <w:p w14:paraId="03658DB8">
      <w:pPr>
        <w:pStyle w:val="31"/>
        <w:shd w:val="clear"/>
        <w:spacing w:line="360" w:lineRule="auto"/>
        <w:ind w:firstLine="482" w:firstLineChars="200"/>
        <w:rPr>
          <w:rFonts w:hAnsi="宋体" w:cs="仿宋"/>
          <w:b/>
          <w:color w:val="auto"/>
          <w:szCs w:val="24"/>
          <w:highlight w:val="none"/>
        </w:rPr>
      </w:pPr>
      <w:r>
        <w:rPr>
          <w:rFonts w:hint="eastAsia" w:hAnsi="宋体" w:cs="仿宋"/>
          <w:b/>
          <w:color w:val="auto"/>
          <w:kern w:val="28"/>
          <w:sz w:val="24"/>
          <w:szCs w:val="24"/>
          <w:highlight w:val="none"/>
        </w:rPr>
        <w:t>9.投标保证金</w:t>
      </w:r>
    </w:p>
    <w:p w14:paraId="7EBCDBEA">
      <w:pPr>
        <w:pStyle w:val="219"/>
        <w:shd w:val="clear"/>
        <w:snapToGrid w:val="0"/>
        <w:spacing w:before="0"/>
        <w:ind w:firstLine="480"/>
        <w:rPr>
          <w:rFonts w:ascii="宋体" w:hAnsi="宋体" w:cs="仿宋"/>
          <w:color w:val="auto"/>
          <w:highlight w:val="none"/>
          <w:lang w:val="zh-CN"/>
        </w:rPr>
      </w:pPr>
      <w:r>
        <w:rPr>
          <w:rFonts w:hint="eastAsia" w:ascii="宋体" w:hAnsi="宋体" w:cs="仿宋"/>
          <w:color w:val="auto"/>
          <w:highlight w:val="none"/>
        </w:rPr>
        <w:t>本项目不收取投标保证金。</w:t>
      </w:r>
    </w:p>
    <w:p w14:paraId="777C1435">
      <w:pPr>
        <w:pStyle w:val="31"/>
        <w:shd w:val="clear"/>
        <w:spacing w:line="360" w:lineRule="auto"/>
        <w:ind w:firstLine="482" w:firstLineChars="200"/>
        <w:rPr>
          <w:rFonts w:hAnsi="宋体" w:cs="仿宋"/>
          <w:b/>
          <w:color w:val="auto"/>
          <w:sz w:val="24"/>
          <w:szCs w:val="24"/>
          <w:highlight w:val="none"/>
        </w:rPr>
      </w:pPr>
      <w:r>
        <w:rPr>
          <w:rFonts w:hint="eastAsia" w:hAnsi="宋体" w:cs="仿宋"/>
          <w:b/>
          <w:color w:val="auto"/>
          <w:sz w:val="24"/>
          <w:szCs w:val="24"/>
          <w:highlight w:val="none"/>
        </w:rPr>
        <w:t>10. 响应文件的语言</w:t>
      </w:r>
    </w:p>
    <w:p w14:paraId="739A5043">
      <w:pPr>
        <w:shd w:val="clear"/>
        <w:autoSpaceDE w:val="0"/>
        <w:autoSpaceDN w:val="0"/>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rPr>
        <w:t>响应文件及投标人与采购有关的来往通知、函件和文件均应使用中文。</w:t>
      </w:r>
    </w:p>
    <w:p w14:paraId="1E58A842">
      <w:pPr>
        <w:pStyle w:val="31"/>
        <w:shd w:val="clear"/>
        <w:spacing w:line="360" w:lineRule="auto"/>
        <w:ind w:firstLine="482" w:firstLineChars="200"/>
        <w:rPr>
          <w:rFonts w:hAnsi="宋体" w:cs="仿宋"/>
          <w:b/>
          <w:color w:val="auto"/>
          <w:sz w:val="24"/>
          <w:szCs w:val="24"/>
          <w:highlight w:val="none"/>
        </w:rPr>
      </w:pPr>
      <w:r>
        <w:rPr>
          <w:rFonts w:hint="eastAsia" w:hAnsi="宋体" w:cs="仿宋"/>
          <w:b/>
          <w:color w:val="auto"/>
          <w:sz w:val="24"/>
          <w:szCs w:val="24"/>
          <w:highlight w:val="none"/>
        </w:rPr>
        <w:t>11. 响应文件的组成</w:t>
      </w:r>
    </w:p>
    <w:p w14:paraId="7C217A27">
      <w:pPr>
        <w:pStyle w:val="31"/>
        <w:shd w:val="clear"/>
        <w:snapToGrid w:val="0"/>
        <w:spacing w:line="360" w:lineRule="auto"/>
        <w:ind w:firstLine="480" w:firstLineChars="200"/>
        <w:rPr>
          <w:rFonts w:hAnsi="宋体" w:cs="仿宋"/>
          <w:color w:val="auto"/>
          <w:sz w:val="24"/>
          <w:szCs w:val="24"/>
          <w:highlight w:val="none"/>
        </w:rPr>
      </w:pPr>
      <w:r>
        <w:rPr>
          <w:rFonts w:hint="eastAsia" w:hAnsi="宋体" w:cs="仿宋"/>
          <w:color w:val="auto"/>
          <w:kern w:val="0"/>
          <w:sz w:val="24"/>
          <w:szCs w:val="24"/>
          <w:highlight w:val="none"/>
        </w:rPr>
        <w:t>响应文件应当包括以下主要内容：</w:t>
      </w:r>
      <w:r>
        <w:rPr>
          <w:rFonts w:hint="eastAsia" w:hAnsi="宋体" w:cs="仿宋"/>
          <w:b/>
          <w:color w:val="auto"/>
          <w:sz w:val="24"/>
          <w:szCs w:val="24"/>
          <w:highlight w:val="none"/>
        </w:rPr>
        <w:t>资格文件、商务技术文件、报价文件。</w:t>
      </w:r>
      <w:r>
        <w:rPr>
          <w:rFonts w:hint="eastAsia" w:hAnsi="宋体" w:cs="仿宋"/>
          <w:color w:val="auto"/>
          <w:sz w:val="24"/>
          <w:szCs w:val="24"/>
          <w:highlight w:val="none"/>
        </w:rPr>
        <w:t>响应文件应当对征集文件提出的要求和条件作出明确响应。</w:t>
      </w:r>
    </w:p>
    <w:p w14:paraId="06F54119">
      <w:pPr>
        <w:shd w:val="clear"/>
        <w:snapToGrid w:val="0"/>
        <w:spacing w:line="360" w:lineRule="auto"/>
        <w:ind w:firstLine="480" w:firstLineChars="200"/>
        <w:rPr>
          <w:rFonts w:ascii="宋体" w:hAnsi="宋体" w:cs="仿宋"/>
          <w:b/>
          <w:strike/>
          <w:color w:val="auto"/>
          <w:kern w:val="0"/>
          <w:sz w:val="24"/>
          <w:highlight w:val="none"/>
        </w:rPr>
      </w:pPr>
      <w:r>
        <w:rPr>
          <w:rFonts w:hint="eastAsia" w:ascii="宋体" w:hAnsi="宋体" w:cs="仿宋"/>
          <w:color w:val="auto"/>
          <w:sz w:val="24"/>
          <w:highlight w:val="none"/>
        </w:rPr>
        <w:t>11.1</w:t>
      </w:r>
      <w:r>
        <w:rPr>
          <w:rFonts w:hint="eastAsia" w:ascii="宋体" w:hAnsi="宋体" w:cs="仿宋"/>
          <w:b/>
          <w:color w:val="auto"/>
          <w:sz w:val="24"/>
          <w:highlight w:val="none"/>
        </w:rPr>
        <w:t>资格文件</w:t>
      </w:r>
      <w:r>
        <w:rPr>
          <w:rFonts w:hint="eastAsia" w:ascii="宋体" w:hAnsi="宋体" w:cs="仿宋"/>
          <w:color w:val="auto"/>
          <w:sz w:val="24"/>
          <w:highlight w:val="none"/>
        </w:rPr>
        <w:t>应包括以下内容：</w:t>
      </w:r>
      <w:r>
        <w:rPr>
          <w:rFonts w:hint="eastAsia" w:ascii="宋体" w:hAnsi="宋体" w:cs="仿宋"/>
          <w:color w:val="auto"/>
          <w:kern w:val="0"/>
          <w:sz w:val="24"/>
          <w:highlight w:val="none"/>
        </w:rPr>
        <w:t>证明其符合《中华人民共和国政府采购法》规定的供应商基本条件和采购项目对供应商的特定条件</w:t>
      </w:r>
      <w:r>
        <w:rPr>
          <w:rFonts w:hint="eastAsia" w:ascii="宋体" w:hAnsi="宋体" w:cs="仿宋"/>
          <w:color w:val="auto"/>
          <w:sz w:val="24"/>
          <w:highlight w:val="none"/>
        </w:rPr>
        <w:t>（如果项目要求）</w:t>
      </w:r>
      <w:r>
        <w:rPr>
          <w:rFonts w:hint="eastAsia" w:ascii="宋体" w:hAnsi="宋体" w:cs="仿宋"/>
          <w:color w:val="auto"/>
          <w:kern w:val="0"/>
          <w:sz w:val="24"/>
          <w:highlight w:val="none"/>
        </w:rPr>
        <w:t>的有关资格证明文件。</w:t>
      </w:r>
      <w:r>
        <w:rPr>
          <w:rFonts w:hint="eastAsia" w:ascii="宋体" w:hAnsi="宋体" w:cs="仿宋"/>
          <w:b/>
          <w:color w:val="auto"/>
          <w:kern w:val="0"/>
          <w:sz w:val="24"/>
          <w:highlight w:val="none"/>
        </w:rPr>
        <w:t>（以联合体形式进行政府采购的，参加联合体的供应商均应当提供）</w:t>
      </w:r>
    </w:p>
    <w:p w14:paraId="1217CF43">
      <w:pPr>
        <w:pStyle w:val="31"/>
        <w:shd w:val="clear"/>
        <w:spacing w:line="360" w:lineRule="auto"/>
        <w:ind w:firstLine="480" w:firstLineChars="200"/>
        <w:rPr>
          <w:rFonts w:hAnsi="宋体" w:cs="仿宋"/>
          <w:color w:val="auto"/>
          <w:sz w:val="24"/>
          <w:highlight w:val="none"/>
        </w:rPr>
      </w:pPr>
      <w:bookmarkStart w:id="69" w:name="_Hlt68073093"/>
      <w:bookmarkEnd w:id="69"/>
      <w:bookmarkStart w:id="70" w:name="_Hlt68072998"/>
      <w:bookmarkEnd w:id="70"/>
      <w:bookmarkStart w:id="71" w:name="_Hlt68403820"/>
      <w:bookmarkEnd w:id="71"/>
      <w:r>
        <w:rPr>
          <w:rFonts w:hint="eastAsia" w:hAnsi="宋体" w:cs="仿宋"/>
          <w:color w:val="auto"/>
          <w:sz w:val="24"/>
          <w:highlight w:val="none"/>
        </w:rPr>
        <w:t>11.1.1营业执照(或事业法人登记证或其他工商等登记证明材料)复印件（投标人为自然人的，提供自然人的身份证明）</w:t>
      </w:r>
      <w:r>
        <w:rPr>
          <w:rFonts w:hint="eastAsia" w:hAnsi="宋体" w:cs="仿宋"/>
          <w:b/>
          <w:color w:val="auto"/>
          <w:sz w:val="24"/>
          <w:highlight w:val="none"/>
        </w:rPr>
        <w:t>；</w:t>
      </w:r>
    </w:p>
    <w:p w14:paraId="33867488">
      <w:pPr>
        <w:pStyle w:val="31"/>
        <w:shd w:val="clear"/>
        <w:spacing w:line="360" w:lineRule="auto"/>
        <w:ind w:firstLine="480" w:firstLineChars="200"/>
        <w:rPr>
          <w:rFonts w:hAnsi="宋体" w:cs="仿宋"/>
          <w:color w:val="auto"/>
          <w:sz w:val="24"/>
          <w:highlight w:val="none"/>
        </w:rPr>
      </w:pPr>
      <w:r>
        <w:rPr>
          <w:rFonts w:hint="eastAsia" w:hAnsi="宋体" w:cs="仿宋"/>
          <w:color w:val="auto"/>
          <w:sz w:val="24"/>
          <w:highlight w:val="non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1C95FC5C">
      <w:pPr>
        <w:pStyle w:val="31"/>
        <w:shd w:val="clear"/>
        <w:spacing w:line="360" w:lineRule="auto"/>
        <w:ind w:firstLine="480" w:firstLineChars="200"/>
        <w:rPr>
          <w:rFonts w:hAnsi="宋体" w:cs="仿宋"/>
          <w:color w:val="auto"/>
          <w:sz w:val="24"/>
          <w:highlight w:val="none"/>
        </w:rPr>
      </w:pPr>
      <w:r>
        <w:rPr>
          <w:rFonts w:hint="eastAsia" w:hAnsi="宋体" w:cs="仿宋"/>
          <w:color w:val="auto"/>
          <w:sz w:val="24"/>
          <w:highlight w:val="none"/>
        </w:rPr>
        <w:t>11.1.2投标声明函；</w:t>
      </w:r>
    </w:p>
    <w:p w14:paraId="14F1CFE2">
      <w:pPr>
        <w:pStyle w:val="31"/>
        <w:shd w:val="clear"/>
        <w:spacing w:line="360" w:lineRule="auto"/>
        <w:ind w:firstLine="480" w:firstLineChars="200"/>
        <w:rPr>
          <w:rFonts w:hAnsi="宋体" w:cs="仿宋"/>
          <w:color w:val="auto"/>
          <w:sz w:val="24"/>
          <w:highlight w:val="none"/>
        </w:rPr>
      </w:pPr>
      <w:r>
        <w:rPr>
          <w:rFonts w:hint="eastAsia" w:hAnsi="宋体" w:cs="仿宋"/>
          <w:color w:val="auto"/>
          <w:sz w:val="24"/>
          <w:highlight w:val="none"/>
        </w:rPr>
        <w:t>11.1.3联合体协议书（如有）；</w:t>
      </w:r>
    </w:p>
    <w:p w14:paraId="4CA3D06F">
      <w:pPr>
        <w:pStyle w:val="31"/>
        <w:shd w:val="clear"/>
        <w:spacing w:line="360" w:lineRule="auto"/>
        <w:ind w:firstLine="480" w:firstLineChars="200"/>
        <w:rPr>
          <w:rFonts w:hAnsi="宋体" w:cs="仿宋"/>
          <w:color w:val="auto"/>
          <w:sz w:val="24"/>
          <w:highlight w:val="none"/>
        </w:rPr>
      </w:pPr>
      <w:r>
        <w:rPr>
          <w:rFonts w:hint="eastAsia" w:hAnsi="宋体" w:cs="仿宋"/>
          <w:color w:val="auto"/>
          <w:sz w:val="24"/>
          <w:highlight w:val="none"/>
        </w:rPr>
        <w:t>如以联合体形式参加政府采购活动的，</w:t>
      </w:r>
      <w:r>
        <w:rPr>
          <w:rFonts w:hint="eastAsia" w:hAnsi="宋体" w:cs="仿宋"/>
          <w:color w:val="auto"/>
          <w:sz w:val="24"/>
          <w:szCs w:val="24"/>
          <w:highlight w:val="none"/>
        </w:rPr>
        <w:t>联合体各方应当指定牵头人，授权其代表所有联合体成员负责投标和合同实施阶段的主办、协调工作，并应当</w:t>
      </w:r>
      <w:r>
        <w:rPr>
          <w:rFonts w:hint="eastAsia" w:hAnsi="宋体" w:cs="仿宋"/>
          <w:color w:val="auto"/>
          <w:sz w:val="24"/>
          <w:highlight w:val="none"/>
        </w:rPr>
        <w:t>提交联合体协议书，载明联合体各方承担的工作和义务；</w:t>
      </w:r>
    </w:p>
    <w:p w14:paraId="70F077D4">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11.1.4法定代表人授权书；</w:t>
      </w:r>
    </w:p>
    <w:p w14:paraId="66724D78">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如以联合体形式参加政府采购活动的，只需提供联合体牵头人法定代表人授权委托书；如投标人代表系法定代表人，无需提供法定代表人授权委托书；</w:t>
      </w:r>
    </w:p>
    <w:p w14:paraId="59534A36">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11.1.5法定代表人及其授权代表的身份证复印件（正反面复印件）；如投标人代表系法定代表人，只需提供其身份证复印件（正反面复印件）；</w:t>
      </w:r>
    </w:p>
    <w:p w14:paraId="4167A6AB">
      <w:pPr>
        <w:shd w:val="clear"/>
        <w:spacing w:line="360" w:lineRule="auto"/>
        <w:ind w:firstLine="480" w:firstLineChars="200"/>
        <w:rPr>
          <w:rFonts w:ascii="宋体" w:hAnsi="宋体" w:cs="仿宋"/>
          <w:color w:val="auto"/>
          <w:sz w:val="24"/>
          <w:highlight w:val="none"/>
        </w:rPr>
      </w:pPr>
      <w:r>
        <w:rPr>
          <w:rFonts w:hint="eastAsia" w:ascii="宋体" w:hAnsi="宋体" w:cs="仿宋"/>
          <w:bCs/>
          <w:color w:val="auto"/>
          <w:kern w:val="0"/>
          <w:sz w:val="24"/>
          <w:highlight w:val="none"/>
        </w:rPr>
        <w:t>11.1.6符合特定资格条件（如有）；</w:t>
      </w:r>
    </w:p>
    <w:p w14:paraId="1232E486">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11.2 投标人的</w:t>
      </w:r>
      <w:r>
        <w:rPr>
          <w:rFonts w:hint="eastAsia" w:ascii="宋体" w:hAnsi="宋体" w:cs="仿宋"/>
          <w:b/>
          <w:color w:val="auto"/>
          <w:sz w:val="24"/>
          <w:highlight w:val="none"/>
        </w:rPr>
        <w:t>商务技术</w:t>
      </w:r>
      <w:r>
        <w:rPr>
          <w:rFonts w:hint="eastAsia" w:ascii="宋体" w:hAnsi="宋体" w:cs="仿宋"/>
          <w:b/>
          <w:color w:val="auto"/>
          <w:kern w:val="0"/>
          <w:sz w:val="24"/>
          <w:highlight w:val="none"/>
          <w:lang w:val="zh-CN"/>
        </w:rPr>
        <w:t>文件</w:t>
      </w:r>
      <w:r>
        <w:rPr>
          <w:rFonts w:hint="eastAsia" w:ascii="宋体" w:hAnsi="宋体" w:cs="仿宋"/>
          <w:color w:val="auto"/>
          <w:kern w:val="0"/>
          <w:sz w:val="24"/>
          <w:highlight w:val="none"/>
          <w:lang w:val="zh-CN"/>
        </w:rPr>
        <w:t>应包括以下内容：</w:t>
      </w:r>
    </w:p>
    <w:p w14:paraId="3477B087">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11.2.1 投标函；</w:t>
      </w:r>
    </w:p>
    <w:p w14:paraId="79D42C37">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11.2.2</w:t>
      </w:r>
      <w:r>
        <w:rPr>
          <w:rFonts w:hint="eastAsia" w:ascii="宋体" w:hAnsi="宋体" w:cs="仿宋"/>
          <w:snapToGrid w:val="0"/>
          <w:color w:val="auto"/>
          <w:kern w:val="0"/>
          <w:sz w:val="24"/>
          <w:szCs w:val="21"/>
          <w:highlight w:val="none"/>
          <w:lang w:val="zh-CN"/>
        </w:rPr>
        <w:t>评分对应表；如果本项目评标办法采用质量优先法，投标人需在商务技术文件中提供此评分对应表，供评标委员会评审时使用。</w:t>
      </w:r>
    </w:p>
    <w:p w14:paraId="71D9B761">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11.2.3技术响应表；</w:t>
      </w:r>
    </w:p>
    <w:p w14:paraId="6CA160FE">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11.2.</w:t>
      </w:r>
      <w:r>
        <w:rPr>
          <w:rFonts w:hint="eastAsia" w:ascii="宋体" w:hAnsi="宋体" w:cs="仿宋"/>
          <w:color w:val="auto"/>
          <w:kern w:val="0"/>
          <w:sz w:val="24"/>
          <w:highlight w:val="none"/>
        </w:rPr>
        <w:t>4</w:t>
      </w:r>
      <w:r>
        <w:rPr>
          <w:rFonts w:hint="eastAsia" w:ascii="宋体" w:hAnsi="宋体" w:cs="仿宋"/>
          <w:color w:val="auto"/>
          <w:kern w:val="0"/>
          <w:sz w:val="24"/>
          <w:highlight w:val="none"/>
          <w:lang w:val="zh-CN"/>
        </w:rPr>
        <w:t>商务响应表；</w:t>
      </w:r>
    </w:p>
    <w:p w14:paraId="1CB0079B">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sz w:val="24"/>
          <w:highlight w:val="none"/>
        </w:rPr>
        <w:t>11.2.5</w:t>
      </w:r>
      <w:r>
        <w:rPr>
          <w:rFonts w:hint="eastAsia" w:ascii="宋体" w:hAnsi="宋体" w:cs="仿宋"/>
          <w:color w:val="auto"/>
          <w:kern w:val="0"/>
          <w:sz w:val="24"/>
          <w:highlight w:val="none"/>
          <w:lang w:val="zh-CN"/>
        </w:rPr>
        <w:t>项目组织实施方案;项目组织实施方案包括但不限于以下内容：组织机构、工作时间进度表、工作程序和步骤、管理和协调方法、关键步骤的思路和要点；</w:t>
      </w:r>
    </w:p>
    <w:p w14:paraId="47387E0D">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11.2.</w:t>
      </w:r>
      <w:r>
        <w:rPr>
          <w:rFonts w:hint="eastAsia" w:ascii="宋体" w:hAnsi="宋体" w:cs="仿宋"/>
          <w:color w:val="auto"/>
          <w:kern w:val="0"/>
          <w:sz w:val="24"/>
          <w:highlight w:val="none"/>
        </w:rPr>
        <w:t>6</w:t>
      </w:r>
      <w:r>
        <w:rPr>
          <w:rFonts w:hint="eastAsia" w:ascii="宋体" w:hAnsi="宋体" w:cs="仿宋"/>
          <w:color w:val="auto"/>
          <w:kern w:val="0"/>
          <w:sz w:val="24"/>
          <w:highlight w:val="none"/>
          <w:lang w:val="zh-CN"/>
        </w:rPr>
        <w:t>技术负责人情况表；</w:t>
      </w:r>
    </w:p>
    <w:p w14:paraId="5D97C6CB">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11.2.</w:t>
      </w:r>
      <w:r>
        <w:rPr>
          <w:rFonts w:hint="eastAsia" w:ascii="宋体" w:hAnsi="宋体" w:cs="仿宋"/>
          <w:color w:val="auto"/>
          <w:kern w:val="0"/>
          <w:sz w:val="24"/>
          <w:highlight w:val="none"/>
        </w:rPr>
        <w:t>7</w:t>
      </w:r>
      <w:r>
        <w:rPr>
          <w:rFonts w:hint="eastAsia" w:ascii="宋体" w:hAnsi="宋体" w:cs="仿宋"/>
          <w:color w:val="auto"/>
          <w:kern w:val="0"/>
          <w:sz w:val="24"/>
          <w:highlight w:val="none"/>
          <w:lang w:val="zh-CN"/>
        </w:rPr>
        <w:t>项目组人员名单；</w:t>
      </w:r>
    </w:p>
    <w:p w14:paraId="712E1C87">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sz w:val="24"/>
          <w:highlight w:val="none"/>
          <w:lang w:val="zh-CN"/>
        </w:rPr>
        <w:t>11.2.</w:t>
      </w:r>
      <w:r>
        <w:rPr>
          <w:rFonts w:hint="eastAsia" w:ascii="宋体" w:hAnsi="宋体" w:cs="仿宋"/>
          <w:color w:val="auto"/>
          <w:sz w:val="24"/>
          <w:highlight w:val="none"/>
        </w:rPr>
        <w:t>8</w:t>
      </w:r>
      <w:r>
        <w:rPr>
          <w:rFonts w:hint="eastAsia" w:ascii="宋体" w:hAnsi="宋体" w:cs="仿宋"/>
          <w:color w:val="auto"/>
          <w:kern w:val="0"/>
          <w:sz w:val="24"/>
          <w:highlight w:val="none"/>
          <w:lang w:val="zh-CN"/>
        </w:rPr>
        <w:t>售后服务方案（如有）。售后服务方案可包含且不限于对售后服务机构设置、驻点人员情况等。服务承诺未明示可能涉及的前提设定和费用，视为是无条件和免费的；</w:t>
      </w:r>
    </w:p>
    <w:p w14:paraId="040AB717">
      <w:pPr>
        <w:shd w:val="clear"/>
        <w:tabs>
          <w:tab w:val="left" w:pos="0"/>
          <w:tab w:val="left" w:pos="840"/>
        </w:tabs>
        <w:autoSpaceDE w:val="0"/>
        <w:autoSpaceDN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sz w:val="24"/>
          <w:highlight w:val="none"/>
          <w:lang w:val="zh-CN"/>
        </w:rPr>
        <w:t>11.2.</w:t>
      </w:r>
      <w:r>
        <w:rPr>
          <w:rFonts w:hint="eastAsia" w:ascii="宋体" w:hAnsi="宋体" w:cs="仿宋"/>
          <w:color w:val="auto"/>
          <w:sz w:val="24"/>
          <w:highlight w:val="none"/>
        </w:rPr>
        <w:t>9</w:t>
      </w:r>
      <w:r>
        <w:rPr>
          <w:rFonts w:hint="eastAsia" w:ascii="宋体" w:hAnsi="宋体" w:cs="仿宋"/>
          <w:color w:val="auto"/>
          <w:kern w:val="0"/>
          <w:sz w:val="24"/>
          <w:highlight w:val="none"/>
          <w:lang w:val="zh-CN"/>
        </w:rPr>
        <w:t>优惠条件及特殊承诺（如有）；</w:t>
      </w:r>
    </w:p>
    <w:p w14:paraId="4F83EC0E">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lang w:val="zh-CN"/>
        </w:rPr>
        <w:t>11.2.</w:t>
      </w:r>
      <w:r>
        <w:rPr>
          <w:rFonts w:hint="eastAsia" w:ascii="宋体" w:hAnsi="宋体" w:cs="仿宋"/>
          <w:color w:val="auto"/>
          <w:sz w:val="24"/>
          <w:highlight w:val="none"/>
        </w:rPr>
        <w:t>10</w:t>
      </w:r>
      <w:r>
        <w:rPr>
          <w:rFonts w:hint="eastAsia" w:ascii="宋体" w:hAnsi="宋体" w:cs="仿宋"/>
          <w:color w:val="auto"/>
          <w:kern w:val="0"/>
          <w:sz w:val="24"/>
          <w:highlight w:val="none"/>
          <w:lang w:val="zh-CN"/>
        </w:rPr>
        <w:t>投标人认为需要的其他商务技术文件或说明</w:t>
      </w:r>
      <w:r>
        <w:rPr>
          <w:rFonts w:hint="eastAsia" w:ascii="宋体" w:hAnsi="宋体" w:cs="仿宋"/>
          <w:snapToGrid w:val="0"/>
          <w:color w:val="auto"/>
          <w:kern w:val="0"/>
          <w:sz w:val="24"/>
          <w:highlight w:val="none"/>
          <w:lang w:val="zh-CN"/>
        </w:rPr>
        <w:t>。</w:t>
      </w:r>
    </w:p>
    <w:p w14:paraId="5D094E0E">
      <w:pPr>
        <w:shd w:val="clear"/>
        <w:snapToGrid w:val="0"/>
        <w:spacing w:line="360" w:lineRule="auto"/>
        <w:ind w:firstLine="480" w:firstLineChars="200"/>
        <w:rPr>
          <w:rFonts w:ascii="宋体" w:hAnsi="宋体" w:cs="仿宋"/>
          <w:color w:val="auto"/>
          <w:sz w:val="24"/>
          <w:highlight w:val="none"/>
          <w:u w:val="single"/>
          <w:lang w:val="zh-CN"/>
        </w:rPr>
      </w:pPr>
      <w:r>
        <w:rPr>
          <w:rFonts w:hint="eastAsia" w:ascii="宋体" w:hAnsi="宋体" w:cs="仿宋"/>
          <w:color w:val="auto"/>
          <w:kern w:val="0"/>
          <w:sz w:val="24"/>
          <w:highlight w:val="none"/>
          <w:lang w:val="zh-CN"/>
        </w:rPr>
        <w:t xml:space="preserve">11.3 </w:t>
      </w:r>
      <w:r>
        <w:rPr>
          <w:rFonts w:hint="eastAsia" w:ascii="宋体" w:hAnsi="宋体" w:cs="仿宋"/>
          <w:color w:val="auto"/>
          <w:sz w:val="24"/>
          <w:highlight w:val="none"/>
        </w:rPr>
        <w:t>投标人的</w:t>
      </w:r>
      <w:r>
        <w:rPr>
          <w:rFonts w:hint="eastAsia" w:ascii="宋体" w:hAnsi="宋体" w:cs="仿宋"/>
          <w:b/>
          <w:color w:val="auto"/>
          <w:sz w:val="24"/>
          <w:highlight w:val="none"/>
        </w:rPr>
        <w:t>报价文件</w:t>
      </w:r>
      <w:r>
        <w:rPr>
          <w:rFonts w:hint="eastAsia" w:ascii="宋体" w:hAnsi="宋体" w:cs="仿宋"/>
          <w:color w:val="auto"/>
          <w:sz w:val="24"/>
          <w:highlight w:val="none"/>
        </w:rPr>
        <w:t>应包括以下内容：</w:t>
      </w:r>
    </w:p>
    <w:p w14:paraId="4201274E">
      <w:pPr>
        <w:pStyle w:val="219"/>
        <w:shd w:val="clear"/>
        <w:snapToGrid w:val="0"/>
        <w:spacing w:before="0"/>
        <w:ind w:firstLine="480"/>
        <w:outlineLvl w:val="0"/>
        <w:rPr>
          <w:rFonts w:ascii="宋体" w:hAnsi="宋体" w:cs="仿宋"/>
          <w:color w:val="auto"/>
          <w:highlight w:val="none"/>
        </w:rPr>
      </w:pPr>
      <w:r>
        <w:rPr>
          <w:rFonts w:hint="eastAsia" w:ascii="宋体" w:hAnsi="宋体" w:cs="仿宋"/>
          <w:color w:val="auto"/>
          <w:highlight w:val="none"/>
        </w:rPr>
        <w:t>1</w:t>
      </w:r>
      <w:bookmarkStart w:id="72" w:name="_Toc91899887"/>
      <w:r>
        <w:rPr>
          <w:rFonts w:hint="eastAsia" w:ascii="宋体" w:hAnsi="宋体" w:cs="仿宋"/>
          <w:color w:val="auto"/>
          <w:highlight w:val="none"/>
        </w:rPr>
        <w:t>1.3.1投标(开标)一览表；</w:t>
      </w:r>
    </w:p>
    <w:p w14:paraId="447A0768">
      <w:pPr>
        <w:pStyle w:val="219"/>
        <w:shd w:val="clear"/>
        <w:snapToGrid w:val="0"/>
        <w:spacing w:before="0"/>
        <w:ind w:firstLine="480"/>
        <w:outlineLvl w:val="0"/>
        <w:rPr>
          <w:rFonts w:ascii="宋体" w:hAnsi="宋体" w:cs="仿宋"/>
          <w:color w:val="auto"/>
          <w:highlight w:val="none"/>
        </w:rPr>
      </w:pPr>
      <w:r>
        <w:rPr>
          <w:rFonts w:hint="eastAsia" w:ascii="宋体" w:hAnsi="宋体" w:cs="仿宋"/>
          <w:color w:val="auto"/>
          <w:highlight w:val="none"/>
        </w:rPr>
        <w:t>11.3.2中小企业声明函（如有）；</w:t>
      </w:r>
    </w:p>
    <w:p w14:paraId="4CEB55BD">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11.3.3残疾人福利性单位声明函</w:t>
      </w:r>
      <w:r>
        <w:rPr>
          <w:rFonts w:hint="eastAsia" w:ascii="宋体" w:hAnsi="宋体" w:cs="仿宋"/>
          <w:bCs/>
          <w:color w:val="auto"/>
          <w:kern w:val="0"/>
          <w:sz w:val="24"/>
          <w:highlight w:val="none"/>
        </w:rPr>
        <w:t>（如有）</w:t>
      </w:r>
      <w:r>
        <w:rPr>
          <w:rFonts w:hint="eastAsia" w:ascii="宋体" w:hAnsi="宋体" w:cs="仿宋"/>
          <w:color w:val="auto"/>
          <w:sz w:val="24"/>
          <w:highlight w:val="none"/>
        </w:rPr>
        <w:t xml:space="preserve">； </w:t>
      </w:r>
    </w:p>
    <w:p w14:paraId="333FEB0D">
      <w:pPr>
        <w:pStyle w:val="219"/>
        <w:shd w:val="clear"/>
        <w:snapToGrid w:val="0"/>
        <w:spacing w:before="0"/>
        <w:ind w:firstLine="482"/>
        <w:outlineLvl w:val="0"/>
        <w:rPr>
          <w:rFonts w:ascii="宋体" w:hAnsi="宋体" w:cs="仿宋"/>
          <w:b/>
          <w:color w:val="auto"/>
          <w:szCs w:val="24"/>
          <w:highlight w:val="none"/>
        </w:rPr>
      </w:pPr>
      <w:r>
        <w:rPr>
          <w:rFonts w:hint="eastAsia" w:ascii="宋体" w:hAnsi="宋体" w:cs="仿宋"/>
          <w:b/>
          <w:color w:val="auto"/>
          <w:szCs w:val="24"/>
          <w:highlight w:val="none"/>
        </w:rPr>
        <w:t>12</w:t>
      </w:r>
      <w:r>
        <w:rPr>
          <w:rFonts w:hint="eastAsia" w:ascii="宋体" w:hAnsi="宋体" w:cs="仿宋"/>
          <w:b/>
          <w:color w:val="auto"/>
          <w:kern w:val="0"/>
          <w:szCs w:val="24"/>
          <w:highlight w:val="none"/>
          <w:lang w:val="zh-CN"/>
        </w:rPr>
        <w:t xml:space="preserve">. </w:t>
      </w:r>
      <w:r>
        <w:rPr>
          <w:rFonts w:hint="eastAsia" w:ascii="宋体" w:hAnsi="宋体" w:cs="仿宋"/>
          <w:b/>
          <w:color w:val="auto"/>
          <w:szCs w:val="24"/>
          <w:highlight w:val="none"/>
        </w:rPr>
        <w:t>响应文件的编制</w:t>
      </w:r>
    </w:p>
    <w:p w14:paraId="4BFDE57F">
      <w:pPr>
        <w:shd w:val="clear"/>
        <w:spacing w:line="360" w:lineRule="auto"/>
        <w:ind w:firstLine="482" w:firstLineChars="200"/>
        <w:rPr>
          <w:rFonts w:ascii="宋体" w:hAnsi="宋体" w:cs="仿宋"/>
          <w:b/>
          <w:color w:val="auto"/>
          <w:sz w:val="24"/>
          <w:szCs w:val="21"/>
          <w:highlight w:val="none"/>
        </w:rPr>
      </w:pPr>
      <w:r>
        <w:rPr>
          <w:rFonts w:hint="eastAsia" w:ascii="宋体" w:hAnsi="宋体" w:cs="仿宋"/>
          <w:b/>
          <w:color w:val="auto"/>
          <w:sz w:val="24"/>
          <w:highlight w:val="none"/>
        </w:rPr>
        <w:t>▲响应文件未按本条规定的格式编制的，投标无效；</w:t>
      </w:r>
    </w:p>
    <w:p w14:paraId="51C0B15B">
      <w:pPr>
        <w:shd w:val="clear"/>
        <w:spacing w:line="360" w:lineRule="auto"/>
        <w:ind w:firstLine="482" w:firstLineChars="200"/>
        <w:rPr>
          <w:rFonts w:ascii="宋体" w:hAnsi="宋体" w:cs="仿宋"/>
          <w:b/>
          <w:color w:val="auto"/>
          <w:kern w:val="0"/>
          <w:sz w:val="24"/>
          <w:highlight w:val="none"/>
          <w:lang w:val="zh-CN"/>
        </w:rPr>
      </w:pPr>
      <w:r>
        <w:rPr>
          <w:rFonts w:hint="eastAsia" w:ascii="宋体" w:hAnsi="宋体" w:cs="仿宋"/>
          <w:b/>
          <w:color w:val="auto"/>
          <w:kern w:val="0"/>
          <w:sz w:val="24"/>
          <w:highlight w:val="none"/>
          <w:lang w:val="zh-CN"/>
        </w:rPr>
        <w:t>12.1响应文件分为资格文件、商务技术文件、报价文件三部分。各投标人在编制响应文件时请按照征集文件第六部分规定的格式进行，“商务技术文件”可在征集文件规定的格式基础上适当调整，以使内容更加完备，混乱的编排导致响应文件被误读或评标委员会查找不到有效文件是投标人的风险。</w:t>
      </w:r>
    </w:p>
    <w:p w14:paraId="2D568C46">
      <w:pPr>
        <w:shd w:val="clear"/>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12.2投标人进行电子投标应安装客户端软件—“政采云电子交易客户端”，并按照征集文件和电子交易平台的要求编制并加密响应文件。投标人未按规定加密的响应文件，电子交易平台将拒收并提示。</w:t>
      </w:r>
    </w:p>
    <w:bookmarkEnd w:id="72"/>
    <w:p w14:paraId="20CAE5A7">
      <w:pPr>
        <w:shd w:val="clear"/>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2EE6F6B">
      <w:pPr>
        <w:shd w:val="clea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13.响应文件的签署、盖章</w:t>
      </w:r>
    </w:p>
    <w:p w14:paraId="3784337B">
      <w:pPr>
        <w:pStyle w:val="219"/>
        <w:shd w:val="clear"/>
        <w:snapToGrid w:val="0"/>
        <w:spacing w:before="0"/>
        <w:ind w:firstLine="480"/>
        <w:rPr>
          <w:rFonts w:ascii="宋体" w:hAnsi="宋体" w:cs="仿宋"/>
          <w:color w:val="auto"/>
          <w:highlight w:val="none"/>
        </w:rPr>
      </w:pPr>
      <w:r>
        <w:rPr>
          <w:rFonts w:hint="eastAsia" w:ascii="宋体" w:hAnsi="宋体" w:cs="仿宋"/>
          <w:color w:val="auto"/>
          <w:szCs w:val="24"/>
          <w:highlight w:val="none"/>
        </w:rPr>
        <w:t>13.1响应文件按照征集文件第六部分格式要</w:t>
      </w:r>
      <w:r>
        <w:rPr>
          <w:rFonts w:hint="eastAsia" w:ascii="宋体" w:hAnsi="宋体" w:cs="仿宋"/>
          <w:color w:val="auto"/>
          <w:highlight w:val="none"/>
        </w:rPr>
        <w:t>求进行签署、盖章。</w:t>
      </w:r>
      <w:r>
        <w:rPr>
          <w:rFonts w:hint="eastAsia" w:ascii="宋体" w:hAnsi="宋体" w:cs="仿宋"/>
          <w:b/>
          <w:color w:val="auto"/>
          <w:szCs w:val="24"/>
          <w:highlight w:val="none"/>
        </w:rPr>
        <w:t>其中电子响应文件中所需加盖公章部分均应采用电子签章（联合体投标的，投标人可加盖实体印章）</w:t>
      </w:r>
    </w:p>
    <w:p w14:paraId="5B87AD92">
      <w:pPr>
        <w:pStyle w:val="219"/>
        <w:shd w:val="clear"/>
        <w:snapToGrid w:val="0"/>
        <w:spacing w:before="0"/>
        <w:ind w:firstLine="482"/>
        <w:rPr>
          <w:rFonts w:ascii="宋体" w:hAnsi="宋体" w:cs="仿宋"/>
          <w:b/>
          <w:color w:val="auto"/>
          <w:highlight w:val="none"/>
        </w:rPr>
      </w:pPr>
      <w:r>
        <w:rPr>
          <w:rFonts w:hint="eastAsia" w:ascii="宋体" w:hAnsi="宋体" w:cs="仿宋"/>
          <w:b/>
          <w:color w:val="auto"/>
          <w:highlight w:val="none"/>
        </w:rPr>
        <w:t>▲投标人的响应文件未按照征集文件要求签署、盖章的，其投标无效</w:t>
      </w:r>
      <w:r>
        <w:rPr>
          <w:rFonts w:hint="eastAsia" w:ascii="宋体" w:hAnsi="宋体" w:cs="仿宋"/>
          <w:color w:val="auto"/>
          <w:szCs w:val="24"/>
          <w:highlight w:val="none"/>
        </w:rPr>
        <w:t>。</w:t>
      </w:r>
    </w:p>
    <w:p w14:paraId="71E77E38">
      <w:pPr>
        <w:pStyle w:val="219"/>
        <w:shd w:val="clear"/>
        <w:snapToGrid w:val="0"/>
        <w:spacing w:before="0"/>
        <w:ind w:firstLine="480"/>
        <w:rPr>
          <w:rFonts w:ascii="宋体" w:hAnsi="宋体" w:cs="仿宋"/>
          <w:color w:val="auto"/>
          <w:szCs w:val="24"/>
          <w:highlight w:val="none"/>
        </w:rPr>
      </w:pPr>
      <w:r>
        <w:rPr>
          <w:rFonts w:hint="eastAsia" w:ascii="宋体" w:hAnsi="宋体"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bookmarkEnd w:id="67"/>
    <w:bookmarkEnd w:id="68"/>
    <w:p w14:paraId="026ED0D9">
      <w:pPr>
        <w:shd w:val="clea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14. 响应文件的提交、补充、修改、撤回</w:t>
      </w:r>
    </w:p>
    <w:p w14:paraId="3C1CAFF6">
      <w:pPr>
        <w:shd w:val="clear"/>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74B587E8">
      <w:pPr>
        <w:pStyle w:val="219"/>
        <w:shd w:val="clear"/>
        <w:spacing w:before="0"/>
        <w:ind w:firstLine="480"/>
        <w:rPr>
          <w:rFonts w:ascii="宋体" w:hAnsi="宋体" w:cs="仿宋"/>
          <w:color w:val="auto"/>
          <w:szCs w:val="24"/>
          <w:highlight w:val="none"/>
        </w:rPr>
      </w:pPr>
      <w:r>
        <w:rPr>
          <w:rFonts w:hint="eastAsia" w:ascii="宋体" w:hAnsi="宋体" w:cs="仿宋"/>
          <w:color w:val="auto"/>
          <w:szCs w:val="24"/>
          <w:highlight w:val="none"/>
        </w:rPr>
        <w:t>14.2电子交易平台收到响应文件，将妥善保存并即时向供应商发出确认回执通知。在投标截止时间前，除供应商补充、修改或者撤回响应文件外，任何单位和个人不得解密或提取响应文件。</w:t>
      </w:r>
    </w:p>
    <w:p w14:paraId="0B9F126D">
      <w:pPr>
        <w:pStyle w:val="219"/>
        <w:shd w:val="clear"/>
        <w:spacing w:before="0"/>
        <w:ind w:firstLine="480"/>
        <w:rPr>
          <w:rFonts w:ascii="宋体" w:hAnsi="宋体" w:cs="仿宋"/>
          <w:color w:val="auto"/>
          <w:szCs w:val="24"/>
          <w:highlight w:val="none"/>
        </w:rPr>
      </w:pPr>
      <w:r>
        <w:rPr>
          <w:rFonts w:hint="eastAsia" w:ascii="宋体" w:hAnsi="宋体" w:cs="仿宋"/>
          <w:color w:val="auto"/>
          <w:szCs w:val="24"/>
          <w:highlight w:val="none"/>
        </w:rPr>
        <w:t>14.3征集人、代理机构可以视情况延长响应文件提交的截止时间。在上述情况下，采购代理机构与投标人以前在投标截止期方面的全部权利、责任和义务，将适用于延长至新的投标截止期。</w:t>
      </w:r>
    </w:p>
    <w:p w14:paraId="1D92B723">
      <w:pPr>
        <w:pStyle w:val="31"/>
        <w:shd w:val="clear"/>
        <w:spacing w:line="360" w:lineRule="auto"/>
        <w:ind w:firstLine="482" w:firstLineChars="200"/>
        <w:rPr>
          <w:rFonts w:hAnsi="宋体" w:cs="仿宋"/>
          <w:b/>
          <w:color w:val="auto"/>
          <w:sz w:val="24"/>
          <w:szCs w:val="24"/>
          <w:highlight w:val="none"/>
        </w:rPr>
      </w:pPr>
      <w:r>
        <w:rPr>
          <w:rFonts w:hint="eastAsia" w:hAnsi="宋体" w:cs="仿宋"/>
          <w:b/>
          <w:color w:val="auto"/>
          <w:sz w:val="24"/>
          <w:szCs w:val="24"/>
          <w:highlight w:val="none"/>
        </w:rPr>
        <w:t>15.备份响应文件</w:t>
      </w:r>
    </w:p>
    <w:p w14:paraId="0AC96204">
      <w:pPr>
        <w:pStyle w:val="31"/>
        <w:shd w:val="clear"/>
        <w:spacing w:line="360" w:lineRule="auto"/>
        <w:ind w:firstLine="360" w:firstLineChars="150"/>
        <w:rPr>
          <w:rFonts w:hAnsi="宋体" w:cs="仿宋"/>
          <w:b/>
          <w:color w:val="auto"/>
          <w:sz w:val="24"/>
          <w:szCs w:val="24"/>
          <w:highlight w:val="none"/>
        </w:rPr>
      </w:pPr>
      <w:r>
        <w:rPr>
          <w:rFonts w:hint="eastAsia" w:hAnsi="宋体" w:cs="仿宋"/>
          <w:color w:val="auto"/>
          <w:sz w:val="24"/>
          <w:szCs w:val="24"/>
          <w:highlight w:val="none"/>
        </w:rPr>
        <w:t xml:space="preserve"> 15.1投标人在电子交易平台传输递交响应文件后，还可以在投标截止时间前直接提交或者以邮政快递方式递交备份响应文件1份，</w:t>
      </w:r>
      <w:r>
        <w:rPr>
          <w:rFonts w:hint="eastAsia" w:hAnsi="宋体" w:cs="仿宋"/>
          <w:b/>
          <w:color w:val="auto"/>
          <w:sz w:val="24"/>
          <w:szCs w:val="24"/>
          <w:highlight w:val="none"/>
        </w:rPr>
        <w:t>但征集人、采购代理机构不强制或变相强制投标人提交备份响应文件。</w:t>
      </w:r>
    </w:p>
    <w:p w14:paraId="372E675B">
      <w:pPr>
        <w:pStyle w:val="31"/>
        <w:shd w:val="clear"/>
        <w:spacing w:line="360" w:lineRule="auto"/>
        <w:ind w:firstLine="480" w:firstLineChars="200"/>
        <w:rPr>
          <w:rFonts w:hAnsi="宋体" w:cs="仿宋"/>
          <w:b/>
          <w:color w:val="auto"/>
          <w:sz w:val="24"/>
          <w:szCs w:val="24"/>
          <w:highlight w:val="none"/>
        </w:rPr>
      </w:pPr>
      <w:r>
        <w:rPr>
          <w:rFonts w:hint="eastAsia" w:hAnsi="宋体" w:cs="仿宋"/>
          <w:color w:val="auto"/>
          <w:sz w:val="24"/>
          <w:szCs w:val="24"/>
          <w:highlight w:val="none"/>
        </w:rPr>
        <w:t>15.2备份响应文件须在“政采云投标客户端”制作生成，并储存在</w:t>
      </w:r>
      <w:r>
        <w:rPr>
          <w:rFonts w:hint="eastAsia" w:hAnsi="宋体" w:cs="仿宋"/>
          <w:color w:val="auto"/>
          <w:sz w:val="24"/>
          <w:highlight w:val="none"/>
        </w:rPr>
        <w:t>DVD光盘等存储介质</w:t>
      </w:r>
      <w:r>
        <w:rPr>
          <w:rFonts w:hint="eastAsia" w:hAnsi="宋体" w:cs="仿宋"/>
          <w:color w:val="auto"/>
          <w:sz w:val="24"/>
          <w:szCs w:val="24"/>
          <w:highlight w:val="none"/>
        </w:rPr>
        <w:t>中。备份响应文件应当密封包装并在包装上加盖公章并注明投标项目名称，投标人名称(联合体投标的，包装物封面需注明联合体投标，并注明联合体成员各方的名称和联合协议中约定的牵头人的名称)。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仿宋"/>
          <w:b/>
          <w:color w:val="auto"/>
          <w:sz w:val="24"/>
          <w:highlight w:val="none"/>
        </w:rPr>
        <w:t>不符合上述制作、</w:t>
      </w:r>
      <w:r>
        <w:rPr>
          <w:rFonts w:hint="eastAsia" w:hAnsi="宋体" w:cs="仿宋"/>
          <w:b/>
          <w:color w:val="auto"/>
          <w:sz w:val="24"/>
          <w:szCs w:val="24"/>
          <w:highlight w:val="none"/>
        </w:rPr>
        <w:t>存储、密封规定的备份响应文件将被视为无效或者被拒绝接收。</w:t>
      </w:r>
    </w:p>
    <w:p w14:paraId="5D49628B">
      <w:pPr>
        <w:pStyle w:val="31"/>
        <w:shd w:val="clear"/>
        <w:spacing w:line="360" w:lineRule="auto"/>
        <w:ind w:firstLine="480" w:firstLineChars="200"/>
        <w:rPr>
          <w:rFonts w:hAnsi="宋体" w:cs="仿宋"/>
          <w:color w:val="auto"/>
          <w:sz w:val="24"/>
          <w:szCs w:val="24"/>
          <w:highlight w:val="none"/>
        </w:rPr>
      </w:pPr>
      <w:r>
        <w:rPr>
          <w:rFonts w:hint="eastAsia" w:hAnsi="宋体" w:cs="仿宋"/>
          <w:color w:val="auto"/>
          <w:sz w:val="24"/>
          <w:szCs w:val="24"/>
          <w:highlight w:val="none"/>
        </w:rPr>
        <w:t>15.3直接提交备份响应文件的，投标人应于投标截止时间前在征集公告中载明的开标地点将备份响应文件提交给采购代理机构，采购代理机构将拒绝接受逾期送达的备份响应文件。</w:t>
      </w:r>
    </w:p>
    <w:p w14:paraId="766E7161">
      <w:pPr>
        <w:pStyle w:val="31"/>
        <w:shd w:val="clear"/>
        <w:spacing w:line="360" w:lineRule="auto"/>
        <w:ind w:firstLine="480" w:firstLineChars="200"/>
        <w:rPr>
          <w:rFonts w:hAnsi="宋体" w:cs="仿宋"/>
          <w:color w:val="auto"/>
          <w:sz w:val="24"/>
          <w:szCs w:val="24"/>
          <w:highlight w:val="none"/>
        </w:rPr>
      </w:pPr>
      <w:r>
        <w:rPr>
          <w:rFonts w:hint="eastAsia" w:hAnsi="宋体" w:cs="仿宋"/>
          <w:color w:val="auto"/>
          <w:sz w:val="24"/>
          <w:szCs w:val="24"/>
          <w:highlight w:val="none"/>
        </w:rPr>
        <w:t>15.4以邮政快递方式递交备份响应文件的，投标人应先将备份响应文件按要求密封和标记，再进行邮政快递包装后邮寄。备份响应文件须在投标截止时间之前送达</w:t>
      </w:r>
      <w:r>
        <w:rPr>
          <w:rFonts w:hint="eastAsia" w:hAnsi="宋体" w:cs="仿宋"/>
          <w:snapToGrid/>
          <w:color w:val="auto"/>
          <w:sz w:val="24"/>
          <w:szCs w:val="24"/>
          <w:highlight w:val="none"/>
        </w:rPr>
        <w:t>征集文件第二部分投标人须知前附表规定的备份响应文件送达地点；</w:t>
      </w:r>
      <w:r>
        <w:rPr>
          <w:rFonts w:hint="eastAsia" w:hAnsi="宋体" w:cs="仿宋"/>
          <w:color w:val="auto"/>
          <w:sz w:val="24"/>
          <w:szCs w:val="24"/>
          <w:highlight w:val="none"/>
        </w:rPr>
        <w:t>送达时间以签收人签收时间为准。采购代理机构将拒绝接受逾期送达的备份响应文件。邮寄过程中，电子备份响应文件发生泄露、遗失、损坏或延期送达等情况的，由投标人自行负责。</w:t>
      </w:r>
    </w:p>
    <w:p w14:paraId="308618C6">
      <w:pPr>
        <w:pStyle w:val="219"/>
        <w:shd w:val="clear"/>
        <w:spacing w:before="0"/>
        <w:ind w:firstLine="482"/>
        <w:rPr>
          <w:rFonts w:ascii="宋体" w:hAnsi="宋体" w:cs="仿宋"/>
          <w:color w:val="auto"/>
          <w:szCs w:val="24"/>
          <w:highlight w:val="none"/>
        </w:rPr>
      </w:pPr>
      <w:r>
        <w:rPr>
          <w:rFonts w:hint="eastAsia" w:ascii="宋体" w:hAnsi="宋体" w:cs="仿宋"/>
          <w:b/>
          <w:color w:val="auto"/>
          <w:szCs w:val="24"/>
          <w:highlight w:val="none"/>
        </w:rPr>
        <w:t>15.5投标人仅提交备份响应文件，未在电子交易平台传输递交响应文件的，投标无效。</w:t>
      </w:r>
    </w:p>
    <w:p w14:paraId="10532C7C">
      <w:pPr>
        <w:pStyle w:val="219"/>
        <w:shd w:val="clear"/>
        <w:spacing w:before="0"/>
        <w:ind w:firstLine="482"/>
        <w:rPr>
          <w:rFonts w:ascii="宋体" w:hAnsi="宋体" w:cs="仿宋"/>
          <w:b/>
          <w:color w:val="auto"/>
          <w:szCs w:val="24"/>
          <w:highlight w:val="none"/>
        </w:rPr>
      </w:pPr>
      <w:r>
        <w:rPr>
          <w:rFonts w:hint="eastAsia" w:ascii="宋体" w:hAnsi="宋体" w:cs="仿宋"/>
          <w:b/>
          <w:color w:val="auto"/>
          <w:szCs w:val="24"/>
          <w:highlight w:val="none"/>
        </w:rPr>
        <w:t>16.响应文件的无效处理</w:t>
      </w:r>
    </w:p>
    <w:p w14:paraId="685DFD79">
      <w:pPr>
        <w:pStyle w:val="23"/>
        <w:shd w:val="clear"/>
        <w:spacing w:line="360" w:lineRule="auto"/>
        <w:rPr>
          <w:rFonts w:cs="仿宋"/>
          <w:color w:val="auto"/>
          <w:szCs w:val="21"/>
          <w:highlight w:val="none"/>
        </w:rPr>
      </w:pPr>
      <w:r>
        <w:rPr>
          <w:rFonts w:hint="eastAsia" w:cs="仿宋"/>
          <w:color w:val="auto"/>
          <w:szCs w:val="21"/>
          <w:highlight w:val="none"/>
        </w:rPr>
        <w:t>有征集文件第四部分 “投标无效”章节</w:t>
      </w:r>
      <w:r>
        <w:rPr>
          <w:rFonts w:hint="eastAsia" w:cs="仿宋"/>
          <w:color w:val="auto"/>
          <w:highlight w:val="none"/>
        </w:rPr>
        <w:t>规定</w:t>
      </w:r>
      <w:r>
        <w:rPr>
          <w:rFonts w:hint="eastAsia" w:cs="仿宋"/>
          <w:color w:val="auto"/>
          <w:szCs w:val="21"/>
          <w:highlight w:val="none"/>
        </w:rPr>
        <w:t>的情形之一的，投标无效：</w:t>
      </w:r>
    </w:p>
    <w:p w14:paraId="1558AF26">
      <w:pPr>
        <w:pStyle w:val="219"/>
        <w:shd w:val="clear"/>
        <w:spacing w:before="0"/>
        <w:ind w:firstLine="482"/>
        <w:rPr>
          <w:rFonts w:ascii="宋体" w:hAnsi="宋体" w:cs="仿宋"/>
          <w:b/>
          <w:color w:val="auto"/>
          <w:szCs w:val="24"/>
          <w:highlight w:val="none"/>
        </w:rPr>
      </w:pPr>
      <w:r>
        <w:rPr>
          <w:rFonts w:hint="eastAsia" w:ascii="宋体" w:hAnsi="宋体" w:cs="仿宋"/>
          <w:b/>
          <w:color w:val="auto"/>
          <w:szCs w:val="24"/>
          <w:highlight w:val="none"/>
        </w:rPr>
        <w:t>17.投标有效期</w:t>
      </w:r>
    </w:p>
    <w:p w14:paraId="78207AD9">
      <w:pPr>
        <w:shd w:val="clear"/>
        <w:spacing w:line="360" w:lineRule="auto"/>
        <w:ind w:firstLine="480" w:firstLineChars="200"/>
        <w:rPr>
          <w:rFonts w:ascii="宋体" w:hAnsi="宋体" w:cs="仿宋"/>
          <w:color w:val="auto"/>
          <w:sz w:val="24"/>
          <w:szCs w:val="20"/>
          <w:highlight w:val="none"/>
        </w:rPr>
      </w:pPr>
      <w:r>
        <w:rPr>
          <w:rFonts w:hint="eastAsia" w:ascii="宋体" w:hAnsi="宋体" w:cs="仿宋"/>
          <w:color w:val="auto"/>
          <w:sz w:val="24"/>
          <w:szCs w:val="20"/>
          <w:highlight w:val="none"/>
        </w:rPr>
        <w:t>17.1投标有效期为从提交响应文件的截止之日起90天。</w:t>
      </w:r>
    </w:p>
    <w:p w14:paraId="459B3146">
      <w:pPr>
        <w:shd w:val="clear"/>
        <w:spacing w:line="360" w:lineRule="auto"/>
        <w:ind w:firstLine="480" w:firstLineChars="200"/>
        <w:rPr>
          <w:rFonts w:ascii="宋体" w:hAnsi="宋体" w:cs="仿宋"/>
          <w:b/>
          <w:color w:val="auto"/>
          <w:sz w:val="24"/>
          <w:szCs w:val="21"/>
          <w:highlight w:val="none"/>
        </w:rPr>
      </w:pPr>
      <w:r>
        <w:rPr>
          <w:rFonts w:hint="eastAsia" w:ascii="宋体" w:hAnsi="宋体" w:cs="仿宋"/>
          <w:color w:val="auto"/>
          <w:sz w:val="24"/>
          <w:szCs w:val="20"/>
          <w:highlight w:val="none"/>
        </w:rPr>
        <w:t>▲</w:t>
      </w:r>
      <w:r>
        <w:rPr>
          <w:rFonts w:hint="eastAsia" w:ascii="宋体" w:hAnsi="宋体" w:cs="仿宋"/>
          <w:b/>
          <w:color w:val="auto"/>
          <w:sz w:val="24"/>
          <w:szCs w:val="20"/>
          <w:highlight w:val="none"/>
        </w:rPr>
        <w:t>投标人的响应文件中承</w:t>
      </w:r>
      <w:r>
        <w:rPr>
          <w:rFonts w:hint="eastAsia" w:ascii="宋体" w:hAnsi="宋体" w:cs="仿宋"/>
          <w:b/>
          <w:color w:val="auto"/>
          <w:sz w:val="24"/>
          <w:szCs w:val="21"/>
          <w:highlight w:val="none"/>
        </w:rPr>
        <w:t>诺的投标有效期少于征集文件中载明的投标有效期的，投标无效。</w:t>
      </w:r>
    </w:p>
    <w:p w14:paraId="58DBCFBA">
      <w:pPr>
        <w:pStyle w:val="219"/>
        <w:shd w:val="clear"/>
        <w:spacing w:before="0"/>
        <w:ind w:firstLine="480"/>
        <w:rPr>
          <w:rFonts w:ascii="宋体" w:hAnsi="宋体" w:cs="仿宋"/>
          <w:color w:val="auto"/>
          <w:highlight w:val="none"/>
        </w:rPr>
      </w:pPr>
      <w:r>
        <w:rPr>
          <w:rFonts w:hint="eastAsia" w:ascii="宋体" w:hAnsi="宋体" w:cs="仿宋"/>
          <w:color w:val="auto"/>
          <w:highlight w:val="none"/>
        </w:rPr>
        <w:t>17.2响应文件合格投递后，自投标截止日期起，在投标有效期内有效。投标有效期内，投标人不得撤销或更换响应文件。</w:t>
      </w:r>
    </w:p>
    <w:p w14:paraId="352DF7BE">
      <w:pPr>
        <w:pStyle w:val="219"/>
        <w:shd w:val="clear"/>
        <w:spacing w:before="0"/>
        <w:ind w:firstLine="480"/>
        <w:rPr>
          <w:rFonts w:ascii="宋体" w:hAnsi="宋体" w:cs="仿宋"/>
          <w:color w:val="auto"/>
          <w:highlight w:val="none"/>
        </w:rPr>
      </w:pPr>
      <w:r>
        <w:rPr>
          <w:rFonts w:hint="eastAsia" w:ascii="宋体" w:hAnsi="宋体" w:cs="仿宋"/>
          <w:color w:val="auto"/>
          <w:highlight w:val="none"/>
        </w:rPr>
        <w:t>17.3在原定投标有效期满之前，如果出现特殊情况，采购代理机构可以以公告形式通知投标人延长投标有效期。投标人同意延长的，不得要求或被允许修改其响应文件，投标人拒绝延长的，其投标无效。</w:t>
      </w:r>
    </w:p>
    <w:p w14:paraId="069A4C5E">
      <w:pPr>
        <w:pStyle w:val="219"/>
        <w:shd w:val="clear"/>
        <w:spacing w:before="0"/>
        <w:ind w:firstLine="643"/>
        <w:rPr>
          <w:rFonts w:ascii="宋体" w:hAnsi="宋体" w:cs="仿宋"/>
          <w:b/>
          <w:color w:val="auto"/>
          <w:sz w:val="32"/>
          <w:highlight w:val="none"/>
        </w:rPr>
      </w:pPr>
      <w:bookmarkStart w:id="73" w:name="_Toc91899897"/>
    </w:p>
    <w:p w14:paraId="79FDF0B9">
      <w:pPr>
        <w:shd w:val="clear"/>
        <w:adjustRightInd/>
        <w:spacing w:line="360" w:lineRule="auto"/>
        <w:jc w:val="center"/>
        <w:outlineLvl w:val="0"/>
        <w:rPr>
          <w:rFonts w:ascii="宋体" w:hAnsi="宋体" w:cs="仿宋"/>
          <w:b/>
          <w:color w:val="auto"/>
          <w:sz w:val="32"/>
          <w:szCs w:val="20"/>
          <w:highlight w:val="none"/>
        </w:rPr>
      </w:pPr>
      <w:r>
        <w:rPr>
          <w:rFonts w:hint="eastAsia" w:ascii="宋体" w:hAnsi="宋体" w:cs="仿宋"/>
          <w:b/>
          <w:color w:val="auto"/>
          <w:sz w:val="32"/>
          <w:szCs w:val="20"/>
          <w:highlight w:val="none"/>
        </w:rPr>
        <w:t>四、开标</w:t>
      </w:r>
      <w:bookmarkEnd w:id="73"/>
      <w:r>
        <w:rPr>
          <w:rFonts w:hint="eastAsia" w:ascii="宋体" w:hAnsi="宋体" w:cs="仿宋"/>
          <w:b/>
          <w:color w:val="auto"/>
          <w:sz w:val="32"/>
          <w:szCs w:val="20"/>
          <w:highlight w:val="none"/>
        </w:rPr>
        <w:t>、资格审查与信用信息查询</w:t>
      </w:r>
    </w:p>
    <w:p w14:paraId="384C271C">
      <w:pPr>
        <w:pStyle w:val="399"/>
        <w:shd w:val="clear"/>
        <w:spacing w:before="0" w:line="360" w:lineRule="auto"/>
        <w:ind w:left="0" w:firstLine="482" w:firstLineChars="200"/>
        <w:contextualSpacing/>
        <w:rPr>
          <w:rFonts w:ascii="宋体" w:hAnsi="宋体" w:cs="仿宋"/>
          <w:color w:val="auto"/>
          <w:sz w:val="24"/>
          <w:highlight w:val="none"/>
        </w:rPr>
      </w:pPr>
      <w:r>
        <w:rPr>
          <w:rFonts w:hint="eastAsia" w:ascii="宋体" w:hAnsi="宋体" w:cs="仿宋"/>
          <w:b/>
          <w:color w:val="auto"/>
          <w:sz w:val="24"/>
          <w:szCs w:val="24"/>
          <w:highlight w:val="none"/>
        </w:rPr>
        <w:t>18.开标</w:t>
      </w:r>
    </w:p>
    <w:p w14:paraId="63F610C1">
      <w:pPr>
        <w:pStyle w:val="399"/>
        <w:shd w:val="clear"/>
        <w:spacing w:before="0" w:line="360" w:lineRule="auto"/>
        <w:ind w:left="0" w:firstLine="480" w:firstLineChars="200"/>
        <w:contextualSpacing/>
        <w:rPr>
          <w:rFonts w:ascii="宋体" w:hAnsi="宋体" w:cs="仿宋"/>
          <w:color w:val="auto"/>
          <w:sz w:val="24"/>
          <w:highlight w:val="none"/>
        </w:rPr>
      </w:pPr>
      <w:r>
        <w:rPr>
          <w:rFonts w:hint="eastAsia" w:ascii="宋体" w:hAnsi="宋体" w:cs="仿宋"/>
          <w:color w:val="auto"/>
          <w:sz w:val="24"/>
          <w:highlight w:val="none"/>
        </w:rPr>
        <w:t>18.1采购代理机构按照征集文件规定的时间通过电子交易平台组织开标，所有投标人均应当准时在线参加。投标人不足3家的，不得开标。</w:t>
      </w:r>
    </w:p>
    <w:p w14:paraId="319F1747">
      <w:pPr>
        <w:pStyle w:val="399"/>
        <w:shd w:val="clear"/>
        <w:spacing w:before="0" w:line="360" w:lineRule="auto"/>
        <w:ind w:left="0" w:firstLine="480" w:firstLineChars="200"/>
        <w:contextualSpacing/>
        <w:rPr>
          <w:rFonts w:ascii="宋体" w:hAnsi="宋体" w:cs="仿宋"/>
          <w:color w:val="auto"/>
          <w:sz w:val="24"/>
          <w:highlight w:val="none"/>
        </w:rPr>
      </w:pPr>
      <w:r>
        <w:rPr>
          <w:rFonts w:hint="eastAsia" w:ascii="宋体" w:hAnsi="宋体" w:cs="仿宋"/>
          <w:color w:val="auto"/>
          <w:sz w:val="24"/>
          <w:highlight w:val="none"/>
        </w:rPr>
        <w:t>18.2开标时，电子交易平台按开标时间自动提取所有响应文件。采购代理机构依托电子交易平台发起开始解密指令，投标人按照平台提示和征集文件的规定在30分钟内完成在线解密。</w:t>
      </w:r>
    </w:p>
    <w:p w14:paraId="31B3BC5B">
      <w:pPr>
        <w:pStyle w:val="399"/>
        <w:shd w:val="clear"/>
        <w:spacing w:before="0" w:line="360" w:lineRule="auto"/>
        <w:ind w:left="0" w:firstLine="482" w:firstLineChars="200"/>
        <w:contextualSpacing/>
        <w:rPr>
          <w:rFonts w:ascii="宋体" w:hAnsi="宋体" w:cs="仿宋"/>
          <w:color w:val="auto"/>
          <w:sz w:val="24"/>
          <w:highlight w:val="none"/>
        </w:rPr>
      </w:pPr>
      <w:r>
        <w:rPr>
          <w:rFonts w:hint="eastAsia" w:ascii="宋体" w:hAnsi="宋体" w:cs="仿宋"/>
          <w:b/>
          <w:color w:val="auto"/>
          <w:sz w:val="24"/>
          <w:highlight w:val="none"/>
        </w:rPr>
        <w:t>19、资格审查</w:t>
      </w:r>
    </w:p>
    <w:p w14:paraId="3A4DE9E3">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19.1开标后，征集人或采购代理机构将依法对投标人的资格进行审查。</w:t>
      </w:r>
    </w:p>
    <w:p w14:paraId="01CE3564">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kern w:val="0"/>
          <w:sz w:val="24"/>
          <w:highlight w:val="none"/>
        </w:rPr>
        <w:t>19.2</w:t>
      </w:r>
      <w:r>
        <w:rPr>
          <w:rFonts w:hint="eastAsia" w:ascii="宋体" w:hAnsi="宋体" w:cs="仿宋"/>
          <w:color w:val="auto"/>
          <w:sz w:val="24"/>
          <w:highlight w:val="none"/>
        </w:rPr>
        <w:t>征集人或采购代理机构依据法律法规和征集文件的规定，对投标人的基本资格条件、特定资格条件进行审查。</w:t>
      </w:r>
    </w:p>
    <w:p w14:paraId="620B774F">
      <w:pPr>
        <w:pStyle w:val="219"/>
        <w:shd w:val="clear"/>
        <w:spacing w:before="0"/>
        <w:ind w:firstLine="480"/>
        <w:rPr>
          <w:rFonts w:ascii="宋体" w:hAnsi="宋体" w:cs="仿宋"/>
          <w:color w:val="auto"/>
          <w:highlight w:val="none"/>
        </w:rPr>
      </w:pPr>
      <w:r>
        <w:rPr>
          <w:rFonts w:hint="eastAsia" w:ascii="宋体" w:hAnsi="宋体" w:cs="仿宋"/>
          <w:color w:val="auto"/>
          <w:kern w:val="0"/>
          <w:szCs w:val="24"/>
          <w:highlight w:val="none"/>
        </w:rPr>
        <w:t>19.3投标人未按照征集文件要求提供与</w:t>
      </w:r>
      <w:r>
        <w:rPr>
          <w:rFonts w:hint="eastAsia" w:ascii="宋体" w:hAnsi="宋体" w:cs="仿宋"/>
          <w:color w:val="auto"/>
          <w:highlight w:val="none"/>
        </w:rPr>
        <w:t>基本资格条件、特定资格条件相应的</w:t>
      </w:r>
      <w:r>
        <w:rPr>
          <w:rFonts w:hint="eastAsia" w:ascii="宋体" w:hAnsi="宋体" w:cs="仿宋"/>
          <w:color w:val="auto"/>
          <w:kern w:val="0"/>
          <w:szCs w:val="24"/>
          <w:highlight w:val="none"/>
        </w:rPr>
        <w:t>有效资格证明材料的，视为</w:t>
      </w:r>
      <w:r>
        <w:rPr>
          <w:rFonts w:hint="eastAsia" w:ascii="宋体" w:hAnsi="宋体" w:cs="仿宋"/>
          <w:color w:val="auto"/>
          <w:highlight w:val="none"/>
        </w:rPr>
        <w:t>投标人不具备征集文件中规定的资格要求，其投标无效。</w:t>
      </w:r>
    </w:p>
    <w:p w14:paraId="0359F78B">
      <w:pPr>
        <w:pStyle w:val="219"/>
        <w:shd w:val="clear"/>
        <w:spacing w:before="0"/>
        <w:ind w:firstLine="480"/>
        <w:rPr>
          <w:rFonts w:ascii="宋体" w:hAnsi="宋体" w:cs="仿宋"/>
          <w:color w:val="auto"/>
          <w:highlight w:val="none"/>
        </w:rPr>
      </w:pPr>
      <w:r>
        <w:rPr>
          <w:rFonts w:hint="eastAsia" w:ascii="宋体" w:hAnsi="宋体" w:cs="仿宋"/>
          <w:color w:val="auto"/>
          <w:highlight w:val="none"/>
        </w:rPr>
        <w:t>19.4对未通过资格审查的投标人，征集人或采购代理机构告知其未通过的原因。</w:t>
      </w:r>
    </w:p>
    <w:p w14:paraId="55F844B2">
      <w:pPr>
        <w:pStyle w:val="219"/>
        <w:shd w:val="clear"/>
        <w:spacing w:before="0"/>
        <w:ind w:firstLine="480"/>
        <w:rPr>
          <w:rFonts w:ascii="宋体" w:hAnsi="宋体" w:cs="仿宋"/>
          <w:color w:val="auto"/>
          <w:highlight w:val="none"/>
        </w:rPr>
      </w:pPr>
      <w:r>
        <w:rPr>
          <w:rFonts w:hint="eastAsia" w:ascii="宋体" w:hAnsi="宋体" w:cs="仿宋"/>
          <w:color w:val="auto"/>
          <w:highlight w:val="none"/>
        </w:rPr>
        <w:t>19.5合格投标人不足3家的，不再评标。</w:t>
      </w:r>
    </w:p>
    <w:p w14:paraId="5BE96276">
      <w:pPr>
        <w:pStyle w:val="219"/>
        <w:shd w:val="clear"/>
        <w:spacing w:before="0"/>
        <w:ind w:firstLine="482"/>
        <w:rPr>
          <w:rFonts w:ascii="宋体" w:hAnsi="宋体" w:cs="仿宋"/>
          <w:b/>
          <w:color w:val="auto"/>
          <w:szCs w:val="24"/>
          <w:highlight w:val="none"/>
        </w:rPr>
      </w:pPr>
      <w:r>
        <w:rPr>
          <w:rFonts w:hint="eastAsia" w:ascii="宋体" w:hAnsi="宋体" w:cs="仿宋"/>
          <w:b/>
          <w:color w:val="auto"/>
          <w:szCs w:val="24"/>
          <w:highlight w:val="none"/>
        </w:rPr>
        <w:t>20、信用信息查询</w:t>
      </w:r>
    </w:p>
    <w:p w14:paraId="383497EF">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20.1信用信息查询渠道及截止时间：征集人或采购代理机构将通过“信用中国”网站(www.creditchina.gov.cn)、中国政府采购网(www.ccgp.gov.cn)渠道查询投标人投标截止时间当天的信用记录。</w:t>
      </w:r>
    </w:p>
    <w:p w14:paraId="1FDE2881">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20.2信用信息查询记录和证据留存的具体方式：现场查询的投标人的信用记录、查询结果经确认后将与征集文件一起存档。</w:t>
      </w:r>
    </w:p>
    <w:p w14:paraId="59738E68">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332F986">
      <w:pPr>
        <w:pStyle w:val="219"/>
        <w:shd w:val="clear"/>
        <w:spacing w:before="0"/>
        <w:ind w:firstLine="480"/>
        <w:rPr>
          <w:rFonts w:ascii="宋体" w:hAnsi="宋体" w:cs="仿宋"/>
          <w:color w:val="auto"/>
          <w:highlight w:val="none"/>
        </w:rPr>
      </w:pPr>
      <w:r>
        <w:rPr>
          <w:rFonts w:hint="eastAsia" w:ascii="宋体" w:hAnsi="宋体"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
          <w:color w:val="auto"/>
          <w:highlight w:val="none"/>
        </w:rPr>
        <w:t>。</w:t>
      </w:r>
    </w:p>
    <w:p w14:paraId="1FEAA07E">
      <w:pPr>
        <w:pStyle w:val="219"/>
        <w:shd w:val="clear"/>
        <w:spacing w:before="0"/>
        <w:ind w:firstLine="0" w:firstLineChars="0"/>
        <w:rPr>
          <w:rFonts w:ascii="宋体" w:hAnsi="宋体" w:cs="仿宋"/>
          <w:color w:val="auto"/>
          <w:kern w:val="0"/>
          <w:szCs w:val="24"/>
          <w:highlight w:val="none"/>
        </w:rPr>
      </w:pPr>
    </w:p>
    <w:p w14:paraId="00CB107D">
      <w:pPr>
        <w:pStyle w:val="219"/>
        <w:shd w:val="clear"/>
        <w:spacing w:before="0"/>
        <w:ind w:firstLine="0" w:firstLineChars="0"/>
        <w:rPr>
          <w:rFonts w:ascii="宋体" w:hAnsi="宋体" w:cs="仿宋"/>
          <w:color w:val="auto"/>
          <w:kern w:val="0"/>
          <w:szCs w:val="24"/>
          <w:highlight w:val="none"/>
        </w:rPr>
      </w:pPr>
    </w:p>
    <w:p w14:paraId="1CF2BC0C">
      <w:pPr>
        <w:shd w:val="clear"/>
        <w:adjustRightInd/>
        <w:spacing w:line="360" w:lineRule="auto"/>
        <w:jc w:val="center"/>
        <w:outlineLvl w:val="0"/>
        <w:rPr>
          <w:rFonts w:ascii="宋体" w:hAnsi="宋体" w:cs="仿宋"/>
          <w:b/>
          <w:color w:val="auto"/>
          <w:sz w:val="32"/>
          <w:szCs w:val="20"/>
          <w:highlight w:val="none"/>
        </w:rPr>
      </w:pPr>
      <w:bookmarkStart w:id="74" w:name="_Hlt75236101"/>
      <w:bookmarkEnd w:id="74"/>
      <w:bookmarkStart w:id="75" w:name="_Toc91899902"/>
      <w:r>
        <w:rPr>
          <w:rFonts w:hint="eastAsia" w:ascii="宋体" w:hAnsi="宋体" w:cs="仿宋"/>
          <w:b/>
          <w:color w:val="auto"/>
          <w:sz w:val="32"/>
          <w:szCs w:val="20"/>
          <w:highlight w:val="none"/>
        </w:rPr>
        <w:t>五、评标</w:t>
      </w:r>
      <w:bookmarkEnd w:id="75"/>
    </w:p>
    <w:p w14:paraId="4AB4710F">
      <w:pPr>
        <w:shd w:val="clear"/>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21.</w:t>
      </w:r>
      <w:r>
        <w:rPr>
          <w:rFonts w:hint="eastAsia" w:ascii="宋体" w:hAnsi="宋体" w:cs="仿宋"/>
          <w:color w:val="auto"/>
          <w:sz w:val="24"/>
          <w:highlight w:val="none"/>
        </w:rPr>
        <w:t>详见征集文件第四部分“评标方法及评分标准”。</w:t>
      </w:r>
    </w:p>
    <w:p w14:paraId="2975EE9C">
      <w:pPr>
        <w:shd w:val="clear"/>
        <w:spacing w:line="360" w:lineRule="auto"/>
        <w:rPr>
          <w:rFonts w:ascii="宋体" w:hAnsi="宋体" w:cs="仿宋"/>
          <w:b/>
          <w:color w:val="auto"/>
          <w:sz w:val="24"/>
          <w:highlight w:val="none"/>
        </w:rPr>
      </w:pPr>
    </w:p>
    <w:p w14:paraId="55D5DA71">
      <w:pPr>
        <w:shd w:val="clear"/>
        <w:adjustRightInd/>
        <w:spacing w:line="360" w:lineRule="auto"/>
        <w:jc w:val="center"/>
        <w:outlineLvl w:val="0"/>
        <w:rPr>
          <w:rFonts w:ascii="宋体" w:hAnsi="宋体" w:cs="仿宋"/>
          <w:b/>
          <w:color w:val="auto"/>
          <w:sz w:val="32"/>
          <w:szCs w:val="20"/>
          <w:highlight w:val="none"/>
        </w:rPr>
      </w:pPr>
      <w:r>
        <w:rPr>
          <w:rFonts w:hint="eastAsia" w:ascii="宋体" w:hAnsi="宋体" w:cs="仿宋"/>
          <w:b/>
          <w:color w:val="auto"/>
          <w:sz w:val="32"/>
          <w:szCs w:val="20"/>
          <w:highlight w:val="none"/>
        </w:rPr>
        <w:t>六、定标</w:t>
      </w:r>
    </w:p>
    <w:p w14:paraId="0127D75B">
      <w:pPr>
        <w:pStyle w:val="23"/>
        <w:shd w:val="clear"/>
        <w:spacing w:line="360" w:lineRule="auto"/>
        <w:ind w:firstLine="482"/>
        <w:rPr>
          <w:rFonts w:cs="仿宋"/>
          <w:b/>
          <w:color w:val="auto"/>
          <w:highlight w:val="none"/>
        </w:rPr>
      </w:pPr>
      <w:r>
        <w:rPr>
          <w:rFonts w:hint="eastAsia" w:cs="仿宋"/>
          <w:b/>
          <w:color w:val="auto"/>
          <w:highlight w:val="none"/>
        </w:rPr>
        <w:t>22. 确定中标供应商</w:t>
      </w:r>
    </w:p>
    <w:p w14:paraId="02EEE15A">
      <w:pPr>
        <w:pStyle w:val="219"/>
        <w:shd w:val="clear"/>
        <w:snapToGrid w:val="0"/>
        <w:spacing w:before="0"/>
        <w:ind w:firstLine="480"/>
        <w:rPr>
          <w:rFonts w:ascii="宋体" w:hAnsi="宋体" w:cs="仿宋"/>
          <w:b/>
          <w:color w:val="auto"/>
          <w:szCs w:val="24"/>
          <w:highlight w:val="none"/>
        </w:rPr>
      </w:pPr>
      <w:r>
        <w:rPr>
          <w:rFonts w:hint="eastAsia" w:ascii="宋体" w:hAnsi="宋体"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征集人。采购单位应当自收到评审报告之日起2个工作日内在线确定中标或者成交供应商。中标、成交通知书和中标、成交结果公告应当在规定时间内同时发出。</w:t>
      </w:r>
    </w:p>
    <w:p w14:paraId="038A275B">
      <w:pPr>
        <w:pStyle w:val="219"/>
        <w:shd w:val="clear"/>
        <w:snapToGrid w:val="0"/>
        <w:spacing w:before="0"/>
        <w:ind w:firstLine="482"/>
        <w:rPr>
          <w:rFonts w:ascii="宋体" w:hAnsi="宋体" w:cs="仿宋"/>
          <w:b/>
          <w:color w:val="auto"/>
          <w:szCs w:val="24"/>
          <w:highlight w:val="none"/>
        </w:rPr>
      </w:pPr>
      <w:r>
        <w:rPr>
          <w:rFonts w:hint="eastAsia" w:ascii="宋体" w:hAnsi="宋体" w:cs="仿宋"/>
          <w:b/>
          <w:color w:val="auto"/>
          <w:szCs w:val="24"/>
          <w:highlight w:val="none"/>
        </w:rPr>
        <w:t>23. 中标通知书与中标结果公告</w:t>
      </w:r>
    </w:p>
    <w:p w14:paraId="4B86982E">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23.1采购代理机构将在自中标人确定之日起2个工作日内，发布征集公告的网站上公告中标结果，同时发出中标通知书（中标人可在政采云平台自行下载中标通知书）。</w:t>
      </w:r>
    </w:p>
    <w:p w14:paraId="13132EDF">
      <w:pPr>
        <w:widowControl/>
        <w:shd w:val="clear"/>
        <w:spacing w:line="360" w:lineRule="auto"/>
        <w:ind w:firstLine="480"/>
        <w:jc w:val="left"/>
        <w:rPr>
          <w:rFonts w:ascii="宋体" w:hAnsi="宋体" w:cs="仿宋"/>
          <w:color w:val="auto"/>
          <w:sz w:val="24"/>
          <w:highlight w:val="none"/>
        </w:rPr>
      </w:pPr>
      <w:r>
        <w:rPr>
          <w:rFonts w:hint="eastAsia" w:ascii="宋体" w:hAnsi="宋体" w:cs="仿宋"/>
          <w:color w:val="auto"/>
          <w:sz w:val="24"/>
          <w:highlight w:val="none"/>
        </w:rPr>
        <w:t>23.2中标结果公告内容包括征集人及其委托的采购代理机构的名称、地址、联系方式，项目名称和项目编号，中标人名称、地址和中标金额，主要中标标的的名称、规格型号、数量、单价、服务要求，开标记录、资格审查情况、评审专家抽取规则、符合性审查情况、中标公告期限、评审专家名单、评分汇总及明细等。</w:t>
      </w:r>
    </w:p>
    <w:p w14:paraId="52B49D84">
      <w:pPr>
        <w:shd w:val="clear"/>
        <w:tabs>
          <w:tab w:val="left" w:pos="0"/>
        </w:tabs>
        <w:spacing w:line="360" w:lineRule="auto"/>
        <w:rPr>
          <w:rFonts w:ascii="宋体" w:hAnsi="宋体" w:cs="仿宋"/>
          <w:color w:val="auto"/>
          <w:sz w:val="24"/>
          <w:highlight w:val="none"/>
        </w:rPr>
      </w:pPr>
    </w:p>
    <w:p w14:paraId="7452A5DB">
      <w:pPr>
        <w:shd w:val="clear"/>
        <w:adjustRightInd/>
        <w:spacing w:line="360" w:lineRule="auto"/>
        <w:jc w:val="center"/>
        <w:outlineLvl w:val="0"/>
        <w:rPr>
          <w:rFonts w:ascii="宋体" w:hAnsi="宋体" w:cs="仿宋"/>
          <w:b/>
          <w:color w:val="auto"/>
          <w:sz w:val="32"/>
          <w:szCs w:val="20"/>
          <w:highlight w:val="none"/>
        </w:rPr>
      </w:pPr>
      <w:r>
        <w:rPr>
          <w:rFonts w:hint="eastAsia" w:ascii="宋体" w:hAnsi="宋体" w:cs="仿宋"/>
          <w:b/>
          <w:color w:val="auto"/>
          <w:sz w:val="32"/>
          <w:szCs w:val="20"/>
          <w:highlight w:val="none"/>
        </w:rPr>
        <w:t>七、电子交易活动的中止</w:t>
      </w:r>
    </w:p>
    <w:p w14:paraId="28DCC973">
      <w:pPr>
        <w:pStyle w:val="219"/>
        <w:shd w:val="clear"/>
        <w:snapToGrid w:val="0"/>
        <w:spacing w:before="0"/>
        <w:ind w:firstLine="482"/>
        <w:rPr>
          <w:rFonts w:ascii="宋体" w:hAnsi="宋体" w:cs="仿宋"/>
          <w:color w:val="auto"/>
          <w:highlight w:val="none"/>
        </w:rPr>
      </w:pPr>
      <w:r>
        <w:rPr>
          <w:rFonts w:hint="eastAsia" w:ascii="宋体" w:hAnsi="宋体" w:cs="仿宋"/>
          <w:b/>
          <w:color w:val="auto"/>
          <w:highlight w:val="none"/>
        </w:rPr>
        <w:t>2</w:t>
      </w:r>
      <w:r>
        <w:rPr>
          <w:rFonts w:hint="eastAsia" w:ascii="宋体" w:hAnsi="宋体" w:cs="仿宋"/>
          <w:b/>
          <w:color w:val="auto"/>
          <w:szCs w:val="24"/>
          <w:highlight w:val="none"/>
        </w:rPr>
        <w:t>4. 电子交易活动的中止。</w:t>
      </w:r>
      <w:r>
        <w:rPr>
          <w:rFonts w:hint="eastAsia" w:ascii="宋体" w:hAnsi="宋体" w:cs="仿宋"/>
          <w:color w:val="auto"/>
          <w:highlight w:val="none"/>
        </w:rPr>
        <w:t>采购过程中出现以下情形，导致电子交易平台无法正常运行，或者无法保证电子交易的公平、公正和安全时，采购代理机构可中止电子交易活动：</w:t>
      </w:r>
    </w:p>
    <w:p w14:paraId="6313EAD7">
      <w:pPr>
        <w:pStyle w:val="219"/>
        <w:shd w:val="clear"/>
        <w:snapToGrid w:val="0"/>
        <w:spacing w:before="0"/>
        <w:ind w:firstLine="480"/>
        <w:rPr>
          <w:rFonts w:ascii="宋体" w:hAnsi="宋体" w:cs="仿宋"/>
          <w:color w:val="auto"/>
          <w:highlight w:val="none"/>
        </w:rPr>
      </w:pPr>
      <w:r>
        <w:rPr>
          <w:rFonts w:hint="eastAsia" w:ascii="宋体" w:hAnsi="宋体" w:cs="仿宋"/>
          <w:color w:val="auto"/>
          <w:highlight w:val="none"/>
        </w:rPr>
        <w:t xml:space="preserve">24.1电子交易平台发生故障而无法登录访问的； </w:t>
      </w:r>
    </w:p>
    <w:p w14:paraId="47C5D745">
      <w:pPr>
        <w:pStyle w:val="219"/>
        <w:shd w:val="clear"/>
        <w:snapToGrid w:val="0"/>
        <w:spacing w:before="0"/>
        <w:ind w:firstLine="480"/>
        <w:rPr>
          <w:rFonts w:ascii="宋体" w:hAnsi="宋体" w:cs="仿宋"/>
          <w:color w:val="auto"/>
          <w:highlight w:val="none"/>
        </w:rPr>
      </w:pPr>
      <w:r>
        <w:rPr>
          <w:rFonts w:hint="eastAsia" w:ascii="宋体" w:hAnsi="宋体" w:cs="仿宋"/>
          <w:color w:val="auto"/>
          <w:highlight w:val="none"/>
        </w:rPr>
        <w:t>24.2电子交易平台应用或数据库出现错误，不能进行正常操作的；</w:t>
      </w:r>
    </w:p>
    <w:p w14:paraId="3D239AF0">
      <w:pPr>
        <w:pStyle w:val="219"/>
        <w:shd w:val="clear"/>
        <w:snapToGrid w:val="0"/>
        <w:spacing w:before="0"/>
        <w:ind w:firstLine="480"/>
        <w:rPr>
          <w:rFonts w:ascii="宋体" w:hAnsi="宋体" w:cs="仿宋"/>
          <w:color w:val="auto"/>
          <w:highlight w:val="none"/>
        </w:rPr>
      </w:pPr>
      <w:r>
        <w:rPr>
          <w:rFonts w:hint="eastAsia" w:ascii="宋体" w:hAnsi="宋体" w:cs="仿宋"/>
          <w:color w:val="auto"/>
          <w:highlight w:val="none"/>
        </w:rPr>
        <w:t>24.3电子交易平台发现严重安全漏洞，有潜在泄密危险的；</w:t>
      </w:r>
    </w:p>
    <w:p w14:paraId="77D611DD">
      <w:pPr>
        <w:pStyle w:val="219"/>
        <w:shd w:val="clear"/>
        <w:snapToGrid w:val="0"/>
        <w:spacing w:before="0"/>
        <w:ind w:firstLine="480"/>
        <w:rPr>
          <w:rFonts w:ascii="宋体" w:hAnsi="宋体" w:cs="仿宋"/>
          <w:color w:val="auto"/>
          <w:highlight w:val="none"/>
        </w:rPr>
      </w:pPr>
      <w:r>
        <w:rPr>
          <w:rFonts w:hint="eastAsia" w:ascii="宋体" w:hAnsi="宋体" w:cs="仿宋"/>
          <w:color w:val="auto"/>
          <w:highlight w:val="none"/>
        </w:rPr>
        <w:t xml:space="preserve">24.4病毒发作导致不能进行正常操作的； </w:t>
      </w:r>
    </w:p>
    <w:p w14:paraId="433B3044">
      <w:pPr>
        <w:pStyle w:val="219"/>
        <w:shd w:val="clear"/>
        <w:snapToGrid w:val="0"/>
        <w:spacing w:before="0"/>
        <w:ind w:firstLine="480"/>
        <w:rPr>
          <w:rFonts w:ascii="宋体" w:hAnsi="宋体" w:cs="仿宋"/>
          <w:color w:val="auto"/>
          <w:highlight w:val="none"/>
        </w:rPr>
      </w:pPr>
      <w:r>
        <w:rPr>
          <w:rFonts w:hint="eastAsia" w:ascii="宋体" w:hAnsi="宋体" w:cs="仿宋"/>
          <w:color w:val="auto"/>
          <w:highlight w:val="none"/>
        </w:rPr>
        <w:t>24.5其他无法保证电子交易的公平、公正和安全的情况。</w:t>
      </w:r>
    </w:p>
    <w:p w14:paraId="3D6EFE93">
      <w:pPr>
        <w:pStyle w:val="219"/>
        <w:shd w:val="clear"/>
        <w:snapToGrid w:val="0"/>
        <w:spacing w:before="0"/>
        <w:ind w:firstLine="480"/>
        <w:rPr>
          <w:rFonts w:ascii="宋体" w:hAnsi="宋体" w:cs="仿宋"/>
          <w:color w:val="auto"/>
          <w:highlight w:val="none"/>
        </w:rPr>
      </w:pPr>
      <w:r>
        <w:rPr>
          <w:rFonts w:hint="eastAsia" w:ascii="宋体" w:hAnsi="宋体"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D68871E">
      <w:pPr>
        <w:pStyle w:val="219"/>
        <w:shd w:val="clear"/>
        <w:snapToGrid w:val="0"/>
        <w:spacing w:before="0"/>
        <w:ind w:firstLine="480"/>
        <w:rPr>
          <w:rFonts w:ascii="宋体" w:hAnsi="宋体" w:cs="仿宋"/>
          <w:color w:val="auto"/>
          <w:highlight w:val="none"/>
        </w:rPr>
      </w:pPr>
    </w:p>
    <w:p w14:paraId="27070707">
      <w:pPr>
        <w:shd w:val="clear"/>
        <w:adjustRightInd/>
        <w:spacing w:line="360" w:lineRule="auto"/>
        <w:jc w:val="center"/>
        <w:outlineLvl w:val="0"/>
        <w:rPr>
          <w:rFonts w:ascii="宋体" w:hAnsi="宋体" w:cs="仿宋"/>
          <w:b/>
          <w:color w:val="auto"/>
          <w:sz w:val="32"/>
          <w:szCs w:val="20"/>
          <w:highlight w:val="none"/>
        </w:rPr>
      </w:pPr>
      <w:r>
        <w:rPr>
          <w:rFonts w:hint="eastAsia" w:ascii="宋体" w:hAnsi="宋体" w:cs="仿宋"/>
          <w:b/>
          <w:color w:val="auto"/>
          <w:sz w:val="32"/>
          <w:szCs w:val="20"/>
          <w:highlight w:val="none"/>
        </w:rPr>
        <w:t>八、合同授予</w:t>
      </w:r>
    </w:p>
    <w:p w14:paraId="1885663A">
      <w:pPr>
        <w:pStyle w:val="23"/>
        <w:shd w:val="clear"/>
        <w:spacing w:line="360" w:lineRule="auto"/>
        <w:ind w:firstLine="482"/>
        <w:rPr>
          <w:rFonts w:cs="仿宋"/>
          <w:b/>
          <w:color w:val="auto"/>
          <w:highlight w:val="none"/>
        </w:rPr>
      </w:pPr>
      <w:r>
        <w:rPr>
          <w:rFonts w:hint="eastAsia" w:cs="仿宋"/>
          <w:b/>
          <w:color w:val="auto"/>
          <w:highlight w:val="none"/>
        </w:rPr>
        <w:t xml:space="preserve">25. </w:t>
      </w:r>
      <w:r>
        <w:rPr>
          <w:rFonts w:hint="eastAsia" w:cs="仿宋"/>
          <w:color w:val="auto"/>
          <w:highlight w:val="none"/>
        </w:rPr>
        <w:t>合同主要条款详见第五部分拟签订的合同文本。</w:t>
      </w:r>
    </w:p>
    <w:p w14:paraId="383BAB2F">
      <w:pPr>
        <w:pStyle w:val="23"/>
        <w:shd w:val="clear"/>
        <w:spacing w:line="360" w:lineRule="auto"/>
        <w:ind w:firstLine="482"/>
        <w:rPr>
          <w:rFonts w:cs="仿宋"/>
          <w:b/>
          <w:color w:val="auto"/>
          <w:highlight w:val="none"/>
        </w:rPr>
      </w:pPr>
      <w:r>
        <w:rPr>
          <w:rFonts w:hint="eastAsia" w:cs="仿宋"/>
          <w:b/>
          <w:color w:val="auto"/>
          <w:highlight w:val="none"/>
        </w:rPr>
        <w:t>26. 合同的签订</w:t>
      </w:r>
    </w:p>
    <w:p w14:paraId="58EA8C79">
      <w:pPr>
        <w:widowControl/>
        <w:shd w:val="clear"/>
        <w:spacing w:line="360" w:lineRule="auto"/>
        <w:ind w:firstLine="480"/>
        <w:jc w:val="left"/>
        <w:rPr>
          <w:rFonts w:ascii="宋体" w:hAnsi="宋体" w:cs="仿宋"/>
          <w:color w:val="auto"/>
          <w:kern w:val="0"/>
          <w:sz w:val="24"/>
          <w:highlight w:val="none"/>
        </w:rPr>
      </w:pPr>
      <w:r>
        <w:rPr>
          <w:rFonts w:hint="eastAsia" w:ascii="宋体" w:hAnsi="宋体" w:cs="仿宋"/>
          <w:color w:val="auto"/>
          <w:sz w:val="24"/>
          <w:highlight w:val="none"/>
        </w:rPr>
        <w:t>26.1</w:t>
      </w:r>
      <w:r>
        <w:rPr>
          <w:rFonts w:hint="eastAsia" w:ascii="宋体" w:hAnsi="宋体" w:cs="仿宋"/>
          <w:color w:val="auto"/>
          <w:kern w:val="0"/>
          <w:sz w:val="24"/>
          <w:highlight w:val="none"/>
        </w:rPr>
        <w:t xml:space="preserve"> 征集人与中标人应当通过电子交易平台在中标通知书发出之日起三十日内，按照征集文件确定的事项签订政府采购合同。鼓励征集人视情况缩减采购合同签订时限，提高采购效率，杜绝“冷、硬、横、推”等不当行为。除不可抗力等特殊情况外，原则上征集人应当在中标通知书发出之日起十日内，与中标供应商按照征集文件确定的事项签订政府采购合同。</w:t>
      </w:r>
    </w:p>
    <w:p w14:paraId="76CA6E5B">
      <w:pPr>
        <w:pStyle w:val="219"/>
        <w:shd w:val="clear"/>
        <w:snapToGrid w:val="0"/>
        <w:spacing w:before="0"/>
        <w:ind w:firstLine="480"/>
        <w:rPr>
          <w:rFonts w:ascii="宋体" w:hAnsi="宋体" w:cs="仿宋"/>
          <w:color w:val="auto"/>
          <w:kern w:val="0"/>
          <w:highlight w:val="none"/>
          <w:lang w:val="zh-CN"/>
        </w:rPr>
      </w:pPr>
      <w:r>
        <w:rPr>
          <w:rFonts w:hint="eastAsia" w:ascii="宋体" w:hAnsi="宋体" w:cs="仿宋"/>
          <w:color w:val="auto"/>
          <w:kern w:val="0"/>
          <w:highlight w:val="none"/>
          <w:lang w:val="zh-CN"/>
        </w:rPr>
        <w:t>26.2中标人按规定的时间、地点，由法定代表人或其授权代表与征集人代表签订合同。如中标人为联合体的，由联合体成员各方法定代表人或其授权代表与征集人代表签订合同。</w:t>
      </w:r>
    </w:p>
    <w:p w14:paraId="7EB59457">
      <w:pPr>
        <w:shd w:val="clear"/>
        <w:spacing w:line="360" w:lineRule="auto"/>
        <w:ind w:firstLine="480" w:firstLineChars="200"/>
        <w:rPr>
          <w:rFonts w:ascii="宋体" w:hAnsi="宋体" w:cs="仿宋"/>
          <w:color w:val="auto"/>
          <w:kern w:val="0"/>
          <w:sz w:val="24"/>
          <w:szCs w:val="20"/>
          <w:highlight w:val="none"/>
          <w:lang w:val="zh-CN"/>
        </w:rPr>
      </w:pPr>
      <w:r>
        <w:rPr>
          <w:rFonts w:hint="eastAsia" w:ascii="宋体" w:hAnsi="宋体" w:cs="仿宋"/>
          <w:color w:val="auto"/>
          <w:kern w:val="0"/>
          <w:sz w:val="24"/>
          <w:szCs w:val="20"/>
          <w:highlight w:val="none"/>
          <w:lang w:val="zh-CN"/>
        </w:rPr>
        <w:t>26.3征集人或中标人不得向另一方提出超出征集文件及投标响应文件以外的任何要求作为签订合同的条件，不得订立背离征集文件确定的合同文本以及采购标的、规格型号、采购金额、采购数量、技术和服务等实质性内容的协议。如果中标人不能按照征集文件要求及其响应文件的承诺签订合同或其响应文件与事实不符，影响采购合同的实施，损害征集人利益，征集人有权拒绝签订合同，并报采购监督部门处理。</w:t>
      </w:r>
    </w:p>
    <w:p w14:paraId="776750E9">
      <w:pPr>
        <w:pStyle w:val="219"/>
        <w:shd w:val="clear"/>
        <w:snapToGrid w:val="0"/>
        <w:spacing w:before="0"/>
        <w:ind w:firstLine="480"/>
        <w:rPr>
          <w:rFonts w:ascii="宋体" w:hAnsi="宋体" w:cs="仿宋"/>
          <w:color w:val="auto"/>
          <w:highlight w:val="none"/>
        </w:rPr>
      </w:pPr>
      <w:r>
        <w:rPr>
          <w:rFonts w:hint="eastAsia" w:ascii="宋体" w:hAnsi="宋体" w:cs="仿宋"/>
          <w:color w:val="auto"/>
          <w:highlight w:val="none"/>
        </w:rPr>
        <w:t>26.4鼓励征集人与中标供应商根据征集文件、响应文件等内容通过政府采购电子交易平台在线签订合同，自动备案。</w:t>
      </w:r>
    </w:p>
    <w:p w14:paraId="5AC1F6DA">
      <w:pPr>
        <w:pStyle w:val="23"/>
        <w:shd w:val="clear"/>
        <w:tabs>
          <w:tab w:val="left" w:pos="2760"/>
        </w:tabs>
        <w:spacing w:line="360" w:lineRule="auto"/>
        <w:ind w:firstLine="482"/>
        <w:rPr>
          <w:rFonts w:cs="仿宋"/>
          <w:b/>
          <w:color w:val="auto"/>
          <w:highlight w:val="none"/>
        </w:rPr>
      </w:pPr>
      <w:r>
        <w:rPr>
          <w:rFonts w:hint="eastAsia" w:cs="仿宋"/>
          <w:b/>
          <w:color w:val="auto"/>
          <w:highlight w:val="none"/>
        </w:rPr>
        <w:t>27. 履约保证金</w:t>
      </w:r>
      <w:r>
        <w:rPr>
          <w:rFonts w:hint="eastAsia" w:cs="仿宋"/>
          <w:b/>
          <w:color w:val="auto"/>
          <w:highlight w:val="none"/>
        </w:rPr>
        <w:tab/>
      </w:r>
    </w:p>
    <w:p w14:paraId="3A329523">
      <w:pPr>
        <w:shd w:val="clear"/>
        <w:tabs>
          <w:tab w:val="left" w:pos="0"/>
        </w:tabs>
        <w:spacing w:line="360" w:lineRule="auto"/>
        <w:ind w:firstLine="482"/>
        <w:rPr>
          <w:rFonts w:ascii="宋体" w:hAnsi="宋体" w:cs="仿宋"/>
          <w:color w:val="auto"/>
          <w:sz w:val="24"/>
          <w:highlight w:val="none"/>
        </w:rPr>
      </w:pPr>
      <w:r>
        <w:rPr>
          <w:rFonts w:hint="eastAsia" w:ascii="宋体" w:hAnsi="宋体" w:cs="仿宋"/>
          <w:color w:val="auto"/>
          <w:kern w:val="0"/>
          <w:sz w:val="24"/>
          <w:highlight w:val="none"/>
        </w:rPr>
        <w:t>若拟签订的合同文本要求中标供应商提交履约保证金的，供应商应当以支票、汇票、本票或者金融机构、担保机构出具的保函等非现金形式提交</w:t>
      </w:r>
      <w:r>
        <w:rPr>
          <w:rFonts w:hint="eastAsia" w:ascii="宋体" w:hAnsi="宋体" w:cs="仿宋"/>
          <w:color w:val="auto"/>
          <w:sz w:val="24"/>
          <w:highlight w:val="none"/>
        </w:rPr>
        <w:t>。履约保证金的数额不得超过政府采购合同金额的</w:t>
      </w:r>
      <w:r>
        <w:rPr>
          <w:rFonts w:hint="eastAsia" w:ascii="宋体" w:hAnsi="宋体" w:cs="仿宋"/>
          <w:b/>
          <w:color w:val="auto"/>
          <w:sz w:val="24"/>
          <w:highlight w:val="none"/>
        </w:rPr>
        <w:t>0.5</w:t>
      </w:r>
      <w:r>
        <w:rPr>
          <w:rFonts w:hint="eastAsia" w:ascii="宋体" w:hAnsi="宋体" w:cs="仿宋"/>
          <w:color w:val="auto"/>
          <w:sz w:val="24"/>
          <w:highlight w:val="none"/>
        </w:rPr>
        <w:t>%。鼓励征集人根据项目特点、供应商诚信等因素免收履约保证金或降低缴纳比例。鼓励和支持供应商以银行、保险公司出具的保函形式提供履约保证金。征集人不得拒收履约保函，项目验收结束后应及时退还，延迟退还的，应当按照合同约定和法律规定承担相应的赔偿责任。</w:t>
      </w:r>
    </w:p>
    <w:p w14:paraId="3BBC78F1">
      <w:pPr>
        <w:pStyle w:val="2"/>
        <w:shd w:val="clear"/>
        <w:ind w:left="0" w:firstLine="480" w:firstLineChars="200"/>
        <w:rPr>
          <w:rFonts w:ascii="宋体" w:hAnsi="宋体" w:eastAsia="宋体" w:cs="仿宋"/>
          <w:b w:val="0"/>
          <w:bCs w:val="0"/>
          <w:snapToGrid w:val="0"/>
          <w:color w:val="auto"/>
          <w:kern w:val="28"/>
          <w:sz w:val="24"/>
          <w:highlight w:val="none"/>
        </w:rPr>
      </w:pPr>
      <w:r>
        <w:rPr>
          <w:rFonts w:hint="eastAsia" w:ascii="宋体" w:hAnsi="宋体" w:eastAsia="宋体" w:cs="仿宋"/>
          <w:b w:val="0"/>
          <w:bCs w:val="0"/>
          <w:snapToGrid w:val="0"/>
          <w:color w:val="auto"/>
          <w:kern w:val="28"/>
          <w:sz w:val="24"/>
          <w:highlight w:val="none"/>
        </w:rPr>
        <w:t>供应商</w:t>
      </w:r>
      <w:r>
        <w:rPr>
          <w:rFonts w:hint="eastAsia" w:ascii="宋体" w:hAnsi="宋体" w:eastAsia="宋体" w:cs="仿宋"/>
          <w:b w:val="0"/>
          <w:bCs w:val="0"/>
          <w:snapToGrid w:val="0"/>
          <w:color w:val="auto"/>
          <w:kern w:val="28"/>
          <w:sz w:val="24"/>
          <w:highlight w:val="none"/>
          <w:lang w:val="en-US"/>
        </w:rPr>
        <w:t>可</w:t>
      </w:r>
      <w:r>
        <w:rPr>
          <w:rFonts w:hint="eastAsia" w:ascii="宋体" w:hAnsi="宋体" w:eastAsia="宋体"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4B0441">
      <w:pPr>
        <w:pStyle w:val="23"/>
        <w:shd w:val="clear"/>
        <w:spacing w:line="360" w:lineRule="auto"/>
        <w:ind w:firstLine="482"/>
        <w:rPr>
          <w:rFonts w:cs="仿宋"/>
          <w:b/>
          <w:color w:val="auto"/>
          <w:highlight w:val="none"/>
        </w:rPr>
      </w:pPr>
      <w:r>
        <w:rPr>
          <w:rFonts w:hint="eastAsia" w:cs="仿宋"/>
          <w:b/>
          <w:color w:val="auto"/>
          <w:highlight w:val="none"/>
        </w:rPr>
        <w:t>28.预付款</w:t>
      </w:r>
    </w:p>
    <w:p w14:paraId="6285B72C">
      <w:pPr>
        <w:shd w:val="clear"/>
        <w:adjustRightInd/>
        <w:spacing w:line="360" w:lineRule="auto"/>
        <w:ind w:firstLine="480" w:firstLineChars="200"/>
        <w:rPr>
          <w:rFonts w:ascii="宋体" w:hAnsi="宋体" w:cs="仿宋"/>
          <w:color w:val="auto"/>
          <w:highlight w:val="none"/>
        </w:rPr>
      </w:pPr>
      <w:r>
        <w:rPr>
          <w:rFonts w:hint="eastAsia" w:ascii="宋体" w:hAnsi="宋体" w:cs="仿宋"/>
          <w:color w:val="auto"/>
          <w:sz w:val="24"/>
          <w:highlight w:val="none"/>
        </w:rPr>
        <w:t>采购单位应当在政府采购合同中约定预付款，若约定支付预付款的，对中小企业合同预付款比例原则上不低于合同金额的40％，不高于合同金额的70%；项目分年安排预算的，每年预付款比例不低于项目年度计划支付资金额的40％，不高于年度计划支付金额的70%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8FDA12C">
      <w:pPr>
        <w:shd w:val="clear"/>
        <w:adjustRightInd/>
        <w:spacing w:line="360" w:lineRule="auto"/>
        <w:outlineLvl w:val="0"/>
        <w:rPr>
          <w:rFonts w:ascii="宋体" w:hAnsi="宋体" w:cs="仿宋"/>
          <w:b/>
          <w:color w:val="auto"/>
          <w:sz w:val="32"/>
          <w:szCs w:val="20"/>
          <w:highlight w:val="none"/>
        </w:rPr>
      </w:pPr>
    </w:p>
    <w:p w14:paraId="7C136FE3">
      <w:pPr>
        <w:shd w:val="clear"/>
        <w:adjustRightInd/>
        <w:spacing w:line="360" w:lineRule="auto"/>
        <w:jc w:val="center"/>
        <w:outlineLvl w:val="0"/>
        <w:rPr>
          <w:rFonts w:ascii="宋体" w:hAnsi="宋体" w:cs="仿宋"/>
          <w:b/>
          <w:color w:val="auto"/>
          <w:sz w:val="32"/>
          <w:szCs w:val="20"/>
          <w:highlight w:val="none"/>
        </w:rPr>
      </w:pPr>
      <w:r>
        <w:rPr>
          <w:rFonts w:hint="eastAsia" w:ascii="宋体" w:hAnsi="宋体" w:cs="仿宋"/>
          <w:b/>
          <w:color w:val="auto"/>
          <w:sz w:val="32"/>
          <w:szCs w:val="20"/>
          <w:highlight w:val="none"/>
        </w:rPr>
        <w:t>九、履约验收</w:t>
      </w:r>
    </w:p>
    <w:p w14:paraId="0EC44D2C">
      <w:pPr>
        <w:pStyle w:val="23"/>
        <w:shd w:val="clear"/>
        <w:spacing w:line="360" w:lineRule="auto"/>
        <w:ind w:firstLine="482"/>
        <w:rPr>
          <w:rFonts w:cs="仿宋"/>
          <w:b/>
          <w:color w:val="auto"/>
          <w:highlight w:val="none"/>
        </w:rPr>
      </w:pPr>
      <w:r>
        <w:rPr>
          <w:rFonts w:hint="eastAsia" w:cs="仿宋"/>
          <w:b/>
          <w:color w:val="auto"/>
          <w:highlight w:val="none"/>
        </w:rPr>
        <w:t>29.履约验收</w:t>
      </w:r>
    </w:p>
    <w:p w14:paraId="3BF2BB6C">
      <w:pPr>
        <w:shd w:val="clear"/>
        <w:tabs>
          <w:tab w:val="left" w:pos="0"/>
        </w:tabs>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29.1征集人自行组织或委托采购代理机构对供应商进行履约验收，出具验收书，存档备查。如果发现与合同中要求不符，供应商须承担由此发生的一切损失和费用，并承担相应的法律责任。</w:t>
      </w:r>
    </w:p>
    <w:p w14:paraId="05E27AA1">
      <w:pPr>
        <w:shd w:val="clear"/>
        <w:tabs>
          <w:tab w:val="left" w:pos="0"/>
        </w:tabs>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53C20333">
      <w:pPr>
        <w:shd w:val="clear"/>
        <w:tabs>
          <w:tab w:val="left" w:pos="0"/>
        </w:tabs>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29.3征集人可以邀请参加本项目的其他投标人或者第三方机构参与验收。参与验收的投标人或者第三方机构的意见作为验收书的参考资料一并存档。</w:t>
      </w:r>
    </w:p>
    <w:p w14:paraId="0E8C95DE">
      <w:pPr>
        <w:shd w:val="clear"/>
        <w:tabs>
          <w:tab w:val="left" w:pos="0"/>
        </w:tabs>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14:paraId="2B07A6C2">
      <w:pPr>
        <w:shd w:val="clear"/>
        <w:tabs>
          <w:tab w:val="left" w:pos="0"/>
        </w:tabs>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29.5 采购合同的履行、违约责任和解决争议的方式等适用《中华人民共和国民法典》。</w:t>
      </w:r>
    </w:p>
    <w:p w14:paraId="7D908696">
      <w:pPr>
        <w:shd w:val="clear"/>
        <w:tabs>
          <w:tab w:val="left" w:pos="0"/>
        </w:tabs>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29.6供应商在履约过程中有政府采购法律法规规定的违法违规情形的，征集人应当及时报告本级财政部门。</w:t>
      </w:r>
    </w:p>
    <w:p w14:paraId="293580D8">
      <w:pPr>
        <w:shd w:val="clear"/>
        <w:spacing w:line="360" w:lineRule="auto"/>
        <w:jc w:val="center"/>
        <w:outlineLvl w:val="0"/>
        <w:rPr>
          <w:rFonts w:ascii="宋体" w:hAnsi="宋体" w:cs="仿宋"/>
          <w:b/>
          <w:color w:val="auto"/>
          <w:sz w:val="36"/>
          <w:szCs w:val="36"/>
          <w:highlight w:val="none"/>
        </w:rPr>
      </w:pPr>
      <w:r>
        <w:rPr>
          <w:rFonts w:hint="eastAsia" w:ascii="宋体" w:hAnsi="宋体" w:cs="仿宋"/>
          <w:b/>
          <w:color w:val="auto"/>
          <w:sz w:val="36"/>
          <w:szCs w:val="36"/>
          <w:highlight w:val="none"/>
        </w:rPr>
        <w:br w:type="page"/>
      </w:r>
      <w:r>
        <w:rPr>
          <w:rFonts w:hint="eastAsia" w:ascii="宋体" w:hAnsi="宋体" w:cs="仿宋"/>
          <w:b/>
          <w:color w:val="auto"/>
          <w:sz w:val="36"/>
          <w:szCs w:val="36"/>
          <w:highlight w:val="none"/>
        </w:rPr>
        <w:t>第三部分   采购需求</w:t>
      </w:r>
    </w:p>
    <w:p w14:paraId="24A4A08C">
      <w:pPr>
        <w:shd w:val="clear"/>
        <w:snapToGrid w:val="0"/>
        <w:spacing w:line="360" w:lineRule="auto"/>
        <w:jc w:val="left"/>
        <w:rPr>
          <w:rFonts w:ascii="宋体" w:hAnsi="宋体" w:cs="仿宋"/>
          <w:b/>
          <w:i/>
          <w:color w:val="auto"/>
          <w:sz w:val="22"/>
          <w:szCs w:val="36"/>
          <w:highlight w:val="none"/>
        </w:rPr>
      </w:pPr>
    </w:p>
    <w:p w14:paraId="69A87B67">
      <w:pPr>
        <w:shd w:val="clear"/>
        <w:snapToGrid w:val="0"/>
        <w:spacing w:beforeLines="50" w:afterLines="50"/>
        <w:rPr>
          <w:rFonts w:ascii="宋体" w:hAnsi="宋体" w:cs="仿宋"/>
          <w:color w:val="auto"/>
          <w:sz w:val="24"/>
          <w:highlight w:val="none"/>
        </w:rPr>
      </w:pPr>
    </w:p>
    <w:p w14:paraId="6091D4E7">
      <w:pPr>
        <w:shd w:val="clear"/>
        <w:snapToGrid w:val="0"/>
        <w:spacing w:beforeLines="50" w:afterLines="50"/>
        <w:rPr>
          <w:rFonts w:ascii="宋体" w:hAnsi="宋体" w:cs="仿宋"/>
          <w:color w:val="auto"/>
          <w:sz w:val="24"/>
          <w:highlight w:val="none"/>
        </w:rPr>
      </w:pPr>
      <w:r>
        <w:rPr>
          <w:rFonts w:hint="eastAsia" w:ascii="宋体" w:hAnsi="宋体" w:cs="仿宋"/>
          <w:color w:val="auto"/>
          <w:sz w:val="24"/>
          <w:highlight w:val="none"/>
        </w:rPr>
        <w:t>特别说明：</w:t>
      </w:r>
    </w:p>
    <w:p w14:paraId="73B9AC6F">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1.需求中不允许偏离的实质性要求和条件，以“▲”号标明。</w:t>
      </w:r>
    </w:p>
    <w:p w14:paraId="244A4EA9">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2.单一产品采购项目中的该产品或者非单一产品采购项目的核心产品，以“★”标明。</w:t>
      </w:r>
    </w:p>
    <w:p w14:paraId="70D4514F">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本征集文件如涉及各类品牌、型号，则所述品牌、型号是结合实际现有情况的推荐性参考方案，投标方也可根据征集文件的要求提供性能相当或高于、服务条款相等或高于、符合招标方实际业务需求其它同档次优质品牌的产品参加投标。</w:t>
      </w:r>
    </w:p>
    <w:p w14:paraId="08CF1F28">
      <w:pPr>
        <w:shd w:val="clear"/>
        <w:snapToGrid w:val="0"/>
        <w:spacing w:line="360" w:lineRule="auto"/>
        <w:rPr>
          <w:rFonts w:ascii="宋体" w:hAnsi="宋体" w:cs="仿宋"/>
          <w:color w:val="auto"/>
          <w:kern w:val="0"/>
          <w:sz w:val="24"/>
          <w:highlight w:val="none"/>
        </w:rPr>
      </w:pPr>
    </w:p>
    <w:p w14:paraId="12D88FAB">
      <w:pPr>
        <w:shd w:val="clear"/>
        <w:snapToGrid w:val="0"/>
        <w:spacing w:line="360" w:lineRule="auto"/>
        <w:rPr>
          <w:rFonts w:ascii="宋体" w:hAnsi="宋体" w:cs="仿宋"/>
          <w:color w:val="auto"/>
          <w:kern w:val="0"/>
          <w:sz w:val="24"/>
          <w:highlight w:val="none"/>
        </w:rPr>
      </w:pPr>
    </w:p>
    <w:p w14:paraId="29A832E4">
      <w:pPr>
        <w:shd w:val="clear"/>
        <w:snapToGrid w:val="0"/>
        <w:spacing w:line="360" w:lineRule="auto"/>
        <w:rPr>
          <w:rFonts w:ascii="宋体" w:hAnsi="宋体" w:cs="仿宋"/>
          <w:color w:val="auto"/>
          <w:kern w:val="0"/>
          <w:sz w:val="24"/>
          <w:highlight w:val="none"/>
        </w:rPr>
      </w:pPr>
    </w:p>
    <w:p w14:paraId="6C67E20D">
      <w:pPr>
        <w:shd w:val="clear"/>
        <w:snapToGrid w:val="0"/>
        <w:spacing w:line="360" w:lineRule="auto"/>
        <w:rPr>
          <w:rFonts w:ascii="宋体" w:hAnsi="宋体" w:cs="仿宋"/>
          <w:color w:val="auto"/>
          <w:kern w:val="0"/>
          <w:sz w:val="24"/>
          <w:highlight w:val="none"/>
        </w:rPr>
      </w:pPr>
    </w:p>
    <w:p w14:paraId="106501AD">
      <w:pPr>
        <w:shd w:val="clear"/>
        <w:snapToGrid w:val="0"/>
        <w:spacing w:line="360" w:lineRule="auto"/>
        <w:rPr>
          <w:rFonts w:ascii="宋体" w:hAnsi="宋体" w:cs="仿宋"/>
          <w:color w:val="auto"/>
          <w:kern w:val="0"/>
          <w:sz w:val="24"/>
          <w:highlight w:val="none"/>
        </w:rPr>
      </w:pPr>
    </w:p>
    <w:p w14:paraId="10C0951C">
      <w:pPr>
        <w:shd w:val="clear"/>
        <w:snapToGrid w:val="0"/>
        <w:spacing w:line="360" w:lineRule="auto"/>
        <w:rPr>
          <w:rFonts w:ascii="宋体" w:hAnsi="宋体" w:cs="仿宋"/>
          <w:color w:val="auto"/>
          <w:kern w:val="0"/>
          <w:sz w:val="24"/>
          <w:highlight w:val="none"/>
        </w:rPr>
      </w:pPr>
    </w:p>
    <w:p w14:paraId="298EB6E9">
      <w:pPr>
        <w:shd w:val="clear"/>
        <w:snapToGrid w:val="0"/>
        <w:spacing w:line="360" w:lineRule="auto"/>
        <w:rPr>
          <w:rFonts w:ascii="宋体" w:hAnsi="宋体" w:cs="仿宋"/>
          <w:color w:val="auto"/>
          <w:kern w:val="0"/>
          <w:sz w:val="24"/>
          <w:highlight w:val="none"/>
        </w:rPr>
      </w:pPr>
    </w:p>
    <w:p w14:paraId="1E4CBE51">
      <w:pPr>
        <w:shd w:val="clear"/>
        <w:snapToGrid w:val="0"/>
        <w:spacing w:line="360" w:lineRule="auto"/>
        <w:rPr>
          <w:rFonts w:ascii="宋体" w:hAnsi="宋体" w:cs="仿宋"/>
          <w:color w:val="auto"/>
          <w:kern w:val="0"/>
          <w:sz w:val="24"/>
          <w:highlight w:val="none"/>
        </w:rPr>
      </w:pPr>
    </w:p>
    <w:p w14:paraId="036A59E4">
      <w:pPr>
        <w:shd w:val="clear"/>
        <w:snapToGrid w:val="0"/>
        <w:spacing w:line="360" w:lineRule="auto"/>
        <w:rPr>
          <w:rFonts w:ascii="宋体" w:hAnsi="宋体" w:cs="仿宋"/>
          <w:color w:val="auto"/>
          <w:kern w:val="0"/>
          <w:sz w:val="24"/>
          <w:highlight w:val="none"/>
        </w:rPr>
      </w:pPr>
    </w:p>
    <w:p w14:paraId="4D3F0008">
      <w:pPr>
        <w:shd w:val="clear"/>
        <w:snapToGrid w:val="0"/>
        <w:spacing w:line="360" w:lineRule="auto"/>
        <w:rPr>
          <w:rFonts w:ascii="宋体" w:hAnsi="宋体" w:cs="仿宋"/>
          <w:color w:val="auto"/>
          <w:kern w:val="0"/>
          <w:sz w:val="24"/>
          <w:highlight w:val="none"/>
        </w:rPr>
      </w:pPr>
    </w:p>
    <w:p w14:paraId="535E4608">
      <w:pPr>
        <w:shd w:val="clear"/>
        <w:snapToGrid w:val="0"/>
        <w:spacing w:line="360" w:lineRule="auto"/>
        <w:rPr>
          <w:rFonts w:ascii="宋体" w:hAnsi="宋体" w:cs="仿宋"/>
          <w:color w:val="auto"/>
          <w:kern w:val="0"/>
          <w:sz w:val="24"/>
          <w:highlight w:val="none"/>
        </w:rPr>
      </w:pPr>
    </w:p>
    <w:p w14:paraId="1F7F1128">
      <w:pPr>
        <w:shd w:val="clear"/>
        <w:snapToGrid w:val="0"/>
        <w:spacing w:line="360" w:lineRule="auto"/>
        <w:rPr>
          <w:rFonts w:ascii="宋体" w:hAnsi="宋体" w:cs="仿宋"/>
          <w:color w:val="auto"/>
          <w:kern w:val="0"/>
          <w:sz w:val="24"/>
          <w:highlight w:val="none"/>
        </w:rPr>
      </w:pPr>
    </w:p>
    <w:p w14:paraId="225FFBB1">
      <w:pPr>
        <w:shd w:val="clear"/>
        <w:snapToGrid w:val="0"/>
        <w:spacing w:line="360" w:lineRule="auto"/>
        <w:rPr>
          <w:rFonts w:ascii="宋体" w:hAnsi="宋体" w:cs="仿宋"/>
          <w:color w:val="auto"/>
          <w:kern w:val="0"/>
          <w:sz w:val="24"/>
          <w:highlight w:val="none"/>
        </w:rPr>
      </w:pPr>
    </w:p>
    <w:p w14:paraId="69CA6811">
      <w:pPr>
        <w:shd w:val="clear"/>
        <w:snapToGrid w:val="0"/>
        <w:spacing w:line="360" w:lineRule="auto"/>
        <w:rPr>
          <w:rFonts w:ascii="宋体" w:hAnsi="宋体" w:cs="仿宋"/>
          <w:color w:val="auto"/>
          <w:kern w:val="0"/>
          <w:sz w:val="24"/>
          <w:highlight w:val="none"/>
        </w:rPr>
      </w:pPr>
    </w:p>
    <w:p w14:paraId="337DAB08">
      <w:pPr>
        <w:pStyle w:val="557"/>
        <w:shd w:val="clear"/>
        <w:rPr>
          <w:rFonts w:hAnsi="宋体"/>
          <w:color w:val="auto"/>
          <w:highlight w:val="none"/>
        </w:rPr>
      </w:pPr>
    </w:p>
    <w:p w14:paraId="0D9E7A77">
      <w:pPr>
        <w:shd w:val="clear"/>
        <w:snapToGrid w:val="0"/>
        <w:spacing w:line="360" w:lineRule="auto"/>
        <w:rPr>
          <w:rFonts w:ascii="宋体" w:hAnsi="宋体" w:cs="仿宋"/>
          <w:color w:val="auto"/>
          <w:kern w:val="0"/>
          <w:sz w:val="24"/>
          <w:highlight w:val="none"/>
        </w:rPr>
      </w:pPr>
    </w:p>
    <w:p w14:paraId="22E8A962">
      <w:pPr>
        <w:shd w:val="clear"/>
        <w:snapToGrid w:val="0"/>
        <w:spacing w:line="360" w:lineRule="auto"/>
        <w:rPr>
          <w:rFonts w:ascii="宋体" w:hAnsi="宋体" w:cs="仿宋"/>
          <w:color w:val="auto"/>
          <w:kern w:val="0"/>
          <w:sz w:val="24"/>
          <w:highlight w:val="none"/>
        </w:rPr>
      </w:pPr>
    </w:p>
    <w:p w14:paraId="0D0DE47A">
      <w:pPr>
        <w:shd w:val="clear"/>
        <w:snapToGrid w:val="0"/>
        <w:spacing w:line="360" w:lineRule="auto"/>
        <w:rPr>
          <w:rFonts w:ascii="宋体" w:hAnsi="宋体" w:cs="仿宋"/>
          <w:color w:val="auto"/>
          <w:kern w:val="0"/>
          <w:sz w:val="24"/>
          <w:highlight w:val="none"/>
        </w:rPr>
      </w:pPr>
    </w:p>
    <w:p w14:paraId="127622ED">
      <w:pPr>
        <w:shd w:val="clear"/>
        <w:snapToGrid w:val="0"/>
        <w:spacing w:line="360" w:lineRule="auto"/>
        <w:rPr>
          <w:rFonts w:ascii="宋体" w:hAnsi="宋体" w:cs="仿宋"/>
          <w:color w:val="auto"/>
          <w:kern w:val="0"/>
          <w:sz w:val="24"/>
          <w:highlight w:val="none"/>
        </w:rPr>
      </w:pPr>
    </w:p>
    <w:p w14:paraId="0DFA5D3F">
      <w:pPr>
        <w:shd w:val="clear"/>
        <w:snapToGrid w:val="0"/>
        <w:spacing w:line="360" w:lineRule="auto"/>
        <w:rPr>
          <w:rFonts w:ascii="宋体" w:hAnsi="宋体" w:cs="仿宋"/>
          <w:color w:val="auto"/>
          <w:kern w:val="0"/>
          <w:sz w:val="24"/>
          <w:highlight w:val="none"/>
        </w:rPr>
      </w:pPr>
    </w:p>
    <w:p w14:paraId="15C00C55">
      <w:pPr>
        <w:shd w:val="clear"/>
        <w:snapToGrid w:val="0"/>
        <w:spacing w:line="360" w:lineRule="auto"/>
        <w:rPr>
          <w:rFonts w:ascii="宋体" w:hAnsi="宋体" w:cs="仿宋"/>
          <w:color w:val="auto"/>
          <w:kern w:val="0"/>
          <w:sz w:val="24"/>
          <w:highlight w:val="none"/>
        </w:rPr>
      </w:pPr>
    </w:p>
    <w:p w14:paraId="51F93724">
      <w:pPr>
        <w:numPr>
          <w:ilvl w:val="0"/>
          <w:numId w:val="2"/>
        </w:numPr>
        <w:shd w:val="clear"/>
        <w:snapToGrid w:val="0"/>
        <w:spacing w:line="360" w:lineRule="auto"/>
        <w:jc w:val="center"/>
        <w:rPr>
          <w:rFonts w:ascii="宋体" w:hAnsi="宋体" w:cs="仿宋"/>
          <w:b/>
          <w:color w:val="auto"/>
          <w:sz w:val="28"/>
          <w:szCs w:val="28"/>
          <w:highlight w:val="none"/>
        </w:rPr>
      </w:pPr>
      <w:r>
        <w:rPr>
          <w:rFonts w:hint="eastAsia" w:ascii="宋体" w:hAnsi="宋体" w:cs="仿宋"/>
          <w:b/>
          <w:color w:val="auto"/>
          <w:sz w:val="28"/>
          <w:szCs w:val="28"/>
          <w:highlight w:val="none"/>
        </w:rPr>
        <w:t>服务清单及要求</w:t>
      </w:r>
    </w:p>
    <w:p w14:paraId="09A18EB3">
      <w:pPr>
        <w:shd w:val="clear"/>
        <w:spacing w:line="360" w:lineRule="auto"/>
        <w:ind w:firstLine="482" w:firstLineChars="200"/>
        <w:rPr>
          <w:rFonts w:ascii="宋体" w:hAnsi="宋体" w:cs="仿宋"/>
          <w:b/>
          <w:bCs/>
          <w:color w:val="auto"/>
          <w:sz w:val="24"/>
          <w:highlight w:val="none"/>
        </w:rPr>
      </w:pPr>
    </w:p>
    <w:p w14:paraId="794AAA80">
      <w:pPr>
        <w:shd w:val="clear"/>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一、项目概况：</w:t>
      </w:r>
    </w:p>
    <w:p w14:paraId="6FF4C129">
      <w:pPr>
        <w:pStyle w:val="31"/>
        <w:shd w:val="clear"/>
        <w:tabs>
          <w:tab w:val="left" w:pos="840"/>
        </w:tabs>
        <w:spacing w:line="360" w:lineRule="auto"/>
        <w:ind w:firstLine="480" w:firstLineChars="200"/>
        <w:rPr>
          <w:rFonts w:hAnsi="宋体" w:cs="仿宋"/>
          <w:color w:val="auto"/>
          <w:kern w:val="0"/>
          <w:sz w:val="24"/>
          <w:szCs w:val="24"/>
          <w:highlight w:val="none"/>
        </w:rPr>
      </w:pPr>
      <w:bookmarkStart w:id="76" w:name="OLE_LINK17"/>
      <w:bookmarkStart w:id="77" w:name="OLE_LINK16"/>
      <w:r>
        <w:rPr>
          <w:rFonts w:hint="eastAsia" w:hAnsi="宋体" w:cs="仿宋"/>
          <w:color w:val="auto"/>
          <w:kern w:val="0"/>
          <w:sz w:val="24"/>
          <w:szCs w:val="24"/>
          <w:highlight w:val="none"/>
        </w:rPr>
        <w:t>2025-2027年嵊州市公共投资建设项目造价咨询服务</w:t>
      </w:r>
      <w:bookmarkEnd w:id="76"/>
      <w:bookmarkEnd w:id="77"/>
      <w:r>
        <w:rPr>
          <w:rFonts w:hint="eastAsia" w:hAnsi="宋体" w:cs="仿宋"/>
          <w:color w:val="auto"/>
          <w:kern w:val="0"/>
          <w:sz w:val="24"/>
          <w:szCs w:val="24"/>
          <w:highlight w:val="none"/>
        </w:rPr>
        <w:t>框架协议采购项目（封闭式），适用对象为嵊州市范围内</w:t>
      </w:r>
      <w:r>
        <w:rPr>
          <w:rFonts w:hint="eastAsia" w:hAnsi="宋体" w:cs="仿宋"/>
          <w:bCs/>
          <w:color w:val="auto"/>
          <w:kern w:val="0"/>
          <w:sz w:val="24"/>
          <w:szCs w:val="24"/>
          <w:highlight w:val="none"/>
        </w:rPr>
        <w:t>公共投资建设项目建设单位</w:t>
      </w:r>
      <w:r>
        <w:rPr>
          <w:rFonts w:hint="eastAsia" w:hAnsi="宋体" w:cs="仿宋"/>
          <w:color w:val="auto"/>
          <w:kern w:val="0"/>
          <w:sz w:val="24"/>
          <w:szCs w:val="24"/>
          <w:highlight w:val="none"/>
        </w:rPr>
        <w:t>。</w:t>
      </w:r>
    </w:p>
    <w:p w14:paraId="0FC64E54">
      <w:pPr>
        <w:pStyle w:val="31"/>
        <w:shd w:val="clear"/>
        <w:tabs>
          <w:tab w:val="left" w:pos="840"/>
        </w:tabs>
        <w:spacing w:line="360" w:lineRule="auto"/>
        <w:ind w:firstLine="482" w:firstLineChars="200"/>
        <w:rPr>
          <w:rFonts w:hAnsi="宋体" w:cs="仿宋"/>
          <w:b/>
          <w:bCs/>
          <w:color w:val="auto"/>
          <w:kern w:val="0"/>
          <w:sz w:val="24"/>
          <w:szCs w:val="24"/>
          <w:highlight w:val="none"/>
        </w:rPr>
      </w:pPr>
      <w:r>
        <w:rPr>
          <w:rFonts w:hint="eastAsia" w:hAnsi="宋体" w:cs="仿宋"/>
          <w:b/>
          <w:bCs/>
          <w:color w:val="auto"/>
          <w:kern w:val="0"/>
          <w:sz w:val="24"/>
          <w:szCs w:val="24"/>
          <w:highlight w:val="none"/>
        </w:rPr>
        <w:t>二、服务内容：</w:t>
      </w:r>
    </w:p>
    <w:p w14:paraId="3C009347">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对嵊州市范围内单项工程施工图预算（标底）金额在 10 万元（含）以上且单项业务服务费</w:t>
      </w:r>
      <w:r>
        <w:rPr>
          <w:rFonts w:hint="eastAsia" w:hAnsi="宋体" w:cs="仿宋"/>
          <w:b/>
          <w:bCs/>
          <w:color w:val="auto"/>
          <w:kern w:val="0"/>
          <w:sz w:val="24"/>
          <w:szCs w:val="24"/>
          <w:highlight w:val="none"/>
        </w:rPr>
        <w:t>在相关规定标准限额以下</w:t>
      </w:r>
      <w:r>
        <w:rPr>
          <w:rFonts w:hint="eastAsia" w:hAnsi="宋体" w:cs="仿宋"/>
          <w:color w:val="auto"/>
          <w:kern w:val="0"/>
          <w:sz w:val="24"/>
          <w:szCs w:val="24"/>
          <w:highlight w:val="none"/>
        </w:rPr>
        <w:t>的公共投资建设项目的工程类造价咨询第三方服务机构进行征集。</w:t>
      </w:r>
      <w:r>
        <w:rPr>
          <w:rFonts w:hint="eastAsia" w:hAnsi="宋体" w:cs="仿宋"/>
          <w:b/>
          <w:bCs/>
          <w:color w:val="auto"/>
          <w:kern w:val="0"/>
          <w:sz w:val="24"/>
          <w:szCs w:val="24"/>
          <w:highlight w:val="none"/>
        </w:rPr>
        <w:t>造价咨询服务</w:t>
      </w:r>
      <w:r>
        <w:rPr>
          <w:rFonts w:hint="eastAsia" w:hAnsi="宋体" w:cs="仿宋"/>
          <w:color w:val="auto"/>
          <w:kern w:val="0"/>
          <w:sz w:val="24"/>
          <w:szCs w:val="24"/>
          <w:highlight w:val="none"/>
        </w:rPr>
        <w:t>具体包括工程预算（招标控制价）编制和预算审核、施工阶段全过程工程造价控制、竣工结算审核、审计造价质量抽查及审计重大工程跟踪等工作。</w:t>
      </w:r>
    </w:p>
    <w:p w14:paraId="2BFC82A5">
      <w:pPr>
        <w:pStyle w:val="31"/>
        <w:shd w:val="clear"/>
        <w:tabs>
          <w:tab w:val="left" w:pos="840"/>
        </w:tabs>
        <w:spacing w:line="360" w:lineRule="auto"/>
        <w:ind w:firstLine="482" w:firstLineChars="200"/>
        <w:rPr>
          <w:rFonts w:hAnsi="宋体" w:cs="仿宋"/>
          <w:b/>
          <w:color w:val="auto"/>
          <w:kern w:val="0"/>
          <w:sz w:val="24"/>
          <w:szCs w:val="24"/>
          <w:highlight w:val="none"/>
        </w:rPr>
      </w:pPr>
      <w:r>
        <w:rPr>
          <w:rFonts w:hint="eastAsia" w:hAnsi="宋体" w:cs="仿宋"/>
          <w:b/>
          <w:color w:val="auto"/>
          <w:kern w:val="0"/>
          <w:sz w:val="24"/>
          <w:szCs w:val="24"/>
          <w:highlight w:val="none"/>
        </w:rPr>
        <w:t>三、服务要求</w:t>
      </w:r>
    </w:p>
    <w:p w14:paraId="480A43AC">
      <w:pPr>
        <w:pStyle w:val="31"/>
        <w:shd w:val="clear"/>
        <w:tabs>
          <w:tab w:val="left" w:pos="840"/>
        </w:tabs>
        <w:spacing w:line="360" w:lineRule="auto"/>
        <w:ind w:firstLine="480" w:firstLineChars="200"/>
        <w:rPr>
          <w:rFonts w:hAnsi="宋体" w:cs="仿宋"/>
          <w:bCs/>
          <w:iCs/>
          <w:color w:val="auto"/>
          <w:kern w:val="0"/>
          <w:sz w:val="24"/>
          <w:szCs w:val="24"/>
          <w:highlight w:val="none"/>
        </w:rPr>
      </w:pPr>
      <w:r>
        <w:rPr>
          <w:rFonts w:hAnsi="宋体" w:cs="仿宋"/>
          <w:color w:val="auto"/>
          <w:kern w:val="0"/>
          <w:sz w:val="24"/>
          <w:highlight w:val="none"/>
        </w:rPr>
        <w:t>2025-2027</w:t>
      </w:r>
      <w:r>
        <w:rPr>
          <w:rFonts w:hint="eastAsia" w:hAnsi="宋体" w:cs="仿宋"/>
          <w:color w:val="auto"/>
          <w:kern w:val="0"/>
          <w:sz w:val="24"/>
          <w:highlight w:val="none"/>
        </w:rPr>
        <w:t>年嵊州市公共投资建设项目造价咨询服务</w:t>
      </w:r>
      <w:r>
        <w:rPr>
          <w:rFonts w:hint="eastAsia" w:hAnsi="宋体" w:cs="仿宋"/>
          <w:color w:val="auto"/>
          <w:kern w:val="0"/>
          <w:sz w:val="24"/>
          <w:szCs w:val="24"/>
          <w:highlight w:val="none"/>
        </w:rPr>
        <w:t>，公开征集30家造价咨询第三方服务机构（适用于响应供应商≥38家），入围供应商淘汰比例20%（适用于供应商＜38家）且至少淘汰1家。如遇淘汰数值为小数的，取大值整数（例如淘汰4.2家，取淘汰5家）。要求每家中介机构派出团队成员。</w:t>
      </w:r>
      <w:r>
        <w:rPr>
          <w:rFonts w:hint="eastAsia" w:hAnsi="宋体" w:cs="仿宋"/>
          <w:bCs/>
          <w:iCs/>
          <w:color w:val="auto"/>
          <w:kern w:val="0"/>
          <w:sz w:val="24"/>
          <w:szCs w:val="24"/>
          <w:highlight w:val="none"/>
        </w:rPr>
        <w:t>▲团队成员至少5人（包含技术负责人），</w:t>
      </w:r>
      <w:r>
        <w:rPr>
          <w:rFonts w:hint="eastAsia" w:hAnsi="宋体" w:cs="仿宋"/>
          <w:color w:val="auto"/>
          <w:sz w:val="24"/>
          <w:highlight w:val="none"/>
        </w:rPr>
        <w:t>必须具备造价师执业资格证书</w:t>
      </w:r>
      <w:r>
        <w:rPr>
          <w:rFonts w:hint="eastAsia" w:hAnsi="宋体" w:cs="仿宋"/>
          <w:bCs/>
          <w:iCs/>
          <w:color w:val="auto"/>
          <w:kern w:val="0"/>
          <w:sz w:val="24"/>
          <w:szCs w:val="24"/>
          <w:highlight w:val="none"/>
        </w:rPr>
        <w:t>。</w:t>
      </w:r>
    </w:p>
    <w:p w14:paraId="3CA65B08">
      <w:pPr>
        <w:pStyle w:val="31"/>
        <w:shd w:val="clear"/>
        <w:tabs>
          <w:tab w:val="left" w:pos="840"/>
        </w:tabs>
        <w:spacing w:line="360" w:lineRule="auto"/>
        <w:ind w:firstLine="482" w:firstLineChars="200"/>
        <w:rPr>
          <w:rFonts w:hAnsi="宋体" w:cs="仿宋"/>
          <w:b/>
          <w:color w:val="auto"/>
          <w:kern w:val="0"/>
          <w:sz w:val="24"/>
          <w:szCs w:val="24"/>
          <w:highlight w:val="none"/>
        </w:rPr>
      </w:pPr>
      <w:r>
        <w:rPr>
          <w:rFonts w:hint="eastAsia" w:hAnsi="宋体" w:cs="仿宋"/>
          <w:b/>
          <w:color w:val="auto"/>
          <w:kern w:val="0"/>
          <w:sz w:val="24"/>
          <w:szCs w:val="24"/>
          <w:highlight w:val="none"/>
        </w:rPr>
        <w:t>四、</w:t>
      </w:r>
      <w:r>
        <w:rPr>
          <w:rFonts w:hint="eastAsia" w:hAnsi="宋体" w:cs="仿宋"/>
          <w:color w:val="auto"/>
          <w:szCs w:val="24"/>
          <w:highlight w:val="none"/>
        </w:rPr>
        <w:t>▲</w:t>
      </w:r>
      <w:r>
        <w:rPr>
          <w:rFonts w:hint="eastAsia" w:hAnsi="宋体" w:cs="仿宋"/>
          <w:b/>
          <w:color w:val="auto"/>
          <w:kern w:val="0"/>
          <w:sz w:val="24"/>
          <w:szCs w:val="24"/>
          <w:highlight w:val="none"/>
        </w:rPr>
        <w:t xml:space="preserve">服务标准和质量要求                                                                </w:t>
      </w:r>
    </w:p>
    <w:p w14:paraId="696795D8">
      <w:pPr>
        <w:pStyle w:val="31"/>
        <w:shd w:val="clear"/>
        <w:tabs>
          <w:tab w:val="left" w:pos="840"/>
        </w:tabs>
        <w:spacing w:line="360" w:lineRule="auto"/>
        <w:ind w:firstLine="480" w:firstLineChars="200"/>
        <w:rPr>
          <w:rFonts w:hAnsi="宋体" w:cs="仿宋"/>
          <w:color w:val="auto"/>
          <w:kern w:val="0"/>
          <w:sz w:val="24"/>
          <w:highlight w:val="none"/>
        </w:rPr>
      </w:pPr>
      <w:r>
        <w:rPr>
          <w:rFonts w:hint="eastAsia" w:hAnsi="宋体" w:cs="仿宋"/>
          <w:color w:val="auto"/>
          <w:kern w:val="0"/>
          <w:sz w:val="24"/>
          <w:szCs w:val="24"/>
          <w:highlight w:val="none"/>
        </w:rPr>
        <w:t>按照国家法律法规、行业标准要求及甲方制定的管理规定标准履行职责，优质服务且按时完成交办任务，并提交相应成果。</w:t>
      </w:r>
    </w:p>
    <w:p w14:paraId="5F5E610F">
      <w:pPr>
        <w:pStyle w:val="31"/>
        <w:shd w:val="clear"/>
        <w:tabs>
          <w:tab w:val="left" w:pos="840"/>
        </w:tabs>
        <w:spacing w:line="360" w:lineRule="auto"/>
        <w:ind w:firstLine="482" w:firstLineChars="200"/>
        <w:rPr>
          <w:rFonts w:hAnsi="宋体" w:cs="仿宋"/>
          <w:b/>
          <w:color w:val="auto"/>
          <w:kern w:val="0"/>
          <w:sz w:val="24"/>
          <w:szCs w:val="24"/>
          <w:highlight w:val="none"/>
        </w:rPr>
      </w:pPr>
      <w:r>
        <w:rPr>
          <w:rFonts w:hint="eastAsia" w:hAnsi="宋体" w:cs="仿宋"/>
          <w:b/>
          <w:color w:val="auto"/>
          <w:kern w:val="0"/>
          <w:sz w:val="24"/>
          <w:szCs w:val="24"/>
          <w:highlight w:val="none"/>
        </w:rPr>
        <w:t xml:space="preserve">五、甲方的权利和义务 </w:t>
      </w:r>
    </w:p>
    <w:p w14:paraId="1FC1FB4E">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 xml:space="preserve">1、协助建设造价控制监管系统，指导第二阶段委托人通过造价控制监管系统选定第二阶段成交供应商。 </w:t>
      </w:r>
    </w:p>
    <w:p w14:paraId="7AAEA1C9">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2、负责制订对入围供应商的考核和管理的具体细则，并由甲方组织对入围供应商进行考核和管理，入围供应商需无条件配合。</w:t>
      </w:r>
    </w:p>
    <w:p w14:paraId="5304E0B7">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3、若乙方在自我建设或日常执业中违背甲方制订的考核和管理的具体细则和相关要求，甲方有权按照本协议和考核和管理的具体细则对乙方进行处罚。</w:t>
      </w:r>
    </w:p>
    <w:p w14:paraId="41368A4C">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4、根据乙方的有关要求，协调处理项目实施中的相关事宜。</w:t>
      </w:r>
    </w:p>
    <w:p w14:paraId="757A6860">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5、按照内控制度委托乙方协助开展审计造价质量抽查及审计重大工程跟踪等工作。</w:t>
      </w:r>
    </w:p>
    <w:p w14:paraId="15319349">
      <w:pPr>
        <w:shd w:val="clear"/>
        <w:spacing w:line="360" w:lineRule="auto"/>
        <w:ind w:firstLine="480" w:firstLineChars="200"/>
        <w:rPr>
          <w:rFonts w:ascii="宋体" w:hAnsi="宋体" w:cs="仿宋"/>
          <w:color w:val="auto"/>
          <w:kern w:val="0"/>
          <w:sz w:val="24"/>
          <w:highlight w:val="none"/>
        </w:rPr>
      </w:pPr>
      <w:r>
        <w:rPr>
          <w:rFonts w:hint="eastAsia" w:hAnsi="宋体" w:cs="仿宋"/>
          <w:color w:val="auto"/>
          <w:kern w:val="0"/>
          <w:sz w:val="24"/>
          <w:highlight w:val="none"/>
        </w:rPr>
        <w:t>6、其他应该由甲方履行的义务和承担的责任</w:t>
      </w:r>
      <w:r>
        <w:rPr>
          <w:rFonts w:hint="eastAsia" w:ascii="宋体" w:hAnsi="宋体" w:cs="仿宋"/>
          <w:color w:val="auto"/>
          <w:sz w:val="24"/>
          <w:highlight w:val="none"/>
        </w:rPr>
        <w:t>。</w:t>
      </w:r>
    </w:p>
    <w:p w14:paraId="304ED01D">
      <w:pPr>
        <w:pStyle w:val="31"/>
        <w:shd w:val="clear"/>
        <w:tabs>
          <w:tab w:val="left" w:pos="840"/>
        </w:tabs>
        <w:spacing w:line="360" w:lineRule="auto"/>
        <w:ind w:firstLine="482" w:firstLineChars="200"/>
        <w:rPr>
          <w:rFonts w:hAnsi="宋体" w:cs="仿宋"/>
          <w:b/>
          <w:color w:val="auto"/>
          <w:kern w:val="0"/>
          <w:sz w:val="24"/>
          <w:szCs w:val="24"/>
          <w:highlight w:val="none"/>
        </w:rPr>
      </w:pPr>
      <w:r>
        <w:rPr>
          <w:rFonts w:hint="eastAsia" w:hAnsi="宋体" w:cs="仿宋"/>
          <w:b/>
          <w:color w:val="auto"/>
          <w:kern w:val="0"/>
          <w:sz w:val="24"/>
          <w:szCs w:val="24"/>
          <w:highlight w:val="none"/>
        </w:rPr>
        <w:t>六、乙方的权利和义务</w:t>
      </w:r>
    </w:p>
    <w:p w14:paraId="0010989E">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1.乙方应通过造价控制监管系统承接和实施咨询业务。</w:t>
      </w:r>
    </w:p>
    <w:p w14:paraId="12DECD38">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2.可以要求第二阶段委托人提供与委托内容有关的资料并对有关问题作出解释和补充有关资料。</w:t>
      </w:r>
    </w:p>
    <w:p w14:paraId="6C037948">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3.乙方在咨询服务过程中应遵守法规、规范执业行为，严格按照行业规范和甲方制订的考核和管理的具体细则和相关要求开展工作。</w:t>
      </w:r>
    </w:p>
    <w:p w14:paraId="6DB229CA">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4.乙方应自觉接受甲方的监督，并按期完成服务任务，并确保结果真实、合法和准确。</w:t>
      </w:r>
    </w:p>
    <w:p w14:paraId="48464517">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5.乙方在咨询工作中遵循公平、公正、公开、合法、独立的原则，认真、细致、周到的进行服务。</w:t>
      </w:r>
    </w:p>
    <w:p w14:paraId="3FAAB6DA">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6.甲方按照内控制度委托乙方协助开展审计造价质量抽查及审计重大工程跟踪等工作的，乙方无正当理由不得拒绝承接相关工作，并应积极配合甲方认真完成相关工作。</w:t>
      </w:r>
    </w:p>
    <w:p w14:paraId="79861543">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7.乙方无正当理由，不得主动放弃入围资格或者退出框架协议。</w:t>
      </w:r>
    </w:p>
    <w:p w14:paraId="2BDACE52">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8.乙方有义务在本单位中选派投标书中所列的项目组成员（必须要有技术负责人带队）参与服务工作，在本协议履行期间不得自行更换服务人员。</w:t>
      </w:r>
    </w:p>
    <w:p w14:paraId="3230294D">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9.乙方对其出具的成果报告真实性、合法性负责。</w:t>
      </w:r>
    </w:p>
    <w:p w14:paraId="18ED38D3">
      <w:pPr>
        <w:pStyle w:val="31"/>
        <w:shd w:val="clear"/>
        <w:tabs>
          <w:tab w:val="left" w:pos="840"/>
        </w:tabs>
        <w:spacing w:line="360" w:lineRule="auto"/>
        <w:ind w:firstLine="482" w:firstLineChars="200"/>
        <w:rPr>
          <w:rFonts w:hAnsi="宋体" w:cs="仿宋"/>
          <w:b/>
          <w:color w:val="auto"/>
          <w:kern w:val="0"/>
          <w:sz w:val="24"/>
          <w:szCs w:val="24"/>
          <w:highlight w:val="none"/>
        </w:rPr>
      </w:pPr>
      <w:r>
        <w:rPr>
          <w:rFonts w:hint="eastAsia" w:hAnsi="宋体" w:cs="仿宋"/>
          <w:b/>
          <w:color w:val="auto"/>
          <w:kern w:val="0"/>
          <w:sz w:val="24"/>
          <w:szCs w:val="24"/>
          <w:highlight w:val="none"/>
        </w:rPr>
        <w:t xml:space="preserve">七、入围供应商的清退和补充规则 </w:t>
      </w:r>
    </w:p>
    <w:p w14:paraId="773D8A8F">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1、清退规则：在下列情形下甲方有权清退入围供应商，而不需要承担任何责任：</w:t>
      </w:r>
    </w:p>
    <w:p w14:paraId="6FB208EA">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1）入围供应商实质性违反本协议约定的；</w:t>
      </w:r>
    </w:p>
    <w:p w14:paraId="57B9FF40">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 xml:space="preserve">2）入围供应商有违反合同约定或其职责、义务的行为，在采购人指定期限内未予以纠正或补救的； </w:t>
      </w:r>
    </w:p>
    <w:p w14:paraId="001B7F1D">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3）入围供应商资质吊销或注销的；</w:t>
      </w:r>
    </w:p>
    <w:p w14:paraId="509E7326">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4）入围供应商或其法定代表人、实际控制人、所派服务团队成员在从业过程中索贿、受贿或谋取合同外不正当利益的；</w:t>
      </w:r>
    </w:p>
    <w:p w14:paraId="5F5E904D">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5）入围供应商或法定代表人或实际控制人因存在违纪违规问题，受到刑事责任追究或被纪检部门、主管部门等追究责任的；</w:t>
      </w:r>
    </w:p>
    <w:p w14:paraId="1EFAFB89">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6）与第二阶段委托人或其他利害关系人串通，出具有虚假内容、误导性陈述或者重大遗漏的审计报告；</w:t>
      </w:r>
    </w:p>
    <w:p w14:paraId="14D219DC">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7）由于入围供应商严重失职或故意出具含有虚假、高估冒算、失实的审计报告，给第二阶段委托人造成重大经济损失的；</w:t>
      </w:r>
    </w:p>
    <w:p w14:paraId="68CB544F">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8）入围供应商或其法定代表人、实际控制人、所派服务团队成员泄漏在执业过程中知悉的国家秘密和他人的商业、技术秘密，造成重大经济损失或不良后果的；</w:t>
      </w:r>
    </w:p>
    <w:p w14:paraId="300213F3">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9）入围供应商或其法定代表人、实际控制人、所派服务团队成员有其他违背执业原则损害委托人利益的事项的。</w:t>
      </w:r>
    </w:p>
    <w:p w14:paraId="01397714">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10）入围供应商违背甲方制订的考核和管理的具体细则相关要求，造成严重不良影响或其它严重后果的。</w:t>
      </w:r>
    </w:p>
    <w:p w14:paraId="678A108C">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11）甲方制订的考核和管理的具体细则另有规定的。</w:t>
      </w:r>
    </w:p>
    <w:p w14:paraId="0B767A88">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12）确定入围供应商后，采购人有权对入围供应商提供的人员名单、注册证明、执业资格、人事关系、业绩材料等相关资料到相关部门和相关渠道进行核实，如投标文件存在虚假情况，则取消中标候选人的中标资格，存在违法违规行为的，由相关部门进行处理；</w:t>
      </w:r>
    </w:p>
    <w:p w14:paraId="2177EC95">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13）如遇到政策变化或者其他不可抗力因素，本协议自动解除。</w:t>
      </w:r>
    </w:p>
    <w:p w14:paraId="5C3B666E">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14）本协议有效期2年，若期满后，在未完成下一轮集中招标（采购）前，则可以继续提供服务。</w:t>
      </w:r>
    </w:p>
    <w:p w14:paraId="7E61EC96">
      <w:pPr>
        <w:pStyle w:val="31"/>
        <w:shd w:val="clear"/>
        <w:tabs>
          <w:tab w:val="left" w:pos="840"/>
        </w:tabs>
        <w:spacing w:line="360" w:lineRule="auto"/>
        <w:ind w:firstLine="480" w:firstLineChars="200"/>
        <w:rPr>
          <w:rFonts w:hAnsi="宋体" w:cs="仿宋"/>
          <w:color w:val="auto"/>
          <w:kern w:val="0"/>
          <w:sz w:val="24"/>
          <w:highlight w:val="none"/>
        </w:rPr>
      </w:pPr>
      <w:r>
        <w:rPr>
          <w:rFonts w:hint="eastAsia" w:hAnsi="宋体" w:cs="仿宋"/>
          <w:color w:val="auto"/>
          <w:kern w:val="0"/>
          <w:sz w:val="24"/>
          <w:szCs w:val="24"/>
          <w:highlight w:val="none"/>
        </w:rPr>
        <w:t>2、补充规则：如期限内累计解除框架协议家数达到本次框架协议入围供应商数量的30%以上，则以招标方式进行替补。</w:t>
      </w:r>
    </w:p>
    <w:p w14:paraId="47F13713">
      <w:pPr>
        <w:pStyle w:val="31"/>
        <w:shd w:val="clear"/>
        <w:tabs>
          <w:tab w:val="left" w:pos="840"/>
        </w:tabs>
        <w:spacing w:line="360" w:lineRule="auto"/>
        <w:ind w:firstLine="482" w:firstLineChars="200"/>
        <w:rPr>
          <w:rFonts w:hAnsi="宋体" w:cs="仿宋"/>
          <w:b/>
          <w:color w:val="auto"/>
          <w:kern w:val="0"/>
          <w:sz w:val="24"/>
          <w:szCs w:val="24"/>
          <w:highlight w:val="none"/>
        </w:rPr>
      </w:pPr>
      <w:r>
        <w:rPr>
          <w:rFonts w:hint="eastAsia" w:hAnsi="宋体" w:cs="仿宋"/>
          <w:b/>
          <w:color w:val="auto"/>
          <w:kern w:val="0"/>
          <w:sz w:val="24"/>
          <w:szCs w:val="24"/>
          <w:highlight w:val="none"/>
        </w:rPr>
        <w:t>八、争议解决方式</w:t>
      </w:r>
    </w:p>
    <w:p w14:paraId="1C0EB518">
      <w:pPr>
        <w:pStyle w:val="31"/>
        <w:tabs>
          <w:tab w:val="left" w:pos="840"/>
        </w:tabs>
        <w:snapToGrid w:val="0"/>
        <w:spacing w:line="360" w:lineRule="auto"/>
        <w:ind w:firstLine="480" w:firstLineChars="200"/>
        <w:rPr>
          <w:rFonts w:hAnsi="宋体" w:cs="仿宋"/>
          <w:b/>
          <w:color w:val="auto"/>
          <w:sz w:val="32"/>
          <w:highlight w:val="none"/>
        </w:rPr>
      </w:pPr>
      <w:r>
        <w:rPr>
          <w:rFonts w:hint="eastAsia" w:hAnsi="宋体" w:cs="仿宋"/>
          <w:color w:val="auto"/>
          <w:kern w:val="0"/>
          <w:sz w:val="24"/>
          <w:szCs w:val="24"/>
          <w:highlight w:val="none"/>
        </w:rPr>
        <w:t>本协议履行过程中发生的任何争议，双方当事人均可通过和解或者调解解决；不愿和解、调解或者和解、调解不成的，可以</w:t>
      </w:r>
      <w:r>
        <w:rPr>
          <w:rFonts w:hint="eastAsia" w:hAnsi="宋体" w:cs="仿宋"/>
          <w:color w:val="auto"/>
          <w:kern w:val="0"/>
          <w:sz w:val="24"/>
          <w:highlight w:val="none"/>
        </w:rPr>
        <w:t>将争议提交仲裁委员会申请仲裁，依现行有效仲裁规则裁决</w:t>
      </w:r>
      <w:r>
        <w:rPr>
          <w:rFonts w:hint="eastAsia" w:hAnsi="宋体" w:cs="宋体"/>
          <w:color w:val="auto"/>
          <w:sz w:val="24"/>
          <w:szCs w:val="24"/>
          <w:highlight w:val="none"/>
        </w:rPr>
        <w:t>或交由嵊州市人民法院管辖。</w:t>
      </w:r>
    </w:p>
    <w:p w14:paraId="0B00CB19">
      <w:pPr>
        <w:shd w:val="clear"/>
        <w:snapToGrid w:val="0"/>
        <w:spacing w:line="360" w:lineRule="auto"/>
        <w:jc w:val="center"/>
        <w:rPr>
          <w:rFonts w:ascii="宋体" w:hAnsi="宋体" w:cs="仿宋"/>
          <w:b/>
          <w:color w:val="auto"/>
          <w:sz w:val="28"/>
          <w:szCs w:val="28"/>
          <w:highlight w:val="none"/>
        </w:rPr>
      </w:pPr>
      <w:r>
        <w:rPr>
          <w:rFonts w:hint="eastAsia" w:ascii="宋体" w:hAnsi="宋体" w:cs="仿宋"/>
          <w:b/>
          <w:color w:val="auto"/>
          <w:sz w:val="32"/>
          <w:highlight w:val="none"/>
        </w:rPr>
        <w:t>二、商务要求</w:t>
      </w:r>
    </w:p>
    <w:p w14:paraId="12550184">
      <w:pPr>
        <w:widowControl/>
        <w:shd w:val="clear"/>
        <w:snapToGrid w:val="0"/>
        <w:spacing w:line="360" w:lineRule="auto"/>
        <w:rPr>
          <w:rFonts w:ascii="宋体" w:hAnsi="宋体" w:cs="仿宋"/>
          <w:b/>
          <w:bCs/>
          <w:color w:val="auto"/>
          <w:kern w:val="0"/>
          <w:sz w:val="24"/>
          <w:highlight w:val="none"/>
        </w:rPr>
      </w:pPr>
      <w:r>
        <w:rPr>
          <w:rFonts w:hint="eastAsia" w:ascii="宋体" w:hAnsi="宋体" w:cs="仿宋"/>
          <w:color w:val="auto"/>
          <w:sz w:val="24"/>
          <w:highlight w:val="none"/>
        </w:rPr>
        <w:t>▲1、</w:t>
      </w:r>
      <w:r>
        <w:rPr>
          <w:rFonts w:hint="eastAsia" w:ascii="宋体" w:hAnsi="宋体" w:cs="仿宋"/>
          <w:b/>
          <w:bCs/>
          <w:color w:val="auto"/>
          <w:kern w:val="0"/>
          <w:sz w:val="24"/>
          <w:highlight w:val="none"/>
        </w:rPr>
        <w:t>服务期限</w:t>
      </w:r>
    </w:p>
    <w:p w14:paraId="3E2D714E">
      <w:pPr>
        <w:pStyle w:val="31"/>
        <w:shd w:val="clear"/>
        <w:tabs>
          <w:tab w:val="left" w:pos="840"/>
        </w:tabs>
        <w:spacing w:line="360" w:lineRule="auto"/>
        <w:ind w:firstLine="480" w:firstLineChars="200"/>
        <w:rPr>
          <w:rFonts w:hAnsi="宋体" w:cs="仿宋"/>
          <w:color w:val="auto"/>
          <w:kern w:val="0"/>
          <w:sz w:val="24"/>
          <w:szCs w:val="24"/>
          <w:highlight w:val="none"/>
        </w:rPr>
      </w:pPr>
      <w:bookmarkStart w:id="78" w:name="OLE_LINK27"/>
      <w:bookmarkStart w:id="79" w:name="OLE_LINK28"/>
      <w:r>
        <w:rPr>
          <w:rFonts w:hint="eastAsia" w:hAnsi="宋体" w:cs="仿宋"/>
          <w:color w:val="auto"/>
          <w:kern w:val="0"/>
          <w:sz w:val="24"/>
          <w:highlight w:val="none"/>
        </w:rPr>
        <w:t>自本协议签订之日起至2027年7月31日止。若期满后，在未完成下一轮集中招标（采购）前，则可以继续提供服务。框架协议期内若有上级文件要求或最新规定需终止框架协议的，2026年8月1日起委托人有权决定是否终止框架协议。如期限内累计解除框架协议家数达到本次框架协议入围供应商数量的30%以上，则以招标方式进行替补。</w:t>
      </w:r>
      <w:bookmarkEnd w:id="78"/>
      <w:bookmarkEnd w:id="79"/>
    </w:p>
    <w:p w14:paraId="0440DA58">
      <w:pPr>
        <w:widowControl/>
        <w:shd w:val="clear"/>
        <w:snapToGrid w:val="0"/>
        <w:spacing w:line="360" w:lineRule="auto"/>
        <w:rPr>
          <w:rFonts w:ascii="宋体" w:hAnsi="宋体" w:cs="仿宋"/>
          <w:b/>
          <w:bCs/>
          <w:color w:val="auto"/>
          <w:sz w:val="24"/>
          <w:highlight w:val="none"/>
        </w:rPr>
      </w:pPr>
      <w:r>
        <w:rPr>
          <w:rFonts w:hint="eastAsia" w:ascii="宋体" w:hAnsi="宋体" w:cs="仿宋"/>
          <w:color w:val="auto"/>
          <w:sz w:val="24"/>
          <w:highlight w:val="none"/>
        </w:rPr>
        <w:t>▲</w:t>
      </w:r>
      <w:r>
        <w:rPr>
          <w:rFonts w:hint="eastAsia" w:ascii="宋体" w:hAnsi="宋体" w:cs="仿宋"/>
          <w:b/>
          <w:bCs/>
          <w:color w:val="auto"/>
          <w:sz w:val="24"/>
          <w:highlight w:val="none"/>
        </w:rPr>
        <w:t>2、数量调整</w:t>
      </w:r>
    </w:p>
    <w:p w14:paraId="7068FC3A">
      <w:pPr>
        <w:widowControl/>
        <w:shd w:val="clear"/>
        <w:snapToGrid w:val="0"/>
        <w:spacing w:line="360" w:lineRule="auto"/>
        <w:ind w:firstLine="480" w:firstLineChars="200"/>
        <w:rPr>
          <w:rFonts w:ascii="宋体" w:hAnsi="宋体" w:cs="仿宋"/>
          <w:color w:val="auto"/>
          <w:kern w:val="0"/>
          <w:sz w:val="24"/>
          <w:highlight w:val="none"/>
        </w:rPr>
      </w:pPr>
      <w:bookmarkStart w:id="80" w:name="OLE_LINK29"/>
      <w:bookmarkStart w:id="81" w:name="OLE_LINK30"/>
      <w:r>
        <w:rPr>
          <w:rFonts w:hint="eastAsia" w:ascii="宋体" w:hAnsi="宋体" w:cs="仿宋"/>
          <w:color w:val="auto"/>
          <w:kern w:val="0"/>
          <w:sz w:val="24"/>
          <w:highlight w:val="none"/>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征集没有涉及的服务时，由中标人提供申请，采购人确认后实施。</w:t>
      </w:r>
      <w:bookmarkEnd w:id="80"/>
      <w:bookmarkEnd w:id="81"/>
    </w:p>
    <w:p w14:paraId="65161105">
      <w:pPr>
        <w:pStyle w:val="31"/>
        <w:shd w:val="clear"/>
        <w:tabs>
          <w:tab w:val="left" w:pos="840"/>
        </w:tabs>
        <w:spacing w:line="360" w:lineRule="auto"/>
        <w:rPr>
          <w:rFonts w:hAnsi="宋体" w:cs="仿宋"/>
          <w:color w:val="auto"/>
          <w:kern w:val="0"/>
          <w:sz w:val="24"/>
          <w:highlight w:val="none"/>
        </w:rPr>
      </w:pPr>
      <w:r>
        <w:rPr>
          <w:rFonts w:hint="eastAsia" w:hAnsi="宋体" w:cs="仿宋"/>
          <w:color w:val="auto"/>
          <w:sz w:val="24"/>
          <w:highlight w:val="none"/>
        </w:rPr>
        <w:t>▲3、</w:t>
      </w:r>
      <w:r>
        <w:rPr>
          <w:rFonts w:hint="eastAsia" w:hAnsi="宋体" w:cs="仿宋"/>
          <w:b/>
          <w:bCs/>
          <w:color w:val="auto"/>
          <w:kern w:val="0"/>
          <w:sz w:val="24"/>
          <w:highlight w:val="none"/>
        </w:rPr>
        <w:t>收费标准：</w:t>
      </w:r>
      <w:r>
        <w:rPr>
          <w:rFonts w:hint="eastAsia" w:hAnsi="宋体" w:cs="仿宋"/>
          <w:color w:val="auto"/>
          <w:kern w:val="0"/>
          <w:sz w:val="24"/>
          <w:highlight w:val="none"/>
        </w:rPr>
        <w:t>工程预算（招标控制价）编制和预算审核、施工阶段全过程工程造价控制、竣工结算审核等咨询服务收费最高限额根据建设工程造价咨询服务收费标准*中标折扣率执行（中标折扣率</w:t>
      </w:r>
      <w:r>
        <w:rPr>
          <w:rFonts w:ascii="Arial" w:hAnsi="Arial"/>
          <w:color w:val="auto"/>
          <w:kern w:val="0"/>
          <w:sz w:val="24"/>
          <w:highlight w:val="none"/>
        </w:rPr>
        <w:t>≤</w:t>
      </w:r>
      <w:r>
        <w:rPr>
          <w:rFonts w:hint="eastAsia" w:hAnsi="宋体" w:cs="仿宋"/>
          <w:color w:val="auto"/>
          <w:kern w:val="0"/>
          <w:sz w:val="24"/>
          <w:highlight w:val="none"/>
        </w:rPr>
        <w:t>65%），不足2500元的按2500元收取，具体由建设单位根据市场调查在合同内确定。如建设单位委托施工阶段全过程工程造价控制咨询服务仅实施工程变更审核的，则最高限额按工程预算（招标控制价）审核收费标准*中标折扣率执行（中标折扣率</w:t>
      </w:r>
      <w:r>
        <w:rPr>
          <w:rFonts w:ascii="Arial" w:hAnsi="Arial"/>
          <w:color w:val="auto"/>
          <w:kern w:val="0"/>
          <w:sz w:val="24"/>
          <w:highlight w:val="none"/>
        </w:rPr>
        <w:t>≤</w:t>
      </w:r>
      <w:r>
        <w:rPr>
          <w:rFonts w:hint="eastAsia" w:hAnsi="宋体" w:cs="仿宋"/>
          <w:color w:val="auto"/>
          <w:kern w:val="0"/>
          <w:sz w:val="24"/>
          <w:highlight w:val="none"/>
        </w:rPr>
        <w:t>65%），收费基数为所有工程变更的累计送审额。咨询服务费包括钢筋及预埋件计算，不再另行计取相关费用。其它未在本款及建设工程造价咨询服务收费标准中明确的咨询服务收费，由建设单位根据市场调查在合同内确定。</w:t>
      </w:r>
    </w:p>
    <w:p w14:paraId="63185293">
      <w:pPr>
        <w:pStyle w:val="31"/>
        <w:shd w:val="clear"/>
        <w:tabs>
          <w:tab w:val="left" w:pos="840"/>
        </w:tabs>
        <w:spacing w:line="360" w:lineRule="auto"/>
        <w:ind w:firstLine="480" w:firstLineChars="200"/>
        <w:rPr>
          <w:rFonts w:hAnsi="宋体" w:cs="仿宋"/>
          <w:color w:val="auto"/>
          <w:kern w:val="0"/>
          <w:sz w:val="24"/>
          <w:highlight w:val="none"/>
        </w:rPr>
      </w:pPr>
      <w:r>
        <w:rPr>
          <w:rFonts w:hint="eastAsia" w:hAnsi="宋体" w:cs="仿宋"/>
          <w:color w:val="auto"/>
          <w:kern w:val="0"/>
          <w:sz w:val="24"/>
          <w:highlight w:val="none"/>
        </w:rPr>
        <w:t>工程造价咨询工程结算审核的追加费用，按核增额加上超过5%以外核减额之和的5%确定，由施工单位承担，具体由建设单位根据市场调查在合同内确定。</w:t>
      </w:r>
    </w:p>
    <w:p w14:paraId="61DF5F16">
      <w:pPr>
        <w:pStyle w:val="31"/>
        <w:shd w:val="clear"/>
        <w:tabs>
          <w:tab w:val="left" w:pos="840"/>
        </w:tabs>
        <w:spacing w:line="360" w:lineRule="auto"/>
        <w:ind w:firstLine="480" w:firstLineChars="200"/>
        <w:rPr>
          <w:rFonts w:hAnsi="宋体" w:cs="仿宋"/>
          <w:color w:val="auto"/>
          <w:kern w:val="0"/>
          <w:sz w:val="24"/>
          <w:highlight w:val="none"/>
        </w:rPr>
      </w:pPr>
      <w:r>
        <w:rPr>
          <w:rFonts w:hint="eastAsia" w:hAnsi="宋体" w:cs="仿宋"/>
          <w:color w:val="auto"/>
          <w:kern w:val="0"/>
          <w:sz w:val="24"/>
          <w:highlight w:val="none"/>
        </w:rPr>
        <w:t>建设单位内审复核产生的结算审核追加费用，由供应商承担。</w:t>
      </w:r>
    </w:p>
    <w:p w14:paraId="4CF75BA5">
      <w:pPr>
        <w:pStyle w:val="31"/>
        <w:shd w:val="clear"/>
        <w:tabs>
          <w:tab w:val="left" w:pos="840"/>
        </w:tabs>
        <w:spacing w:line="360" w:lineRule="auto"/>
        <w:ind w:firstLine="480" w:firstLineChars="200"/>
        <w:rPr>
          <w:rFonts w:hAnsi="宋体" w:cs="仿宋"/>
          <w:color w:val="auto"/>
          <w:kern w:val="0"/>
          <w:sz w:val="24"/>
          <w:highlight w:val="none"/>
        </w:rPr>
      </w:pPr>
      <w:r>
        <w:rPr>
          <w:rFonts w:hint="eastAsia" w:hAnsi="宋体" w:cs="仿宋"/>
          <w:color w:val="auto"/>
          <w:kern w:val="0"/>
          <w:sz w:val="24"/>
          <w:highlight w:val="none"/>
        </w:rPr>
        <w:t>审计质量抽查费及审计重大工程跟踪费按嵊州市政府投资项目审计中心相关内控制度执行。</w:t>
      </w:r>
    </w:p>
    <w:p w14:paraId="7A75BDE4">
      <w:pPr>
        <w:widowControl/>
        <w:shd w:val="clear"/>
        <w:snapToGrid w:val="0"/>
        <w:spacing w:line="360" w:lineRule="auto"/>
        <w:rPr>
          <w:rFonts w:ascii="宋体" w:hAnsi="宋体" w:cs="仿宋"/>
          <w:b/>
          <w:bCs/>
          <w:color w:val="auto"/>
          <w:kern w:val="0"/>
          <w:sz w:val="24"/>
          <w:highlight w:val="none"/>
        </w:rPr>
      </w:pPr>
      <w:r>
        <w:rPr>
          <w:rFonts w:hint="eastAsia" w:ascii="宋体" w:hAnsi="宋体" w:cs="仿宋"/>
          <w:color w:val="auto"/>
          <w:sz w:val="24"/>
          <w:highlight w:val="none"/>
        </w:rPr>
        <w:t>▲</w:t>
      </w:r>
      <w:r>
        <w:rPr>
          <w:rFonts w:hint="eastAsia" w:ascii="宋体" w:hAnsi="宋体" w:cs="仿宋"/>
          <w:b/>
          <w:bCs/>
          <w:color w:val="auto"/>
          <w:kern w:val="0"/>
          <w:sz w:val="24"/>
          <w:highlight w:val="none"/>
        </w:rPr>
        <w:t>4、付款方式</w:t>
      </w:r>
    </w:p>
    <w:p w14:paraId="3F4CF229">
      <w:pPr>
        <w:widowControl/>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kern w:val="0"/>
          <w:sz w:val="24"/>
          <w:highlight w:val="none"/>
        </w:rPr>
        <w:t>在咨询合同生效后，</w:t>
      </w:r>
      <w:r>
        <w:rPr>
          <w:rFonts w:hint="eastAsia" w:ascii="宋体" w:hAnsi="宋体" w:cs="仿宋"/>
          <w:color w:val="auto"/>
          <w:sz w:val="24"/>
          <w:highlight w:val="none"/>
        </w:rPr>
        <w:t>按照第二阶段委托人根据自身内控制度要求和合同约定进行支付。</w:t>
      </w:r>
    </w:p>
    <w:p w14:paraId="5F2F2D12">
      <w:pPr>
        <w:pStyle w:val="22"/>
        <w:shd w:val="clear"/>
        <w:ind w:firstLine="480" w:firstLineChars="200"/>
        <w:rPr>
          <w:rFonts w:hAnsi="宋体" w:cs="仿宋"/>
          <w:color w:val="auto"/>
          <w:kern w:val="0"/>
          <w:highlight w:val="none"/>
        </w:rPr>
      </w:pPr>
      <w:r>
        <w:rPr>
          <w:rFonts w:hint="eastAsia" w:hAnsi="宋体" w:cs="仿宋"/>
          <w:color w:val="auto"/>
          <w:szCs w:val="24"/>
          <w:highlight w:val="none"/>
        </w:rPr>
        <w:t>涉及中小企业合同的，付款根据浙财采监〔2022〕3号文件相关规定执行。</w:t>
      </w:r>
    </w:p>
    <w:p w14:paraId="6876415D">
      <w:pPr>
        <w:pStyle w:val="31"/>
        <w:shd w:val="clear"/>
        <w:tabs>
          <w:tab w:val="left" w:pos="840"/>
        </w:tabs>
        <w:spacing w:line="360" w:lineRule="auto"/>
        <w:rPr>
          <w:rFonts w:hAnsi="宋体" w:cs="仿宋"/>
          <w:b/>
          <w:bCs/>
          <w:color w:val="auto"/>
          <w:sz w:val="24"/>
          <w:szCs w:val="24"/>
          <w:highlight w:val="none"/>
        </w:rPr>
      </w:pPr>
      <w:r>
        <w:rPr>
          <w:rFonts w:hint="eastAsia" w:hAnsi="宋体" w:cs="仿宋"/>
          <w:b/>
          <w:bCs/>
          <w:color w:val="auto"/>
          <w:sz w:val="24"/>
          <w:szCs w:val="24"/>
          <w:highlight w:val="none"/>
        </w:rPr>
        <w:t>▲5</w:t>
      </w:r>
      <w:bookmarkStart w:id="82" w:name="OLE_LINK36"/>
      <w:bookmarkStart w:id="83" w:name="OLE_LINK31"/>
      <w:r>
        <w:rPr>
          <w:rFonts w:hint="eastAsia" w:hAnsi="宋体" w:cs="仿宋"/>
          <w:b/>
          <w:bCs/>
          <w:color w:val="auto"/>
          <w:sz w:val="24"/>
          <w:szCs w:val="24"/>
          <w:highlight w:val="none"/>
        </w:rPr>
        <w:t>、承接具体业务时人员要求</w:t>
      </w:r>
      <w:bookmarkEnd w:id="82"/>
      <w:bookmarkEnd w:id="83"/>
    </w:p>
    <w:p w14:paraId="52D08717">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入围供应商承接具体造价咨询业务时，承诺团队成员中至少配备对应造价主专业的注册造价师 2 名，其中至少配备 1 名一级造价师，否则不得承接相应专业的造价咨询业务。</w:t>
      </w:r>
    </w:p>
    <w:p w14:paraId="2FF6A421">
      <w:pPr>
        <w:shd w:val="clear"/>
        <w:spacing w:line="480" w:lineRule="exact"/>
        <w:ind w:firstLine="0"/>
        <w:rPr>
          <w:rFonts w:hAnsi="宋体" w:cs="仿宋"/>
          <w:b/>
          <w:bCs/>
          <w:color w:val="auto"/>
          <w:sz w:val="24"/>
          <w:highlight w:val="none"/>
        </w:rPr>
      </w:pPr>
      <w:r>
        <w:rPr>
          <w:rFonts w:hint="eastAsia" w:hAnsi="宋体" w:cs="仿宋"/>
          <w:b/>
          <w:bCs/>
          <w:color w:val="auto"/>
          <w:sz w:val="24"/>
          <w:highlight w:val="none"/>
        </w:rPr>
        <w:t>▲6、团队成员稳定要求</w:t>
      </w:r>
    </w:p>
    <w:p w14:paraId="3BD40FAD">
      <w:pPr>
        <w:shd w:val="clear"/>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sz w:val="24"/>
          <w:szCs w:val="24"/>
          <w:highlight w:val="none"/>
        </w:rPr>
        <w:t>入围供应商应确保团队成员稳定，团队成员在框架协议期内原则上不得替换和新增，确需要替换或新增的，需报征集人同意，</w:t>
      </w:r>
      <w:r>
        <w:rPr>
          <w:rFonts w:hint="eastAsia" w:ascii="宋体" w:hAnsi="宋体" w:cs="宋体"/>
          <w:b/>
          <w:bCs/>
          <w:color w:val="auto"/>
          <w:sz w:val="24"/>
          <w:highlight w:val="none"/>
        </w:rPr>
        <w:t>且在框架协议服务期内最多可替换3人、新增2人，</w:t>
      </w:r>
      <w:r>
        <w:rPr>
          <w:rFonts w:hint="eastAsia" w:ascii="宋体" w:hAnsi="宋体" w:cs="宋体"/>
          <w:b/>
          <w:bCs/>
          <w:color w:val="auto"/>
          <w:sz w:val="24"/>
          <w:szCs w:val="24"/>
          <w:highlight w:val="none"/>
        </w:rPr>
        <w:t>其中替换人员需具备同原团队成员一致或以上的投标资质（包括投标的证书及职称）、投标业绩数。</w:t>
      </w:r>
    </w:p>
    <w:p w14:paraId="607C9EAD">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框架协议服务期内，团队成员人数少于原投标团队成员的人数或资质、业绩水平低于原投标资质、业绩水平的情况时，征集人有权暂停入围供应商的业务承接。</w:t>
      </w:r>
    </w:p>
    <w:p w14:paraId="69BCDC7D">
      <w:pPr>
        <w:pStyle w:val="31"/>
        <w:shd w:val="clear"/>
        <w:tabs>
          <w:tab w:val="left" w:pos="840"/>
        </w:tabs>
        <w:spacing w:line="360" w:lineRule="auto"/>
        <w:rPr>
          <w:rFonts w:hAnsi="宋体" w:cs="仿宋"/>
          <w:b/>
          <w:color w:val="auto"/>
          <w:kern w:val="0"/>
          <w:sz w:val="24"/>
          <w:szCs w:val="24"/>
          <w:highlight w:val="none"/>
        </w:rPr>
      </w:pPr>
      <w:r>
        <w:rPr>
          <w:rFonts w:hint="eastAsia" w:hAnsi="宋体" w:cs="仿宋"/>
          <w:color w:val="auto"/>
          <w:szCs w:val="24"/>
          <w:highlight w:val="none"/>
        </w:rPr>
        <w:t>▲</w:t>
      </w:r>
      <w:r>
        <w:rPr>
          <w:rFonts w:hint="eastAsia" w:hAnsi="宋体" w:cs="仿宋"/>
          <w:b/>
          <w:color w:val="auto"/>
          <w:kern w:val="0"/>
          <w:sz w:val="24"/>
          <w:szCs w:val="24"/>
          <w:highlight w:val="none"/>
        </w:rPr>
        <w:t>7、</w:t>
      </w:r>
      <w:bookmarkStart w:id="84" w:name="OLE_LINK35"/>
      <w:bookmarkStart w:id="85" w:name="OLE_LINK32"/>
      <w:r>
        <w:rPr>
          <w:rFonts w:hint="eastAsia" w:hAnsi="宋体" w:cs="仿宋"/>
          <w:b/>
          <w:color w:val="auto"/>
          <w:kern w:val="0"/>
          <w:sz w:val="24"/>
          <w:szCs w:val="24"/>
          <w:highlight w:val="none"/>
        </w:rPr>
        <w:t>业务承接与考核管理</w:t>
      </w:r>
    </w:p>
    <w:p w14:paraId="0FB1A2B4">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确定第二阶段成交供应商的方式为直接选定，具体由第二阶段委托人根据内部管理规定直接选定。入围供应商在第二阶段被选定后需无条件接受。</w:t>
      </w:r>
    </w:p>
    <w:p w14:paraId="7CF0B743">
      <w:pPr>
        <w:pStyle w:val="31"/>
        <w:shd w:val="clear"/>
        <w:tabs>
          <w:tab w:val="left" w:pos="840"/>
        </w:tabs>
        <w:spacing w:line="360" w:lineRule="auto"/>
        <w:ind w:firstLine="480" w:firstLineChars="20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134" w:bottom="468" w:left="1134" w:header="851" w:footer="992" w:gutter="0"/>
          <w:cols w:space="720" w:num="1"/>
          <w:titlePg/>
          <w:docGrid w:linePitch="312" w:charSpace="0"/>
        </w:sectPr>
      </w:pPr>
      <w:r>
        <w:rPr>
          <w:rFonts w:hint="eastAsia" w:hAnsi="宋体" w:cs="仿宋"/>
          <w:color w:val="auto"/>
          <w:kern w:val="0"/>
          <w:sz w:val="24"/>
          <w:szCs w:val="24"/>
          <w:highlight w:val="none"/>
        </w:rPr>
        <w:t>由征集人制订对入围供应商的考核和管理的具体细则，考核和管理包括且不限于团队水平、业务质量、响应能力、服务时限、廉洁执业、业主评价等方面的内容，并由征集人组织对入围供应商进行考核和管理，入围供应商需无条件配合。如考核和管理的具体细则有更新，入围供应商无条件按更新后的细则执行。</w:t>
      </w:r>
    </w:p>
    <w:bookmarkEnd w:id="53"/>
    <w:bookmarkEnd w:id="54"/>
    <w:bookmarkEnd w:id="84"/>
    <w:bookmarkEnd w:id="85"/>
    <w:p w14:paraId="59E7D648">
      <w:pPr>
        <w:shd w:val="clear"/>
        <w:spacing w:line="360" w:lineRule="auto"/>
        <w:rPr>
          <w:rFonts w:ascii="仿宋_GB2312" w:hAnsi="宋体" w:eastAsia="仿宋_GB2312"/>
          <w:color w:val="auto"/>
          <w:sz w:val="32"/>
          <w:szCs w:val="32"/>
          <w:highlight w:val="none"/>
        </w:rPr>
      </w:pPr>
      <w:bookmarkStart w:id="86" w:name="第四部分"/>
      <w:r>
        <w:rPr>
          <w:rFonts w:hint="eastAsia" w:ascii="仿宋_GB2312" w:hAnsi="宋体" w:eastAsia="仿宋_GB2312"/>
          <w:color w:val="auto"/>
          <w:sz w:val="32"/>
          <w:szCs w:val="32"/>
          <w:highlight w:val="none"/>
        </w:rPr>
        <w:t>附件</w:t>
      </w:r>
    </w:p>
    <w:p w14:paraId="15479ED1">
      <w:pPr>
        <w:shd w:val="clea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建设工程造价咨询服务收费标准</w:t>
      </w:r>
    </w:p>
    <w:p w14:paraId="595718EF">
      <w:pPr>
        <w:shd w:val="clear"/>
        <w:spacing w:line="360" w:lineRule="auto"/>
        <w:jc w:val="right"/>
        <w:rPr>
          <w:rFonts w:ascii="仿宋_GB2312" w:hAnsi="宋体" w:eastAsia="仿宋_GB2312"/>
          <w:color w:val="auto"/>
          <w:szCs w:val="21"/>
          <w:highlight w:val="none"/>
        </w:rPr>
      </w:pPr>
      <w:r>
        <w:rPr>
          <w:rFonts w:hint="eastAsia" w:ascii="仿宋_GB2312" w:hAnsi="宋体" w:eastAsia="仿宋_GB2312"/>
          <w:color w:val="auto"/>
          <w:szCs w:val="21"/>
          <w:highlight w:val="none"/>
        </w:rPr>
        <w:t>费率：‰</w:t>
      </w:r>
    </w:p>
    <w:tbl>
      <w:tblPr>
        <w:tblStyle w:val="60"/>
        <w:tblW w:w="13730" w:type="dxa"/>
        <w:jc w:val="center"/>
        <w:tblLayout w:type="fixed"/>
        <w:tblCellMar>
          <w:top w:w="0" w:type="dxa"/>
          <w:left w:w="0" w:type="dxa"/>
          <w:bottom w:w="0" w:type="dxa"/>
          <w:right w:w="0" w:type="dxa"/>
        </w:tblCellMar>
      </w:tblPr>
      <w:tblGrid>
        <w:gridCol w:w="669"/>
        <w:gridCol w:w="769"/>
        <w:gridCol w:w="2781"/>
        <w:gridCol w:w="2251"/>
        <w:gridCol w:w="1036"/>
        <w:gridCol w:w="1037"/>
        <w:gridCol w:w="1036"/>
        <w:gridCol w:w="1037"/>
        <w:gridCol w:w="1036"/>
        <w:gridCol w:w="1041"/>
        <w:gridCol w:w="1037"/>
      </w:tblGrid>
      <w:tr w14:paraId="0746FF12">
        <w:tblPrEx>
          <w:tblCellMar>
            <w:top w:w="0" w:type="dxa"/>
            <w:left w:w="0" w:type="dxa"/>
            <w:bottom w:w="0" w:type="dxa"/>
            <w:right w:w="0" w:type="dxa"/>
          </w:tblCellMar>
        </w:tblPrEx>
        <w:trPr>
          <w:cantSplit/>
          <w:trHeight w:val="510"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ign w:val="center"/>
          </w:tcPr>
          <w:p w14:paraId="67BCA667">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序号</w:t>
            </w:r>
          </w:p>
        </w:tc>
        <w:tc>
          <w:tcPr>
            <w:tcW w:w="355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7496D7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咨询项目</w:t>
            </w:r>
          </w:p>
        </w:tc>
        <w:tc>
          <w:tcPr>
            <w:tcW w:w="2251" w:type="dxa"/>
            <w:vMerge w:val="restart"/>
            <w:tcBorders>
              <w:top w:val="single" w:color="auto" w:sz="4" w:space="0"/>
              <w:left w:val="single" w:color="auto" w:sz="4" w:space="0"/>
              <w:bottom w:val="single" w:color="auto" w:sz="4" w:space="0"/>
              <w:right w:val="single" w:color="auto" w:sz="4" w:space="0"/>
            </w:tcBorders>
            <w:noWrap/>
            <w:vAlign w:val="center"/>
          </w:tcPr>
          <w:p w14:paraId="4089F98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收费基数</w:t>
            </w:r>
          </w:p>
        </w:tc>
        <w:tc>
          <w:tcPr>
            <w:tcW w:w="7260" w:type="dxa"/>
            <w:gridSpan w:val="7"/>
            <w:tcBorders>
              <w:top w:val="single" w:color="auto" w:sz="4" w:space="0"/>
              <w:left w:val="nil"/>
              <w:bottom w:val="single" w:color="auto" w:sz="4" w:space="0"/>
              <w:right w:val="single" w:color="auto" w:sz="4" w:space="0"/>
            </w:tcBorders>
            <w:noWrap/>
            <w:vAlign w:val="center"/>
          </w:tcPr>
          <w:p w14:paraId="400BFB8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分档累进计费标准</w:t>
            </w:r>
          </w:p>
        </w:tc>
      </w:tr>
      <w:tr w14:paraId="576F4608">
        <w:tblPrEx>
          <w:tblCellMar>
            <w:top w:w="0" w:type="dxa"/>
            <w:left w:w="0" w:type="dxa"/>
            <w:bottom w:w="0" w:type="dxa"/>
            <w:right w:w="0" w:type="dxa"/>
          </w:tblCellMar>
        </w:tblPrEx>
        <w:trPr>
          <w:cantSplit/>
          <w:trHeight w:val="51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ign w:val="center"/>
          </w:tcPr>
          <w:p w14:paraId="6E19BCA5">
            <w:pPr>
              <w:widowControl/>
              <w:shd w:val="clear"/>
              <w:spacing w:line="240" w:lineRule="exact"/>
              <w:jc w:val="left"/>
              <w:rPr>
                <w:rFonts w:ascii="宋体" w:hAnsi="宋体" w:cs="宋体"/>
                <w:color w:val="auto"/>
                <w:kern w:val="0"/>
                <w:szCs w:val="21"/>
                <w:highlight w:val="none"/>
              </w:rPr>
            </w:pPr>
          </w:p>
        </w:tc>
        <w:tc>
          <w:tcPr>
            <w:tcW w:w="355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4C42E29">
            <w:pPr>
              <w:widowControl/>
              <w:shd w:val="clear"/>
              <w:spacing w:line="240" w:lineRule="exact"/>
              <w:jc w:val="left"/>
              <w:rPr>
                <w:rFonts w:ascii="宋体" w:hAnsi="宋体" w:cs="宋体"/>
                <w:color w:val="auto"/>
                <w:kern w:val="0"/>
                <w:szCs w:val="21"/>
                <w:highlight w:val="none"/>
              </w:rPr>
            </w:pPr>
          </w:p>
        </w:tc>
        <w:tc>
          <w:tcPr>
            <w:tcW w:w="2251" w:type="dxa"/>
            <w:vMerge w:val="continue"/>
            <w:tcBorders>
              <w:top w:val="single" w:color="auto" w:sz="4" w:space="0"/>
              <w:left w:val="single" w:color="auto" w:sz="4" w:space="0"/>
              <w:bottom w:val="single" w:color="auto" w:sz="4" w:space="0"/>
              <w:right w:val="single" w:color="auto" w:sz="4" w:space="0"/>
            </w:tcBorders>
            <w:noWrap/>
            <w:vAlign w:val="center"/>
          </w:tcPr>
          <w:p w14:paraId="5A713D47">
            <w:pPr>
              <w:widowControl/>
              <w:shd w:val="clear"/>
              <w:spacing w:line="240" w:lineRule="exact"/>
              <w:jc w:val="left"/>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1F12CAB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100（含）万元 以内</w:t>
            </w:r>
          </w:p>
        </w:tc>
        <w:tc>
          <w:tcPr>
            <w:tcW w:w="1037" w:type="dxa"/>
            <w:tcBorders>
              <w:top w:val="nil"/>
              <w:left w:val="nil"/>
              <w:bottom w:val="single" w:color="auto" w:sz="4" w:space="0"/>
              <w:right w:val="single" w:color="auto" w:sz="4" w:space="0"/>
            </w:tcBorders>
            <w:noWrap/>
            <w:vAlign w:val="center"/>
          </w:tcPr>
          <w:p w14:paraId="7922CFB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100-500（含）万元</w:t>
            </w:r>
          </w:p>
        </w:tc>
        <w:tc>
          <w:tcPr>
            <w:tcW w:w="1036" w:type="dxa"/>
            <w:tcBorders>
              <w:top w:val="nil"/>
              <w:left w:val="nil"/>
              <w:bottom w:val="single" w:color="auto" w:sz="4" w:space="0"/>
              <w:right w:val="single" w:color="auto" w:sz="4" w:space="0"/>
            </w:tcBorders>
            <w:noWrap/>
            <w:vAlign w:val="center"/>
          </w:tcPr>
          <w:p w14:paraId="1E0C3B6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500—1000（含）万元</w:t>
            </w:r>
          </w:p>
        </w:tc>
        <w:tc>
          <w:tcPr>
            <w:tcW w:w="1037" w:type="dxa"/>
            <w:tcBorders>
              <w:top w:val="nil"/>
              <w:left w:val="nil"/>
              <w:bottom w:val="single" w:color="auto" w:sz="4" w:space="0"/>
              <w:right w:val="single" w:color="auto" w:sz="4" w:space="0"/>
            </w:tcBorders>
            <w:noWrap/>
            <w:vAlign w:val="center"/>
          </w:tcPr>
          <w:p w14:paraId="5F7B77A0">
            <w:pPr>
              <w:widowControl/>
              <w:shd w:val="clear"/>
              <w:spacing w:before="100" w:beforeAutospacing="1" w:after="100" w:afterAutospacing="1" w:line="24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1000—2000（含）万元 </w:t>
            </w:r>
          </w:p>
        </w:tc>
        <w:tc>
          <w:tcPr>
            <w:tcW w:w="1036" w:type="dxa"/>
            <w:tcBorders>
              <w:top w:val="nil"/>
              <w:left w:val="nil"/>
              <w:bottom w:val="single" w:color="auto" w:sz="4" w:space="0"/>
              <w:right w:val="single" w:color="auto" w:sz="4" w:space="0"/>
            </w:tcBorders>
            <w:noWrap/>
            <w:vAlign w:val="center"/>
          </w:tcPr>
          <w:p w14:paraId="337187EA">
            <w:pPr>
              <w:widowControl/>
              <w:shd w:val="clear"/>
              <w:spacing w:before="100" w:beforeAutospacing="1" w:after="100" w:afterAutospacing="1" w:line="24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2000—5000（含）万元 </w:t>
            </w:r>
          </w:p>
        </w:tc>
        <w:tc>
          <w:tcPr>
            <w:tcW w:w="1041" w:type="dxa"/>
            <w:tcBorders>
              <w:top w:val="nil"/>
              <w:left w:val="nil"/>
              <w:bottom w:val="single" w:color="auto" w:sz="4" w:space="0"/>
              <w:right w:val="single" w:color="auto" w:sz="4" w:space="0"/>
            </w:tcBorders>
            <w:noWrap/>
            <w:vAlign w:val="center"/>
          </w:tcPr>
          <w:p w14:paraId="335D5DEF">
            <w:pPr>
              <w:widowControl/>
              <w:shd w:val="clear"/>
              <w:spacing w:before="100" w:beforeAutospacing="1" w:after="100" w:afterAutospacing="1" w:line="24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5000-10000（含）万元 </w:t>
            </w:r>
          </w:p>
        </w:tc>
        <w:tc>
          <w:tcPr>
            <w:tcW w:w="1037" w:type="dxa"/>
            <w:tcBorders>
              <w:top w:val="nil"/>
              <w:left w:val="nil"/>
              <w:bottom w:val="single" w:color="auto" w:sz="4" w:space="0"/>
              <w:right w:val="single" w:color="auto" w:sz="4" w:space="0"/>
            </w:tcBorders>
            <w:noWrap/>
            <w:vAlign w:val="center"/>
          </w:tcPr>
          <w:p w14:paraId="70C839C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10000万元以上</w:t>
            </w:r>
          </w:p>
        </w:tc>
      </w:tr>
      <w:tr w14:paraId="37A46657">
        <w:tblPrEx>
          <w:tblCellMar>
            <w:top w:w="0" w:type="dxa"/>
            <w:left w:w="0" w:type="dxa"/>
            <w:bottom w:w="0" w:type="dxa"/>
            <w:right w:w="0" w:type="dxa"/>
          </w:tblCellMar>
        </w:tblPrEx>
        <w:trPr>
          <w:cantSplit/>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411A242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9" w:type="dxa"/>
            <w:vMerge w:val="restart"/>
            <w:tcBorders>
              <w:top w:val="nil"/>
              <w:left w:val="single" w:color="auto" w:sz="4" w:space="0"/>
              <w:bottom w:val="single" w:color="auto" w:sz="4" w:space="0"/>
              <w:right w:val="single" w:color="auto" w:sz="4" w:space="0"/>
            </w:tcBorders>
            <w:noWrap/>
            <w:vAlign w:val="center"/>
          </w:tcPr>
          <w:p w14:paraId="0D78550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清单 </w:t>
            </w:r>
          </w:p>
          <w:p w14:paraId="7B05409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计价</w:t>
            </w:r>
          </w:p>
          <w:p w14:paraId="5701FB05">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法</w:t>
            </w:r>
          </w:p>
        </w:tc>
        <w:tc>
          <w:tcPr>
            <w:tcW w:w="2781" w:type="dxa"/>
            <w:tcBorders>
              <w:top w:val="nil"/>
              <w:left w:val="nil"/>
              <w:bottom w:val="single" w:color="auto" w:sz="4" w:space="0"/>
              <w:right w:val="single" w:color="auto" w:sz="4" w:space="0"/>
            </w:tcBorders>
            <w:noWrap/>
            <w:vAlign w:val="center"/>
          </w:tcPr>
          <w:p w14:paraId="7E445B9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工程量清单单独编制或审核</w:t>
            </w:r>
          </w:p>
        </w:tc>
        <w:tc>
          <w:tcPr>
            <w:tcW w:w="2251" w:type="dxa"/>
            <w:vMerge w:val="restart"/>
            <w:tcBorders>
              <w:top w:val="nil"/>
              <w:left w:val="nil"/>
              <w:right w:val="single" w:color="auto" w:sz="4" w:space="0"/>
            </w:tcBorders>
            <w:noWrap/>
            <w:vAlign w:val="center"/>
          </w:tcPr>
          <w:p w14:paraId="26F33A74">
            <w:pPr>
              <w:widowControl/>
              <w:shd w:val="clear"/>
              <w:spacing w:before="100" w:beforeAutospacing="1" w:after="100" w:afterAutospacing="1" w:line="240" w:lineRule="exact"/>
              <w:jc w:val="center"/>
              <w:rPr>
                <w:rFonts w:ascii="宋体" w:hAnsi="宋体" w:cs="宋体"/>
                <w:color w:val="auto"/>
                <w:kern w:val="0"/>
                <w:szCs w:val="21"/>
                <w:highlight w:val="none"/>
              </w:rPr>
            </w:pPr>
          </w:p>
          <w:p w14:paraId="434FC30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最终预算(招标控制价）金额</w:t>
            </w:r>
          </w:p>
          <w:p w14:paraId="3803E9F9">
            <w:pPr>
              <w:widowControl/>
              <w:shd w:val="clear"/>
              <w:spacing w:before="100" w:beforeAutospacing="1" w:after="100" w:afterAutospacing="1" w:line="240" w:lineRule="exact"/>
              <w:jc w:val="center"/>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606A2F8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1037" w:type="dxa"/>
            <w:tcBorders>
              <w:top w:val="nil"/>
              <w:left w:val="nil"/>
              <w:bottom w:val="single" w:color="auto" w:sz="4" w:space="0"/>
              <w:right w:val="single" w:color="auto" w:sz="4" w:space="0"/>
            </w:tcBorders>
            <w:noWrap/>
            <w:vAlign w:val="center"/>
          </w:tcPr>
          <w:p w14:paraId="26688DB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036" w:type="dxa"/>
            <w:tcBorders>
              <w:top w:val="nil"/>
              <w:left w:val="nil"/>
              <w:bottom w:val="single" w:color="auto" w:sz="4" w:space="0"/>
              <w:right w:val="single" w:color="auto" w:sz="4" w:space="0"/>
            </w:tcBorders>
            <w:noWrap/>
            <w:vAlign w:val="center"/>
          </w:tcPr>
          <w:p w14:paraId="5C447707">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37" w:type="dxa"/>
            <w:tcBorders>
              <w:top w:val="nil"/>
              <w:left w:val="nil"/>
              <w:bottom w:val="single" w:color="auto" w:sz="4" w:space="0"/>
              <w:right w:val="single" w:color="auto" w:sz="4" w:space="0"/>
            </w:tcBorders>
            <w:noWrap/>
            <w:vAlign w:val="center"/>
          </w:tcPr>
          <w:p w14:paraId="6B663BE7">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036" w:type="dxa"/>
            <w:tcBorders>
              <w:top w:val="nil"/>
              <w:left w:val="nil"/>
              <w:bottom w:val="single" w:color="auto" w:sz="4" w:space="0"/>
              <w:right w:val="single" w:color="auto" w:sz="4" w:space="0"/>
            </w:tcBorders>
            <w:noWrap/>
            <w:vAlign w:val="center"/>
          </w:tcPr>
          <w:p w14:paraId="415E4A9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41" w:type="dxa"/>
            <w:tcBorders>
              <w:top w:val="single" w:color="auto" w:sz="4" w:space="0"/>
              <w:left w:val="nil"/>
              <w:bottom w:val="single" w:color="auto" w:sz="4" w:space="0"/>
              <w:right w:val="single" w:color="auto" w:sz="4" w:space="0"/>
            </w:tcBorders>
            <w:noWrap/>
            <w:vAlign w:val="center"/>
          </w:tcPr>
          <w:p w14:paraId="2C88B99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37" w:type="dxa"/>
            <w:tcBorders>
              <w:top w:val="single" w:color="auto" w:sz="4" w:space="0"/>
              <w:left w:val="nil"/>
              <w:bottom w:val="single" w:color="auto" w:sz="4" w:space="0"/>
              <w:right w:val="single" w:color="auto" w:sz="4" w:space="0"/>
            </w:tcBorders>
            <w:noWrap/>
            <w:vAlign w:val="center"/>
          </w:tcPr>
          <w:p w14:paraId="3E24CD7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r>
      <w:tr w14:paraId="27736799">
        <w:tblPrEx>
          <w:tblCellMar>
            <w:top w:w="0" w:type="dxa"/>
            <w:left w:w="0" w:type="dxa"/>
            <w:bottom w:w="0" w:type="dxa"/>
            <w:right w:w="0" w:type="dxa"/>
          </w:tblCellMar>
        </w:tblPrEx>
        <w:trPr>
          <w:cantSplit/>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4AA262B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69" w:type="dxa"/>
            <w:vMerge w:val="continue"/>
            <w:tcBorders>
              <w:top w:val="nil"/>
              <w:left w:val="single" w:color="auto" w:sz="4" w:space="0"/>
              <w:bottom w:val="single" w:color="auto" w:sz="4" w:space="0"/>
              <w:right w:val="single" w:color="auto" w:sz="4" w:space="0"/>
            </w:tcBorders>
            <w:noWrap/>
            <w:vAlign w:val="center"/>
          </w:tcPr>
          <w:p w14:paraId="1F8269E5">
            <w:pPr>
              <w:widowControl/>
              <w:shd w:val="clear"/>
              <w:spacing w:line="240" w:lineRule="exact"/>
              <w:jc w:val="left"/>
              <w:rPr>
                <w:rFonts w:ascii="宋体" w:hAnsi="宋体" w:cs="宋体"/>
                <w:color w:val="auto"/>
                <w:kern w:val="0"/>
                <w:szCs w:val="21"/>
                <w:highlight w:val="none"/>
              </w:rPr>
            </w:pPr>
          </w:p>
        </w:tc>
        <w:tc>
          <w:tcPr>
            <w:tcW w:w="2781" w:type="dxa"/>
            <w:tcBorders>
              <w:top w:val="nil"/>
              <w:left w:val="nil"/>
              <w:bottom w:val="single" w:color="auto" w:sz="4" w:space="0"/>
              <w:right w:val="single" w:color="auto" w:sz="4" w:space="0"/>
            </w:tcBorders>
            <w:noWrap/>
            <w:vAlign w:val="center"/>
          </w:tcPr>
          <w:p w14:paraId="1E446AB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工程量清单及预算、招标控制价的编制或审核</w:t>
            </w:r>
          </w:p>
        </w:tc>
        <w:tc>
          <w:tcPr>
            <w:tcW w:w="2251" w:type="dxa"/>
            <w:vMerge w:val="continue"/>
            <w:tcBorders>
              <w:left w:val="nil"/>
              <w:right w:val="single" w:color="auto" w:sz="4" w:space="0"/>
            </w:tcBorders>
            <w:noWrap/>
            <w:vAlign w:val="center"/>
          </w:tcPr>
          <w:p w14:paraId="397AC8EE">
            <w:pPr>
              <w:widowControl/>
              <w:shd w:val="clear"/>
              <w:spacing w:before="100" w:beforeAutospacing="1" w:after="100" w:afterAutospacing="1" w:line="240" w:lineRule="exact"/>
              <w:jc w:val="center"/>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78A76FC5">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037" w:type="dxa"/>
            <w:tcBorders>
              <w:top w:val="nil"/>
              <w:left w:val="nil"/>
              <w:bottom w:val="single" w:color="auto" w:sz="4" w:space="0"/>
              <w:right w:val="single" w:color="auto" w:sz="4" w:space="0"/>
            </w:tcBorders>
            <w:noWrap/>
            <w:vAlign w:val="center"/>
          </w:tcPr>
          <w:p w14:paraId="5C634909">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036" w:type="dxa"/>
            <w:tcBorders>
              <w:top w:val="nil"/>
              <w:left w:val="nil"/>
              <w:bottom w:val="single" w:color="auto" w:sz="4" w:space="0"/>
              <w:right w:val="single" w:color="auto" w:sz="4" w:space="0"/>
            </w:tcBorders>
            <w:noWrap/>
            <w:vAlign w:val="center"/>
          </w:tcPr>
          <w:p w14:paraId="6BBFE27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037" w:type="dxa"/>
            <w:tcBorders>
              <w:top w:val="nil"/>
              <w:left w:val="nil"/>
              <w:bottom w:val="single" w:color="auto" w:sz="4" w:space="0"/>
              <w:right w:val="single" w:color="auto" w:sz="4" w:space="0"/>
            </w:tcBorders>
            <w:noWrap/>
            <w:vAlign w:val="center"/>
          </w:tcPr>
          <w:p w14:paraId="001383B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036" w:type="dxa"/>
            <w:tcBorders>
              <w:top w:val="nil"/>
              <w:left w:val="nil"/>
              <w:bottom w:val="single" w:color="auto" w:sz="4" w:space="0"/>
              <w:right w:val="single" w:color="auto" w:sz="4" w:space="0"/>
            </w:tcBorders>
            <w:noWrap/>
            <w:vAlign w:val="center"/>
          </w:tcPr>
          <w:p w14:paraId="3DD831F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041" w:type="dxa"/>
            <w:tcBorders>
              <w:top w:val="single" w:color="auto" w:sz="4" w:space="0"/>
              <w:left w:val="nil"/>
              <w:bottom w:val="single" w:color="auto" w:sz="4" w:space="0"/>
              <w:right w:val="single" w:color="auto" w:sz="4" w:space="0"/>
            </w:tcBorders>
            <w:noWrap/>
            <w:vAlign w:val="center"/>
          </w:tcPr>
          <w:p w14:paraId="5A838F8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37" w:type="dxa"/>
            <w:tcBorders>
              <w:top w:val="single" w:color="auto" w:sz="4" w:space="0"/>
              <w:left w:val="nil"/>
              <w:bottom w:val="single" w:color="auto" w:sz="4" w:space="0"/>
              <w:right w:val="single" w:color="auto" w:sz="4" w:space="0"/>
            </w:tcBorders>
            <w:noWrap/>
            <w:vAlign w:val="center"/>
          </w:tcPr>
          <w:p w14:paraId="3052650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r>
      <w:tr w14:paraId="634D0E71">
        <w:tblPrEx>
          <w:tblCellMar>
            <w:top w:w="0" w:type="dxa"/>
            <w:left w:w="0" w:type="dxa"/>
            <w:bottom w:w="0" w:type="dxa"/>
            <w:right w:w="0" w:type="dxa"/>
          </w:tblCellMar>
        </w:tblPrEx>
        <w:trPr>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2E0929A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69" w:type="dxa"/>
            <w:tcBorders>
              <w:top w:val="nil"/>
              <w:left w:val="single" w:color="auto" w:sz="4" w:space="0"/>
              <w:bottom w:val="single" w:color="auto" w:sz="4" w:space="0"/>
              <w:right w:val="single" w:color="auto" w:sz="4" w:space="0"/>
            </w:tcBorders>
            <w:noWrap/>
            <w:vAlign w:val="center"/>
          </w:tcPr>
          <w:p w14:paraId="2A30C44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定额计价法</w:t>
            </w:r>
          </w:p>
        </w:tc>
        <w:tc>
          <w:tcPr>
            <w:tcW w:w="2781" w:type="dxa"/>
            <w:tcBorders>
              <w:top w:val="nil"/>
              <w:left w:val="nil"/>
              <w:bottom w:val="single" w:color="auto" w:sz="4" w:space="0"/>
              <w:right w:val="single" w:color="auto" w:sz="4" w:space="0"/>
            </w:tcBorders>
            <w:noWrap/>
            <w:vAlign w:val="center"/>
          </w:tcPr>
          <w:p w14:paraId="1021FA3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预算、招标控制价、投标报价的编制或审核</w:t>
            </w:r>
          </w:p>
        </w:tc>
        <w:tc>
          <w:tcPr>
            <w:tcW w:w="2251" w:type="dxa"/>
            <w:vMerge w:val="continue"/>
            <w:tcBorders>
              <w:left w:val="nil"/>
              <w:bottom w:val="single" w:color="auto" w:sz="4" w:space="0"/>
              <w:right w:val="single" w:color="auto" w:sz="4" w:space="0"/>
            </w:tcBorders>
            <w:noWrap/>
            <w:vAlign w:val="center"/>
          </w:tcPr>
          <w:p w14:paraId="545E1286">
            <w:pPr>
              <w:widowControl/>
              <w:shd w:val="clear"/>
              <w:spacing w:before="100" w:beforeAutospacing="1" w:after="100" w:afterAutospacing="1" w:line="240" w:lineRule="exact"/>
              <w:jc w:val="center"/>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729B7D27">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037" w:type="dxa"/>
            <w:tcBorders>
              <w:top w:val="nil"/>
              <w:left w:val="nil"/>
              <w:bottom w:val="single" w:color="auto" w:sz="4" w:space="0"/>
              <w:right w:val="single" w:color="auto" w:sz="4" w:space="0"/>
            </w:tcBorders>
            <w:noWrap/>
            <w:vAlign w:val="center"/>
          </w:tcPr>
          <w:p w14:paraId="20EBF87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36" w:type="dxa"/>
            <w:tcBorders>
              <w:top w:val="nil"/>
              <w:left w:val="nil"/>
              <w:bottom w:val="single" w:color="auto" w:sz="4" w:space="0"/>
              <w:right w:val="single" w:color="auto" w:sz="4" w:space="0"/>
            </w:tcBorders>
            <w:noWrap/>
            <w:vAlign w:val="center"/>
          </w:tcPr>
          <w:p w14:paraId="4972E599">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037" w:type="dxa"/>
            <w:tcBorders>
              <w:top w:val="nil"/>
              <w:left w:val="nil"/>
              <w:bottom w:val="single" w:color="auto" w:sz="4" w:space="0"/>
              <w:right w:val="single" w:color="auto" w:sz="4" w:space="0"/>
            </w:tcBorders>
            <w:noWrap/>
            <w:vAlign w:val="center"/>
          </w:tcPr>
          <w:p w14:paraId="33E37BC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36" w:type="dxa"/>
            <w:tcBorders>
              <w:top w:val="nil"/>
              <w:left w:val="nil"/>
              <w:bottom w:val="single" w:color="auto" w:sz="4" w:space="0"/>
              <w:right w:val="single" w:color="auto" w:sz="4" w:space="0"/>
            </w:tcBorders>
            <w:noWrap/>
            <w:vAlign w:val="center"/>
          </w:tcPr>
          <w:p w14:paraId="702237B7">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41" w:type="dxa"/>
            <w:tcBorders>
              <w:top w:val="single" w:color="auto" w:sz="4" w:space="0"/>
              <w:left w:val="nil"/>
              <w:bottom w:val="single" w:color="auto" w:sz="4" w:space="0"/>
              <w:right w:val="single" w:color="auto" w:sz="4" w:space="0"/>
            </w:tcBorders>
            <w:noWrap/>
            <w:vAlign w:val="center"/>
          </w:tcPr>
          <w:p w14:paraId="5490473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037" w:type="dxa"/>
            <w:tcBorders>
              <w:top w:val="single" w:color="auto" w:sz="4" w:space="0"/>
              <w:left w:val="nil"/>
              <w:bottom w:val="single" w:color="auto" w:sz="4" w:space="0"/>
              <w:right w:val="single" w:color="auto" w:sz="4" w:space="0"/>
            </w:tcBorders>
            <w:noWrap/>
            <w:vAlign w:val="center"/>
          </w:tcPr>
          <w:p w14:paraId="3395D5A5">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39377A2D">
        <w:tblPrEx>
          <w:tblCellMar>
            <w:top w:w="0" w:type="dxa"/>
            <w:left w:w="0" w:type="dxa"/>
            <w:bottom w:w="0" w:type="dxa"/>
            <w:right w:w="0" w:type="dxa"/>
          </w:tblCellMar>
        </w:tblPrEx>
        <w:trPr>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0B75672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550" w:type="dxa"/>
            <w:gridSpan w:val="2"/>
            <w:tcBorders>
              <w:top w:val="nil"/>
              <w:left w:val="single" w:color="auto" w:sz="4" w:space="0"/>
              <w:bottom w:val="single" w:color="auto" w:sz="4" w:space="0"/>
              <w:right w:val="single" w:color="auto" w:sz="4" w:space="0"/>
            </w:tcBorders>
            <w:noWrap/>
            <w:vAlign w:val="center"/>
          </w:tcPr>
          <w:p w14:paraId="4720360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施工阶段全过程工程造价控制（不含预算、招标控制价的编制或审核）</w:t>
            </w:r>
          </w:p>
        </w:tc>
        <w:tc>
          <w:tcPr>
            <w:tcW w:w="2251" w:type="dxa"/>
            <w:tcBorders>
              <w:top w:val="nil"/>
              <w:left w:val="nil"/>
              <w:bottom w:val="single" w:color="auto" w:sz="4" w:space="0"/>
              <w:right w:val="single" w:color="auto" w:sz="4" w:space="0"/>
            </w:tcBorders>
            <w:noWrap/>
            <w:vAlign w:val="center"/>
          </w:tcPr>
          <w:p w14:paraId="481882A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取施工合同金额及进度款累计审定额的小值</w:t>
            </w:r>
          </w:p>
        </w:tc>
        <w:tc>
          <w:tcPr>
            <w:tcW w:w="1036" w:type="dxa"/>
            <w:tcBorders>
              <w:top w:val="nil"/>
              <w:left w:val="nil"/>
              <w:bottom w:val="single" w:color="auto" w:sz="4" w:space="0"/>
              <w:right w:val="single" w:color="auto" w:sz="4" w:space="0"/>
            </w:tcBorders>
            <w:noWrap/>
            <w:vAlign w:val="center"/>
          </w:tcPr>
          <w:p w14:paraId="25AA2E1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8.4</w:t>
            </w:r>
          </w:p>
        </w:tc>
        <w:tc>
          <w:tcPr>
            <w:tcW w:w="1037" w:type="dxa"/>
            <w:tcBorders>
              <w:top w:val="nil"/>
              <w:left w:val="nil"/>
              <w:bottom w:val="single" w:color="auto" w:sz="4" w:space="0"/>
              <w:right w:val="single" w:color="auto" w:sz="4" w:space="0"/>
            </w:tcBorders>
            <w:noWrap/>
            <w:vAlign w:val="center"/>
          </w:tcPr>
          <w:p w14:paraId="3195CA7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7.7</w:t>
            </w:r>
          </w:p>
        </w:tc>
        <w:tc>
          <w:tcPr>
            <w:tcW w:w="1036" w:type="dxa"/>
            <w:tcBorders>
              <w:top w:val="nil"/>
              <w:left w:val="nil"/>
              <w:bottom w:val="single" w:color="auto" w:sz="4" w:space="0"/>
              <w:right w:val="single" w:color="auto" w:sz="4" w:space="0"/>
            </w:tcBorders>
            <w:noWrap/>
            <w:vAlign w:val="center"/>
          </w:tcPr>
          <w:p w14:paraId="66E2B79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037" w:type="dxa"/>
            <w:tcBorders>
              <w:top w:val="nil"/>
              <w:left w:val="nil"/>
              <w:bottom w:val="single" w:color="auto" w:sz="4" w:space="0"/>
              <w:right w:val="single" w:color="auto" w:sz="4" w:space="0"/>
            </w:tcBorders>
            <w:noWrap/>
            <w:vAlign w:val="center"/>
          </w:tcPr>
          <w:p w14:paraId="492F9E6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6.3</w:t>
            </w:r>
          </w:p>
        </w:tc>
        <w:tc>
          <w:tcPr>
            <w:tcW w:w="1036" w:type="dxa"/>
            <w:tcBorders>
              <w:top w:val="nil"/>
              <w:left w:val="nil"/>
              <w:bottom w:val="single" w:color="auto" w:sz="4" w:space="0"/>
              <w:right w:val="single" w:color="auto" w:sz="4" w:space="0"/>
            </w:tcBorders>
            <w:noWrap/>
            <w:vAlign w:val="center"/>
          </w:tcPr>
          <w:p w14:paraId="601F62A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1041" w:type="dxa"/>
            <w:tcBorders>
              <w:top w:val="single" w:color="auto" w:sz="4" w:space="0"/>
              <w:left w:val="nil"/>
              <w:bottom w:val="single" w:color="auto" w:sz="4" w:space="0"/>
              <w:right w:val="single" w:color="auto" w:sz="4" w:space="0"/>
            </w:tcBorders>
            <w:noWrap/>
            <w:vAlign w:val="center"/>
          </w:tcPr>
          <w:p w14:paraId="674CC2F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1037" w:type="dxa"/>
            <w:tcBorders>
              <w:top w:val="single" w:color="auto" w:sz="4" w:space="0"/>
              <w:left w:val="nil"/>
              <w:bottom w:val="single" w:color="auto" w:sz="4" w:space="0"/>
              <w:right w:val="single" w:color="auto" w:sz="4" w:space="0"/>
            </w:tcBorders>
            <w:noWrap/>
            <w:vAlign w:val="center"/>
          </w:tcPr>
          <w:p w14:paraId="225B128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r>
      <w:tr w14:paraId="640936B3">
        <w:tblPrEx>
          <w:tblCellMar>
            <w:top w:w="0" w:type="dxa"/>
            <w:left w:w="0" w:type="dxa"/>
            <w:bottom w:w="0" w:type="dxa"/>
            <w:right w:w="0" w:type="dxa"/>
          </w:tblCellMar>
        </w:tblPrEx>
        <w:trPr>
          <w:cantSplit/>
          <w:trHeight w:val="454" w:hRule="atLeast"/>
          <w:jc w:val="center"/>
        </w:trPr>
        <w:tc>
          <w:tcPr>
            <w:tcW w:w="669" w:type="dxa"/>
            <w:tcBorders>
              <w:top w:val="single" w:color="auto" w:sz="4" w:space="0"/>
              <w:left w:val="single" w:color="auto" w:sz="4" w:space="0"/>
              <w:bottom w:val="single" w:color="auto" w:sz="4" w:space="0"/>
              <w:right w:val="single" w:color="auto" w:sz="4" w:space="0"/>
            </w:tcBorders>
            <w:noWrap/>
            <w:vAlign w:val="center"/>
          </w:tcPr>
          <w:p w14:paraId="0062C016">
            <w:pPr>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69" w:type="dxa"/>
            <w:tcBorders>
              <w:top w:val="single" w:color="auto" w:sz="4" w:space="0"/>
              <w:left w:val="single" w:color="auto" w:sz="4" w:space="0"/>
              <w:bottom w:val="single" w:color="auto" w:sz="4" w:space="0"/>
              <w:right w:val="single" w:color="auto" w:sz="4" w:space="0"/>
            </w:tcBorders>
            <w:noWrap/>
            <w:vAlign w:val="center"/>
          </w:tcPr>
          <w:p w14:paraId="6454C4F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工程结算审核</w:t>
            </w:r>
          </w:p>
        </w:tc>
        <w:tc>
          <w:tcPr>
            <w:tcW w:w="2781" w:type="dxa"/>
            <w:tcBorders>
              <w:top w:val="nil"/>
              <w:left w:val="nil"/>
              <w:bottom w:val="single" w:color="auto" w:sz="4" w:space="0"/>
              <w:right w:val="single" w:color="auto" w:sz="4" w:space="0"/>
            </w:tcBorders>
            <w:noWrap/>
            <w:vAlign w:val="center"/>
          </w:tcPr>
          <w:p w14:paraId="079C96C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基本收费</w:t>
            </w:r>
          </w:p>
        </w:tc>
        <w:tc>
          <w:tcPr>
            <w:tcW w:w="2251" w:type="dxa"/>
            <w:tcBorders>
              <w:top w:val="nil"/>
              <w:left w:val="nil"/>
              <w:bottom w:val="single" w:color="auto" w:sz="4" w:space="0"/>
              <w:right w:val="single" w:color="auto" w:sz="4" w:space="0"/>
            </w:tcBorders>
            <w:noWrap/>
            <w:vAlign w:val="center"/>
          </w:tcPr>
          <w:p w14:paraId="5A3F976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送审工程造价</w:t>
            </w:r>
          </w:p>
        </w:tc>
        <w:tc>
          <w:tcPr>
            <w:tcW w:w="1036" w:type="dxa"/>
            <w:tcBorders>
              <w:top w:val="single" w:color="auto" w:sz="4" w:space="0"/>
              <w:left w:val="nil"/>
              <w:bottom w:val="single" w:color="auto" w:sz="4" w:space="0"/>
              <w:right w:val="single" w:color="auto" w:sz="4" w:space="0"/>
            </w:tcBorders>
            <w:noWrap/>
            <w:vAlign w:val="center"/>
          </w:tcPr>
          <w:p w14:paraId="295EE938">
            <w:pPr>
              <w:widowControl/>
              <w:shd w:val="clear"/>
              <w:spacing w:before="100" w:beforeAutospacing="1" w:after="100" w:afterAutospacing="1" w:line="240" w:lineRule="exact"/>
              <w:jc w:val="center"/>
              <w:rPr>
                <w:rFonts w:ascii="宋体" w:hAnsi="宋体" w:cs="宋体"/>
                <w:dstrike/>
                <w:color w:val="auto"/>
                <w:kern w:val="0"/>
                <w:szCs w:val="21"/>
                <w:highlight w:val="none"/>
              </w:rPr>
            </w:pPr>
            <w:r>
              <w:rPr>
                <w:rFonts w:hint="eastAsia" w:ascii="宋体" w:hAnsi="宋体" w:cs="宋体"/>
                <w:color w:val="auto"/>
                <w:kern w:val="0"/>
                <w:szCs w:val="21"/>
                <w:highlight w:val="none"/>
              </w:rPr>
              <w:t>2.8</w:t>
            </w:r>
          </w:p>
        </w:tc>
        <w:tc>
          <w:tcPr>
            <w:tcW w:w="1037" w:type="dxa"/>
            <w:tcBorders>
              <w:top w:val="single" w:color="auto" w:sz="4" w:space="0"/>
              <w:left w:val="nil"/>
              <w:bottom w:val="single" w:color="auto" w:sz="4" w:space="0"/>
              <w:right w:val="single" w:color="auto" w:sz="4" w:space="0"/>
            </w:tcBorders>
            <w:noWrap/>
            <w:vAlign w:val="center"/>
          </w:tcPr>
          <w:p w14:paraId="03D6D01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36" w:type="dxa"/>
            <w:tcBorders>
              <w:top w:val="single" w:color="auto" w:sz="4" w:space="0"/>
              <w:left w:val="nil"/>
              <w:bottom w:val="single" w:color="auto" w:sz="4" w:space="0"/>
              <w:right w:val="single" w:color="auto" w:sz="4" w:space="0"/>
            </w:tcBorders>
            <w:noWrap/>
            <w:vAlign w:val="center"/>
          </w:tcPr>
          <w:p w14:paraId="1DE8DC3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037" w:type="dxa"/>
            <w:tcBorders>
              <w:top w:val="single" w:color="auto" w:sz="4" w:space="0"/>
              <w:left w:val="nil"/>
              <w:bottom w:val="single" w:color="auto" w:sz="4" w:space="0"/>
              <w:right w:val="single" w:color="auto" w:sz="4" w:space="0"/>
            </w:tcBorders>
            <w:noWrap/>
            <w:vAlign w:val="center"/>
          </w:tcPr>
          <w:p w14:paraId="1236133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36" w:type="dxa"/>
            <w:tcBorders>
              <w:top w:val="single" w:color="auto" w:sz="4" w:space="0"/>
              <w:left w:val="nil"/>
              <w:bottom w:val="single" w:color="auto" w:sz="4" w:space="0"/>
              <w:right w:val="single" w:color="auto" w:sz="4" w:space="0"/>
            </w:tcBorders>
            <w:noWrap/>
            <w:vAlign w:val="center"/>
          </w:tcPr>
          <w:p w14:paraId="3AFD364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041" w:type="dxa"/>
            <w:tcBorders>
              <w:top w:val="single" w:color="auto" w:sz="4" w:space="0"/>
              <w:left w:val="nil"/>
              <w:bottom w:val="single" w:color="auto" w:sz="4" w:space="0"/>
              <w:right w:val="single" w:color="auto" w:sz="4" w:space="0"/>
            </w:tcBorders>
            <w:noWrap/>
            <w:vAlign w:val="center"/>
          </w:tcPr>
          <w:p w14:paraId="262DC7C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037" w:type="dxa"/>
            <w:tcBorders>
              <w:top w:val="single" w:color="auto" w:sz="4" w:space="0"/>
              <w:left w:val="nil"/>
              <w:bottom w:val="single" w:color="auto" w:sz="4" w:space="0"/>
              <w:right w:val="single" w:color="auto" w:sz="4" w:space="0"/>
            </w:tcBorders>
            <w:noWrap/>
            <w:vAlign w:val="center"/>
          </w:tcPr>
          <w:p w14:paraId="6E9FFD07">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r>
    </w:tbl>
    <w:p w14:paraId="6D568A9C">
      <w:pPr>
        <w:shd w:val="clear"/>
        <w:snapToGrid w:val="0"/>
        <w:spacing w:line="360" w:lineRule="auto"/>
        <w:ind w:firstLine="480" w:firstLineChars="200"/>
        <w:jc w:val="left"/>
        <w:rPr>
          <w:rFonts w:hAnsi="宋体"/>
          <w:color w:val="auto"/>
          <w:sz w:val="24"/>
          <w:highlight w:val="none"/>
        </w:rPr>
        <w:sectPr>
          <w:pgSz w:w="16838" w:h="11906" w:orient="landscape"/>
          <w:pgMar w:top="1418" w:right="1247" w:bottom="1418" w:left="1276" w:header="851" w:footer="992" w:gutter="0"/>
          <w:cols w:space="720" w:num="1"/>
          <w:titlePg/>
          <w:docGrid w:linePitch="312" w:charSpace="0"/>
        </w:sectPr>
      </w:pPr>
    </w:p>
    <w:p w14:paraId="1F0849F4">
      <w:pPr>
        <w:shd w:val="clear"/>
        <w:snapToGrid w:val="0"/>
        <w:spacing w:line="360" w:lineRule="auto"/>
        <w:ind w:firstLine="723" w:firstLineChars="200"/>
        <w:jc w:val="left"/>
        <w:rPr>
          <w:rFonts w:ascii="宋体" w:hAnsi="宋体" w:cs="仿宋"/>
          <w:b/>
          <w:color w:val="auto"/>
          <w:sz w:val="36"/>
          <w:szCs w:val="36"/>
          <w:highlight w:val="none"/>
        </w:rPr>
      </w:pPr>
      <w:r>
        <w:rPr>
          <w:rFonts w:hint="eastAsia" w:ascii="宋体" w:hAnsi="宋体" w:cs="仿宋"/>
          <w:b/>
          <w:color w:val="auto"/>
          <w:sz w:val="36"/>
          <w:szCs w:val="36"/>
          <w:highlight w:val="none"/>
        </w:rPr>
        <w:t xml:space="preserve">第四部分   </w:t>
      </w:r>
      <w:bookmarkStart w:id="87" w:name="_Toc184312139"/>
      <w:bookmarkEnd w:id="87"/>
      <w:bookmarkStart w:id="88" w:name="_Toc184312094"/>
      <w:bookmarkEnd w:id="88"/>
      <w:bookmarkStart w:id="89" w:name="_Toc184308065"/>
      <w:bookmarkEnd w:id="89"/>
      <w:bookmarkStart w:id="90" w:name="_Toc184312098"/>
      <w:bookmarkEnd w:id="90"/>
      <w:bookmarkStart w:id="91" w:name="_Toc184312074"/>
      <w:bookmarkEnd w:id="91"/>
      <w:bookmarkStart w:id="92" w:name="_Toc184310281"/>
      <w:bookmarkEnd w:id="92"/>
      <w:bookmarkStart w:id="93" w:name="_Toc184313265"/>
      <w:bookmarkEnd w:id="93"/>
      <w:bookmarkStart w:id="94" w:name="_Toc184308052"/>
      <w:bookmarkEnd w:id="94"/>
      <w:bookmarkStart w:id="95" w:name="_Toc184313294"/>
      <w:bookmarkEnd w:id="95"/>
      <w:bookmarkStart w:id="96" w:name="_Toc184310333"/>
      <w:bookmarkEnd w:id="96"/>
      <w:bookmarkStart w:id="97" w:name="_Toc184313240"/>
      <w:bookmarkEnd w:id="97"/>
      <w:bookmarkStart w:id="98" w:name="_Toc184310288"/>
      <w:bookmarkEnd w:id="98"/>
      <w:bookmarkStart w:id="99" w:name="_Toc184313300"/>
      <w:bookmarkEnd w:id="99"/>
      <w:bookmarkStart w:id="100" w:name="_Toc184310299"/>
      <w:bookmarkEnd w:id="100"/>
      <w:bookmarkStart w:id="101" w:name="_Toc184314431"/>
      <w:bookmarkEnd w:id="101"/>
      <w:bookmarkStart w:id="102" w:name="_Toc184312081"/>
      <w:bookmarkEnd w:id="102"/>
      <w:bookmarkStart w:id="103" w:name="_Toc184312108"/>
      <w:bookmarkEnd w:id="103"/>
      <w:bookmarkStart w:id="104" w:name="_Toc184310316"/>
      <w:bookmarkEnd w:id="104"/>
      <w:bookmarkStart w:id="105" w:name="_Toc184313283"/>
      <w:bookmarkEnd w:id="105"/>
      <w:bookmarkStart w:id="106" w:name="_Toc184312130"/>
      <w:bookmarkEnd w:id="106"/>
      <w:bookmarkStart w:id="107" w:name="_Toc184313250"/>
      <w:bookmarkEnd w:id="107"/>
      <w:bookmarkStart w:id="108" w:name="_Toc184313303"/>
      <w:bookmarkEnd w:id="108"/>
      <w:bookmarkStart w:id="109" w:name="_Toc184313285"/>
      <w:bookmarkEnd w:id="109"/>
      <w:bookmarkStart w:id="110" w:name="_Toc184308105"/>
      <w:bookmarkEnd w:id="110"/>
      <w:bookmarkStart w:id="111" w:name="_Toc184314454"/>
      <w:bookmarkEnd w:id="111"/>
      <w:bookmarkStart w:id="112" w:name="_Toc184312071"/>
      <w:bookmarkEnd w:id="112"/>
      <w:bookmarkStart w:id="113" w:name="_Toc184310285"/>
      <w:bookmarkEnd w:id="113"/>
      <w:bookmarkStart w:id="114" w:name="_Toc184310307"/>
      <w:bookmarkEnd w:id="114"/>
      <w:bookmarkStart w:id="115" w:name="_Toc184314463"/>
      <w:bookmarkEnd w:id="115"/>
      <w:bookmarkStart w:id="116" w:name="_Toc184312109"/>
      <w:bookmarkEnd w:id="116"/>
      <w:bookmarkStart w:id="117" w:name="_Toc184314422"/>
      <w:bookmarkEnd w:id="117"/>
      <w:bookmarkStart w:id="118" w:name="_Toc184313281"/>
      <w:bookmarkEnd w:id="118"/>
      <w:bookmarkStart w:id="119" w:name="_Toc184310305"/>
      <w:bookmarkEnd w:id="119"/>
      <w:bookmarkStart w:id="120" w:name="_Toc184313292"/>
      <w:bookmarkEnd w:id="120"/>
      <w:bookmarkStart w:id="121" w:name="_Toc184314467"/>
      <w:bookmarkEnd w:id="121"/>
      <w:bookmarkStart w:id="122" w:name="_Toc184314459"/>
      <w:bookmarkEnd w:id="122"/>
      <w:bookmarkStart w:id="123" w:name="_Toc184314419"/>
      <w:bookmarkEnd w:id="123"/>
      <w:bookmarkStart w:id="124" w:name="_Toc184314477"/>
      <w:bookmarkEnd w:id="124"/>
      <w:bookmarkStart w:id="125" w:name="_Toc184312117"/>
      <w:bookmarkEnd w:id="125"/>
      <w:bookmarkStart w:id="126" w:name="_Toc184310324"/>
      <w:bookmarkEnd w:id="126"/>
      <w:bookmarkStart w:id="127" w:name="_Toc184314438"/>
      <w:bookmarkEnd w:id="127"/>
      <w:bookmarkStart w:id="128" w:name="_Toc184312067"/>
      <w:bookmarkEnd w:id="128"/>
      <w:bookmarkStart w:id="129" w:name="_Toc184310297"/>
      <w:bookmarkEnd w:id="129"/>
      <w:bookmarkStart w:id="130" w:name="_Toc184314437"/>
      <w:bookmarkEnd w:id="130"/>
      <w:bookmarkStart w:id="131" w:name="_Toc184313310"/>
      <w:bookmarkEnd w:id="131"/>
      <w:bookmarkStart w:id="132" w:name="_Toc184313266"/>
      <w:bookmarkEnd w:id="132"/>
      <w:bookmarkStart w:id="133" w:name="_Toc184308082"/>
      <w:bookmarkEnd w:id="133"/>
      <w:bookmarkStart w:id="134" w:name="_Toc184313296"/>
      <w:bookmarkEnd w:id="134"/>
      <w:bookmarkStart w:id="135" w:name="_Toc184312092"/>
      <w:bookmarkEnd w:id="135"/>
      <w:bookmarkStart w:id="136" w:name="_Toc184312084"/>
      <w:bookmarkEnd w:id="136"/>
      <w:bookmarkStart w:id="137" w:name="_Toc184312096"/>
      <w:bookmarkEnd w:id="137"/>
      <w:bookmarkStart w:id="138" w:name="_Toc184310306"/>
      <w:bookmarkEnd w:id="138"/>
      <w:bookmarkStart w:id="139" w:name="_Toc184310334"/>
      <w:bookmarkEnd w:id="139"/>
      <w:bookmarkStart w:id="140" w:name="_Toc184308070"/>
      <w:bookmarkEnd w:id="140"/>
      <w:bookmarkStart w:id="141" w:name="_Toc184313278"/>
      <w:bookmarkEnd w:id="141"/>
      <w:bookmarkStart w:id="142" w:name="_Toc184308097"/>
      <w:bookmarkEnd w:id="142"/>
      <w:bookmarkStart w:id="143" w:name="_Toc184310332"/>
      <w:bookmarkEnd w:id="143"/>
      <w:bookmarkStart w:id="144" w:name="_Toc184310326"/>
      <w:bookmarkEnd w:id="144"/>
      <w:bookmarkStart w:id="145" w:name="_Toc184312118"/>
      <w:bookmarkEnd w:id="145"/>
      <w:bookmarkStart w:id="146" w:name="_Toc184313246"/>
      <w:bookmarkEnd w:id="146"/>
      <w:bookmarkStart w:id="147" w:name="_Toc184313287"/>
      <w:bookmarkEnd w:id="147"/>
      <w:bookmarkStart w:id="148" w:name="_Toc184314416"/>
      <w:bookmarkEnd w:id="148"/>
      <w:bookmarkStart w:id="149" w:name="_Toc184313295"/>
      <w:bookmarkEnd w:id="149"/>
      <w:bookmarkStart w:id="150" w:name="_Toc184313297"/>
      <w:bookmarkEnd w:id="150"/>
      <w:bookmarkStart w:id="151" w:name="_Toc184314418"/>
      <w:bookmarkEnd w:id="151"/>
      <w:bookmarkStart w:id="152" w:name="_Toc184310321"/>
      <w:bookmarkEnd w:id="152"/>
      <w:bookmarkStart w:id="153" w:name="_Toc184312099"/>
      <w:bookmarkEnd w:id="153"/>
      <w:bookmarkStart w:id="154" w:name="_Toc184314474"/>
      <w:bookmarkEnd w:id="154"/>
      <w:bookmarkStart w:id="155" w:name="_Toc184314443"/>
      <w:bookmarkEnd w:id="155"/>
      <w:bookmarkStart w:id="156" w:name="_Toc184312093"/>
      <w:bookmarkEnd w:id="156"/>
      <w:bookmarkStart w:id="157" w:name="_Toc184313269"/>
      <w:bookmarkEnd w:id="157"/>
      <w:bookmarkStart w:id="158" w:name="_Toc184314423"/>
      <w:bookmarkEnd w:id="158"/>
      <w:bookmarkStart w:id="159" w:name="_Toc184313242"/>
      <w:bookmarkEnd w:id="159"/>
      <w:bookmarkStart w:id="160" w:name="_Toc184314441"/>
      <w:bookmarkEnd w:id="160"/>
      <w:bookmarkStart w:id="161" w:name="_Toc184313298"/>
      <w:bookmarkEnd w:id="161"/>
      <w:bookmarkStart w:id="162" w:name="_Toc184312089"/>
      <w:bookmarkEnd w:id="162"/>
      <w:bookmarkStart w:id="163" w:name="_Toc184314480"/>
      <w:bookmarkEnd w:id="163"/>
      <w:bookmarkStart w:id="164" w:name="_Toc184308040"/>
      <w:bookmarkEnd w:id="164"/>
      <w:bookmarkStart w:id="165" w:name="_Toc184313305"/>
      <w:bookmarkEnd w:id="165"/>
      <w:bookmarkStart w:id="166" w:name="_Toc184308060"/>
      <w:bookmarkEnd w:id="166"/>
      <w:bookmarkStart w:id="167" w:name="_Toc184310325"/>
      <w:bookmarkEnd w:id="167"/>
      <w:bookmarkStart w:id="168" w:name="_Toc184310300"/>
      <w:bookmarkEnd w:id="168"/>
      <w:bookmarkStart w:id="169" w:name="_Toc184310294"/>
      <w:bookmarkEnd w:id="169"/>
      <w:bookmarkStart w:id="170" w:name="_Toc184312079"/>
      <w:bookmarkEnd w:id="170"/>
      <w:bookmarkStart w:id="171" w:name="_Toc184312138"/>
      <w:bookmarkEnd w:id="171"/>
      <w:bookmarkStart w:id="172" w:name="_Toc184308094"/>
      <w:bookmarkEnd w:id="172"/>
      <w:bookmarkStart w:id="173" w:name="_Toc184313264"/>
      <w:bookmarkEnd w:id="173"/>
      <w:bookmarkStart w:id="174" w:name="_Toc184313253"/>
      <w:bookmarkEnd w:id="174"/>
      <w:bookmarkStart w:id="175" w:name="_Toc184308084"/>
      <w:bookmarkEnd w:id="175"/>
      <w:bookmarkStart w:id="176" w:name="_Toc184314446"/>
      <w:bookmarkEnd w:id="176"/>
      <w:bookmarkStart w:id="177" w:name="_Toc184313299"/>
      <w:bookmarkEnd w:id="177"/>
      <w:bookmarkStart w:id="178" w:name="_Toc184308071"/>
      <w:bookmarkEnd w:id="178"/>
      <w:bookmarkStart w:id="179" w:name="_Toc184310272"/>
      <w:bookmarkEnd w:id="179"/>
      <w:bookmarkStart w:id="180" w:name="_Toc184308089"/>
      <w:bookmarkEnd w:id="180"/>
      <w:bookmarkStart w:id="181" w:name="_Toc184312133"/>
      <w:bookmarkEnd w:id="181"/>
      <w:bookmarkStart w:id="182" w:name="_Toc184314475"/>
      <w:bookmarkEnd w:id="182"/>
      <w:bookmarkStart w:id="183" w:name="_Toc184312132"/>
      <w:bookmarkEnd w:id="183"/>
      <w:bookmarkStart w:id="184" w:name="_Toc184314427"/>
      <w:bookmarkEnd w:id="184"/>
      <w:bookmarkStart w:id="185" w:name="_Toc184310303"/>
      <w:bookmarkEnd w:id="185"/>
      <w:bookmarkStart w:id="186" w:name="_Toc184312083"/>
      <w:bookmarkEnd w:id="186"/>
      <w:bookmarkStart w:id="187" w:name="_Toc184308078"/>
      <w:bookmarkEnd w:id="187"/>
      <w:bookmarkStart w:id="188" w:name="_Toc184313280"/>
      <w:bookmarkEnd w:id="188"/>
      <w:bookmarkStart w:id="189" w:name="_Toc184308051"/>
      <w:bookmarkEnd w:id="189"/>
      <w:bookmarkStart w:id="190" w:name="_Toc184314451"/>
      <w:bookmarkEnd w:id="190"/>
      <w:bookmarkStart w:id="191" w:name="_Toc184308047"/>
      <w:bookmarkEnd w:id="191"/>
      <w:bookmarkStart w:id="192" w:name="_Toc184310336"/>
      <w:bookmarkEnd w:id="192"/>
      <w:bookmarkStart w:id="193" w:name="_Toc184314449"/>
      <w:bookmarkEnd w:id="193"/>
      <w:bookmarkStart w:id="194" w:name="_Toc184312086"/>
      <w:bookmarkEnd w:id="194"/>
      <w:bookmarkStart w:id="195" w:name="_Toc184312107"/>
      <w:bookmarkEnd w:id="195"/>
      <w:bookmarkStart w:id="196" w:name="_Toc184314435"/>
      <w:bookmarkEnd w:id="196"/>
      <w:bookmarkStart w:id="197" w:name="_Toc184312119"/>
      <w:bookmarkEnd w:id="197"/>
      <w:bookmarkStart w:id="198" w:name="_Toc184312085"/>
      <w:bookmarkEnd w:id="198"/>
      <w:bookmarkStart w:id="199" w:name="_Toc184310309"/>
      <w:bookmarkEnd w:id="199"/>
      <w:bookmarkStart w:id="200" w:name="_Toc184310338"/>
      <w:bookmarkEnd w:id="200"/>
      <w:bookmarkStart w:id="201" w:name="_Toc184310317"/>
      <w:bookmarkEnd w:id="201"/>
      <w:bookmarkStart w:id="202" w:name="_Toc184308107"/>
      <w:bookmarkEnd w:id="202"/>
      <w:bookmarkStart w:id="203" w:name="_Toc184312080"/>
      <w:bookmarkEnd w:id="203"/>
      <w:bookmarkStart w:id="204" w:name="_Toc184314445"/>
      <w:bookmarkEnd w:id="204"/>
      <w:bookmarkStart w:id="205" w:name="_Toc184314447"/>
      <w:bookmarkEnd w:id="205"/>
      <w:bookmarkStart w:id="206" w:name="_Toc184310328"/>
      <w:bookmarkEnd w:id="206"/>
      <w:bookmarkStart w:id="207" w:name="_Toc184308079"/>
      <w:bookmarkEnd w:id="207"/>
      <w:bookmarkStart w:id="208" w:name="_Toc184310323"/>
      <w:bookmarkEnd w:id="208"/>
      <w:bookmarkStart w:id="209" w:name="_Toc184312126"/>
      <w:bookmarkEnd w:id="209"/>
      <w:bookmarkStart w:id="210" w:name="_Toc184308068"/>
      <w:bookmarkEnd w:id="210"/>
      <w:bookmarkStart w:id="211" w:name="_Toc184308049"/>
      <w:bookmarkEnd w:id="211"/>
      <w:bookmarkStart w:id="212" w:name="_Toc184308090"/>
      <w:bookmarkEnd w:id="212"/>
      <w:bookmarkStart w:id="213" w:name="_Toc184313270"/>
      <w:bookmarkEnd w:id="213"/>
      <w:bookmarkStart w:id="214" w:name="_Toc184308083"/>
      <w:bookmarkEnd w:id="214"/>
      <w:bookmarkStart w:id="215" w:name="_Toc184312078"/>
      <w:bookmarkEnd w:id="215"/>
      <w:bookmarkStart w:id="216" w:name="_Toc184313277"/>
      <w:bookmarkEnd w:id="216"/>
      <w:bookmarkStart w:id="217" w:name="_Toc184310314"/>
      <w:bookmarkEnd w:id="217"/>
      <w:bookmarkStart w:id="218" w:name="_Toc184308077"/>
      <w:bookmarkEnd w:id="218"/>
      <w:bookmarkStart w:id="219" w:name="_Toc184314410"/>
      <w:bookmarkEnd w:id="219"/>
      <w:bookmarkStart w:id="220" w:name="_Toc184312111"/>
      <w:bookmarkEnd w:id="220"/>
      <w:bookmarkStart w:id="221" w:name="_Toc184313255"/>
      <w:bookmarkEnd w:id="221"/>
      <w:bookmarkStart w:id="222" w:name="_Toc184312112"/>
      <w:bookmarkEnd w:id="222"/>
      <w:bookmarkStart w:id="223" w:name="_Toc184308104"/>
      <w:bookmarkEnd w:id="223"/>
      <w:bookmarkStart w:id="224" w:name="_Toc184310311"/>
      <w:bookmarkEnd w:id="224"/>
      <w:bookmarkStart w:id="225" w:name="_Toc184314452"/>
      <w:bookmarkEnd w:id="225"/>
      <w:bookmarkStart w:id="226" w:name="_Toc184314470"/>
      <w:bookmarkEnd w:id="226"/>
      <w:bookmarkStart w:id="227" w:name="_Toc184312125"/>
      <w:bookmarkEnd w:id="227"/>
      <w:bookmarkStart w:id="228" w:name="_Toc184310343"/>
      <w:bookmarkEnd w:id="228"/>
      <w:bookmarkStart w:id="229" w:name="_Toc184314466"/>
      <w:bookmarkEnd w:id="229"/>
      <w:bookmarkStart w:id="230" w:name="_Toc184310340"/>
      <w:bookmarkEnd w:id="230"/>
      <w:bookmarkStart w:id="231" w:name="_Toc184308066"/>
      <w:bookmarkEnd w:id="231"/>
      <w:bookmarkStart w:id="232" w:name="_Toc184312134"/>
      <w:bookmarkEnd w:id="232"/>
      <w:bookmarkStart w:id="233" w:name="_Toc184310313"/>
      <w:bookmarkEnd w:id="233"/>
      <w:bookmarkStart w:id="234" w:name="_Toc184314429"/>
      <w:bookmarkEnd w:id="234"/>
      <w:bookmarkStart w:id="235" w:name="_Toc184312106"/>
      <w:bookmarkEnd w:id="235"/>
      <w:bookmarkStart w:id="236" w:name="_Toc184310331"/>
      <w:bookmarkEnd w:id="236"/>
      <w:bookmarkStart w:id="237" w:name="_Toc184313256"/>
      <w:bookmarkEnd w:id="237"/>
      <w:bookmarkStart w:id="238" w:name="_Toc184314442"/>
      <w:bookmarkEnd w:id="238"/>
      <w:bookmarkStart w:id="239" w:name="_Toc184312113"/>
      <w:bookmarkEnd w:id="239"/>
      <w:bookmarkStart w:id="240" w:name="_Toc184314481"/>
      <w:bookmarkEnd w:id="240"/>
      <w:bookmarkStart w:id="241" w:name="_Toc184314464"/>
      <w:bookmarkEnd w:id="241"/>
      <w:bookmarkStart w:id="242" w:name="_Toc184310273"/>
      <w:bookmarkEnd w:id="242"/>
      <w:bookmarkStart w:id="243" w:name="_Toc184308050"/>
      <w:bookmarkEnd w:id="243"/>
      <w:bookmarkStart w:id="244" w:name="_Toc184312101"/>
      <w:bookmarkEnd w:id="244"/>
      <w:bookmarkStart w:id="245" w:name="_Toc184308108"/>
      <w:bookmarkEnd w:id="245"/>
      <w:bookmarkStart w:id="246" w:name="_Toc184312114"/>
      <w:bookmarkEnd w:id="246"/>
      <w:bookmarkStart w:id="247" w:name="_Toc184313245"/>
      <w:bookmarkEnd w:id="247"/>
      <w:bookmarkStart w:id="248" w:name="_Toc184312131"/>
      <w:bookmarkEnd w:id="248"/>
      <w:bookmarkStart w:id="249" w:name="_Toc184308072"/>
      <w:bookmarkEnd w:id="249"/>
      <w:bookmarkStart w:id="250" w:name="_Toc184314425"/>
      <w:bookmarkEnd w:id="250"/>
      <w:bookmarkStart w:id="251" w:name="_Toc184312097"/>
      <w:bookmarkEnd w:id="251"/>
      <w:bookmarkStart w:id="252" w:name="_Toc184313238"/>
      <w:bookmarkEnd w:id="252"/>
      <w:bookmarkStart w:id="253" w:name="_Toc184314455"/>
      <w:bookmarkEnd w:id="253"/>
      <w:bookmarkStart w:id="254" w:name="_Toc184313259"/>
      <w:bookmarkEnd w:id="254"/>
      <w:bookmarkStart w:id="255" w:name="_Toc184310312"/>
      <w:bookmarkEnd w:id="255"/>
      <w:bookmarkStart w:id="256" w:name="_Toc184314424"/>
      <w:bookmarkEnd w:id="256"/>
      <w:bookmarkStart w:id="257" w:name="_Toc184312128"/>
      <w:bookmarkEnd w:id="257"/>
      <w:bookmarkStart w:id="258" w:name="_Toc184314465"/>
      <w:bookmarkEnd w:id="258"/>
      <w:bookmarkStart w:id="259" w:name="_Toc184314412"/>
      <w:bookmarkEnd w:id="259"/>
      <w:bookmarkStart w:id="260" w:name="_Toc184314421"/>
      <w:bookmarkEnd w:id="260"/>
      <w:bookmarkStart w:id="261" w:name="_Toc184308103"/>
      <w:bookmarkEnd w:id="261"/>
      <w:bookmarkStart w:id="262" w:name="_Toc184313262"/>
      <w:bookmarkEnd w:id="262"/>
      <w:bookmarkStart w:id="263" w:name="_Toc184314460"/>
      <w:bookmarkEnd w:id="263"/>
      <w:bookmarkStart w:id="264" w:name="_Toc184312087"/>
      <w:bookmarkEnd w:id="264"/>
      <w:bookmarkStart w:id="265" w:name="_Toc184313279"/>
      <w:bookmarkEnd w:id="265"/>
      <w:bookmarkStart w:id="266" w:name="_Toc184314461"/>
      <w:bookmarkEnd w:id="266"/>
      <w:bookmarkStart w:id="267" w:name="_Toc184314417"/>
      <w:bookmarkEnd w:id="267"/>
      <w:bookmarkStart w:id="268" w:name="_Toc184314482"/>
      <w:bookmarkEnd w:id="268"/>
      <w:bookmarkStart w:id="269" w:name="_Toc184312135"/>
      <w:bookmarkEnd w:id="269"/>
      <w:bookmarkStart w:id="270" w:name="_Toc184310286"/>
      <w:bookmarkEnd w:id="270"/>
      <w:bookmarkStart w:id="271" w:name="_Toc184310318"/>
      <w:bookmarkEnd w:id="271"/>
      <w:bookmarkStart w:id="272" w:name="_Toc184310319"/>
      <w:bookmarkEnd w:id="272"/>
      <w:bookmarkStart w:id="273" w:name="_Toc184310344"/>
      <w:bookmarkEnd w:id="273"/>
      <w:bookmarkStart w:id="274" w:name="_Toc184312075"/>
      <w:bookmarkEnd w:id="274"/>
      <w:bookmarkStart w:id="275" w:name="_Toc184308058"/>
      <w:bookmarkEnd w:id="275"/>
      <w:bookmarkStart w:id="276" w:name="_Toc184313272"/>
      <w:bookmarkEnd w:id="276"/>
      <w:bookmarkStart w:id="277" w:name="_Toc184310330"/>
      <w:bookmarkEnd w:id="277"/>
      <w:bookmarkStart w:id="278" w:name="_Toc184310279"/>
      <w:bookmarkEnd w:id="278"/>
      <w:bookmarkStart w:id="279" w:name="_Toc184308062"/>
      <w:bookmarkEnd w:id="279"/>
      <w:bookmarkStart w:id="280" w:name="_Toc184313275"/>
      <w:bookmarkEnd w:id="280"/>
      <w:bookmarkStart w:id="281" w:name="_Toc184310298"/>
      <w:bookmarkEnd w:id="281"/>
      <w:bookmarkStart w:id="282" w:name="_Toc184313251"/>
      <w:bookmarkEnd w:id="282"/>
      <w:bookmarkStart w:id="283" w:name="_Toc184308087"/>
      <w:bookmarkEnd w:id="283"/>
      <w:bookmarkStart w:id="284" w:name="_Toc184314433"/>
      <w:bookmarkEnd w:id="284"/>
      <w:bookmarkStart w:id="285" w:name="_Toc184310280"/>
      <w:bookmarkEnd w:id="285"/>
      <w:bookmarkStart w:id="286" w:name="_Toc184310290"/>
      <w:bookmarkEnd w:id="286"/>
      <w:bookmarkStart w:id="287" w:name="_Toc184313290"/>
      <w:bookmarkEnd w:id="287"/>
      <w:bookmarkStart w:id="288" w:name="_Toc184312072"/>
      <w:bookmarkEnd w:id="288"/>
      <w:bookmarkStart w:id="289" w:name="_Toc184310277"/>
      <w:bookmarkEnd w:id="289"/>
      <w:bookmarkStart w:id="290" w:name="_Toc184310341"/>
      <w:bookmarkEnd w:id="290"/>
      <w:bookmarkStart w:id="291" w:name="_Toc184308101"/>
      <w:bookmarkEnd w:id="291"/>
      <w:bookmarkStart w:id="292" w:name="_Toc184308076"/>
      <w:bookmarkEnd w:id="292"/>
      <w:bookmarkStart w:id="293" w:name="_Toc184308037"/>
      <w:bookmarkEnd w:id="293"/>
      <w:bookmarkStart w:id="294" w:name="_Toc184312121"/>
      <w:bookmarkEnd w:id="294"/>
      <w:bookmarkStart w:id="295" w:name="_Toc184312127"/>
      <w:bookmarkEnd w:id="295"/>
      <w:bookmarkStart w:id="296" w:name="_Toc184308081"/>
      <w:bookmarkEnd w:id="296"/>
      <w:bookmarkStart w:id="297" w:name="_Toc184312129"/>
      <w:bookmarkEnd w:id="297"/>
      <w:bookmarkStart w:id="298" w:name="_Toc184310274"/>
      <w:bookmarkEnd w:id="298"/>
      <w:bookmarkStart w:id="299" w:name="_Toc184308067"/>
      <w:bookmarkEnd w:id="299"/>
      <w:bookmarkStart w:id="300" w:name="_Toc184310278"/>
      <w:bookmarkEnd w:id="300"/>
      <w:bookmarkStart w:id="301" w:name="_Toc184308044"/>
      <w:bookmarkEnd w:id="301"/>
      <w:bookmarkStart w:id="302" w:name="_Toc184312124"/>
      <w:bookmarkEnd w:id="302"/>
      <w:bookmarkStart w:id="303" w:name="_Toc184308093"/>
      <w:bookmarkEnd w:id="303"/>
      <w:bookmarkStart w:id="304" w:name="_Toc184313306"/>
      <w:bookmarkEnd w:id="304"/>
      <w:bookmarkStart w:id="305" w:name="_Toc184313249"/>
      <w:bookmarkEnd w:id="305"/>
      <w:bookmarkStart w:id="306" w:name="_Toc184313261"/>
      <w:bookmarkEnd w:id="306"/>
      <w:bookmarkStart w:id="307" w:name="_Toc184313302"/>
      <w:bookmarkEnd w:id="307"/>
      <w:bookmarkStart w:id="308" w:name="_Toc184312100"/>
      <w:bookmarkEnd w:id="308"/>
      <w:bookmarkStart w:id="309" w:name="_Toc184308036"/>
      <w:bookmarkEnd w:id="309"/>
      <w:bookmarkStart w:id="310" w:name="_Toc184308095"/>
      <w:bookmarkEnd w:id="310"/>
      <w:bookmarkStart w:id="311" w:name="_Toc184312105"/>
      <w:bookmarkEnd w:id="311"/>
      <w:bookmarkStart w:id="312" w:name="_Toc184312116"/>
      <w:bookmarkEnd w:id="312"/>
      <w:bookmarkStart w:id="313" w:name="_Toc184313289"/>
      <w:bookmarkEnd w:id="313"/>
      <w:bookmarkStart w:id="314" w:name="_Toc184314478"/>
      <w:bookmarkEnd w:id="314"/>
      <w:bookmarkStart w:id="315" w:name="_Toc184312090"/>
      <w:bookmarkEnd w:id="315"/>
      <w:bookmarkStart w:id="316" w:name="_Toc184310304"/>
      <w:bookmarkEnd w:id="316"/>
      <w:bookmarkStart w:id="317" w:name="_Toc184314448"/>
      <w:bookmarkEnd w:id="317"/>
      <w:bookmarkStart w:id="318" w:name="_Toc184310301"/>
      <w:bookmarkEnd w:id="318"/>
      <w:bookmarkStart w:id="319" w:name="_Toc184308038"/>
      <w:bookmarkEnd w:id="319"/>
      <w:bookmarkStart w:id="320" w:name="_Toc184314436"/>
      <w:bookmarkEnd w:id="320"/>
      <w:bookmarkStart w:id="321" w:name="_Toc184312069"/>
      <w:bookmarkEnd w:id="321"/>
      <w:bookmarkStart w:id="322" w:name="_Toc184312070"/>
      <w:bookmarkEnd w:id="322"/>
      <w:bookmarkStart w:id="323" w:name="_Toc184308043"/>
      <w:bookmarkEnd w:id="323"/>
      <w:bookmarkStart w:id="324" w:name="_Toc184308039"/>
      <w:bookmarkEnd w:id="324"/>
      <w:bookmarkStart w:id="325" w:name="_Toc184313243"/>
      <w:bookmarkEnd w:id="325"/>
      <w:bookmarkStart w:id="326" w:name="_Toc184314469"/>
      <w:bookmarkEnd w:id="326"/>
      <w:bookmarkStart w:id="327" w:name="_Toc184308056"/>
      <w:bookmarkEnd w:id="327"/>
      <w:bookmarkStart w:id="328" w:name="_Toc184312123"/>
      <w:bookmarkEnd w:id="328"/>
      <w:bookmarkStart w:id="329" w:name="_Toc184308046"/>
      <w:bookmarkEnd w:id="329"/>
      <w:bookmarkStart w:id="330" w:name="_Toc184313288"/>
      <w:bookmarkEnd w:id="330"/>
      <w:bookmarkStart w:id="331" w:name="_Toc184312137"/>
      <w:bookmarkEnd w:id="331"/>
      <w:bookmarkStart w:id="332" w:name="_Toc184313301"/>
      <w:bookmarkEnd w:id="332"/>
      <w:bookmarkStart w:id="333" w:name="_Toc184308059"/>
      <w:bookmarkEnd w:id="333"/>
      <w:bookmarkStart w:id="334" w:name="_Toc184308091"/>
      <w:bookmarkEnd w:id="334"/>
      <w:bookmarkStart w:id="335" w:name="_Toc184313282"/>
      <w:bookmarkEnd w:id="335"/>
      <w:bookmarkStart w:id="336" w:name="_Toc184313274"/>
      <w:bookmarkEnd w:id="336"/>
      <w:bookmarkStart w:id="337" w:name="_Toc184313258"/>
      <w:bookmarkEnd w:id="337"/>
      <w:bookmarkStart w:id="338" w:name="_Toc184308063"/>
      <w:bookmarkEnd w:id="338"/>
      <w:bookmarkStart w:id="339" w:name="_Toc184314426"/>
      <w:bookmarkEnd w:id="339"/>
      <w:bookmarkStart w:id="340" w:name="_Toc184312073"/>
      <w:bookmarkEnd w:id="340"/>
      <w:bookmarkStart w:id="341" w:name="_Toc184313308"/>
      <w:bookmarkEnd w:id="341"/>
      <w:bookmarkStart w:id="342" w:name="_Toc184314440"/>
      <w:bookmarkEnd w:id="342"/>
      <w:bookmarkStart w:id="343" w:name="_Toc184312076"/>
      <w:bookmarkEnd w:id="343"/>
      <w:bookmarkStart w:id="344" w:name="_Toc184314479"/>
      <w:bookmarkEnd w:id="344"/>
      <w:bookmarkStart w:id="345" w:name="_Toc184313244"/>
      <w:bookmarkEnd w:id="345"/>
      <w:bookmarkStart w:id="346" w:name="_Toc184308073"/>
      <w:bookmarkEnd w:id="346"/>
      <w:bookmarkStart w:id="347" w:name="_Toc184313291"/>
      <w:bookmarkEnd w:id="347"/>
      <w:bookmarkStart w:id="348" w:name="_Toc184314450"/>
      <w:bookmarkEnd w:id="348"/>
      <w:bookmarkStart w:id="349" w:name="_Toc184310315"/>
      <w:bookmarkEnd w:id="349"/>
      <w:bookmarkStart w:id="350" w:name="_Toc184314413"/>
      <w:bookmarkEnd w:id="350"/>
      <w:bookmarkStart w:id="351" w:name="_Toc184308048"/>
      <w:bookmarkEnd w:id="351"/>
      <w:bookmarkStart w:id="352" w:name="_Toc184313304"/>
      <w:bookmarkEnd w:id="352"/>
      <w:bookmarkStart w:id="353" w:name="_Toc184314434"/>
      <w:bookmarkEnd w:id="353"/>
      <w:bookmarkStart w:id="354" w:name="_Toc184314430"/>
      <w:bookmarkEnd w:id="354"/>
      <w:bookmarkStart w:id="355" w:name="_Toc184314453"/>
      <w:bookmarkEnd w:id="355"/>
      <w:bookmarkStart w:id="356" w:name="_Toc184314473"/>
      <w:bookmarkEnd w:id="356"/>
      <w:bookmarkStart w:id="357" w:name="_Toc184314411"/>
      <w:bookmarkEnd w:id="357"/>
      <w:bookmarkStart w:id="358" w:name="_Toc184312091"/>
      <w:bookmarkEnd w:id="358"/>
      <w:bookmarkStart w:id="359" w:name="_Toc184310322"/>
      <w:bookmarkEnd w:id="359"/>
      <w:bookmarkStart w:id="360" w:name="_Toc184308075"/>
      <w:bookmarkEnd w:id="360"/>
      <w:bookmarkStart w:id="361" w:name="_Toc184312110"/>
      <w:bookmarkEnd w:id="361"/>
      <w:bookmarkStart w:id="362" w:name="_Toc184310293"/>
      <w:bookmarkEnd w:id="362"/>
      <w:bookmarkStart w:id="363" w:name="_Toc184313257"/>
      <w:bookmarkEnd w:id="363"/>
      <w:bookmarkStart w:id="364" w:name="_Toc184310283"/>
      <w:bookmarkEnd w:id="364"/>
      <w:bookmarkStart w:id="365" w:name="_Toc184308080"/>
      <w:bookmarkEnd w:id="365"/>
      <w:bookmarkStart w:id="366" w:name="_Toc184312102"/>
      <w:bookmarkEnd w:id="366"/>
      <w:bookmarkStart w:id="367" w:name="_Toc184314457"/>
      <w:bookmarkEnd w:id="367"/>
      <w:bookmarkStart w:id="368" w:name="_Toc184310327"/>
      <w:bookmarkEnd w:id="368"/>
      <w:bookmarkStart w:id="369" w:name="_Toc184308102"/>
      <w:bookmarkEnd w:id="369"/>
      <w:bookmarkStart w:id="370" w:name="_Toc184313263"/>
      <w:bookmarkEnd w:id="370"/>
      <w:bookmarkStart w:id="371" w:name="_Toc184308098"/>
      <w:bookmarkEnd w:id="371"/>
      <w:bookmarkStart w:id="372" w:name="_Toc184314415"/>
      <w:bookmarkEnd w:id="372"/>
      <w:bookmarkStart w:id="373" w:name="_Toc184312115"/>
      <w:bookmarkEnd w:id="373"/>
      <w:bookmarkStart w:id="374" w:name="_Toc184313247"/>
      <w:bookmarkEnd w:id="374"/>
      <w:bookmarkStart w:id="375" w:name="_Toc184313286"/>
      <w:bookmarkEnd w:id="375"/>
      <w:bookmarkStart w:id="376" w:name="_Toc184308096"/>
      <w:bookmarkEnd w:id="376"/>
      <w:bookmarkStart w:id="377" w:name="_Toc184308085"/>
      <w:bookmarkEnd w:id="377"/>
      <w:bookmarkStart w:id="378" w:name="_Toc184308054"/>
      <w:bookmarkEnd w:id="378"/>
      <w:bookmarkStart w:id="379" w:name="_Toc184314468"/>
      <w:bookmarkEnd w:id="379"/>
      <w:bookmarkStart w:id="380" w:name="_Toc184308086"/>
      <w:bookmarkEnd w:id="380"/>
      <w:bookmarkStart w:id="381" w:name="_Toc184314456"/>
      <w:bookmarkEnd w:id="381"/>
      <w:bookmarkStart w:id="382" w:name="_Toc184310335"/>
      <w:bookmarkEnd w:id="382"/>
      <w:bookmarkStart w:id="383" w:name="_Toc184313271"/>
      <w:bookmarkEnd w:id="383"/>
      <w:bookmarkStart w:id="384" w:name="_Toc184310308"/>
      <w:bookmarkEnd w:id="384"/>
      <w:bookmarkStart w:id="385" w:name="_Toc184312082"/>
      <w:bookmarkEnd w:id="385"/>
      <w:bookmarkStart w:id="386" w:name="_Toc184308042"/>
      <w:bookmarkEnd w:id="386"/>
      <w:bookmarkStart w:id="387" w:name="_Toc184313293"/>
      <w:bookmarkEnd w:id="387"/>
      <w:bookmarkStart w:id="388" w:name="_Toc184313276"/>
      <w:bookmarkEnd w:id="388"/>
      <w:bookmarkStart w:id="389" w:name="_Toc184313267"/>
      <w:bookmarkEnd w:id="389"/>
      <w:bookmarkStart w:id="390" w:name="_Toc184313268"/>
      <w:bookmarkEnd w:id="390"/>
      <w:bookmarkStart w:id="391" w:name="_Toc184310310"/>
      <w:bookmarkEnd w:id="391"/>
      <w:bookmarkStart w:id="392" w:name="_Toc184313260"/>
      <w:bookmarkEnd w:id="392"/>
      <w:bookmarkStart w:id="393" w:name="_Toc184310275"/>
      <w:bookmarkEnd w:id="393"/>
      <w:bookmarkStart w:id="394" w:name="_Toc184308061"/>
      <w:bookmarkEnd w:id="394"/>
      <w:bookmarkStart w:id="395" w:name="_Toc184314471"/>
      <w:bookmarkEnd w:id="395"/>
      <w:bookmarkStart w:id="396" w:name="_Toc184310289"/>
      <w:bookmarkEnd w:id="396"/>
      <w:bookmarkStart w:id="397" w:name="_Toc184308092"/>
      <w:bookmarkEnd w:id="397"/>
      <w:bookmarkStart w:id="398" w:name="_Toc184314414"/>
      <w:bookmarkEnd w:id="398"/>
      <w:bookmarkStart w:id="399" w:name="_Toc184312088"/>
      <w:bookmarkEnd w:id="399"/>
      <w:bookmarkStart w:id="400" w:name="_Toc184310342"/>
      <w:bookmarkEnd w:id="400"/>
      <w:bookmarkStart w:id="401" w:name="_Toc184308106"/>
      <w:bookmarkEnd w:id="401"/>
      <w:bookmarkStart w:id="402" w:name="_Toc184312077"/>
      <w:bookmarkEnd w:id="402"/>
      <w:bookmarkStart w:id="403" w:name="_Toc184312136"/>
      <w:bookmarkEnd w:id="403"/>
      <w:bookmarkStart w:id="404" w:name="_Toc184314428"/>
      <w:bookmarkEnd w:id="404"/>
      <w:bookmarkStart w:id="405" w:name="_Toc184308064"/>
      <w:bookmarkEnd w:id="405"/>
      <w:bookmarkStart w:id="406" w:name="_Toc184313252"/>
      <w:bookmarkEnd w:id="406"/>
      <w:bookmarkStart w:id="407" w:name="_Toc184308055"/>
      <w:bookmarkEnd w:id="407"/>
      <w:bookmarkStart w:id="408" w:name="_Toc184310329"/>
      <w:bookmarkEnd w:id="408"/>
      <w:bookmarkStart w:id="409" w:name="_Toc184314472"/>
      <w:bookmarkEnd w:id="409"/>
      <w:bookmarkStart w:id="410" w:name="_Toc184308099"/>
      <w:bookmarkEnd w:id="410"/>
      <w:bookmarkStart w:id="411" w:name="_Toc184310291"/>
      <w:bookmarkEnd w:id="411"/>
      <w:bookmarkStart w:id="412" w:name="_Toc184310284"/>
      <w:bookmarkEnd w:id="412"/>
      <w:bookmarkStart w:id="413" w:name="_Toc184313284"/>
      <w:bookmarkEnd w:id="413"/>
      <w:bookmarkStart w:id="414" w:name="_Toc184314420"/>
      <w:bookmarkEnd w:id="414"/>
      <w:bookmarkStart w:id="415" w:name="_Toc184313241"/>
      <w:bookmarkEnd w:id="415"/>
      <w:bookmarkStart w:id="416" w:name="_Toc184314439"/>
      <w:bookmarkEnd w:id="416"/>
      <w:bookmarkStart w:id="417" w:name="_Toc184308069"/>
      <w:bookmarkEnd w:id="417"/>
      <w:bookmarkStart w:id="418" w:name="_Toc184310282"/>
      <w:bookmarkEnd w:id="418"/>
      <w:bookmarkStart w:id="419" w:name="_Toc184312104"/>
      <w:bookmarkEnd w:id="419"/>
      <w:bookmarkStart w:id="420" w:name="_Toc184310295"/>
      <w:bookmarkEnd w:id="420"/>
      <w:bookmarkStart w:id="421" w:name="_Toc184308045"/>
      <w:bookmarkEnd w:id="421"/>
      <w:bookmarkStart w:id="422" w:name="_Toc184313254"/>
      <w:bookmarkEnd w:id="422"/>
      <w:bookmarkStart w:id="423" w:name="_Toc184313309"/>
      <w:bookmarkEnd w:id="423"/>
      <w:bookmarkStart w:id="424" w:name="_Toc184310339"/>
      <w:bookmarkEnd w:id="424"/>
      <w:bookmarkStart w:id="425" w:name="_Toc184310292"/>
      <w:bookmarkEnd w:id="425"/>
      <w:bookmarkStart w:id="426" w:name="_Toc184310337"/>
      <w:bookmarkEnd w:id="426"/>
      <w:bookmarkStart w:id="427" w:name="_Toc184312122"/>
      <w:bookmarkEnd w:id="427"/>
      <w:bookmarkStart w:id="428" w:name="_Toc184308074"/>
      <w:bookmarkEnd w:id="428"/>
      <w:bookmarkStart w:id="429" w:name="_Toc184310296"/>
      <w:bookmarkEnd w:id="429"/>
      <w:bookmarkStart w:id="430" w:name="_Toc184313307"/>
      <w:bookmarkEnd w:id="430"/>
      <w:bookmarkStart w:id="431" w:name="_Toc184313248"/>
      <w:bookmarkEnd w:id="431"/>
      <w:bookmarkStart w:id="432" w:name="_Toc184314432"/>
      <w:bookmarkEnd w:id="432"/>
      <w:bookmarkStart w:id="433" w:name="_Toc184310320"/>
      <w:bookmarkEnd w:id="433"/>
      <w:bookmarkStart w:id="434" w:name="_Toc184314462"/>
      <w:bookmarkEnd w:id="434"/>
      <w:bookmarkStart w:id="435" w:name="_Toc184313239"/>
      <w:bookmarkEnd w:id="435"/>
      <w:bookmarkStart w:id="436" w:name="_Toc184312120"/>
      <w:bookmarkEnd w:id="436"/>
      <w:bookmarkStart w:id="437" w:name="_Toc184310276"/>
      <w:bookmarkEnd w:id="437"/>
      <w:bookmarkStart w:id="438" w:name="_Toc184308088"/>
      <w:bookmarkEnd w:id="438"/>
      <w:bookmarkStart w:id="439" w:name="_Toc184308100"/>
      <w:bookmarkEnd w:id="439"/>
      <w:bookmarkStart w:id="440" w:name="_Toc184313273"/>
      <w:bookmarkEnd w:id="440"/>
      <w:bookmarkStart w:id="441" w:name="_Toc184308053"/>
      <w:bookmarkEnd w:id="441"/>
      <w:bookmarkStart w:id="442" w:name="_Toc184312068"/>
      <w:bookmarkEnd w:id="442"/>
      <w:bookmarkStart w:id="443" w:name="_Toc184308057"/>
      <w:bookmarkEnd w:id="443"/>
      <w:bookmarkStart w:id="444" w:name="_Toc184314458"/>
      <w:bookmarkEnd w:id="444"/>
      <w:bookmarkStart w:id="445" w:name="_Toc184314444"/>
      <w:bookmarkEnd w:id="445"/>
      <w:bookmarkStart w:id="446" w:name="_Toc184312095"/>
      <w:bookmarkEnd w:id="446"/>
      <w:bookmarkStart w:id="447" w:name="_Toc184312103"/>
      <w:bookmarkEnd w:id="447"/>
      <w:bookmarkStart w:id="448" w:name="_Toc184314476"/>
      <w:bookmarkEnd w:id="448"/>
      <w:bookmarkStart w:id="449" w:name="_Toc184308041"/>
      <w:bookmarkEnd w:id="449"/>
      <w:bookmarkStart w:id="450" w:name="_Toc184310302"/>
      <w:bookmarkEnd w:id="450"/>
      <w:bookmarkStart w:id="451" w:name="_Toc184310287"/>
      <w:bookmarkEnd w:id="451"/>
      <w:r>
        <w:rPr>
          <w:rFonts w:hint="eastAsia" w:ascii="宋体" w:hAnsi="宋体" w:cs="仿宋"/>
          <w:b/>
          <w:color w:val="auto"/>
          <w:sz w:val="36"/>
          <w:szCs w:val="36"/>
          <w:highlight w:val="none"/>
        </w:rPr>
        <w:t>评标方法及评分标准</w:t>
      </w:r>
    </w:p>
    <w:p w14:paraId="439EFB0A">
      <w:pPr>
        <w:shd w:val="clear"/>
        <w:snapToGrid w:val="0"/>
        <w:spacing w:line="360" w:lineRule="auto"/>
        <w:jc w:val="center"/>
        <w:rPr>
          <w:rFonts w:ascii="宋体" w:hAnsi="宋体" w:cs="仿宋"/>
          <w:b/>
          <w:color w:val="auto"/>
          <w:sz w:val="28"/>
          <w:szCs w:val="28"/>
          <w:highlight w:val="none"/>
        </w:rPr>
      </w:pPr>
      <w:r>
        <w:rPr>
          <w:rFonts w:hint="eastAsia" w:ascii="宋体" w:hAnsi="宋体" w:cs="仿宋"/>
          <w:b/>
          <w:color w:val="auto"/>
          <w:sz w:val="32"/>
          <w:highlight w:val="none"/>
        </w:rPr>
        <w:t>一、评标方法</w:t>
      </w:r>
    </w:p>
    <w:p w14:paraId="032FE6B4">
      <w:pPr>
        <w:shd w:val="clear"/>
        <w:adjustRightInd/>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1.确定第一阶段入围供应商的评审方法：质量优先法。</w:t>
      </w:r>
    </w:p>
    <w:p w14:paraId="29B6C086">
      <w:pPr>
        <w:shd w:val="clear"/>
        <w:adjustRightInd/>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质量优先法是指对满足采购需求且响应报价、服务进行质量综合评分，按照质量评分。从高到低排序，根据征集文件规定的淘汰率或者入围供应商数量上限，确定入围供应商的评审方法。</w:t>
      </w:r>
    </w:p>
    <w:p w14:paraId="55E5A44A">
      <w:pPr>
        <w:shd w:val="clear"/>
        <w:adjustRightInd/>
        <w:spacing w:line="360" w:lineRule="auto"/>
        <w:ind w:firstLine="480" w:firstLineChars="200"/>
        <w:rPr>
          <w:rFonts w:ascii="宋体" w:hAnsi="宋体" w:cs="仿宋"/>
          <w:color w:val="auto"/>
          <w:kern w:val="0"/>
          <w:sz w:val="24"/>
          <w:highlight w:val="none"/>
        </w:rPr>
      </w:pPr>
    </w:p>
    <w:p w14:paraId="0D3C9565">
      <w:pPr>
        <w:shd w:val="clear"/>
        <w:snapToGrid w:val="0"/>
        <w:spacing w:line="360" w:lineRule="auto"/>
        <w:jc w:val="center"/>
        <w:rPr>
          <w:rFonts w:ascii="宋体" w:hAnsi="宋体" w:cs="仿宋"/>
          <w:b/>
          <w:color w:val="auto"/>
          <w:sz w:val="32"/>
          <w:highlight w:val="none"/>
        </w:rPr>
      </w:pPr>
      <w:r>
        <w:rPr>
          <w:rFonts w:hint="eastAsia" w:ascii="宋体" w:hAnsi="宋体" w:cs="仿宋"/>
          <w:b/>
          <w:color w:val="auto"/>
          <w:sz w:val="32"/>
          <w:highlight w:val="none"/>
        </w:rPr>
        <w:t>二、评标委员会的组成</w:t>
      </w:r>
    </w:p>
    <w:p w14:paraId="317EF157">
      <w:pPr>
        <w:shd w:val="clear"/>
        <w:snapToGrid w:val="0"/>
        <w:spacing w:line="360" w:lineRule="auto"/>
        <w:ind w:firstLine="482" w:firstLineChars="200"/>
        <w:rPr>
          <w:rFonts w:ascii="宋体" w:hAnsi="宋体" w:cs="仿宋"/>
          <w:color w:val="auto"/>
          <w:kern w:val="0"/>
          <w:sz w:val="24"/>
          <w:highlight w:val="none"/>
        </w:rPr>
      </w:pPr>
      <w:r>
        <w:rPr>
          <w:rFonts w:hint="eastAsia" w:ascii="宋体" w:hAnsi="宋体" w:cs="仿宋"/>
          <w:b/>
          <w:color w:val="auto"/>
          <w:kern w:val="0"/>
          <w:sz w:val="24"/>
          <w:highlight w:val="none"/>
        </w:rPr>
        <w:t>2.评标委员会的组成。</w:t>
      </w:r>
      <w:r>
        <w:rPr>
          <w:rFonts w:hint="eastAsia" w:ascii="宋体" w:hAnsi="宋体" w:cs="仿宋"/>
          <w:color w:val="auto"/>
          <w:kern w:val="0"/>
          <w:sz w:val="24"/>
          <w:highlight w:val="none"/>
        </w:rPr>
        <w:t>评标委员会由征集人代表和评审专家组成，成员人数为5人以上单数，其中评审专家不少于成员总数的三分之二。</w:t>
      </w:r>
    </w:p>
    <w:p w14:paraId="5D9EC9EF">
      <w:pPr>
        <w:pStyle w:val="219"/>
        <w:shd w:val="clear"/>
        <w:spacing w:before="0"/>
        <w:ind w:firstLine="482"/>
        <w:rPr>
          <w:rFonts w:ascii="宋体" w:hAnsi="宋体" w:cs="仿宋"/>
          <w:color w:val="auto"/>
          <w:kern w:val="0"/>
          <w:highlight w:val="none"/>
        </w:rPr>
      </w:pPr>
      <w:r>
        <w:rPr>
          <w:rFonts w:hint="eastAsia" w:ascii="宋体" w:hAnsi="宋体" w:cs="仿宋"/>
          <w:b/>
          <w:color w:val="auto"/>
          <w:kern w:val="0"/>
          <w:highlight w:val="none"/>
        </w:rPr>
        <w:t>3.评</w:t>
      </w:r>
      <w:r>
        <w:rPr>
          <w:rFonts w:hint="eastAsia" w:ascii="宋体" w:hAnsi="宋体" w:cs="仿宋"/>
          <w:b/>
          <w:color w:val="auto"/>
          <w:kern w:val="0"/>
          <w:szCs w:val="24"/>
          <w:highlight w:val="none"/>
        </w:rPr>
        <w:t>标委员会的组成人员的回避。</w:t>
      </w:r>
      <w:r>
        <w:rPr>
          <w:rFonts w:hint="eastAsia" w:ascii="宋体" w:hAnsi="宋体" w:cs="仿宋"/>
          <w:color w:val="auto"/>
          <w:kern w:val="0"/>
          <w:highlight w:val="none"/>
        </w:rPr>
        <w:t>在政府采购活动中，评标委员会的组成人员与供应商有下列利害关系之一的，应当回避：</w:t>
      </w:r>
    </w:p>
    <w:p w14:paraId="59926A2D">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3.1参加采购活动前3年内与供应商存在劳动关系；</w:t>
      </w:r>
    </w:p>
    <w:p w14:paraId="3D09B075">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3.2参加采购活动前3年内担任供应商的董事、监事；</w:t>
      </w:r>
    </w:p>
    <w:p w14:paraId="23CE6FC1">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3.3参加采购活动前3年内是供应商的控股股东或者实际控制人；</w:t>
      </w:r>
    </w:p>
    <w:p w14:paraId="4B5E1455">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3.4与供应商的法定代表人或者负责人有夫妻、直系血亲、三代以内旁系血亲或者近姻亲关系；</w:t>
      </w:r>
    </w:p>
    <w:p w14:paraId="765E0D9F">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3.5与供应商有其他可能影响政府采购活动公平、公正进行的关系。</w:t>
      </w:r>
    </w:p>
    <w:p w14:paraId="1089D880">
      <w:pPr>
        <w:pStyle w:val="219"/>
        <w:shd w:val="clear"/>
        <w:spacing w:before="0"/>
        <w:ind w:firstLine="0" w:firstLineChars="0"/>
        <w:jc w:val="center"/>
        <w:rPr>
          <w:rFonts w:ascii="宋体" w:hAnsi="宋体" w:cs="仿宋"/>
          <w:b/>
          <w:color w:val="auto"/>
          <w:sz w:val="32"/>
          <w:szCs w:val="32"/>
          <w:highlight w:val="none"/>
        </w:rPr>
      </w:pPr>
      <w:r>
        <w:rPr>
          <w:rFonts w:hint="eastAsia" w:ascii="宋体" w:hAnsi="宋体" w:cs="仿宋"/>
          <w:b/>
          <w:color w:val="auto"/>
          <w:sz w:val="32"/>
          <w:highlight w:val="none"/>
        </w:rPr>
        <w:t>三、评标委员会的职责</w:t>
      </w:r>
    </w:p>
    <w:p w14:paraId="0E841A33">
      <w:pPr>
        <w:pStyle w:val="219"/>
        <w:shd w:val="clear"/>
        <w:spacing w:before="0"/>
        <w:ind w:firstLine="482"/>
        <w:rPr>
          <w:rFonts w:ascii="宋体" w:hAnsi="宋体" w:cs="仿宋"/>
          <w:b/>
          <w:color w:val="auto"/>
          <w:kern w:val="0"/>
          <w:szCs w:val="24"/>
          <w:highlight w:val="none"/>
        </w:rPr>
      </w:pPr>
      <w:r>
        <w:rPr>
          <w:rFonts w:hint="eastAsia" w:ascii="宋体" w:hAnsi="宋体" w:cs="仿宋"/>
          <w:b/>
          <w:color w:val="auto"/>
          <w:kern w:val="0"/>
          <w:szCs w:val="24"/>
          <w:highlight w:val="none"/>
        </w:rPr>
        <w:t>4.评标委员会负责具体评标事务，并独立履行下列职责：</w:t>
      </w:r>
    </w:p>
    <w:p w14:paraId="3E0251C0">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4.1审查、评价响应文件是否符合征集文件的商务、技术等实质性要求；</w:t>
      </w:r>
    </w:p>
    <w:p w14:paraId="60F56FC9">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4.2要求投标人对响应文件有关事项作出澄清或者说明；</w:t>
      </w:r>
    </w:p>
    <w:p w14:paraId="51249B0E">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4.3对响应文件进行比较和评价；</w:t>
      </w:r>
    </w:p>
    <w:p w14:paraId="17C98203">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4.4确定中标候选人名单，以及根据征集人委托直接确定中标人；</w:t>
      </w:r>
    </w:p>
    <w:p w14:paraId="4740E6C4">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4.5向征集人、采购代理机构或者有关部门报告评标中发现的违法行为；</w:t>
      </w:r>
    </w:p>
    <w:p w14:paraId="345D19C1">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4.6法律、法规、规章、征集文件等规定的其它事项。</w:t>
      </w:r>
    </w:p>
    <w:p w14:paraId="1AA1F340">
      <w:pPr>
        <w:pStyle w:val="219"/>
        <w:shd w:val="clear"/>
        <w:spacing w:before="0"/>
        <w:ind w:firstLine="482"/>
        <w:jc w:val="left"/>
        <w:rPr>
          <w:rFonts w:ascii="宋体" w:hAnsi="宋体" w:cs="仿宋"/>
          <w:b/>
          <w:color w:val="auto"/>
          <w:kern w:val="0"/>
          <w:szCs w:val="24"/>
          <w:highlight w:val="none"/>
        </w:rPr>
      </w:pPr>
      <w:r>
        <w:rPr>
          <w:rFonts w:hint="eastAsia" w:ascii="宋体" w:hAnsi="宋体" w:cs="仿宋"/>
          <w:b/>
          <w:color w:val="auto"/>
          <w:kern w:val="0"/>
          <w:szCs w:val="24"/>
          <w:highlight w:val="none"/>
        </w:rPr>
        <w:t>5.评标委员会及其成员不得有下列行为：</w:t>
      </w:r>
    </w:p>
    <w:p w14:paraId="1202C2D3">
      <w:pPr>
        <w:pStyle w:val="219"/>
        <w:shd w:val="clear"/>
        <w:spacing w:before="0"/>
        <w:ind w:firstLine="480"/>
        <w:jc w:val="left"/>
        <w:rPr>
          <w:rFonts w:ascii="宋体" w:hAnsi="宋体" w:cs="仿宋"/>
          <w:color w:val="auto"/>
          <w:kern w:val="0"/>
          <w:highlight w:val="none"/>
        </w:rPr>
      </w:pPr>
      <w:r>
        <w:rPr>
          <w:rFonts w:hint="eastAsia" w:ascii="宋体" w:hAnsi="宋体" w:cs="仿宋"/>
          <w:color w:val="auto"/>
          <w:kern w:val="0"/>
          <w:highlight w:val="none"/>
        </w:rPr>
        <w:t>5.1确定参与评标至评标结束前私自接触投标人；</w:t>
      </w:r>
    </w:p>
    <w:p w14:paraId="27DF2D30">
      <w:pPr>
        <w:pStyle w:val="219"/>
        <w:shd w:val="clear"/>
        <w:spacing w:before="0"/>
        <w:ind w:firstLine="480"/>
        <w:jc w:val="left"/>
        <w:rPr>
          <w:rFonts w:ascii="宋体" w:hAnsi="宋体" w:cs="仿宋"/>
          <w:color w:val="auto"/>
          <w:kern w:val="0"/>
          <w:highlight w:val="none"/>
        </w:rPr>
      </w:pPr>
      <w:r>
        <w:rPr>
          <w:rFonts w:hint="eastAsia" w:ascii="宋体" w:hAnsi="宋体" w:cs="仿宋"/>
          <w:color w:val="auto"/>
          <w:kern w:val="0"/>
          <w:highlight w:val="none"/>
        </w:rPr>
        <w:t>5.2接受投标人提出的与响应文件不一致的澄清或者说明（财政部87号《政府采购货物和服务招投标管理办法》第五十一条规定的情形除外）；</w:t>
      </w:r>
    </w:p>
    <w:p w14:paraId="05E78A63">
      <w:pPr>
        <w:pStyle w:val="219"/>
        <w:shd w:val="clear"/>
        <w:spacing w:before="0"/>
        <w:ind w:firstLine="480"/>
        <w:jc w:val="left"/>
        <w:rPr>
          <w:rFonts w:ascii="宋体" w:hAnsi="宋体" w:cs="仿宋"/>
          <w:color w:val="auto"/>
          <w:kern w:val="0"/>
          <w:highlight w:val="none"/>
        </w:rPr>
      </w:pPr>
      <w:r>
        <w:rPr>
          <w:rFonts w:hint="eastAsia" w:ascii="宋体" w:hAnsi="宋体" w:cs="仿宋"/>
          <w:color w:val="auto"/>
          <w:kern w:val="0"/>
          <w:highlight w:val="none"/>
        </w:rPr>
        <w:t>5.3违反评标纪律发表倾向性意见或者征询征集人的倾向性意见；</w:t>
      </w:r>
    </w:p>
    <w:p w14:paraId="089047D4">
      <w:pPr>
        <w:pStyle w:val="219"/>
        <w:shd w:val="clear"/>
        <w:spacing w:before="0"/>
        <w:ind w:firstLine="480"/>
        <w:jc w:val="left"/>
        <w:rPr>
          <w:rFonts w:ascii="宋体" w:hAnsi="宋体" w:cs="仿宋"/>
          <w:color w:val="auto"/>
          <w:kern w:val="0"/>
          <w:highlight w:val="none"/>
        </w:rPr>
      </w:pPr>
      <w:r>
        <w:rPr>
          <w:rFonts w:hint="eastAsia" w:ascii="宋体" w:hAnsi="宋体" w:cs="仿宋"/>
          <w:color w:val="auto"/>
          <w:kern w:val="0"/>
          <w:highlight w:val="none"/>
        </w:rPr>
        <w:t>5.4对需要专业判断的主观评审因素协商评分；</w:t>
      </w:r>
    </w:p>
    <w:p w14:paraId="548A5426">
      <w:pPr>
        <w:pStyle w:val="219"/>
        <w:shd w:val="clear"/>
        <w:spacing w:before="0"/>
        <w:ind w:firstLine="480"/>
        <w:jc w:val="left"/>
        <w:rPr>
          <w:rFonts w:ascii="宋体" w:hAnsi="宋体" w:cs="仿宋"/>
          <w:color w:val="auto"/>
          <w:kern w:val="0"/>
          <w:highlight w:val="none"/>
        </w:rPr>
      </w:pPr>
      <w:r>
        <w:rPr>
          <w:rFonts w:hint="eastAsia" w:ascii="宋体" w:hAnsi="宋体" w:cs="仿宋"/>
          <w:color w:val="auto"/>
          <w:kern w:val="0"/>
          <w:highlight w:val="none"/>
        </w:rPr>
        <w:t>5.5在评标过程中擅离职守，影响评标程序正常进行的；</w:t>
      </w:r>
    </w:p>
    <w:p w14:paraId="6BCC42D3">
      <w:pPr>
        <w:pStyle w:val="219"/>
        <w:shd w:val="clear"/>
        <w:spacing w:before="0"/>
        <w:ind w:firstLine="480"/>
        <w:jc w:val="left"/>
        <w:rPr>
          <w:rFonts w:ascii="宋体" w:hAnsi="宋体" w:cs="仿宋"/>
          <w:color w:val="auto"/>
          <w:kern w:val="0"/>
          <w:highlight w:val="none"/>
        </w:rPr>
      </w:pPr>
      <w:r>
        <w:rPr>
          <w:rFonts w:hint="eastAsia" w:ascii="宋体" w:hAnsi="宋体" w:cs="仿宋"/>
          <w:color w:val="auto"/>
          <w:kern w:val="0"/>
          <w:highlight w:val="none"/>
        </w:rPr>
        <w:t>5.6记录、复制或者带走任何评标资料；</w:t>
      </w:r>
    </w:p>
    <w:p w14:paraId="75C8ADF0">
      <w:pPr>
        <w:pStyle w:val="219"/>
        <w:shd w:val="clear"/>
        <w:spacing w:before="0"/>
        <w:ind w:firstLine="480"/>
        <w:jc w:val="left"/>
        <w:rPr>
          <w:rFonts w:ascii="宋体" w:hAnsi="宋体" w:cs="仿宋"/>
          <w:color w:val="auto"/>
          <w:kern w:val="0"/>
          <w:highlight w:val="none"/>
        </w:rPr>
      </w:pPr>
      <w:r>
        <w:rPr>
          <w:rFonts w:hint="eastAsia" w:ascii="宋体" w:hAnsi="宋体" w:cs="仿宋"/>
          <w:color w:val="auto"/>
          <w:kern w:val="0"/>
          <w:highlight w:val="none"/>
        </w:rPr>
        <w:t>5.7其他不遵守评标纪律的行为。</w:t>
      </w:r>
    </w:p>
    <w:p w14:paraId="5A07381B">
      <w:pPr>
        <w:pStyle w:val="219"/>
        <w:shd w:val="clear"/>
        <w:spacing w:before="0"/>
        <w:ind w:firstLine="0" w:firstLineChars="0"/>
        <w:jc w:val="left"/>
        <w:rPr>
          <w:rFonts w:ascii="宋体" w:hAnsi="宋体" w:cs="仿宋"/>
          <w:color w:val="auto"/>
          <w:kern w:val="0"/>
          <w:highlight w:val="none"/>
        </w:rPr>
      </w:pPr>
      <w:r>
        <w:rPr>
          <w:rFonts w:hint="eastAsia" w:ascii="宋体" w:hAnsi="宋体" w:cs="仿宋"/>
          <w:color w:val="auto"/>
          <w:kern w:val="0"/>
          <w:highlight w:val="none"/>
        </w:rPr>
        <w:t>　　评标委员会成员有5.1-5.7行为之一的，其评审意见无效，并不得获取评审劳务报酬和报销异地评审差旅费。</w:t>
      </w:r>
    </w:p>
    <w:p w14:paraId="200B18F7">
      <w:pPr>
        <w:pStyle w:val="219"/>
        <w:shd w:val="clear"/>
        <w:spacing w:before="0"/>
        <w:ind w:firstLine="0" w:firstLineChars="0"/>
        <w:rPr>
          <w:rFonts w:ascii="宋体" w:hAnsi="宋体" w:cs="仿宋"/>
          <w:color w:val="auto"/>
          <w:kern w:val="0"/>
          <w:highlight w:val="none"/>
        </w:rPr>
      </w:pPr>
    </w:p>
    <w:p w14:paraId="0B020772">
      <w:pPr>
        <w:shd w:val="clear"/>
        <w:snapToGrid w:val="0"/>
        <w:spacing w:line="360" w:lineRule="auto"/>
        <w:ind w:left="120" w:leftChars="57" w:firstLine="482" w:firstLineChars="150"/>
        <w:jc w:val="center"/>
        <w:rPr>
          <w:rFonts w:ascii="宋体" w:hAnsi="宋体" w:cs="仿宋"/>
          <w:b/>
          <w:color w:val="auto"/>
          <w:sz w:val="32"/>
          <w:highlight w:val="none"/>
        </w:rPr>
      </w:pPr>
      <w:r>
        <w:rPr>
          <w:rFonts w:hint="eastAsia" w:ascii="宋体" w:hAnsi="宋体" w:cs="仿宋"/>
          <w:b/>
          <w:color w:val="auto"/>
          <w:sz w:val="32"/>
          <w:highlight w:val="none"/>
        </w:rPr>
        <w:t>四、评审程序</w:t>
      </w:r>
    </w:p>
    <w:p w14:paraId="6074F3A5">
      <w:pPr>
        <w:shd w:val="clear"/>
        <w:spacing w:line="360" w:lineRule="auto"/>
        <w:ind w:firstLine="472" w:firstLineChars="196"/>
        <w:rPr>
          <w:rFonts w:ascii="宋体" w:hAnsi="宋体" w:cs="仿宋"/>
          <w:color w:val="auto"/>
          <w:kern w:val="0"/>
          <w:highlight w:val="none"/>
        </w:rPr>
      </w:pPr>
      <w:r>
        <w:rPr>
          <w:rFonts w:hint="eastAsia" w:ascii="宋体" w:hAnsi="宋体" w:cs="仿宋"/>
          <w:b/>
          <w:color w:val="auto"/>
          <w:kern w:val="0"/>
          <w:sz w:val="24"/>
          <w:highlight w:val="none"/>
        </w:rPr>
        <w:t>6.符合性审查</w:t>
      </w:r>
      <w:r>
        <w:rPr>
          <w:rFonts w:hint="eastAsia" w:ascii="宋体" w:hAnsi="宋体" w:cs="仿宋"/>
          <w:b/>
          <w:color w:val="auto"/>
          <w:kern w:val="0"/>
          <w:highlight w:val="none"/>
        </w:rPr>
        <w:t>。</w:t>
      </w:r>
      <w:r>
        <w:rPr>
          <w:rFonts w:hint="eastAsia" w:ascii="宋体" w:hAnsi="宋体" w:cs="仿宋"/>
          <w:color w:val="auto"/>
          <w:kern w:val="0"/>
          <w:sz w:val="24"/>
          <w:highlight w:val="none"/>
        </w:rPr>
        <w:t xml:space="preserve"> 评标委员会应当对符合资格的投标人的响应文件进行符合性审查，以确定其是否满足征集文件的实质性要求。不满足征集文件的实质性要求的，投标无效。</w:t>
      </w:r>
    </w:p>
    <w:p w14:paraId="26A527AA">
      <w:pPr>
        <w:pStyle w:val="219"/>
        <w:shd w:val="clear"/>
        <w:spacing w:before="0"/>
        <w:ind w:firstLine="482"/>
        <w:rPr>
          <w:rFonts w:ascii="宋体" w:hAnsi="宋体" w:cs="仿宋"/>
          <w:color w:val="auto"/>
          <w:kern w:val="0"/>
          <w:szCs w:val="24"/>
          <w:highlight w:val="none"/>
        </w:rPr>
      </w:pPr>
      <w:r>
        <w:rPr>
          <w:rFonts w:hint="eastAsia" w:ascii="宋体" w:hAnsi="宋体" w:cs="仿宋"/>
          <w:b/>
          <w:color w:val="auto"/>
          <w:kern w:val="0"/>
          <w:szCs w:val="24"/>
          <w:highlight w:val="none"/>
        </w:rPr>
        <w:t>7. 比较与评价。</w:t>
      </w:r>
      <w:r>
        <w:rPr>
          <w:rFonts w:hint="eastAsia" w:ascii="宋体" w:hAnsi="宋体" w:cs="仿宋"/>
          <w:color w:val="auto"/>
          <w:kern w:val="0"/>
          <w:szCs w:val="24"/>
          <w:highlight w:val="none"/>
        </w:rPr>
        <w:t>评标委员会应当按照评标标准，对符合性审查合格的响应文件进行商务和技术评估，综合比较与评价。</w:t>
      </w:r>
    </w:p>
    <w:p w14:paraId="667D566B">
      <w:pPr>
        <w:pStyle w:val="219"/>
        <w:shd w:val="clear"/>
        <w:spacing w:before="0"/>
        <w:ind w:firstLine="482"/>
        <w:rPr>
          <w:rFonts w:ascii="宋体" w:hAnsi="宋体" w:cs="仿宋"/>
          <w:color w:val="auto"/>
          <w:kern w:val="0"/>
          <w:szCs w:val="24"/>
          <w:highlight w:val="none"/>
        </w:rPr>
      </w:pPr>
      <w:r>
        <w:rPr>
          <w:rFonts w:hint="eastAsia" w:ascii="宋体" w:hAnsi="宋体" w:cs="仿宋"/>
          <w:b/>
          <w:color w:val="auto"/>
          <w:kern w:val="0"/>
          <w:szCs w:val="24"/>
          <w:highlight w:val="none"/>
        </w:rPr>
        <w:t>8. 汇总（商务技术得分情况）。</w:t>
      </w:r>
      <w:r>
        <w:rPr>
          <w:rFonts w:hint="eastAsia" w:ascii="宋体" w:hAnsi="宋体" w:cs="仿宋"/>
          <w:color w:val="auto"/>
          <w:kern w:val="0"/>
          <w:szCs w:val="24"/>
          <w:highlight w:val="none"/>
        </w:rPr>
        <w:t>评标委员会各成员应当独立对每个投标人的商务和技术文件进行评价，并汇总商务技术得分情况。</w:t>
      </w:r>
    </w:p>
    <w:p w14:paraId="07C8A1ED">
      <w:pPr>
        <w:pStyle w:val="219"/>
        <w:shd w:val="clear"/>
        <w:spacing w:before="0"/>
        <w:ind w:firstLine="482"/>
        <w:rPr>
          <w:rFonts w:ascii="宋体" w:hAnsi="宋体" w:cs="仿宋"/>
          <w:color w:val="auto"/>
          <w:kern w:val="0"/>
          <w:szCs w:val="24"/>
          <w:highlight w:val="none"/>
        </w:rPr>
      </w:pPr>
      <w:r>
        <w:rPr>
          <w:rFonts w:hint="eastAsia" w:ascii="宋体" w:hAnsi="宋体" w:cs="仿宋"/>
          <w:b/>
          <w:color w:val="auto"/>
          <w:kern w:val="0"/>
          <w:szCs w:val="24"/>
          <w:highlight w:val="none"/>
        </w:rPr>
        <w:t>9. 报价审核。</w:t>
      </w:r>
      <w:r>
        <w:rPr>
          <w:rFonts w:hint="eastAsia" w:ascii="宋体" w:hAnsi="宋体" w:cs="仿宋"/>
          <w:color w:val="auto"/>
          <w:kern w:val="0"/>
          <w:szCs w:val="24"/>
          <w:highlight w:val="none"/>
        </w:rPr>
        <w:t>对经商务和技术评审符合采购需求的投标人的报价的合理性、准确性等进行审查核实。</w:t>
      </w:r>
    </w:p>
    <w:p w14:paraId="2DDADC03">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9.1评标委员会认为投标人的报价明显低于其他通过符合性审查投标人的报价，有可能影响产品质量或者不能诚信履约的，应当要求其在规定的时间内提供书面说明，必要时提交相关证明材料；投标人不能证明其报价合理性的，评标委员会应当将其作为无效投标处理。</w:t>
      </w:r>
    </w:p>
    <w:p w14:paraId="6057C009">
      <w:pPr>
        <w:pStyle w:val="219"/>
        <w:shd w:val="clear"/>
        <w:ind w:firstLine="480"/>
        <w:rPr>
          <w:rFonts w:ascii="宋体" w:hAnsi="宋体" w:cs="仿宋"/>
          <w:color w:val="auto"/>
          <w:kern w:val="0"/>
          <w:highlight w:val="none"/>
        </w:rPr>
      </w:pPr>
      <w:r>
        <w:rPr>
          <w:rFonts w:hint="eastAsia" w:ascii="宋体" w:hAnsi="宋体" w:cs="仿宋"/>
          <w:color w:val="auto"/>
          <w:kern w:val="0"/>
          <w:szCs w:val="24"/>
          <w:highlight w:val="none"/>
        </w:rPr>
        <w:t>9.2对于未预留份额专门面向中小企业的政府采购项目，以及预留份额政府采购项目中的非预留部分标项，对小型和微型企业的投标报价给予</w:t>
      </w:r>
      <w:r>
        <w:rPr>
          <w:rFonts w:hint="eastAsia" w:ascii="宋体" w:hAnsi="宋体" w:cs="仿宋"/>
          <w:b/>
          <w:bCs/>
          <w:color w:val="auto"/>
          <w:kern w:val="0"/>
          <w:szCs w:val="24"/>
          <w:highlight w:val="none"/>
        </w:rPr>
        <w:t>10%</w:t>
      </w:r>
      <w:r>
        <w:rPr>
          <w:rFonts w:hint="eastAsia" w:ascii="宋体" w:hAnsi="宋体" w:cs="仿宋"/>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宋体" w:hAnsi="宋体" w:cs="仿宋"/>
          <w:b/>
          <w:bCs/>
          <w:color w:val="auto"/>
          <w:kern w:val="0"/>
          <w:szCs w:val="24"/>
          <w:highlight w:val="none"/>
        </w:rPr>
        <w:t>4%</w:t>
      </w:r>
      <w:r>
        <w:rPr>
          <w:rFonts w:hint="eastAsia" w:ascii="宋体" w:hAnsi="宋体"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C719D77">
      <w:pPr>
        <w:shd w:val="clear"/>
        <w:snapToGrid w:val="0"/>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9.3响应文件出现不是唯一的、有选择性投标报价的，投标无效。</w:t>
      </w:r>
    </w:p>
    <w:p w14:paraId="3E8F5238">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9.4投标报价超过征集文件中规定的预算金额或者最高限价的，投标无效。</w:t>
      </w:r>
    </w:p>
    <w:p w14:paraId="6A927A3A">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9.5政采云投标客户端开标一览表内容与响应文件开标一览表(报价表)相应内容不一致的，以响应文件开标一览表(报价表)为准。</w:t>
      </w:r>
    </w:p>
    <w:p w14:paraId="1380639E">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9.6投标价格的修正原则。响应文件报价出现前后不一致的，按照下列规定修正：</w:t>
      </w:r>
    </w:p>
    <w:p w14:paraId="6A7746AD">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9.6.1响应文件中开标一览表(报价表)内容与响应文件中相应内容不一致的，以开标一览表(报价表)为准;</w:t>
      </w:r>
    </w:p>
    <w:p w14:paraId="7617807F">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9.6.2大写金额和小写金额不一致的，以大写金额为准;</w:t>
      </w:r>
    </w:p>
    <w:p w14:paraId="5A4A49F9">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9.6.3单价金额小数点或者百分比有明显错位的，以开标一览表的总价为准，并修改单价;</w:t>
      </w:r>
    </w:p>
    <w:p w14:paraId="5FC87A88">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9.6.4总价金额与按单价汇总金额不一致的，以单价金额计算结果为准；</w:t>
      </w:r>
    </w:p>
    <w:p w14:paraId="7E88B0BA">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9.6.5同时出现两种以上不一致的，按照前款规定的顺序修正。修正后的报价按照财政部第87号令 《政府采购货物和服务招标投标管理办法》第五十一条第二款的规定经投标人确认后产生约束力。</w:t>
      </w:r>
    </w:p>
    <w:p w14:paraId="42B95963">
      <w:pPr>
        <w:shd w:val="clear"/>
        <w:spacing w:line="360" w:lineRule="auto"/>
        <w:ind w:firstLine="480" w:firstLineChars="200"/>
        <w:rPr>
          <w:rFonts w:ascii="宋体" w:hAnsi="宋体" w:cs="仿宋"/>
          <w:b/>
          <w:bCs/>
          <w:color w:val="auto"/>
          <w:sz w:val="24"/>
          <w:highlight w:val="none"/>
        </w:rPr>
      </w:pPr>
      <w:r>
        <w:rPr>
          <w:rFonts w:hint="eastAsia" w:ascii="宋体" w:hAnsi="宋体" w:cs="仿宋"/>
          <w:bCs/>
          <w:color w:val="auto"/>
          <w:sz w:val="24"/>
          <w:highlight w:val="none"/>
        </w:rPr>
        <w:t>▲</w:t>
      </w:r>
      <w:r>
        <w:rPr>
          <w:rFonts w:hint="eastAsia" w:ascii="宋体" w:hAnsi="宋体" w:cs="仿宋"/>
          <w:b/>
          <w:bCs/>
          <w:color w:val="auto"/>
          <w:sz w:val="24"/>
          <w:highlight w:val="none"/>
        </w:rPr>
        <w:t>投标人对根据修正原则修正后的报价不确认的，投标无效。</w:t>
      </w:r>
    </w:p>
    <w:p w14:paraId="3E96BC06">
      <w:pPr>
        <w:shd w:val="clear"/>
        <w:spacing w:line="360" w:lineRule="auto"/>
        <w:ind w:firstLine="482" w:firstLineChars="200"/>
        <w:rPr>
          <w:rFonts w:ascii="宋体" w:hAnsi="宋体" w:cs="仿宋"/>
          <w:color w:val="auto"/>
          <w:kern w:val="0"/>
          <w:sz w:val="24"/>
          <w:highlight w:val="none"/>
        </w:rPr>
      </w:pPr>
      <w:r>
        <w:rPr>
          <w:rFonts w:hint="eastAsia" w:ascii="宋体" w:hAnsi="宋体" w:cs="仿宋"/>
          <w:b/>
          <w:color w:val="auto"/>
          <w:kern w:val="0"/>
          <w:sz w:val="24"/>
          <w:highlight w:val="none"/>
        </w:rPr>
        <w:t>10.汇总得分。</w:t>
      </w:r>
      <w:r>
        <w:rPr>
          <w:rFonts w:hint="eastAsia" w:ascii="宋体" w:hAnsi="宋体" w:cs="仿宋"/>
          <w:color w:val="auto"/>
          <w:kern w:val="0"/>
          <w:sz w:val="24"/>
          <w:highlight w:val="none"/>
        </w:rPr>
        <w:t>评标委员会各成员应当独立对每个投标人的响应文件进行评价，并汇总每个投标人的得分。</w:t>
      </w:r>
    </w:p>
    <w:p w14:paraId="141A71BA">
      <w:pPr>
        <w:shd w:val="clear"/>
        <w:spacing w:line="360" w:lineRule="auto"/>
        <w:ind w:firstLine="482" w:firstLineChars="200"/>
        <w:rPr>
          <w:rFonts w:ascii="宋体" w:hAnsi="宋体" w:cs="仿宋"/>
          <w:b/>
          <w:color w:val="auto"/>
          <w:kern w:val="0"/>
          <w:sz w:val="24"/>
          <w:highlight w:val="none"/>
        </w:rPr>
      </w:pPr>
      <w:r>
        <w:rPr>
          <w:rFonts w:hint="eastAsia" w:ascii="宋体" w:hAnsi="宋体" w:cs="仿宋"/>
          <w:b/>
          <w:color w:val="auto"/>
          <w:kern w:val="0"/>
          <w:sz w:val="24"/>
          <w:highlight w:val="none"/>
        </w:rPr>
        <w:t>11.入围原则。</w:t>
      </w:r>
    </w:p>
    <w:p w14:paraId="2DC100C2">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11.1经评标委员会综合评定后，根据排序从后往前按比例淘汰单位（淘汰比例为进入排序单位数量的20%，向上取整数），淘汰后剩余单位多于30家，按照排序先后选择30家单位。</w:t>
      </w:r>
      <w:r>
        <w:rPr>
          <w:rFonts w:hint="eastAsia" w:hAnsi="宋体" w:cs="仿宋"/>
          <w:color w:val="auto"/>
          <w:kern w:val="0"/>
          <w:sz w:val="24"/>
          <w:highlight w:val="none"/>
        </w:rPr>
        <w:t>如入围数量最后一家有得分相同的，按以下顺序得分高的名次在先：（1）拟派团队情况及专业能力；（2）业绩；（3）售后服务能力；（4）管理方案；（5）政策掌握能力；（6）合理化建议；（7）对“大数据+工程造价”的理解及分析</w:t>
      </w:r>
      <w:r>
        <w:rPr>
          <w:rFonts w:hint="eastAsia" w:ascii="宋体" w:hAnsi="宋体" w:cs="仿宋"/>
          <w:color w:val="auto"/>
          <w:sz w:val="24"/>
          <w:highlight w:val="none"/>
        </w:rPr>
        <w:t>。</w:t>
      </w:r>
    </w:p>
    <w:p w14:paraId="5F5B58B2">
      <w:pPr>
        <w:shd w:val="clear"/>
        <w:spacing w:line="360" w:lineRule="auto"/>
        <w:ind w:firstLine="360" w:firstLineChars="150"/>
        <w:rPr>
          <w:rFonts w:ascii="宋体" w:hAnsi="宋体" w:cs="仿宋"/>
          <w:color w:val="auto"/>
          <w:sz w:val="24"/>
          <w:highlight w:val="none"/>
        </w:rPr>
      </w:pPr>
      <w:r>
        <w:rPr>
          <w:rFonts w:hint="eastAsia" w:ascii="宋体" w:hAnsi="宋体" w:cs="仿宋"/>
          <w:color w:val="auto"/>
          <w:sz w:val="24"/>
          <w:highlight w:val="none"/>
        </w:rPr>
        <w:t xml:space="preserve"> 11.2确定中标候选人后，招标人应按规定公示7个工作日后，无异议的，方可发中标通知书。如在公示期间，发现有投标单位进行投诉，该投标单位应对异议和质疑举证内容的真实性负责。如投诉单位无充足理由或真实依据，则该投诉单位按扰乱招标市场的行为进行处理，并将上述行为上报相关部门，若出现中标候选人取消或放弃中标资格的，中标候选人不再进行递补。</w:t>
      </w:r>
    </w:p>
    <w:p w14:paraId="28A04FF1">
      <w:pPr>
        <w:pStyle w:val="219"/>
        <w:shd w:val="clear"/>
        <w:adjustRightInd/>
        <w:spacing w:before="0"/>
        <w:ind w:firstLine="241" w:firstLineChars="100"/>
        <w:rPr>
          <w:rFonts w:ascii="宋体" w:hAnsi="宋体" w:cs="仿宋"/>
          <w:color w:val="auto"/>
          <w:szCs w:val="24"/>
          <w:highlight w:val="none"/>
        </w:rPr>
      </w:pPr>
      <w:r>
        <w:rPr>
          <w:rFonts w:hint="eastAsia" w:ascii="宋体" w:hAnsi="宋体" w:cs="仿宋"/>
          <w:b/>
          <w:color w:val="auto"/>
          <w:szCs w:val="24"/>
          <w:highlight w:val="none"/>
        </w:rPr>
        <w:t xml:space="preserve">  12.评标报告与推荐中标候选人。</w:t>
      </w:r>
      <w:r>
        <w:rPr>
          <w:rFonts w:hint="eastAsia" w:ascii="宋体" w:hAnsi="宋体" w:cs="仿宋"/>
          <w:color w:val="auto"/>
          <w:szCs w:val="24"/>
          <w:highlight w:val="none"/>
        </w:rPr>
        <w:t>评标委员会根据全体评标成员签字的原始评标记录和评标结果编写评标报告，并推荐中标候选人，评审报告由评标委员会成员签字确认提交。</w:t>
      </w:r>
    </w:p>
    <w:p w14:paraId="1D73B307">
      <w:pPr>
        <w:widowControl/>
        <w:shd w:val="clear"/>
        <w:adjustRightInd/>
        <w:spacing w:line="360" w:lineRule="auto"/>
        <w:ind w:firstLine="482" w:firstLineChars="200"/>
        <w:jc w:val="left"/>
        <w:rPr>
          <w:rFonts w:ascii="宋体" w:hAnsi="宋体" w:cs="仿宋"/>
          <w:color w:val="auto"/>
          <w:sz w:val="24"/>
          <w:highlight w:val="none"/>
        </w:rPr>
      </w:pPr>
      <w:r>
        <w:rPr>
          <w:rFonts w:hint="eastAsia" w:ascii="宋体" w:hAnsi="宋体" w:cs="仿宋"/>
          <w:b/>
          <w:color w:val="auto"/>
          <w:sz w:val="24"/>
          <w:highlight w:val="none"/>
        </w:rPr>
        <w:t>13.评标争议事项处理。</w:t>
      </w:r>
      <w:r>
        <w:rPr>
          <w:rFonts w:hint="eastAsia" w:ascii="宋体" w:hAnsi="宋体" w:cs="仿宋"/>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A54C432">
      <w:pPr>
        <w:shd w:val="clear"/>
        <w:snapToGrid w:val="0"/>
        <w:spacing w:line="360" w:lineRule="auto"/>
        <w:ind w:left="120" w:leftChars="57" w:firstLine="482" w:firstLineChars="150"/>
        <w:jc w:val="center"/>
        <w:rPr>
          <w:rFonts w:ascii="宋体" w:hAnsi="宋体" w:cs="仿宋"/>
          <w:b/>
          <w:color w:val="auto"/>
          <w:sz w:val="32"/>
          <w:highlight w:val="none"/>
        </w:rPr>
      </w:pPr>
    </w:p>
    <w:p w14:paraId="08156B3C">
      <w:pPr>
        <w:shd w:val="clear"/>
        <w:snapToGrid w:val="0"/>
        <w:spacing w:line="360" w:lineRule="auto"/>
        <w:ind w:left="120" w:leftChars="57" w:firstLine="482" w:firstLineChars="150"/>
        <w:jc w:val="center"/>
        <w:rPr>
          <w:rFonts w:ascii="宋体" w:hAnsi="宋体" w:cs="仿宋"/>
          <w:b/>
          <w:color w:val="auto"/>
          <w:sz w:val="32"/>
          <w:highlight w:val="none"/>
        </w:rPr>
      </w:pPr>
      <w:r>
        <w:rPr>
          <w:rFonts w:hint="eastAsia" w:ascii="宋体" w:hAnsi="宋体" w:cs="仿宋"/>
          <w:b/>
          <w:color w:val="auto"/>
          <w:sz w:val="32"/>
          <w:highlight w:val="none"/>
        </w:rPr>
        <w:t>五、评标中的其他事项</w:t>
      </w:r>
    </w:p>
    <w:p w14:paraId="12AE2D42">
      <w:pPr>
        <w:shd w:val="clear"/>
        <w:spacing w:line="360" w:lineRule="auto"/>
        <w:ind w:firstLine="482" w:firstLineChars="200"/>
        <w:rPr>
          <w:rFonts w:ascii="宋体" w:hAnsi="宋体" w:cs="仿宋"/>
          <w:color w:val="auto"/>
          <w:sz w:val="24"/>
          <w:highlight w:val="none"/>
        </w:rPr>
      </w:pPr>
      <w:r>
        <w:rPr>
          <w:rFonts w:hint="eastAsia" w:ascii="宋体" w:hAnsi="宋体" w:cs="仿宋"/>
          <w:b/>
          <w:color w:val="auto"/>
          <w:kern w:val="0"/>
          <w:sz w:val="24"/>
          <w:highlight w:val="none"/>
        </w:rPr>
        <w:t>14.投标人澄清、说明或者补正。</w:t>
      </w:r>
      <w:r>
        <w:rPr>
          <w:rFonts w:hint="eastAsia" w:ascii="宋体" w:hAnsi="宋体" w:cs="仿宋"/>
          <w:color w:val="auto"/>
          <w:kern w:val="0"/>
          <w:sz w:val="24"/>
          <w:highlight w:val="none"/>
        </w:rPr>
        <w:t>对于响应文件中含义不明确、同类问题表述不一致或者有明显文字和计算错误的内容，评标委员会可以书面形式要求投标人通过政采云平台以书面形式作出必要的澄清、说明或者补正，投标人应在30分钟内提交澄清说明或补正，逾期不提交的视为放弃澄清、说明或补正的权利。投标人的澄清、说明或者补正不得超出响应文件的范围或者改变响应文件的实质性内容。</w:t>
      </w:r>
    </w:p>
    <w:p w14:paraId="0680522D">
      <w:pPr>
        <w:pStyle w:val="23"/>
        <w:shd w:val="clear"/>
        <w:spacing w:line="360" w:lineRule="auto"/>
        <w:ind w:firstLine="562"/>
        <w:rPr>
          <w:rFonts w:cs="仿宋"/>
          <w:color w:val="auto"/>
          <w:highlight w:val="none"/>
        </w:rPr>
      </w:pPr>
      <w:r>
        <w:rPr>
          <w:rFonts w:hint="eastAsia" w:cs="仿宋"/>
          <w:b/>
          <w:color w:val="auto"/>
          <w:spacing w:val="20"/>
          <w:highlight w:val="none"/>
        </w:rPr>
        <w:t>15.投标无效。</w:t>
      </w:r>
      <w:r>
        <w:rPr>
          <w:rFonts w:hint="eastAsia" w:cs="仿宋"/>
          <w:color w:val="auto"/>
          <w:highlight w:val="none"/>
        </w:rPr>
        <w:t>有下列情况之一的，投标无效：</w:t>
      </w:r>
    </w:p>
    <w:p w14:paraId="4CEE1C69">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15.1单位负责人为同一人或者存在直接控股、管理关系的不同供应商参加同一合同项下的政府采购活动的（均无效）；</w:t>
      </w:r>
    </w:p>
    <w:p w14:paraId="41E86D56">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15.2为采购项目提供整体设计、规范编制或者项目管理、监理、检测等服务的供应商再参加该采购项目的其他采购活动的； </w:t>
      </w:r>
    </w:p>
    <w:p w14:paraId="58151875">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15.3投标人不具备征集文件中规定的资格要求的（投标人未提供有效的资格证明文件的，视为投标人不具备征集文件中规定的资格要求）；</w:t>
      </w:r>
    </w:p>
    <w:p w14:paraId="4ECA9F10">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15.4响应文件“资格文件”和“商务技术文件”部分中出现用于价格分评审的投标报价的（征集文件另有规定的参与“商务技术文件”评审的报价除外）；</w:t>
      </w:r>
    </w:p>
    <w:p w14:paraId="421CC886">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15.5响应文件未按征集文件规定的格式填写，或对招标服务或对技术或产品等要求未详细应答或应答内容不全、有缺失的，经评标委员会认定为无法评审的；</w:t>
      </w:r>
    </w:p>
    <w:p w14:paraId="2234255D">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15.6响应文件关键信息填写不完整或字迹不能辨认或有漏项的，经评标委员会认定属于重大偏差的；</w:t>
      </w:r>
    </w:p>
    <w:p w14:paraId="4BD5DF7A">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15.7响应文件重要信息前后不一致，经评标委员会询标后仍然无法评审的；</w:t>
      </w:r>
    </w:p>
    <w:p w14:paraId="26BBEEFC">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15.8响应文件未按照征集文件要求签署、盖章的；</w:t>
      </w:r>
    </w:p>
    <w:p w14:paraId="0D7972BA">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15.9响应文件中未提供应当提供的政府强制采购节能品目内的节能产品或未提供有效的节能产品认证证书的（如果本项目采购涉及节能品目清单中的政府强制采购的节能产品的）；</w:t>
      </w:r>
    </w:p>
    <w:p w14:paraId="724C3B19">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15.10响应文件含有征集人不能接受的附加条件的；</w:t>
      </w:r>
    </w:p>
    <w:p w14:paraId="42E5152D">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15.11响应文件中承诺的投标有效期少于征集文件中载明的投标有效期的；</w:t>
      </w:r>
    </w:p>
    <w:p w14:paraId="257E0900">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15.12投标人所投内容不符合采购需求中实质性要求的；</w:t>
      </w:r>
    </w:p>
    <w:p w14:paraId="12D92009">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15.13响应文件出现不是唯一的、有选择性投标报价的；</w:t>
      </w:r>
    </w:p>
    <w:p w14:paraId="26D5696C">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15.14投标报价高于本项目采购预算或者最高限价的；</w:t>
      </w:r>
    </w:p>
    <w:p w14:paraId="285E2A53">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15.15报价明显低于其他通过符合性审查投标人的报价，有可能影响产品质量或者不能诚信履约的，未能按要求提供书面说明或者提交相关证明材料，不能证明其报价合理性的；</w:t>
      </w:r>
    </w:p>
    <w:p w14:paraId="08338AA9">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15.16《</w:t>
      </w:r>
      <w:r>
        <w:rPr>
          <w:rFonts w:hint="eastAsia" w:ascii="宋体" w:hAnsi="宋体" w:cs="仿宋"/>
          <w:color w:val="auto"/>
          <w:sz w:val="24"/>
          <w:szCs w:val="28"/>
          <w:highlight w:val="none"/>
        </w:rPr>
        <w:t>开标一览表(报价表)</w:t>
      </w:r>
      <w:r>
        <w:rPr>
          <w:rFonts w:hint="eastAsia" w:ascii="宋体" w:hAnsi="宋体" w:cs="仿宋"/>
          <w:color w:val="auto"/>
          <w:sz w:val="24"/>
          <w:highlight w:val="none"/>
        </w:rPr>
        <w:t>》填写不完整或字迹不能辨认或有漏项的，经评标委员会认定属于重大偏差的；</w:t>
      </w:r>
    </w:p>
    <w:p w14:paraId="69A9C23D">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15.17投标人对根据修正原则修正后的报价不确认的；</w:t>
      </w:r>
    </w:p>
    <w:p w14:paraId="64C4CC8E">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15.18投标人仅提交备份响应文件，未在电子交易平台传输递交响应文件的，投标无效；</w:t>
      </w:r>
    </w:p>
    <w:p w14:paraId="35604639">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15.19</w:t>
      </w:r>
      <w:r>
        <w:rPr>
          <w:rFonts w:hint="eastAsia" w:ascii="宋体" w:hAnsi="宋体" w:cs="仿宋"/>
          <w:b/>
          <w:snapToGrid w:val="0"/>
          <w:color w:val="auto"/>
          <w:kern w:val="28"/>
          <w:sz w:val="24"/>
          <w:highlight w:val="none"/>
        </w:rPr>
        <w:t>对未提供样品或提供样品不满足采购需求实质性条件；</w:t>
      </w:r>
    </w:p>
    <w:p w14:paraId="3D098BE7">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15.20投标人提供虚假材料投标的（包括但不限于以下情节）：</w:t>
      </w:r>
    </w:p>
    <w:p w14:paraId="2555271E">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15.20.1使用伪造、变造的许可证件；</w:t>
      </w:r>
    </w:p>
    <w:p w14:paraId="7EEDB57E">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15.20.2提供虚假的财务状况或者业绩；</w:t>
      </w:r>
    </w:p>
    <w:p w14:paraId="663967AF">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15.20.3提供虚假的技术负责人或者主要技术人员简历、劳动关系证明；</w:t>
      </w:r>
    </w:p>
    <w:p w14:paraId="71CD4CE3">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15.20.4提供虚假的信用状况；</w:t>
      </w:r>
    </w:p>
    <w:p w14:paraId="6E0B1C5B">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15.20.5其他弄虚作假的行为。</w:t>
      </w:r>
    </w:p>
    <w:p w14:paraId="19DE6066">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15.21投标人有恶意串通、妨碍其他投标人的竞争行为、损害征集人或者其他投标人的合法权益情形的；有下列情形之一的，属于或视为恶意串通，其投标无效：</w:t>
      </w:r>
    </w:p>
    <w:p w14:paraId="686E75E1">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15.20.1供应商直接或者间接从征集人或者采购代理机构处获得其他供应商的相关情况并修改其响应文件或者响应文件；</w:t>
      </w:r>
    </w:p>
    <w:p w14:paraId="06C35E02">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15.21.2供应商按照征集人或者采购代理机构的授意撤换、修改响应文件或者响应文件；</w:t>
      </w:r>
    </w:p>
    <w:p w14:paraId="27A4DB10">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15.21.3供应商之间协商报价、技术方案等响应文件或者响应文件的实质性内容；</w:t>
      </w:r>
    </w:p>
    <w:p w14:paraId="2A27DC5F">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15.21.4属于同一集团、协会、商会等组织成员的供应商按照该组织要求协同参加政府采购活动；</w:t>
      </w:r>
    </w:p>
    <w:p w14:paraId="2E5A91E1">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15.21.5供应商之间事先约定由某一特定供应商中标、成交；</w:t>
      </w:r>
    </w:p>
    <w:p w14:paraId="0846D1BF">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15.21.6供应商之间商定部分供应商放弃参加政府采购活动或者放弃中标、成交；</w:t>
      </w:r>
    </w:p>
    <w:p w14:paraId="1B5A9736">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15.21.7供应商与征集人或者采购代理机构之间、供应商相互之间，为谋求特定供应商中标、成交或者排斥其他供应商的其他串通行为。</w:t>
      </w:r>
    </w:p>
    <w:p w14:paraId="4E8CB442">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15.21.8不同投标人的响应文件由同一单位或者个人编制；</w:t>
      </w:r>
    </w:p>
    <w:p w14:paraId="01285DAE">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15.21.9不同投标人委托同一单位或者个人办理投标事宜；</w:t>
      </w:r>
    </w:p>
    <w:p w14:paraId="017AAF1C">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15.21.10不同投标人的响应文件载明的项目管理成员或者联系人员为同一人；</w:t>
      </w:r>
    </w:p>
    <w:p w14:paraId="66D1E88E">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15.21.11不同投标人的响应文件异常一致或者投标报价呈规律性差异；</w:t>
      </w:r>
    </w:p>
    <w:p w14:paraId="3A73D905">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15.21.12不同投标人的响应文件相互混装；</w:t>
      </w:r>
    </w:p>
    <w:p w14:paraId="07ECEDD5">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15.22违反法律、法规及本征集文件规定的其它无效投标情形。 </w:t>
      </w:r>
    </w:p>
    <w:p w14:paraId="0CAFB760">
      <w:pPr>
        <w:pStyle w:val="23"/>
        <w:shd w:val="clear"/>
        <w:snapToGrid w:val="0"/>
        <w:spacing w:line="360" w:lineRule="auto"/>
        <w:ind w:firstLine="472" w:firstLineChars="196"/>
        <w:rPr>
          <w:rFonts w:cs="仿宋"/>
          <w:color w:val="auto"/>
          <w:highlight w:val="none"/>
        </w:rPr>
      </w:pPr>
      <w:r>
        <w:rPr>
          <w:rFonts w:hint="eastAsia" w:cs="仿宋"/>
          <w:b/>
          <w:color w:val="auto"/>
          <w:highlight w:val="none"/>
        </w:rPr>
        <w:t xml:space="preserve"> 16.废标。</w:t>
      </w:r>
      <w:r>
        <w:rPr>
          <w:rFonts w:hint="eastAsia" w:cs="仿宋"/>
          <w:color w:val="auto"/>
          <w:highlight w:val="none"/>
        </w:rPr>
        <w:t>根据《中华人民共和国政府采购法》第三十六条之规定，在采购中，出现下列情形之一的，应予废标：</w:t>
      </w:r>
    </w:p>
    <w:p w14:paraId="11F69D97">
      <w:pPr>
        <w:pStyle w:val="23"/>
        <w:shd w:val="clear"/>
        <w:snapToGrid w:val="0"/>
        <w:spacing w:line="360" w:lineRule="auto"/>
        <w:rPr>
          <w:rFonts w:cs="仿宋"/>
          <w:color w:val="auto"/>
          <w:highlight w:val="none"/>
        </w:rPr>
      </w:pPr>
      <w:r>
        <w:rPr>
          <w:rFonts w:hint="eastAsia" w:cs="仿宋"/>
          <w:color w:val="auto"/>
          <w:highlight w:val="none"/>
        </w:rPr>
        <w:t>16.1符合专业条件的供应商或者对征集文件作实质响应的供应商不足3家的；</w:t>
      </w:r>
    </w:p>
    <w:p w14:paraId="6D85860B">
      <w:pPr>
        <w:pStyle w:val="23"/>
        <w:shd w:val="clear"/>
        <w:snapToGrid w:val="0"/>
        <w:spacing w:line="360" w:lineRule="auto"/>
        <w:rPr>
          <w:rFonts w:cs="仿宋"/>
          <w:color w:val="auto"/>
          <w:highlight w:val="none"/>
        </w:rPr>
      </w:pPr>
      <w:r>
        <w:rPr>
          <w:rFonts w:hint="eastAsia" w:cs="仿宋"/>
          <w:color w:val="auto"/>
          <w:highlight w:val="none"/>
        </w:rPr>
        <w:t>16.2出现影响采购公正的违法、违规行为的；</w:t>
      </w:r>
    </w:p>
    <w:p w14:paraId="196F97AC">
      <w:pPr>
        <w:pStyle w:val="23"/>
        <w:shd w:val="clear"/>
        <w:snapToGrid w:val="0"/>
        <w:spacing w:line="360" w:lineRule="auto"/>
        <w:rPr>
          <w:rFonts w:cs="仿宋"/>
          <w:color w:val="auto"/>
          <w:highlight w:val="none"/>
        </w:rPr>
      </w:pPr>
      <w:r>
        <w:rPr>
          <w:rFonts w:hint="eastAsia" w:cs="仿宋"/>
          <w:color w:val="auto"/>
          <w:highlight w:val="none"/>
        </w:rPr>
        <w:t>16.3投标人的报价均超过了采购预算，征集人不能支付的；</w:t>
      </w:r>
    </w:p>
    <w:p w14:paraId="4DAC5818">
      <w:pPr>
        <w:pStyle w:val="23"/>
        <w:shd w:val="clear"/>
        <w:snapToGrid w:val="0"/>
        <w:spacing w:line="360" w:lineRule="auto"/>
        <w:rPr>
          <w:rFonts w:cs="仿宋"/>
          <w:color w:val="auto"/>
          <w:highlight w:val="none"/>
        </w:rPr>
      </w:pPr>
      <w:r>
        <w:rPr>
          <w:rFonts w:hint="eastAsia" w:cs="仿宋"/>
          <w:color w:val="auto"/>
          <w:highlight w:val="none"/>
        </w:rPr>
        <w:t>16.4因重大变故，采购任务取消的。</w:t>
      </w:r>
    </w:p>
    <w:p w14:paraId="4E304927">
      <w:pPr>
        <w:pStyle w:val="23"/>
        <w:shd w:val="clear"/>
        <w:snapToGrid w:val="0"/>
        <w:spacing w:line="360" w:lineRule="auto"/>
        <w:rPr>
          <w:rFonts w:cs="仿宋"/>
          <w:color w:val="auto"/>
          <w:highlight w:val="none"/>
        </w:rPr>
      </w:pPr>
      <w:r>
        <w:rPr>
          <w:rFonts w:hint="eastAsia" w:cs="仿宋"/>
          <w:color w:val="auto"/>
          <w:highlight w:val="none"/>
        </w:rPr>
        <w:t>废标后，采购代理机构应当将废标理由通知所有投标人。</w:t>
      </w:r>
    </w:p>
    <w:p w14:paraId="5C774B18">
      <w:pPr>
        <w:pStyle w:val="23"/>
        <w:shd w:val="clear"/>
        <w:snapToGrid w:val="0"/>
        <w:spacing w:line="360" w:lineRule="auto"/>
        <w:ind w:firstLine="590" w:firstLineChars="245"/>
        <w:rPr>
          <w:rFonts w:cs="仿宋"/>
          <w:color w:val="auto"/>
          <w:highlight w:val="none"/>
        </w:rPr>
      </w:pPr>
      <w:r>
        <w:rPr>
          <w:rFonts w:hint="eastAsia" w:cs="仿宋"/>
          <w:b/>
          <w:color w:val="auto"/>
          <w:highlight w:val="none"/>
        </w:rPr>
        <w:t>17.修改征集文件，重新组织采购活动。</w:t>
      </w:r>
      <w:r>
        <w:rPr>
          <w:rFonts w:hint="eastAsia" w:cs="仿宋"/>
          <w:color w:val="auto"/>
          <w:highlight w:val="none"/>
        </w:rPr>
        <w:t>评标委员会发现征集文件存在歧义、重大缺陷导致评标工作无法进行，或者征集文件内容违反国家有关强制性规定的，将停止评标工作，并与征集人、采购代理机构沟通并作书面记录。征集人、采购代理机构确认后，将修改征集文件，重新组织采购活动。</w:t>
      </w:r>
    </w:p>
    <w:p w14:paraId="5BF7D31E">
      <w:pPr>
        <w:pStyle w:val="23"/>
        <w:shd w:val="clear"/>
        <w:snapToGrid w:val="0"/>
        <w:spacing w:line="360" w:lineRule="auto"/>
        <w:ind w:firstLine="482"/>
        <w:rPr>
          <w:rFonts w:cs="仿宋"/>
          <w:color w:val="auto"/>
          <w:highlight w:val="none"/>
        </w:rPr>
      </w:pPr>
      <w:r>
        <w:rPr>
          <w:rFonts w:hint="eastAsia" w:cs="仿宋"/>
          <w:b/>
          <w:color w:val="auto"/>
          <w:kern w:val="0"/>
          <w:highlight w:val="none"/>
        </w:rPr>
        <w:t>18.重新开展采购。</w:t>
      </w:r>
      <w:r>
        <w:rPr>
          <w:rFonts w:hint="eastAsia" w:cs="仿宋"/>
          <w:color w:val="auto"/>
          <w:highlight w:val="none"/>
        </w:rPr>
        <w:t>有中华人民共和国政府采购法第七十一条、第七十二条规定的违法行为之一，影响或者可能影响中标结果的，依照下列规定处理：</w:t>
      </w:r>
    </w:p>
    <w:p w14:paraId="4E4073C7">
      <w:pPr>
        <w:pStyle w:val="23"/>
        <w:shd w:val="clear"/>
        <w:snapToGrid w:val="0"/>
        <w:spacing w:line="360" w:lineRule="auto"/>
        <w:rPr>
          <w:rFonts w:cs="仿宋"/>
          <w:color w:val="auto"/>
          <w:highlight w:val="none"/>
        </w:rPr>
      </w:pPr>
      <w:r>
        <w:rPr>
          <w:rFonts w:hint="eastAsia" w:cs="仿宋"/>
          <w:color w:val="auto"/>
          <w:highlight w:val="none"/>
        </w:rPr>
        <w:t>18.1未确定中标供应商的，终止本次政府采购活动，重新开展政府采购活动。</w:t>
      </w:r>
    </w:p>
    <w:p w14:paraId="38B62D08">
      <w:pPr>
        <w:pStyle w:val="23"/>
        <w:shd w:val="clear"/>
        <w:snapToGrid w:val="0"/>
        <w:spacing w:line="360" w:lineRule="auto"/>
        <w:rPr>
          <w:rFonts w:cs="仿宋"/>
          <w:color w:val="auto"/>
          <w:highlight w:val="none"/>
        </w:rPr>
      </w:pPr>
      <w:r>
        <w:rPr>
          <w:rFonts w:hint="eastAsia" w:cs="仿宋"/>
          <w:color w:val="auto"/>
          <w:highlight w:val="none"/>
        </w:rPr>
        <w:t>18.2已确定中标供应商但尚未签订政府采购合同的，中标结果无效，从合格的中标候选人中另行确定中标供应商；没有合格的中标候选人的，重新开展政府采购活动。</w:t>
      </w:r>
    </w:p>
    <w:p w14:paraId="5CE091FD">
      <w:pPr>
        <w:pStyle w:val="23"/>
        <w:shd w:val="clear"/>
        <w:snapToGrid w:val="0"/>
        <w:spacing w:line="360" w:lineRule="auto"/>
        <w:rPr>
          <w:rFonts w:cs="仿宋"/>
          <w:color w:val="auto"/>
          <w:highlight w:val="none"/>
        </w:rPr>
      </w:pPr>
      <w:r>
        <w:rPr>
          <w:rFonts w:hint="eastAsia" w:cs="仿宋"/>
          <w:color w:val="auto"/>
          <w:highlight w:val="none"/>
        </w:rPr>
        <w:t>18.3政府采购合同已签订但尚未履行的，撤销合同，从合格的中标候选人中另行确定中标供应商；没有合格的中标候选人的，重新开展政府采购活动。</w:t>
      </w:r>
    </w:p>
    <w:p w14:paraId="0A4101C3">
      <w:pPr>
        <w:pStyle w:val="23"/>
        <w:shd w:val="clear"/>
        <w:snapToGrid w:val="0"/>
        <w:spacing w:line="360" w:lineRule="auto"/>
        <w:rPr>
          <w:rFonts w:cs="仿宋"/>
          <w:color w:val="auto"/>
          <w:highlight w:val="none"/>
        </w:rPr>
      </w:pPr>
      <w:r>
        <w:rPr>
          <w:rFonts w:hint="eastAsia" w:cs="仿宋"/>
          <w:color w:val="auto"/>
          <w:highlight w:val="none"/>
        </w:rPr>
        <w:t>18.4政府采购合同已经履行，给征集人、供应商造成损失的，由责任人承担赔偿责任。</w:t>
      </w:r>
    </w:p>
    <w:p w14:paraId="434130F2">
      <w:pPr>
        <w:pStyle w:val="23"/>
        <w:shd w:val="clear"/>
        <w:snapToGrid w:val="0"/>
        <w:spacing w:line="360" w:lineRule="auto"/>
        <w:rPr>
          <w:rFonts w:cs="仿宋"/>
          <w:color w:val="auto"/>
          <w:highlight w:val="none"/>
        </w:rPr>
      </w:pPr>
      <w:r>
        <w:rPr>
          <w:rFonts w:hint="eastAsia" w:cs="仿宋"/>
          <w:color w:val="auto"/>
          <w:highlight w:val="none"/>
        </w:rPr>
        <w:t>18.5政府采购当事人有其他违反中华人民共和国政府采购法或者中华人民共和国政府采购法实施条例等法律法规规定的行为，经改正后仍然影响或者可能影响中标结果或者依法被认定为中标无效的，依照18.1-18.4规定处理。</w:t>
      </w:r>
    </w:p>
    <w:p w14:paraId="560F4CF4">
      <w:pPr>
        <w:widowControl/>
        <w:shd w:val="clear"/>
        <w:adjustRightInd/>
        <w:spacing w:line="360" w:lineRule="auto"/>
        <w:jc w:val="center"/>
        <w:rPr>
          <w:rFonts w:ascii="宋体" w:hAnsi="宋体" w:cs="仿宋"/>
          <w:b/>
          <w:color w:val="auto"/>
          <w:sz w:val="32"/>
          <w:highlight w:val="none"/>
        </w:rPr>
      </w:pPr>
    </w:p>
    <w:p w14:paraId="7E9227EE">
      <w:pPr>
        <w:widowControl/>
        <w:shd w:val="clear"/>
        <w:adjustRightInd/>
        <w:spacing w:line="360" w:lineRule="auto"/>
        <w:jc w:val="center"/>
        <w:rPr>
          <w:rFonts w:ascii="宋体" w:hAnsi="宋体" w:cs="仿宋"/>
          <w:b/>
          <w:color w:val="auto"/>
          <w:sz w:val="32"/>
          <w:highlight w:val="none"/>
        </w:rPr>
      </w:pPr>
      <w:r>
        <w:rPr>
          <w:rFonts w:hint="eastAsia" w:ascii="宋体" w:hAnsi="宋体" w:cs="仿宋"/>
          <w:b/>
          <w:color w:val="auto"/>
          <w:sz w:val="32"/>
          <w:highlight w:val="none"/>
        </w:rPr>
        <w:t>六、 废标</w:t>
      </w:r>
    </w:p>
    <w:p w14:paraId="3F426DAB">
      <w:pPr>
        <w:pStyle w:val="23"/>
        <w:shd w:val="clear"/>
        <w:snapToGrid w:val="0"/>
        <w:spacing w:line="360" w:lineRule="auto"/>
        <w:ind w:firstLine="482"/>
        <w:rPr>
          <w:rFonts w:cs="仿宋"/>
          <w:color w:val="auto"/>
          <w:highlight w:val="none"/>
        </w:rPr>
      </w:pPr>
      <w:r>
        <w:rPr>
          <w:rFonts w:hint="eastAsia" w:cs="仿宋"/>
          <w:b/>
          <w:color w:val="auto"/>
          <w:highlight w:val="none"/>
        </w:rPr>
        <w:t>16.废标。</w:t>
      </w:r>
      <w:r>
        <w:rPr>
          <w:rFonts w:hint="eastAsia" w:cs="仿宋"/>
          <w:color w:val="auto"/>
          <w:highlight w:val="none"/>
        </w:rPr>
        <w:t>根据《中华人民共和国政府采购法》第三十六条之规定，在采购中，出现下列情形之一的，应予废标：</w:t>
      </w:r>
    </w:p>
    <w:p w14:paraId="20E8131B">
      <w:pPr>
        <w:pStyle w:val="23"/>
        <w:shd w:val="clear"/>
        <w:snapToGrid w:val="0"/>
        <w:spacing w:line="360" w:lineRule="auto"/>
        <w:rPr>
          <w:rFonts w:cs="仿宋"/>
          <w:color w:val="auto"/>
          <w:highlight w:val="none"/>
        </w:rPr>
      </w:pPr>
      <w:r>
        <w:rPr>
          <w:rFonts w:hint="eastAsia" w:cs="仿宋"/>
          <w:color w:val="auto"/>
          <w:highlight w:val="none"/>
        </w:rPr>
        <w:t>16.1符合专业条件的供应商或者对征集文件作实质响应的供应商不足3家的；</w:t>
      </w:r>
    </w:p>
    <w:p w14:paraId="68052117">
      <w:pPr>
        <w:pStyle w:val="23"/>
        <w:shd w:val="clear"/>
        <w:snapToGrid w:val="0"/>
        <w:spacing w:line="360" w:lineRule="auto"/>
        <w:rPr>
          <w:rFonts w:cs="仿宋"/>
          <w:color w:val="auto"/>
          <w:highlight w:val="none"/>
        </w:rPr>
      </w:pPr>
      <w:r>
        <w:rPr>
          <w:rFonts w:hint="eastAsia" w:cs="仿宋"/>
          <w:color w:val="auto"/>
          <w:highlight w:val="none"/>
        </w:rPr>
        <w:t>16.2出现影响采购公正的违法、违规行为的；</w:t>
      </w:r>
    </w:p>
    <w:p w14:paraId="5B568172">
      <w:pPr>
        <w:pStyle w:val="23"/>
        <w:shd w:val="clear"/>
        <w:snapToGrid w:val="0"/>
        <w:spacing w:line="360" w:lineRule="auto"/>
        <w:rPr>
          <w:rFonts w:cs="仿宋"/>
          <w:color w:val="auto"/>
          <w:highlight w:val="none"/>
        </w:rPr>
      </w:pPr>
      <w:r>
        <w:rPr>
          <w:rFonts w:hint="eastAsia" w:cs="仿宋"/>
          <w:color w:val="auto"/>
          <w:highlight w:val="none"/>
        </w:rPr>
        <w:t>16.3投标人的报价均超过了采购预算，征集人不能支付的；</w:t>
      </w:r>
    </w:p>
    <w:p w14:paraId="52AF670F">
      <w:pPr>
        <w:pStyle w:val="23"/>
        <w:shd w:val="clear"/>
        <w:snapToGrid w:val="0"/>
        <w:spacing w:line="360" w:lineRule="auto"/>
        <w:rPr>
          <w:rFonts w:cs="仿宋"/>
          <w:color w:val="auto"/>
          <w:highlight w:val="none"/>
        </w:rPr>
      </w:pPr>
      <w:r>
        <w:rPr>
          <w:rFonts w:hint="eastAsia" w:cs="仿宋"/>
          <w:color w:val="auto"/>
          <w:highlight w:val="none"/>
        </w:rPr>
        <w:t>16.4因重大变故，采购任务取消的。</w:t>
      </w:r>
    </w:p>
    <w:p w14:paraId="24CB1D9E">
      <w:pPr>
        <w:pStyle w:val="23"/>
        <w:shd w:val="clear"/>
        <w:snapToGrid w:val="0"/>
        <w:spacing w:line="360" w:lineRule="auto"/>
        <w:rPr>
          <w:rFonts w:cs="仿宋"/>
          <w:b/>
          <w:color w:val="auto"/>
          <w:sz w:val="32"/>
          <w:highlight w:val="none"/>
        </w:rPr>
      </w:pPr>
      <w:r>
        <w:rPr>
          <w:rFonts w:hint="eastAsia" w:cs="仿宋"/>
          <w:color w:val="auto"/>
          <w:highlight w:val="none"/>
        </w:rPr>
        <w:t>废标后，采购代理机构应当将废标理由通知所有投标人。</w:t>
      </w:r>
    </w:p>
    <w:p w14:paraId="75AF1750">
      <w:pPr>
        <w:shd w:val="clear"/>
        <w:snapToGrid w:val="0"/>
        <w:spacing w:line="360" w:lineRule="auto"/>
        <w:rPr>
          <w:rFonts w:ascii="宋体" w:hAnsi="宋体" w:cs="仿宋"/>
          <w:b/>
          <w:color w:val="auto"/>
          <w:sz w:val="32"/>
          <w:highlight w:val="none"/>
        </w:rPr>
      </w:pPr>
    </w:p>
    <w:p w14:paraId="6B0B2D6D">
      <w:pPr>
        <w:shd w:val="clear"/>
        <w:snapToGrid w:val="0"/>
        <w:spacing w:line="360" w:lineRule="auto"/>
        <w:ind w:left="120" w:leftChars="57" w:firstLine="482" w:firstLineChars="150"/>
        <w:jc w:val="center"/>
        <w:rPr>
          <w:rFonts w:ascii="宋体" w:hAnsi="宋体" w:cs="仿宋"/>
          <w:b/>
          <w:color w:val="auto"/>
          <w:sz w:val="32"/>
          <w:highlight w:val="none"/>
        </w:rPr>
      </w:pPr>
      <w:r>
        <w:rPr>
          <w:rFonts w:hint="eastAsia" w:ascii="宋体" w:hAnsi="宋体" w:cs="仿宋"/>
          <w:b/>
          <w:color w:val="auto"/>
          <w:sz w:val="32"/>
          <w:highlight w:val="none"/>
        </w:rPr>
        <w:t>七、评审过程的保密与录像</w:t>
      </w:r>
    </w:p>
    <w:p w14:paraId="06572DA5">
      <w:pPr>
        <w:widowControl/>
        <w:shd w:val="clear"/>
        <w:spacing w:line="360" w:lineRule="auto"/>
        <w:ind w:firstLine="482" w:firstLineChars="200"/>
        <w:rPr>
          <w:rFonts w:ascii="宋体" w:hAnsi="宋体" w:cs="仿宋"/>
          <w:color w:val="auto"/>
          <w:sz w:val="24"/>
          <w:highlight w:val="none"/>
        </w:rPr>
      </w:pPr>
      <w:r>
        <w:rPr>
          <w:rFonts w:hint="eastAsia" w:ascii="宋体" w:hAnsi="宋体" w:cs="仿宋"/>
          <w:b/>
          <w:color w:val="auto"/>
          <w:sz w:val="24"/>
          <w:highlight w:val="none"/>
        </w:rPr>
        <w:t>17.保密。</w:t>
      </w:r>
      <w:r>
        <w:rPr>
          <w:rFonts w:hint="eastAsia" w:ascii="宋体" w:hAnsi="宋体" w:cs="仿宋"/>
          <w:color w:val="auto"/>
          <w:sz w:val="24"/>
          <w:highlight w:val="none"/>
        </w:rPr>
        <w:t>评审活动在严格保密的情况下进行。评审过程中凡是与采购响应文件评审和比较、中标成交供应商推荐等评审有关的情况，以及涉及国家秘密和商业秘密等信息，评标委员会成员、征集人和采购代理机构工作人员、相关监督人员等与评审有关的人员应当予以保密。</w:t>
      </w:r>
    </w:p>
    <w:p w14:paraId="794B890A">
      <w:pPr>
        <w:widowControl/>
        <w:shd w:val="clear"/>
        <w:spacing w:line="360" w:lineRule="auto"/>
        <w:ind w:firstLine="482" w:firstLineChars="200"/>
        <w:rPr>
          <w:rFonts w:ascii="宋体" w:hAnsi="宋体" w:cs="仿宋"/>
          <w:color w:val="auto"/>
          <w:sz w:val="24"/>
          <w:highlight w:val="none"/>
        </w:rPr>
      </w:pPr>
      <w:r>
        <w:rPr>
          <w:rFonts w:hint="eastAsia" w:ascii="宋体" w:hAnsi="宋体" w:cs="仿宋"/>
          <w:b/>
          <w:color w:val="auto"/>
          <w:sz w:val="24"/>
          <w:highlight w:val="none"/>
        </w:rPr>
        <w:t>18.录音录像。</w:t>
      </w:r>
      <w:r>
        <w:rPr>
          <w:rFonts w:hint="eastAsia" w:ascii="宋体" w:hAnsi="宋体" w:cs="仿宋"/>
          <w:color w:val="auto"/>
          <w:sz w:val="24"/>
          <w:highlight w:val="none"/>
        </w:rPr>
        <w:t>采购代理机构对评审工作现场进行全过程录音录像，录音录像资料作为采购项目文件随其他文件一并存档。</w:t>
      </w:r>
    </w:p>
    <w:p w14:paraId="384538AC">
      <w:pPr>
        <w:shd w:val="clear"/>
        <w:snapToGrid w:val="0"/>
        <w:spacing w:line="360" w:lineRule="auto"/>
        <w:ind w:left="120" w:leftChars="57" w:firstLine="482" w:firstLineChars="150"/>
        <w:jc w:val="center"/>
        <w:rPr>
          <w:rFonts w:ascii="宋体" w:hAnsi="宋体" w:cs="仿宋"/>
          <w:b/>
          <w:color w:val="auto"/>
          <w:sz w:val="32"/>
          <w:highlight w:val="none"/>
        </w:rPr>
      </w:pPr>
    </w:p>
    <w:p w14:paraId="405E22F9">
      <w:pPr>
        <w:shd w:val="clear"/>
        <w:snapToGrid w:val="0"/>
        <w:spacing w:line="360" w:lineRule="auto"/>
        <w:ind w:left="120" w:leftChars="57" w:firstLine="482" w:firstLineChars="150"/>
        <w:jc w:val="center"/>
        <w:rPr>
          <w:rFonts w:ascii="宋体" w:hAnsi="宋体" w:cs="仿宋"/>
          <w:b/>
          <w:color w:val="auto"/>
          <w:sz w:val="32"/>
          <w:highlight w:val="none"/>
        </w:rPr>
      </w:pPr>
      <w:r>
        <w:rPr>
          <w:rFonts w:hint="eastAsia" w:ascii="宋体" w:hAnsi="宋体" w:cs="仿宋"/>
          <w:b/>
          <w:color w:val="auto"/>
          <w:sz w:val="32"/>
          <w:highlight w:val="none"/>
        </w:rPr>
        <w:br w:type="page"/>
      </w:r>
      <w:r>
        <w:rPr>
          <w:rFonts w:hint="eastAsia" w:ascii="宋体" w:hAnsi="宋体" w:cs="仿宋"/>
          <w:b/>
          <w:color w:val="auto"/>
          <w:sz w:val="32"/>
          <w:highlight w:val="none"/>
        </w:rPr>
        <w:t>七、具体评标标准</w:t>
      </w:r>
    </w:p>
    <w:p w14:paraId="6F321B0E">
      <w:pPr>
        <w:widowControl/>
        <w:shd w:val="clear"/>
        <w:spacing w:line="360" w:lineRule="auto"/>
        <w:ind w:firstLine="480" w:firstLineChars="200"/>
        <w:rPr>
          <w:rFonts w:ascii="仿宋" w:hAnsi="仿宋" w:eastAsia="仿宋" w:cs="仿宋"/>
          <w:color w:val="auto"/>
          <w:sz w:val="24"/>
          <w:highlight w:val="none"/>
        </w:rPr>
      </w:pPr>
      <w:bookmarkStart w:id="452" w:name="gxebd_pack_1_EvalFactorAccordEnd"/>
      <w:bookmarkEnd w:id="452"/>
      <w:r>
        <w:rPr>
          <w:rFonts w:hint="eastAsia" w:ascii="宋体" w:hAnsi="宋体" w:cs="仿宋"/>
          <w:color w:val="auto"/>
          <w:sz w:val="24"/>
          <w:highlight w:val="none"/>
        </w:rPr>
        <w:t>19.商务技术分</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100</w:t>
      </w:r>
      <w:r>
        <w:rPr>
          <w:rFonts w:hint="eastAsia" w:ascii="仿宋" w:hAnsi="仿宋" w:eastAsia="仿宋" w:cs="仿宋"/>
          <w:color w:val="auto"/>
          <w:sz w:val="24"/>
          <w:highlight w:val="none"/>
        </w:rPr>
        <w:t>分）</w:t>
      </w:r>
    </w:p>
    <w:p w14:paraId="17B000AB">
      <w:pPr>
        <w:shd w:val="clear"/>
        <w:rPr>
          <w:rFonts w:ascii="仿宋" w:hAnsi="仿宋" w:eastAsia="仿宋" w:cs="仿宋"/>
          <w:color w:val="auto"/>
          <w:sz w:val="24"/>
          <w:szCs w:val="20"/>
          <w:highlight w:val="none"/>
        </w:rPr>
      </w:pPr>
    </w:p>
    <w:tbl>
      <w:tblPr>
        <w:tblStyle w:val="60"/>
        <w:tblW w:w="10071"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421"/>
        <w:gridCol w:w="851"/>
        <w:gridCol w:w="7081"/>
      </w:tblGrid>
      <w:tr w14:paraId="32CA7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18" w:type="dxa"/>
            <w:tcBorders>
              <w:tl2br w:val="nil"/>
              <w:tr2bl w:val="nil"/>
            </w:tcBorders>
            <w:noWrap/>
            <w:vAlign w:val="center"/>
          </w:tcPr>
          <w:p w14:paraId="70C28A5D">
            <w:pPr>
              <w:shd w:val="clear"/>
              <w:autoSpaceDE w:val="0"/>
              <w:autoSpaceDN w:val="0"/>
              <w:spacing w:before="156" w:line="400" w:lineRule="exact"/>
              <w:jc w:val="center"/>
              <w:rPr>
                <w:rFonts w:ascii="宋体" w:hAnsi="宋体" w:cs="仿宋"/>
                <w:bCs/>
                <w:color w:val="auto"/>
                <w:sz w:val="24"/>
                <w:highlight w:val="none"/>
                <w:lang w:val="zh-CN"/>
              </w:rPr>
            </w:pPr>
            <w:r>
              <w:rPr>
                <w:rFonts w:hint="eastAsia" w:ascii="宋体" w:hAnsi="宋体" w:cs="仿宋"/>
                <w:bCs/>
                <w:color w:val="auto"/>
                <w:sz w:val="24"/>
                <w:highlight w:val="none"/>
                <w:lang w:val="zh-CN"/>
              </w:rPr>
              <w:t>序号</w:t>
            </w:r>
          </w:p>
        </w:tc>
        <w:tc>
          <w:tcPr>
            <w:tcW w:w="1421" w:type="dxa"/>
            <w:tcBorders>
              <w:tl2br w:val="nil"/>
              <w:tr2bl w:val="nil"/>
            </w:tcBorders>
            <w:noWrap/>
            <w:vAlign w:val="center"/>
          </w:tcPr>
          <w:p w14:paraId="215C81DF">
            <w:pPr>
              <w:shd w:val="clear"/>
              <w:autoSpaceDE w:val="0"/>
              <w:autoSpaceDN w:val="0"/>
              <w:spacing w:before="156" w:line="400" w:lineRule="exact"/>
              <w:jc w:val="center"/>
              <w:rPr>
                <w:rFonts w:ascii="宋体" w:hAnsi="宋体" w:cs="仿宋"/>
                <w:bCs/>
                <w:color w:val="auto"/>
                <w:sz w:val="24"/>
                <w:highlight w:val="none"/>
                <w:lang w:val="zh-CN"/>
              </w:rPr>
            </w:pPr>
            <w:r>
              <w:rPr>
                <w:rFonts w:hint="eastAsia" w:ascii="宋体" w:hAnsi="宋体" w:cs="仿宋"/>
                <w:bCs/>
                <w:color w:val="auto"/>
                <w:sz w:val="24"/>
                <w:highlight w:val="none"/>
                <w:lang w:val="zh-CN"/>
              </w:rPr>
              <w:t>评分内容</w:t>
            </w:r>
          </w:p>
        </w:tc>
        <w:tc>
          <w:tcPr>
            <w:tcW w:w="851" w:type="dxa"/>
            <w:tcBorders>
              <w:tl2br w:val="nil"/>
              <w:tr2bl w:val="nil"/>
            </w:tcBorders>
            <w:noWrap/>
            <w:vAlign w:val="center"/>
          </w:tcPr>
          <w:p w14:paraId="31206814">
            <w:pPr>
              <w:shd w:val="clear"/>
              <w:autoSpaceDE w:val="0"/>
              <w:autoSpaceDN w:val="0"/>
              <w:spacing w:before="156" w:line="400" w:lineRule="exact"/>
              <w:jc w:val="center"/>
              <w:rPr>
                <w:rFonts w:ascii="宋体" w:hAnsi="宋体" w:cs="仿宋"/>
                <w:bCs/>
                <w:color w:val="auto"/>
                <w:sz w:val="24"/>
                <w:highlight w:val="none"/>
                <w:lang w:val="zh-CN"/>
              </w:rPr>
            </w:pPr>
            <w:r>
              <w:rPr>
                <w:rFonts w:hint="eastAsia" w:ascii="宋体" w:hAnsi="宋体" w:cs="仿宋"/>
                <w:bCs/>
                <w:color w:val="auto"/>
                <w:sz w:val="24"/>
                <w:highlight w:val="none"/>
                <w:lang w:val="zh-CN"/>
              </w:rPr>
              <w:t>分值</w:t>
            </w:r>
          </w:p>
        </w:tc>
        <w:tc>
          <w:tcPr>
            <w:tcW w:w="7081" w:type="dxa"/>
            <w:tcBorders>
              <w:tl2br w:val="nil"/>
              <w:tr2bl w:val="nil"/>
            </w:tcBorders>
            <w:noWrap/>
            <w:vAlign w:val="center"/>
          </w:tcPr>
          <w:p w14:paraId="2489479E">
            <w:pPr>
              <w:shd w:val="clear"/>
              <w:autoSpaceDE w:val="0"/>
              <w:autoSpaceDN w:val="0"/>
              <w:spacing w:before="156" w:line="400" w:lineRule="exact"/>
              <w:jc w:val="center"/>
              <w:rPr>
                <w:rFonts w:ascii="宋体" w:hAnsi="宋体" w:cs="仿宋"/>
                <w:bCs/>
                <w:color w:val="auto"/>
                <w:sz w:val="24"/>
                <w:highlight w:val="none"/>
                <w:lang w:val="zh-CN"/>
              </w:rPr>
            </w:pPr>
            <w:r>
              <w:rPr>
                <w:rFonts w:hint="eastAsia" w:ascii="宋体" w:hAnsi="宋体" w:cs="仿宋"/>
                <w:bCs/>
                <w:color w:val="auto"/>
                <w:sz w:val="24"/>
                <w:highlight w:val="none"/>
                <w:lang w:val="zh-CN"/>
              </w:rPr>
              <w:t>评分细则</w:t>
            </w:r>
          </w:p>
        </w:tc>
      </w:tr>
      <w:tr w14:paraId="0D698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1" w:hRule="atLeast"/>
        </w:trPr>
        <w:tc>
          <w:tcPr>
            <w:tcW w:w="718" w:type="dxa"/>
            <w:tcBorders>
              <w:tl2br w:val="nil"/>
              <w:tr2bl w:val="nil"/>
            </w:tcBorders>
            <w:noWrap/>
            <w:vAlign w:val="center"/>
          </w:tcPr>
          <w:p w14:paraId="72EF42DD">
            <w:pPr>
              <w:shd w:val="clear"/>
              <w:autoSpaceDE w:val="0"/>
              <w:autoSpaceDN w:val="0"/>
              <w:spacing w:before="156" w:line="400" w:lineRule="exact"/>
              <w:jc w:val="center"/>
              <w:rPr>
                <w:rFonts w:ascii="宋体" w:hAnsi="宋体" w:cs="仿宋_GB2312"/>
                <w:color w:val="auto"/>
                <w:sz w:val="24"/>
                <w:highlight w:val="none"/>
              </w:rPr>
            </w:pPr>
            <w:r>
              <w:rPr>
                <w:rFonts w:hint="eastAsia" w:ascii="宋体" w:hAnsi="宋体" w:cs="仿宋_GB2312"/>
                <w:bCs/>
                <w:color w:val="auto"/>
                <w:sz w:val="24"/>
                <w:highlight w:val="none"/>
              </w:rPr>
              <w:t>1</w:t>
            </w:r>
          </w:p>
        </w:tc>
        <w:tc>
          <w:tcPr>
            <w:tcW w:w="1421" w:type="dxa"/>
            <w:tcBorders>
              <w:tl2br w:val="nil"/>
              <w:tr2bl w:val="nil"/>
            </w:tcBorders>
            <w:noWrap/>
            <w:vAlign w:val="center"/>
          </w:tcPr>
          <w:p w14:paraId="65132B53">
            <w:pPr>
              <w:shd w:val="clear"/>
              <w:autoSpaceDE w:val="0"/>
              <w:autoSpaceDN w:val="0"/>
              <w:spacing w:before="156" w:line="400" w:lineRule="exact"/>
              <w:rPr>
                <w:rFonts w:ascii="宋体" w:hAnsi="宋体" w:cs="仿宋"/>
                <w:bCs/>
                <w:color w:val="auto"/>
                <w:sz w:val="24"/>
                <w:highlight w:val="none"/>
                <w:lang w:val="zh-CN"/>
              </w:rPr>
            </w:pPr>
            <w:r>
              <w:rPr>
                <w:rFonts w:hint="eastAsia" w:ascii="宋体" w:hAnsi="宋体" w:cs="仿宋"/>
                <w:bCs/>
                <w:color w:val="auto"/>
                <w:sz w:val="24"/>
                <w:highlight w:val="none"/>
                <w:lang w:val="zh-CN"/>
              </w:rPr>
              <w:t>拟派团队情况及专业能力</w:t>
            </w:r>
          </w:p>
        </w:tc>
        <w:tc>
          <w:tcPr>
            <w:tcW w:w="851" w:type="dxa"/>
            <w:tcBorders>
              <w:tl2br w:val="nil"/>
              <w:tr2bl w:val="nil"/>
            </w:tcBorders>
            <w:noWrap/>
            <w:vAlign w:val="center"/>
          </w:tcPr>
          <w:p w14:paraId="669601F5">
            <w:pPr>
              <w:shd w:val="clear"/>
              <w:autoSpaceDE w:val="0"/>
              <w:autoSpaceDN w:val="0"/>
              <w:spacing w:before="156" w:line="400" w:lineRule="exact"/>
              <w:ind w:firstLine="241" w:firstLineChars="100"/>
              <w:rPr>
                <w:rFonts w:ascii="宋体" w:hAnsi="宋体" w:cs="仿宋"/>
                <w:bCs/>
                <w:color w:val="auto"/>
                <w:sz w:val="24"/>
                <w:highlight w:val="none"/>
                <w:lang w:val="zh-CN"/>
              </w:rPr>
            </w:pPr>
            <w:r>
              <w:rPr>
                <w:rFonts w:hint="eastAsia" w:ascii="宋体" w:hAnsi="宋体" w:cs="仿宋"/>
                <w:b/>
                <w:color w:val="auto"/>
                <w:sz w:val="24"/>
                <w:highlight w:val="none"/>
              </w:rPr>
              <w:t>36</w:t>
            </w:r>
            <w:r>
              <w:rPr>
                <w:rFonts w:hint="eastAsia" w:ascii="宋体" w:hAnsi="宋体" w:cs="仿宋"/>
                <w:b/>
                <w:color w:val="auto"/>
                <w:sz w:val="24"/>
                <w:highlight w:val="none"/>
                <w:lang w:val="zh-CN"/>
              </w:rPr>
              <w:t>分</w:t>
            </w:r>
          </w:p>
        </w:tc>
        <w:tc>
          <w:tcPr>
            <w:tcW w:w="7081" w:type="dxa"/>
            <w:tcBorders>
              <w:tl2br w:val="nil"/>
              <w:tr2bl w:val="nil"/>
            </w:tcBorders>
            <w:noWrap/>
            <w:vAlign w:val="center"/>
          </w:tcPr>
          <w:p w14:paraId="5A0AF57C">
            <w:pPr>
              <w:numPr>
                <w:ilvl w:val="0"/>
                <w:numId w:val="3"/>
              </w:num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拟派团队成员总数</w:t>
            </w:r>
            <w:r>
              <w:rPr>
                <w:rFonts w:hint="eastAsia" w:ascii="宋体" w:hAnsi="宋体" w:cs="仿宋"/>
                <w:b/>
                <w:bCs/>
                <w:color w:val="auto"/>
                <w:sz w:val="24"/>
                <w:highlight w:val="none"/>
              </w:rPr>
              <w:t>不少于5人</w:t>
            </w:r>
            <w:r>
              <w:rPr>
                <w:rFonts w:hint="eastAsia" w:ascii="宋体" w:hAnsi="宋体" w:cs="仿宋"/>
                <w:color w:val="auto"/>
                <w:sz w:val="24"/>
                <w:highlight w:val="none"/>
              </w:rPr>
              <w:t>，必须具备造价师执业资格证书，每配置1名一级注册造价工程师得5分，每配置1名二级注册造价工程师得2分，上限28分。</w:t>
            </w:r>
            <w:r>
              <w:rPr>
                <w:rFonts w:hint="eastAsia" w:ascii="宋体" w:hAnsi="宋体" w:cs="仿宋"/>
                <w:b/>
                <w:bCs/>
                <w:color w:val="auto"/>
                <w:sz w:val="24"/>
                <w:highlight w:val="none"/>
              </w:rPr>
              <w:t>本项最高得28分</w:t>
            </w:r>
            <w:r>
              <w:rPr>
                <w:rFonts w:hint="eastAsia" w:ascii="宋体" w:hAnsi="宋体" w:cs="仿宋"/>
                <w:color w:val="auto"/>
                <w:sz w:val="24"/>
                <w:highlight w:val="none"/>
              </w:rPr>
              <w:t>。以上人员不得重复，同一人具有多本证书的只计算一次分数。</w:t>
            </w:r>
          </w:p>
          <w:p w14:paraId="71B6C211">
            <w:pPr>
              <w:numPr>
                <w:ilvl w:val="0"/>
                <w:numId w:val="3"/>
              </w:num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拟派团队成员中所有一级注册造价工程师执业资格（含一人同时具有多个专业一级注册造价工程师资格）中，涵盖房屋建筑专业、安装专业、交通运输专业、水利专业等4类专业中3个专业及以上的得6分，涵盖其中2个专业的得3分，其余不得分。</w:t>
            </w:r>
            <w:r>
              <w:rPr>
                <w:rFonts w:hint="eastAsia" w:ascii="宋体" w:hAnsi="宋体" w:cs="仿宋"/>
                <w:b/>
                <w:bCs/>
                <w:color w:val="auto"/>
                <w:sz w:val="24"/>
                <w:highlight w:val="none"/>
              </w:rPr>
              <w:t>本项最高得6分</w:t>
            </w:r>
            <w:r>
              <w:rPr>
                <w:rFonts w:hint="eastAsia" w:ascii="宋体" w:hAnsi="宋体" w:cs="仿宋"/>
                <w:color w:val="auto"/>
                <w:sz w:val="24"/>
                <w:highlight w:val="none"/>
              </w:rPr>
              <w:t>。</w:t>
            </w:r>
          </w:p>
          <w:p w14:paraId="08707C1A">
            <w:pPr>
              <w:numPr>
                <w:ilvl w:val="0"/>
                <w:numId w:val="3"/>
              </w:num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拟派团队成员中明确</w:t>
            </w:r>
            <w:r>
              <w:rPr>
                <w:rFonts w:hint="eastAsia" w:ascii="宋体" w:hAnsi="宋体" w:cs="仿宋"/>
                <w:b/>
                <w:bCs/>
                <w:color w:val="auto"/>
                <w:sz w:val="24"/>
                <w:highlight w:val="none"/>
              </w:rPr>
              <w:t>1人为技术负责人</w:t>
            </w:r>
            <w:r>
              <w:rPr>
                <w:rFonts w:hint="eastAsia" w:ascii="宋体" w:hAnsi="宋体" w:cs="仿宋"/>
                <w:color w:val="auto"/>
                <w:sz w:val="24"/>
                <w:highlight w:val="none"/>
              </w:rPr>
              <w:t>。技术负责人需具备一级注册造价工程师执业资格，同时具有高级工程师职称得2分，具有工程师职称得1分，其余不得分。</w:t>
            </w:r>
            <w:r>
              <w:rPr>
                <w:rFonts w:hint="eastAsia" w:ascii="宋体" w:hAnsi="宋体" w:cs="仿宋"/>
                <w:b/>
                <w:bCs/>
                <w:color w:val="auto"/>
                <w:sz w:val="24"/>
                <w:highlight w:val="none"/>
              </w:rPr>
              <w:t>本项最高得2分</w:t>
            </w:r>
            <w:r>
              <w:rPr>
                <w:rFonts w:hint="eastAsia" w:ascii="宋体" w:hAnsi="宋体" w:cs="仿宋"/>
                <w:color w:val="auto"/>
                <w:sz w:val="24"/>
                <w:highlight w:val="none"/>
              </w:rPr>
              <w:t>。</w:t>
            </w:r>
          </w:p>
          <w:p w14:paraId="71F406DA">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备注：</w:t>
            </w:r>
          </w:p>
          <w:p w14:paraId="152F4AAF">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1、造价专业指房屋建筑专业、安装专业、交通运输专业、水利专业等4类专业。中华人民共和国交通运输部颁发的甲级造价师证书、中国水利工程协会颁发的一级水利工程造价工程师等同于一级注册造价师；中华人民共和国交通运输部颁发的乙级造价师证书、中国水利工程协会颁发的二级水利工程造价工程师等同于二级注册造价师；</w:t>
            </w:r>
          </w:p>
          <w:p w14:paraId="657C4E46">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2、证明材料以体现评分要素的相关网站截图（或体现评分要素的造价师注册证书原件扫描件，也可用电子证书）为准。</w:t>
            </w:r>
          </w:p>
          <w:p w14:paraId="00C04C69">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公路工程造价人员管理系统网页注册信息查询栏截图</w:t>
            </w:r>
          </w:p>
          <w:p w14:paraId="5D29157C">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（https://www.jtzyzg.org.cn/GLGCZJ/LEAP/glgczj/html/publicQuery.html）</w:t>
            </w:r>
          </w:p>
          <w:p w14:paraId="52E5E4F1">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全国建筑市场监管公共服务平台-企业详情栏截图</w:t>
            </w:r>
          </w:p>
          <w:p w14:paraId="252ECC59">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（https://jzsc.mohurd.gov.cn/home）</w:t>
            </w:r>
          </w:p>
          <w:p w14:paraId="1EABF406">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全国水利建设市场监管平台查询栏截图</w:t>
            </w:r>
          </w:p>
          <w:p w14:paraId="0511687F">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w:t>
            </w:r>
            <w:r>
              <w:rPr>
                <w:color w:val="auto"/>
                <w:highlight w:val="none"/>
              </w:rPr>
              <w:fldChar w:fldCharType="begin"/>
            </w:r>
            <w:r>
              <w:rPr>
                <w:color w:val="auto"/>
                <w:highlight w:val="none"/>
              </w:rPr>
              <w:instrText xml:space="preserve"> HYPERLINK "http://scjg.mwr.gov.cn/" \l "/cyry/main" </w:instrText>
            </w:r>
            <w:r>
              <w:rPr>
                <w:color w:val="auto"/>
                <w:highlight w:val="none"/>
              </w:rPr>
              <w:fldChar w:fldCharType="separate"/>
            </w:r>
            <w:r>
              <w:rPr>
                <w:rFonts w:hint="eastAsia" w:ascii="宋体" w:hAnsi="宋体" w:cs="仿宋"/>
                <w:color w:val="auto"/>
                <w:sz w:val="24"/>
                <w:highlight w:val="none"/>
              </w:rPr>
              <w:t>http://scjg.mwr.gov.cn/#/cyry/main</w:t>
            </w:r>
            <w:r>
              <w:rPr>
                <w:rFonts w:hint="eastAsia" w:ascii="宋体" w:hAnsi="宋体" w:cs="仿宋"/>
                <w:color w:val="auto"/>
                <w:sz w:val="24"/>
                <w:highlight w:val="none"/>
              </w:rPr>
              <w:fldChar w:fldCharType="end"/>
            </w:r>
            <w:r>
              <w:rPr>
                <w:rFonts w:hint="eastAsia" w:ascii="宋体" w:hAnsi="宋体" w:cs="仿宋"/>
                <w:color w:val="auto"/>
                <w:sz w:val="24"/>
                <w:highlight w:val="none"/>
              </w:rPr>
              <w:t>）</w:t>
            </w:r>
          </w:p>
          <w:p w14:paraId="66213CFA">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 xml:space="preserve">水利部政务服务平台-全国一体化在线政务服务平台截图 </w:t>
            </w:r>
          </w:p>
          <w:p w14:paraId="7F0E0203">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（https://spjc.mwr.gov.cn/spjc/hall/index.jsp）</w:t>
            </w:r>
          </w:p>
          <w:p w14:paraId="21AD2A9B">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 xml:space="preserve">浙江省水利建设市场信息截图  </w:t>
            </w:r>
          </w:p>
          <w:p w14:paraId="1839921B">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（https://jsgl.slt.zj.gov.cn/jssc/#/homepage/index）</w:t>
            </w:r>
          </w:p>
          <w:p w14:paraId="7D7C482F">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以上相关人员注册资格信息查询路径如有变化，不再适用，则以相关管理部门发布的官方最新人员注册资格信息查询路径为准。</w:t>
            </w:r>
          </w:p>
          <w:p w14:paraId="43385475">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3、团队成员可由总公司及分公司拟派组成，注册证书中聘用单位须与供应商名称一致，应为供应商社保在册人员并提供缴纳社保证明（至少提供2025年4月或5月的社保证明）。</w:t>
            </w:r>
          </w:p>
          <w:p w14:paraId="35275DCC">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4、已到法定退休年龄但注册证书在有效期内的人员也可为团队成员，注册证书中聘用单位须与供应商名称一致并须提供返聘合同证明，同时需提供在聘用单位的执业记录证明，以咨询合同及盖有人员造价资质章的造价咨询成果报告复印件加盖公章为准。（至少提供1份2025年1月至5月期间的执业记录证明）。</w:t>
            </w:r>
          </w:p>
          <w:p w14:paraId="69CAD3D4">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5、原事业编制转制人员也可视同在册人员，需提供在职单位的证明。</w:t>
            </w:r>
          </w:p>
          <w:p w14:paraId="2062B146">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6、所有证书必须真实、合规，在有效期内。</w:t>
            </w:r>
          </w:p>
          <w:p w14:paraId="1DBC24E9">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7、如供应商提供的证明材料因模糊不清而造成评标委员会在评审时做出对供应商不利的评审由供应商自行承担。</w:t>
            </w:r>
          </w:p>
          <w:p w14:paraId="656C7A41">
            <w:pPr>
              <w:shd w:val="clear"/>
              <w:autoSpaceDE w:val="0"/>
              <w:autoSpaceDN w:val="0"/>
              <w:spacing w:line="340" w:lineRule="exact"/>
              <w:rPr>
                <w:rFonts w:ascii="宋体" w:hAnsi="宋体"/>
                <w:color w:val="auto"/>
                <w:sz w:val="24"/>
                <w:highlight w:val="none"/>
              </w:rPr>
            </w:pPr>
            <w:r>
              <w:rPr>
                <w:rFonts w:hint="eastAsia" w:ascii="宋体" w:hAnsi="宋体" w:cs="仿宋"/>
                <w:color w:val="auto"/>
                <w:sz w:val="24"/>
                <w:highlight w:val="none"/>
              </w:rPr>
              <w:t>8、注册造价工程师已注册未领证或因换证、年审等原因无法提供证明材料的，须提供相关主管部门证明原件扫描件及注册造价工程师注册管理系统的打印件。</w:t>
            </w:r>
          </w:p>
        </w:tc>
      </w:tr>
      <w:tr w14:paraId="120AC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8" w:type="dxa"/>
            <w:tcBorders>
              <w:tl2br w:val="nil"/>
              <w:tr2bl w:val="nil"/>
            </w:tcBorders>
            <w:noWrap/>
            <w:vAlign w:val="center"/>
          </w:tcPr>
          <w:p w14:paraId="16931043">
            <w:pPr>
              <w:shd w:val="clear"/>
              <w:autoSpaceDE w:val="0"/>
              <w:autoSpaceDN w:val="0"/>
              <w:spacing w:before="156" w:line="400" w:lineRule="exact"/>
              <w:jc w:val="center"/>
              <w:rPr>
                <w:rFonts w:ascii="宋体" w:hAnsi="宋体" w:cs="仿宋"/>
                <w:bCs/>
                <w:color w:val="auto"/>
                <w:sz w:val="24"/>
                <w:highlight w:val="none"/>
              </w:rPr>
            </w:pPr>
            <w:r>
              <w:rPr>
                <w:rFonts w:hint="eastAsia" w:ascii="宋体" w:hAnsi="宋体" w:cs="仿宋"/>
                <w:bCs/>
                <w:color w:val="auto"/>
                <w:sz w:val="24"/>
                <w:highlight w:val="none"/>
              </w:rPr>
              <w:t>2</w:t>
            </w:r>
          </w:p>
        </w:tc>
        <w:tc>
          <w:tcPr>
            <w:tcW w:w="1421" w:type="dxa"/>
            <w:tcBorders>
              <w:tl2br w:val="nil"/>
              <w:tr2bl w:val="nil"/>
            </w:tcBorders>
            <w:noWrap/>
            <w:vAlign w:val="center"/>
          </w:tcPr>
          <w:p w14:paraId="6BF335B6">
            <w:pPr>
              <w:shd w:val="clear"/>
              <w:autoSpaceDE w:val="0"/>
              <w:autoSpaceDN w:val="0"/>
              <w:spacing w:before="156" w:line="400" w:lineRule="exact"/>
              <w:jc w:val="center"/>
              <w:rPr>
                <w:rFonts w:ascii="宋体" w:hAnsi="宋体" w:cs="仿宋"/>
                <w:bCs/>
                <w:color w:val="auto"/>
                <w:sz w:val="24"/>
                <w:highlight w:val="none"/>
              </w:rPr>
            </w:pPr>
            <w:r>
              <w:rPr>
                <w:rFonts w:hint="eastAsia" w:ascii="宋体" w:hAnsi="宋体" w:cs="仿宋"/>
                <w:bCs/>
                <w:color w:val="auto"/>
                <w:sz w:val="24"/>
                <w:highlight w:val="none"/>
                <w:lang w:val="zh-CN"/>
              </w:rPr>
              <w:t>业绩</w:t>
            </w:r>
          </w:p>
        </w:tc>
        <w:tc>
          <w:tcPr>
            <w:tcW w:w="851" w:type="dxa"/>
            <w:tcBorders>
              <w:tl2br w:val="nil"/>
              <w:tr2bl w:val="nil"/>
            </w:tcBorders>
            <w:noWrap/>
            <w:vAlign w:val="center"/>
          </w:tcPr>
          <w:p w14:paraId="16D9F40D">
            <w:pPr>
              <w:shd w:val="clear"/>
              <w:autoSpaceDE w:val="0"/>
              <w:autoSpaceDN w:val="0"/>
              <w:spacing w:before="156" w:line="400" w:lineRule="exact"/>
              <w:jc w:val="center"/>
              <w:rPr>
                <w:rFonts w:ascii="宋体" w:hAnsi="宋体" w:cs="仿宋"/>
                <w:b/>
                <w:bCs/>
                <w:color w:val="auto"/>
                <w:sz w:val="24"/>
                <w:highlight w:val="none"/>
                <w:lang w:val="zh-CN"/>
              </w:rPr>
            </w:pPr>
            <w:r>
              <w:rPr>
                <w:rFonts w:hint="eastAsia" w:ascii="宋体" w:hAnsi="宋体" w:cs="仿宋"/>
                <w:b/>
                <w:bCs/>
                <w:color w:val="auto"/>
                <w:sz w:val="24"/>
                <w:highlight w:val="none"/>
              </w:rPr>
              <w:t>24</w:t>
            </w:r>
            <w:r>
              <w:rPr>
                <w:rFonts w:hint="eastAsia" w:ascii="宋体" w:hAnsi="宋体" w:cs="仿宋"/>
                <w:b/>
                <w:bCs/>
                <w:color w:val="auto"/>
                <w:sz w:val="24"/>
                <w:highlight w:val="none"/>
                <w:lang w:val="zh-CN"/>
              </w:rPr>
              <w:t>分</w:t>
            </w:r>
          </w:p>
        </w:tc>
        <w:tc>
          <w:tcPr>
            <w:tcW w:w="7081" w:type="dxa"/>
            <w:tcBorders>
              <w:tl2br w:val="nil"/>
              <w:tr2bl w:val="nil"/>
            </w:tcBorders>
            <w:noWrap/>
            <w:vAlign w:val="center"/>
          </w:tcPr>
          <w:p w14:paraId="7D3E2073">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1.供应商拟派技术负责人自2022年1月1日（以成果报告出具日期为准）至今每完成1个公共投资建设项目造价咨询业绩（包含工程预算/招标控制价编制和预算审核、施工阶段全过程工程造价控制、竣工结算审核，盖有拟派技术负责人造价资质章的成果报告为准）的得2分，上限8分。</w:t>
            </w:r>
            <w:r>
              <w:rPr>
                <w:rFonts w:hint="eastAsia" w:ascii="宋体" w:hAnsi="宋体" w:cs="仿宋"/>
                <w:b/>
                <w:bCs/>
                <w:color w:val="auto"/>
                <w:sz w:val="24"/>
                <w:highlight w:val="none"/>
              </w:rPr>
              <w:t>本项最高得8分。</w:t>
            </w:r>
          </w:p>
          <w:p w14:paraId="09F02E77">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2.供应商拟派的团队成员（不含技术负责人）自2022年1月1日（以成果报告出具日期为准）至今每完成1个公共投资建设项目造价咨询业绩（包含工程预算/招标控制价编制和预算审核、施工阶段全过程工程造价控制、竣工结算审核，盖有拟派团队成员造价资质章的成果报告为准）的得2分，每名团队成员（不含技术负责人）上限6分。</w:t>
            </w:r>
            <w:r>
              <w:rPr>
                <w:rFonts w:hint="eastAsia" w:ascii="宋体" w:hAnsi="宋体" w:cs="仿宋"/>
                <w:b/>
                <w:bCs/>
                <w:color w:val="auto"/>
                <w:sz w:val="24"/>
                <w:highlight w:val="none"/>
              </w:rPr>
              <w:t>本项最高得16分。</w:t>
            </w:r>
          </w:p>
          <w:p w14:paraId="59BAA07A">
            <w:pPr>
              <w:shd w:val="clear"/>
              <w:autoSpaceDE w:val="0"/>
              <w:autoSpaceDN w:val="0"/>
              <w:spacing w:line="340" w:lineRule="exact"/>
              <w:rPr>
                <w:rFonts w:ascii="宋体" w:hAnsi="宋体" w:cs="仿宋"/>
                <w:color w:val="auto"/>
                <w:sz w:val="24"/>
                <w:highlight w:val="none"/>
                <w:lang w:val="zh-CN"/>
              </w:rPr>
            </w:pPr>
            <w:r>
              <w:rPr>
                <w:rFonts w:hint="eastAsia" w:ascii="宋体" w:hAnsi="宋体" w:cs="仿宋"/>
                <w:color w:val="auto"/>
                <w:sz w:val="24"/>
                <w:highlight w:val="none"/>
                <w:lang w:val="zh-CN"/>
              </w:rPr>
              <w:t>备注：</w:t>
            </w:r>
          </w:p>
          <w:p w14:paraId="6E37551D">
            <w:pPr>
              <w:numPr>
                <w:ilvl w:val="0"/>
                <w:numId w:val="4"/>
              </w:num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lang w:val="zh-CN"/>
              </w:rPr>
              <w:t>以上业绩</w:t>
            </w:r>
            <w:r>
              <w:rPr>
                <w:rFonts w:hint="eastAsia" w:ascii="宋体" w:hAnsi="宋体" w:cs="仿宋"/>
                <w:color w:val="auto"/>
                <w:sz w:val="24"/>
                <w:highlight w:val="none"/>
              </w:rPr>
              <w:t>包括团队成员（含技术负责人）在过往所在聘用</w:t>
            </w:r>
            <w:r>
              <w:rPr>
                <w:rFonts w:hint="eastAsia" w:ascii="宋体" w:hAnsi="宋体" w:cs="仿宋"/>
                <w:color w:val="auto"/>
                <w:sz w:val="24"/>
                <w:highlight w:val="none"/>
                <w:lang w:val="zh-CN"/>
              </w:rPr>
              <w:t>公司</w:t>
            </w:r>
            <w:r>
              <w:rPr>
                <w:rFonts w:hint="eastAsia" w:ascii="宋体" w:hAnsi="宋体" w:cs="仿宋"/>
                <w:color w:val="auto"/>
                <w:sz w:val="24"/>
                <w:highlight w:val="none"/>
              </w:rPr>
              <w:t>的</w:t>
            </w:r>
            <w:r>
              <w:rPr>
                <w:rFonts w:hint="eastAsia" w:ascii="宋体" w:hAnsi="宋体" w:cs="仿宋"/>
                <w:color w:val="auto"/>
                <w:sz w:val="24"/>
                <w:highlight w:val="none"/>
                <w:lang w:val="zh-CN"/>
              </w:rPr>
              <w:t>业绩，</w:t>
            </w:r>
            <w:r>
              <w:rPr>
                <w:rFonts w:hint="eastAsia" w:ascii="宋体" w:hAnsi="宋体" w:cs="仿宋"/>
                <w:color w:val="auto"/>
                <w:sz w:val="24"/>
                <w:highlight w:val="none"/>
              </w:rPr>
              <w:t>需</w:t>
            </w:r>
            <w:r>
              <w:rPr>
                <w:rFonts w:hint="eastAsia" w:ascii="宋体" w:hAnsi="宋体" w:cs="仿宋"/>
                <w:color w:val="auto"/>
                <w:sz w:val="24"/>
                <w:highlight w:val="none"/>
                <w:lang w:val="zh-CN"/>
              </w:rPr>
              <w:t>提供咨询合同及盖有人员造价资质章的造价咨询成果报告复印件加盖公章为准，否则不得分，</w:t>
            </w:r>
            <w:r>
              <w:rPr>
                <w:rFonts w:hint="eastAsia" w:ascii="宋体" w:hAnsi="宋体" w:cs="仿宋"/>
                <w:b/>
                <w:bCs/>
                <w:color w:val="auto"/>
                <w:sz w:val="24"/>
                <w:highlight w:val="none"/>
                <w:lang w:val="zh-CN"/>
              </w:rPr>
              <w:t>且每个咨询成果报告只能计</w:t>
            </w:r>
            <w:r>
              <w:rPr>
                <w:rFonts w:hint="eastAsia" w:ascii="宋体" w:hAnsi="宋体" w:cs="仿宋"/>
                <w:b/>
                <w:bCs/>
                <w:color w:val="auto"/>
                <w:sz w:val="24"/>
                <w:highlight w:val="none"/>
              </w:rPr>
              <w:t>1</w:t>
            </w:r>
            <w:r>
              <w:rPr>
                <w:rFonts w:hint="eastAsia" w:ascii="宋体" w:hAnsi="宋体" w:cs="仿宋"/>
                <w:b/>
                <w:bCs/>
                <w:color w:val="auto"/>
                <w:sz w:val="24"/>
                <w:highlight w:val="none"/>
                <w:lang w:val="zh-CN"/>
              </w:rPr>
              <w:t>名团队成员（含技术负责人）的业绩</w:t>
            </w:r>
            <w:r>
              <w:rPr>
                <w:rFonts w:hint="eastAsia" w:ascii="宋体" w:hAnsi="宋体" w:cs="仿宋"/>
                <w:color w:val="auto"/>
                <w:sz w:val="24"/>
                <w:highlight w:val="none"/>
                <w:lang w:val="zh-CN"/>
              </w:rPr>
              <w:t>。国有企业投资项目需提供建设单位为国有资本占股比例大于50%的企业的相关证明材料，包括但不限于国家企业信用信息公示系统网站（www.gsxt.gov.cn）查询截图等。</w:t>
            </w:r>
          </w:p>
          <w:p w14:paraId="68C18F19">
            <w:pPr>
              <w:numPr>
                <w:ilvl w:val="0"/>
                <w:numId w:val="4"/>
              </w:num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若有团队人员不具备相关专业资质但在相关专业项目报告上盖有造价资质章的情况，评审时不认可该项目为业绩。</w:t>
            </w:r>
          </w:p>
          <w:p w14:paraId="430BB413">
            <w:pPr>
              <w:numPr>
                <w:ilvl w:val="0"/>
                <w:numId w:val="4"/>
              </w:numPr>
              <w:shd w:val="clear"/>
              <w:autoSpaceDE w:val="0"/>
              <w:autoSpaceDN w:val="0"/>
              <w:spacing w:line="340" w:lineRule="exact"/>
              <w:rPr>
                <w:rFonts w:ascii="宋体" w:hAnsi="宋体" w:cs="仿宋"/>
                <w:color w:val="auto"/>
                <w:sz w:val="24"/>
                <w:highlight w:val="none"/>
                <w:shd w:val="pct10" w:color="auto" w:fill="FFFFFF"/>
              </w:rPr>
            </w:pPr>
            <w:r>
              <w:rPr>
                <w:rFonts w:hint="eastAsia" w:ascii="宋体" w:hAnsi="宋体" w:cs="仿宋"/>
                <w:color w:val="auto"/>
                <w:sz w:val="24"/>
                <w:highlight w:val="none"/>
                <w:lang w:val="zh-CN"/>
              </w:rPr>
              <w:t>如供应商提供的合同、成果</w:t>
            </w:r>
            <w:r>
              <w:rPr>
                <w:rFonts w:hint="eastAsia" w:ascii="宋体" w:hAnsi="宋体" w:cs="仿宋"/>
                <w:color w:val="auto"/>
                <w:sz w:val="24"/>
                <w:highlight w:val="none"/>
              </w:rPr>
              <w:t>报告等证明材料</w:t>
            </w:r>
            <w:r>
              <w:rPr>
                <w:rFonts w:hint="eastAsia" w:ascii="宋体" w:hAnsi="宋体" w:cs="仿宋"/>
                <w:color w:val="auto"/>
                <w:sz w:val="24"/>
                <w:highlight w:val="none"/>
                <w:lang w:val="zh-CN"/>
              </w:rPr>
              <w:t>因模糊不清而造成评标委员会在评审时做出对供应商不利的评审由供应商自行承担。</w:t>
            </w:r>
          </w:p>
        </w:tc>
      </w:tr>
      <w:tr w14:paraId="66485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8" w:type="dxa"/>
            <w:tcBorders>
              <w:tl2br w:val="nil"/>
              <w:tr2bl w:val="nil"/>
            </w:tcBorders>
            <w:noWrap/>
            <w:vAlign w:val="center"/>
          </w:tcPr>
          <w:p w14:paraId="50E74148">
            <w:pPr>
              <w:shd w:val="clear"/>
              <w:autoSpaceDE w:val="0"/>
              <w:autoSpaceDN w:val="0"/>
              <w:spacing w:before="156" w:line="400" w:lineRule="exact"/>
              <w:jc w:val="center"/>
              <w:rPr>
                <w:rFonts w:ascii="宋体" w:hAnsi="宋体" w:cs="仿宋"/>
                <w:bCs/>
                <w:color w:val="auto"/>
                <w:sz w:val="24"/>
                <w:highlight w:val="none"/>
                <w:lang w:val="zh-CN"/>
              </w:rPr>
            </w:pPr>
            <w:r>
              <w:rPr>
                <w:rFonts w:hint="eastAsia" w:ascii="宋体" w:hAnsi="宋体" w:cs="仿宋"/>
                <w:bCs/>
                <w:color w:val="auto"/>
                <w:sz w:val="24"/>
                <w:highlight w:val="none"/>
              </w:rPr>
              <w:t>3</w:t>
            </w:r>
          </w:p>
        </w:tc>
        <w:tc>
          <w:tcPr>
            <w:tcW w:w="1421" w:type="dxa"/>
            <w:tcBorders>
              <w:tl2br w:val="nil"/>
              <w:tr2bl w:val="nil"/>
            </w:tcBorders>
            <w:noWrap/>
            <w:vAlign w:val="center"/>
          </w:tcPr>
          <w:p w14:paraId="391B7AAE">
            <w:pPr>
              <w:shd w:val="clear"/>
              <w:autoSpaceDE w:val="0"/>
              <w:autoSpaceDN w:val="0"/>
              <w:spacing w:before="156" w:line="400" w:lineRule="exact"/>
              <w:jc w:val="center"/>
              <w:rPr>
                <w:rFonts w:ascii="宋体" w:hAnsi="宋体" w:cs="仿宋"/>
                <w:bCs/>
                <w:color w:val="auto"/>
                <w:sz w:val="24"/>
                <w:highlight w:val="none"/>
              </w:rPr>
            </w:pPr>
            <w:r>
              <w:rPr>
                <w:rFonts w:hint="eastAsia" w:ascii="宋体" w:hAnsi="宋体" w:cs="仿宋"/>
                <w:color w:val="auto"/>
                <w:sz w:val="24"/>
                <w:highlight w:val="none"/>
              </w:rPr>
              <w:t>售后服务能力</w:t>
            </w:r>
          </w:p>
        </w:tc>
        <w:tc>
          <w:tcPr>
            <w:tcW w:w="851" w:type="dxa"/>
            <w:tcBorders>
              <w:tl2br w:val="nil"/>
              <w:tr2bl w:val="nil"/>
            </w:tcBorders>
            <w:noWrap/>
            <w:vAlign w:val="center"/>
          </w:tcPr>
          <w:p w14:paraId="2E197363">
            <w:pPr>
              <w:shd w:val="clear"/>
              <w:autoSpaceDE w:val="0"/>
              <w:autoSpaceDN w:val="0"/>
              <w:spacing w:before="156" w:line="400" w:lineRule="exact"/>
              <w:jc w:val="center"/>
              <w:rPr>
                <w:rFonts w:ascii="宋体" w:hAnsi="宋体" w:cs="仿宋"/>
                <w:b/>
                <w:bCs/>
                <w:color w:val="auto"/>
                <w:sz w:val="24"/>
                <w:highlight w:val="none"/>
                <w:lang w:val="zh-CN"/>
              </w:rPr>
            </w:pPr>
            <w:r>
              <w:rPr>
                <w:rFonts w:hint="eastAsia" w:ascii="宋体" w:hAnsi="宋体" w:cs="仿宋"/>
                <w:b/>
                <w:bCs/>
                <w:color w:val="auto"/>
                <w:sz w:val="24"/>
                <w:highlight w:val="none"/>
              </w:rPr>
              <w:t>15分</w:t>
            </w:r>
          </w:p>
        </w:tc>
        <w:tc>
          <w:tcPr>
            <w:tcW w:w="7081" w:type="dxa"/>
            <w:tcBorders>
              <w:bottom w:val="single" w:color="000000" w:sz="4" w:space="0"/>
              <w:tl2br w:val="nil"/>
              <w:tr2bl w:val="nil"/>
            </w:tcBorders>
            <w:noWrap/>
            <w:vAlign w:val="center"/>
          </w:tcPr>
          <w:p w14:paraId="366445B6">
            <w:pPr>
              <w:shd w:val="clear"/>
              <w:autoSpaceDE w:val="0"/>
              <w:autoSpaceDN w:val="0"/>
              <w:spacing w:line="340" w:lineRule="exact"/>
              <w:rPr>
                <w:rFonts w:ascii="宋体" w:hAnsi="宋体" w:cs="仿宋"/>
                <w:b/>
                <w:bCs/>
                <w:color w:val="auto"/>
                <w:sz w:val="24"/>
                <w:highlight w:val="none"/>
                <w:lang w:val="zh-CN"/>
              </w:rPr>
            </w:pPr>
            <w:r>
              <w:rPr>
                <w:rFonts w:hint="eastAsia" w:ascii="宋体" w:hAnsi="宋体" w:cs="仿宋"/>
                <w:color w:val="auto"/>
                <w:sz w:val="24"/>
                <w:highlight w:val="none"/>
              </w:rPr>
              <w:t>1.供应商针对本项目，结合自身的便捷服务条件等方面书面论述便捷服务方案，并提供对应的证明材料。</w:t>
            </w:r>
            <w:r>
              <w:rPr>
                <w:rFonts w:hint="eastAsia" w:ascii="宋体" w:hAnsi="宋体" w:cs="仿宋"/>
                <w:color w:val="auto"/>
                <w:sz w:val="24"/>
                <w:highlight w:val="none"/>
                <w:lang w:val="zh-CN"/>
              </w:rPr>
              <w:t>服务条件</w:t>
            </w:r>
            <w:r>
              <w:rPr>
                <w:rFonts w:hint="eastAsia" w:ascii="宋体" w:hAnsi="宋体" w:cs="仿宋"/>
                <w:color w:val="auto"/>
                <w:sz w:val="24"/>
                <w:highlight w:val="none"/>
              </w:rPr>
              <w:t>有利于采购人便利的最高得7.5分；</w:t>
            </w:r>
            <w:r>
              <w:rPr>
                <w:rFonts w:hint="eastAsia" w:ascii="宋体" w:hAnsi="宋体" w:cs="仿宋"/>
                <w:color w:val="auto"/>
                <w:sz w:val="24"/>
                <w:highlight w:val="none"/>
                <w:lang w:val="zh-CN"/>
              </w:rPr>
              <w:t>服务条件</w:t>
            </w:r>
            <w:r>
              <w:rPr>
                <w:rFonts w:hint="eastAsia" w:ascii="宋体" w:hAnsi="宋体" w:cs="仿宋"/>
                <w:color w:val="auto"/>
                <w:sz w:val="24"/>
                <w:highlight w:val="none"/>
              </w:rPr>
              <w:t>基本满足采购人便利</w:t>
            </w:r>
            <w:r>
              <w:rPr>
                <w:rFonts w:hint="eastAsia" w:ascii="宋体" w:hAnsi="宋体" w:cs="仿宋"/>
                <w:color w:val="auto"/>
                <w:sz w:val="24"/>
                <w:highlight w:val="none"/>
                <w:lang w:val="zh-CN"/>
              </w:rPr>
              <w:t>的</w:t>
            </w:r>
            <w:r>
              <w:rPr>
                <w:rFonts w:hint="eastAsia" w:ascii="宋体" w:hAnsi="宋体" w:cs="仿宋"/>
                <w:color w:val="auto"/>
                <w:sz w:val="24"/>
                <w:highlight w:val="none"/>
              </w:rPr>
              <w:t>最高得4.5分；</w:t>
            </w:r>
            <w:r>
              <w:rPr>
                <w:rFonts w:hint="eastAsia" w:ascii="宋体" w:hAnsi="宋体" w:cs="仿宋"/>
                <w:color w:val="auto"/>
                <w:sz w:val="24"/>
                <w:highlight w:val="none"/>
                <w:lang w:val="zh-CN"/>
              </w:rPr>
              <w:t>服务条件</w:t>
            </w:r>
            <w:r>
              <w:rPr>
                <w:rFonts w:hint="eastAsia" w:ascii="宋体" w:hAnsi="宋体" w:cs="仿宋"/>
                <w:color w:val="auto"/>
                <w:sz w:val="24"/>
                <w:highlight w:val="none"/>
              </w:rPr>
              <w:t>不太利于采购人便利</w:t>
            </w:r>
            <w:r>
              <w:rPr>
                <w:rFonts w:hint="eastAsia" w:ascii="宋体" w:hAnsi="宋体" w:cs="仿宋"/>
                <w:color w:val="auto"/>
                <w:sz w:val="24"/>
                <w:highlight w:val="none"/>
                <w:lang w:val="zh-CN"/>
              </w:rPr>
              <w:t>的</w:t>
            </w:r>
            <w:r>
              <w:rPr>
                <w:rFonts w:hint="eastAsia" w:ascii="宋体" w:hAnsi="宋体" w:cs="仿宋"/>
                <w:color w:val="auto"/>
                <w:sz w:val="24"/>
                <w:highlight w:val="none"/>
              </w:rPr>
              <w:t>最高得1.5分</w:t>
            </w:r>
            <w:r>
              <w:rPr>
                <w:rFonts w:hint="eastAsia" w:ascii="宋体" w:hAnsi="宋体" w:cs="仿宋"/>
                <w:color w:val="auto"/>
                <w:sz w:val="24"/>
                <w:highlight w:val="none"/>
                <w:lang w:val="zh-CN"/>
              </w:rPr>
              <w:t>。</w:t>
            </w:r>
            <w:r>
              <w:rPr>
                <w:rFonts w:hint="eastAsia" w:ascii="宋体" w:hAnsi="宋体" w:cs="仿宋"/>
                <w:color w:val="auto"/>
                <w:sz w:val="24"/>
                <w:highlight w:val="none"/>
              </w:rPr>
              <w:t>供应商未提供便捷服务方案或证明材料任意一项的，不得分。</w:t>
            </w:r>
            <w:r>
              <w:rPr>
                <w:rFonts w:hint="eastAsia" w:ascii="宋体" w:hAnsi="宋体" w:cs="仿宋"/>
                <w:b/>
                <w:bCs/>
                <w:color w:val="auto"/>
                <w:sz w:val="24"/>
                <w:highlight w:val="none"/>
                <w:lang w:val="zh-CN"/>
              </w:rPr>
              <w:t>（0-</w:t>
            </w:r>
            <w:r>
              <w:rPr>
                <w:rFonts w:hint="eastAsia" w:ascii="宋体" w:hAnsi="宋体" w:cs="仿宋"/>
                <w:b/>
                <w:bCs/>
                <w:color w:val="auto"/>
                <w:sz w:val="24"/>
                <w:highlight w:val="none"/>
              </w:rPr>
              <w:t>7.5</w:t>
            </w:r>
            <w:r>
              <w:rPr>
                <w:rFonts w:hint="eastAsia" w:ascii="宋体" w:hAnsi="宋体" w:cs="仿宋"/>
                <w:b/>
                <w:bCs/>
                <w:color w:val="auto"/>
                <w:sz w:val="24"/>
                <w:highlight w:val="none"/>
                <w:lang w:val="zh-CN"/>
              </w:rPr>
              <w:t>分，每</w:t>
            </w:r>
            <w:r>
              <w:rPr>
                <w:rFonts w:hint="eastAsia" w:ascii="宋体" w:hAnsi="宋体" w:cs="仿宋"/>
                <w:b/>
                <w:bCs/>
                <w:color w:val="auto"/>
                <w:sz w:val="24"/>
                <w:highlight w:val="none"/>
              </w:rPr>
              <w:t>0.5</w:t>
            </w:r>
            <w:r>
              <w:rPr>
                <w:rFonts w:hint="eastAsia" w:ascii="宋体" w:hAnsi="宋体" w:cs="仿宋"/>
                <w:b/>
                <w:bCs/>
                <w:color w:val="auto"/>
                <w:sz w:val="24"/>
                <w:highlight w:val="none"/>
                <w:lang w:val="zh-CN"/>
              </w:rPr>
              <w:t>分为一间隔）</w:t>
            </w:r>
          </w:p>
          <w:p w14:paraId="09736579">
            <w:pPr>
              <w:shd w:val="clear"/>
              <w:autoSpaceDE w:val="0"/>
              <w:autoSpaceDN w:val="0"/>
              <w:spacing w:line="340" w:lineRule="exact"/>
              <w:rPr>
                <w:rFonts w:ascii="宋体" w:hAnsi="宋体" w:cs="仿宋"/>
                <w:color w:val="auto"/>
                <w:sz w:val="24"/>
                <w:highlight w:val="none"/>
                <w:lang w:val="zh-CN"/>
              </w:rPr>
            </w:pPr>
            <w:r>
              <w:rPr>
                <w:rFonts w:hint="eastAsia" w:ascii="宋体" w:hAnsi="宋体" w:cs="仿宋"/>
                <w:color w:val="auto"/>
                <w:sz w:val="24"/>
                <w:highlight w:val="none"/>
              </w:rPr>
              <w:t>2.供应商针对本项目，结合自身的应急响应能力等方面书面论述应急响应方案，并提供对应的证明材料。应急响应能力强的最高得7.5分；应急响应能力一般</w:t>
            </w:r>
            <w:r>
              <w:rPr>
                <w:rFonts w:hint="eastAsia" w:ascii="宋体" w:hAnsi="宋体" w:cs="仿宋"/>
                <w:color w:val="auto"/>
                <w:sz w:val="24"/>
                <w:highlight w:val="none"/>
                <w:lang w:val="zh-CN"/>
              </w:rPr>
              <w:t>的</w:t>
            </w:r>
            <w:r>
              <w:rPr>
                <w:rFonts w:hint="eastAsia" w:ascii="宋体" w:hAnsi="宋体" w:cs="仿宋"/>
                <w:color w:val="auto"/>
                <w:sz w:val="24"/>
                <w:highlight w:val="none"/>
              </w:rPr>
              <w:t>最高得4.5分；应急响应能力差</w:t>
            </w:r>
            <w:r>
              <w:rPr>
                <w:rFonts w:hint="eastAsia" w:ascii="宋体" w:hAnsi="宋体" w:cs="仿宋"/>
                <w:color w:val="auto"/>
                <w:sz w:val="24"/>
                <w:highlight w:val="none"/>
                <w:lang w:val="zh-CN"/>
              </w:rPr>
              <w:t>的</w:t>
            </w:r>
            <w:r>
              <w:rPr>
                <w:rFonts w:hint="eastAsia" w:ascii="宋体" w:hAnsi="宋体" w:cs="仿宋"/>
                <w:color w:val="auto"/>
                <w:sz w:val="24"/>
                <w:highlight w:val="none"/>
              </w:rPr>
              <w:t>最高得1.5分</w:t>
            </w:r>
            <w:r>
              <w:rPr>
                <w:rFonts w:hint="eastAsia" w:ascii="宋体" w:hAnsi="宋体" w:cs="仿宋"/>
                <w:color w:val="auto"/>
                <w:sz w:val="24"/>
                <w:highlight w:val="none"/>
                <w:lang w:val="zh-CN"/>
              </w:rPr>
              <w:t>。</w:t>
            </w:r>
            <w:r>
              <w:rPr>
                <w:rFonts w:hint="eastAsia" w:ascii="宋体" w:hAnsi="宋体" w:cs="仿宋"/>
                <w:color w:val="auto"/>
                <w:sz w:val="24"/>
                <w:highlight w:val="none"/>
              </w:rPr>
              <w:t>供应商未提供应急响应方案或证明材料任意一项的，不得分。</w:t>
            </w:r>
            <w:r>
              <w:rPr>
                <w:rFonts w:hint="eastAsia" w:ascii="宋体" w:hAnsi="宋体" w:cs="仿宋"/>
                <w:b/>
                <w:bCs/>
                <w:color w:val="auto"/>
                <w:sz w:val="24"/>
                <w:highlight w:val="none"/>
                <w:lang w:val="zh-CN"/>
              </w:rPr>
              <w:t>（0-</w:t>
            </w:r>
            <w:r>
              <w:rPr>
                <w:rFonts w:hint="eastAsia" w:ascii="宋体" w:hAnsi="宋体" w:cs="仿宋"/>
                <w:b/>
                <w:bCs/>
                <w:color w:val="auto"/>
                <w:sz w:val="24"/>
                <w:highlight w:val="none"/>
              </w:rPr>
              <w:t>7.5</w:t>
            </w:r>
            <w:r>
              <w:rPr>
                <w:rFonts w:hint="eastAsia" w:ascii="宋体" w:hAnsi="宋体" w:cs="仿宋"/>
                <w:b/>
                <w:bCs/>
                <w:color w:val="auto"/>
                <w:sz w:val="24"/>
                <w:highlight w:val="none"/>
                <w:lang w:val="zh-CN"/>
              </w:rPr>
              <w:t>分，每</w:t>
            </w:r>
            <w:r>
              <w:rPr>
                <w:rFonts w:hint="eastAsia" w:ascii="宋体" w:hAnsi="宋体" w:cs="仿宋"/>
                <w:b/>
                <w:bCs/>
                <w:color w:val="auto"/>
                <w:sz w:val="24"/>
                <w:highlight w:val="none"/>
              </w:rPr>
              <w:t>0.5</w:t>
            </w:r>
            <w:r>
              <w:rPr>
                <w:rFonts w:hint="eastAsia" w:ascii="宋体" w:hAnsi="宋体" w:cs="仿宋"/>
                <w:b/>
                <w:bCs/>
                <w:color w:val="auto"/>
                <w:sz w:val="24"/>
                <w:highlight w:val="none"/>
                <w:lang w:val="zh-CN"/>
              </w:rPr>
              <w:t>分为一间隔）</w:t>
            </w:r>
          </w:p>
          <w:p w14:paraId="11CA3937">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备注：</w:t>
            </w:r>
          </w:p>
          <w:p w14:paraId="33DB2246">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1、供应商可从办公条件、团队条件、交通条件等方面及其它售后服务因素角度论述方案，由评委</w:t>
            </w:r>
            <w:r>
              <w:rPr>
                <w:rFonts w:hint="eastAsia" w:ascii="宋体" w:hAnsi="宋体" w:cs="仿宋"/>
                <w:color w:val="auto"/>
                <w:sz w:val="24"/>
                <w:highlight w:val="none"/>
                <w:lang w:val="zh-CN"/>
              </w:rPr>
              <w:t>根据</w:t>
            </w:r>
            <w:r>
              <w:rPr>
                <w:rFonts w:hint="eastAsia" w:ascii="宋体" w:hAnsi="宋体" w:cs="仿宋"/>
                <w:color w:val="auto"/>
                <w:sz w:val="24"/>
                <w:highlight w:val="none"/>
              </w:rPr>
              <w:t>相关方案及相应能够证明其便捷服务条件和应急响应能力的材料，评审供应商</w:t>
            </w:r>
            <w:r>
              <w:rPr>
                <w:rFonts w:hint="eastAsia" w:ascii="宋体" w:hAnsi="宋体" w:cs="仿宋"/>
                <w:color w:val="auto"/>
                <w:sz w:val="24"/>
                <w:highlight w:val="none"/>
                <w:lang w:val="zh-CN"/>
              </w:rPr>
              <w:t>是否具有较强的便捷服务能力</w:t>
            </w:r>
            <w:r>
              <w:rPr>
                <w:rFonts w:hint="eastAsia" w:ascii="宋体" w:hAnsi="宋体" w:cs="仿宋"/>
                <w:color w:val="auto"/>
                <w:sz w:val="24"/>
                <w:highlight w:val="none"/>
              </w:rPr>
              <w:t>和较强的应急响应能力，便捷服务方案和应急响应方案内容篇幅均应各自控制在2000字（含）以下，证明材料格式自拟。</w:t>
            </w:r>
          </w:p>
          <w:p w14:paraId="27BFC50C">
            <w:pPr>
              <w:shd w:val="clear"/>
              <w:autoSpaceDE w:val="0"/>
              <w:autoSpaceDN w:val="0"/>
              <w:spacing w:line="340" w:lineRule="exact"/>
              <w:rPr>
                <w:rFonts w:ascii="宋体" w:hAnsi="宋体" w:cs="仿宋"/>
                <w:b/>
                <w:color w:val="auto"/>
                <w:sz w:val="24"/>
                <w:highlight w:val="none"/>
                <w:u w:val="single"/>
                <w:shd w:val="pct10" w:color="auto" w:fill="FFFFFF"/>
              </w:rPr>
            </w:pPr>
            <w:r>
              <w:rPr>
                <w:rFonts w:hint="eastAsia" w:ascii="宋体" w:hAnsi="宋体" w:cs="仿宋"/>
                <w:color w:val="auto"/>
                <w:sz w:val="24"/>
                <w:highlight w:val="none"/>
              </w:rPr>
              <w:t>2、如供应商提供的证明材料因模糊不清而造成评标委员会在评审时做出对供应商不利的评审由供应商自行承担。</w:t>
            </w:r>
          </w:p>
        </w:tc>
      </w:tr>
      <w:tr w14:paraId="6292A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18" w:type="dxa"/>
            <w:tcBorders>
              <w:tl2br w:val="nil"/>
              <w:tr2bl w:val="nil"/>
            </w:tcBorders>
            <w:noWrap/>
            <w:vAlign w:val="center"/>
          </w:tcPr>
          <w:p w14:paraId="698FF0D5">
            <w:pPr>
              <w:shd w:val="clear"/>
              <w:autoSpaceDE w:val="0"/>
              <w:autoSpaceDN w:val="0"/>
              <w:spacing w:beforeLines="50" w:line="400" w:lineRule="exact"/>
              <w:jc w:val="center"/>
              <w:rPr>
                <w:rFonts w:ascii="宋体" w:hAnsi="宋体" w:cs="仿宋"/>
                <w:color w:val="auto"/>
                <w:sz w:val="24"/>
                <w:highlight w:val="none"/>
                <w:lang w:val="zh-CN"/>
              </w:rPr>
            </w:pPr>
            <w:r>
              <w:rPr>
                <w:rFonts w:hint="eastAsia" w:ascii="宋体" w:hAnsi="宋体" w:cs="仿宋"/>
                <w:color w:val="auto"/>
                <w:sz w:val="24"/>
                <w:highlight w:val="none"/>
              </w:rPr>
              <w:t>4</w:t>
            </w:r>
          </w:p>
        </w:tc>
        <w:tc>
          <w:tcPr>
            <w:tcW w:w="1421" w:type="dxa"/>
            <w:tcBorders>
              <w:tl2br w:val="nil"/>
              <w:tr2bl w:val="nil"/>
            </w:tcBorders>
            <w:noWrap/>
            <w:vAlign w:val="center"/>
          </w:tcPr>
          <w:p w14:paraId="54F042D5">
            <w:pPr>
              <w:shd w:val="clear"/>
              <w:autoSpaceDE w:val="0"/>
              <w:autoSpaceDN w:val="0"/>
              <w:spacing w:beforeLines="50" w:line="400" w:lineRule="exact"/>
              <w:jc w:val="center"/>
              <w:rPr>
                <w:rFonts w:ascii="宋体" w:hAnsi="宋体" w:cs="仿宋"/>
                <w:color w:val="auto"/>
                <w:sz w:val="24"/>
                <w:highlight w:val="none"/>
                <w:lang w:val="zh-CN"/>
              </w:rPr>
            </w:pPr>
            <w:r>
              <w:rPr>
                <w:rFonts w:hint="eastAsia" w:ascii="宋体" w:hAnsi="宋体" w:cs="仿宋"/>
                <w:color w:val="auto"/>
                <w:sz w:val="24"/>
                <w:highlight w:val="none"/>
              </w:rPr>
              <w:t>管理方案</w:t>
            </w:r>
          </w:p>
        </w:tc>
        <w:tc>
          <w:tcPr>
            <w:tcW w:w="851" w:type="dxa"/>
            <w:tcBorders>
              <w:tl2br w:val="nil"/>
              <w:tr2bl w:val="nil"/>
            </w:tcBorders>
            <w:noWrap/>
            <w:vAlign w:val="center"/>
          </w:tcPr>
          <w:p w14:paraId="6ABAC14F">
            <w:pPr>
              <w:shd w:val="clear"/>
              <w:jc w:val="center"/>
              <w:rPr>
                <w:rFonts w:ascii="宋体" w:hAnsi="宋体" w:cs="仿宋"/>
                <w:color w:val="auto"/>
                <w:sz w:val="24"/>
                <w:highlight w:val="none"/>
                <w:lang w:val="zh-CN"/>
              </w:rPr>
            </w:pPr>
            <w:r>
              <w:rPr>
                <w:rFonts w:hint="eastAsia" w:ascii="宋体" w:hAnsi="宋体" w:cs="仿宋"/>
                <w:b/>
                <w:bCs/>
                <w:color w:val="auto"/>
                <w:sz w:val="24"/>
                <w:highlight w:val="none"/>
              </w:rPr>
              <w:t>15</w:t>
            </w:r>
            <w:r>
              <w:rPr>
                <w:rFonts w:hint="eastAsia" w:ascii="宋体" w:hAnsi="宋体" w:cs="仿宋"/>
                <w:b/>
                <w:bCs/>
                <w:color w:val="auto"/>
                <w:sz w:val="24"/>
                <w:highlight w:val="none"/>
                <w:lang w:val="zh-CN"/>
              </w:rPr>
              <w:t>分</w:t>
            </w:r>
          </w:p>
        </w:tc>
        <w:tc>
          <w:tcPr>
            <w:tcW w:w="7081" w:type="dxa"/>
            <w:tcBorders>
              <w:tl2br w:val="nil"/>
              <w:tr2bl w:val="nil"/>
            </w:tcBorders>
            <w:noWrap/>
          </w:tcPr>
          <w:p w14:paraId="7335C568">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1.供应商针对本项目，根据自身对造价咨询工作的理解并结合嵊州市公共投资建设项目进度要求、档案管理要求，从组织推进、档案管理等方面书面论述进度与档案工作方案，并提供相应的内控制度及对应的证明材料。方案思路清晰，内容、要素、流程完整性、合理性、针对性强的最高得5分；方案思路相对清晰，内容、要素、流程完整性、合理性、针对性较强的最高得3分；方案思路不清晰，内容、要素、流程完整性、合理性、针对性较差的最高得1分；供应商未提供进度与档案工作方案、内控制度、证明材料等任意一项的，不得分。</w:t>
            </w:r>
            <w:r>
              <w:rPr>
                <w:rFonts w:hint="eastAsia" w:ascii="宋体" w:hAnsi="宋体" w:cs="仿宋"/>
                <w:b/>
                <w:bCs/>
                <w:color w:val="auto"/>
                <w:sz w:val="24"/>
                <w:highlight w:val="none"/>
              </w:rPr>
              <w:t>（0-5分</w:t>
            </w:r>
            <w:r>
              <w:rPr>
                <w:rFonts w:hint="eastAsia" w:ascii="宋体" w:hAnsi="宋体" w:cs="仿宋"/>
                <w:b/>
                <w:bCs/>
                <w:color w:val="auto"/>
                <w:sz w:val="24"/>
                <w:highlight w:val="none"/>
                <w:lang w:val="zh-CN"/>
              </w:rPr>
              <w:t>，每0.5分为一间隔</w:t>
            </w:r>
            <w:r>
              <w:rPr>
                <w:rFonts w:hint="eastAsia" w:ascii="宋体" w:hAnsi="宋体" w:cs="仿宋"/>
                <w:b/>
                <w:bCs/>
                <w:color w:val="auto"/>
                <w:sz w:val="24"/>
                <w:highlight w:val="none"/>
              </w:rPr>
              <w:t>）</w:t>
            </w:r>
          </w:p>
          <w:p w14:paraId="508F4B74">
            <w:pPr>
              <w:shd w:val="clear"/>
              <w:autoSpaceDE w:val="0"/>
              <w:autoSpaceDN w:val="0"/>
              <w:spacing w:line="340" w:lineRule="exact"/>
              <w:rPr>
                <w:rFonts w:ascii="宋体" w:hAnsi="宋体" w:cs="仿宋"/>
                <w:color w:val="auto"/>
                <w:sz w:val="24"/>
                <w:highlight w:val="none"/>
              </w:rPr>
            </w:pPr>
            <w:r>
              <w:rPr>
                <w:rFonts w:hint="eastAsia" w:ascii="宋体" w:hAnsi="宋体" w:cs="仿宋"/>
                <w:color w:val="auto"/>
                <w:sz w:val="24"/>
                <w:highlight w:val="none"/>
              </w:rPr>
              <w:t>2.供应商针对本项目，根据自身对造价咨询工作的理解并结合嵊州市公共投资建设项目质量要求，从复核体系、补救措施等方面书面论述质量控制方案，并提供相应的内控制度及对应的证明材料。方案思路清晰，复核体系完善、复核要点齐全、复核记录明确，补救措施科学性、针对性强的最高得5分；方案思路相对清晰，复核体系较完善、复核要点较齐全、复核记录较明确，补救措施科学性、针对性较强的最高得3分；方案思路不清晰，复核体系不完善、复核要点不齐全、复核记录不明确，补救措施科学性、针对性差的最高得1分；供应商未提供质量控制方案、内控制度、证明材料等任意一项的，不得分。</w:t>
            </w:r>
            <w:r>
              <w:rPr>
                <w:rFonts w:hint="eastAsia" w:ascii="宋体" w:hAnsi="宋体" w:cs="仿宋"/>
                <w:b/>
                <w:bCs/>
                <w:color w:val="auto"/>
                <w:sz w:val="24"/>
                <w:highlight w:val="none"/>
              </w:rPr>
              <w:t>（0-5分</w:t>
            </w:r>
            <w:r>
              <w:rPr>
                <w:rFonts w:hint="eastAsia" w:ascii="宋体" w:hAnsi="宋体" w:cs="仿宋"/>
                <w:b/>
                <w:bCs/>
                <w:color w:val="auto"/>
                <w:sz w:val="24"/>
                <w:highlight w:val="none"/>
                <w:lang w:val="zh-CN"/>
              </w:rPr>
              <w:t>，每0.5分为一间隔</w:t>
            </w:r>
            <w:r>
              <w:rPr>
                <w:rFonts w:hint="eastAsia" w:ascii="宋体" w:hAnsi="宋体" w:cs="仿宋"/>
                <w:b/>
                <w:bCs/>
                <w:color w:val="auto"/>
                <w:sz w:val="24"/>
                <w:highlight w:val="none"/>
              </w:rPr>
              <w:t>）</w:t>
            </w:r>
          </w:p>
          <w:p w14:paraId="1BC9EB7B">
            <w:pPr>
              <w:shd w:val="clear"/>
              <w:autoSpaceDE w:val="0"/>
              <w:autoSpaceDN w:val="0"/>
              <w:spacing w:line="340" w:lineRule="exact"/>
              <w:rPr>
                <w:rFonts w:ascii="宋体" w:hAnsi="宋体" w:cs="仿宋"/>
                <w:color w:val="auto"/>
                <w:sz w:val="24"/>
                <w:highlight w:val="none"/>
                <w:lang w:val="zh-CN"/>
              </w:rPr>
            </w:pPr>
            <w:r>
              <w:rPr>
                <w:rFonts w:hint="eastAsia" w:ascii="宋体" w:hAnsi="宋体" w:cs="仿宋"/>
                <w:color w:val="auto"/>
                <w:sz w:val="24"/>
                <w:highlight w:val="none"/>
              </w:rPr>
              <w:t>3.</w:t>
            </w:r>
            <w:r>
              <w:rPr>
                <w:rFonts w:hint="eastAsia" w:ascii="宋体" w:hAnsi="宋体" w:cs="仿宋"/>
                <w:color w:val="auto"/>
                <w:sz w:val="24"/>
                <w:highlight w:val="none"/>
                <w:lang w:val="zh-CN"/>
              </w:rPr>
              <w:t>供应商</w:t>
            </w:r>
            <w:r>
              <w:rPr>
                <w:rFonts w:hint="eastAsia" w:ascii="宋体" w:hAnsi="宋体" w:cs="仿宋"/>
                <w:color w:val="auto"/>
                <w:sz w:val="24"/>
                <w:highlight w:val="none"/>
              </w:rPr>
              <w:t>针对本项目，根据自身对造价咨询廉洁从业的理解并结合嵊州市公共投资建设</w:t>
            </w:r>
            <w:r>
              <w:rPr>
                <w:rFonts w:hint="eastAsia" w:ascii="宋体" w:hAnsi="宋体" w:cs="仿宋"/>
                <w:color w:val="auto"/>
                <w:sz w:val="24"/>
                <w:highlight w:val="none"/>
                <w:lang w:val="zh-CN"/>
              </w:rPr>
              <w:t>项目造价咨询服务的</w:t>
            </w:r>
            <w:r>
              <w:rPr>
                <w:rFonts w:hint="eastAsia" w:ascii="宋体" w:hAnsi="宋体" w:cs="仿宋"/>
                <w:color w:val="auto"/>
                <w:sz w:val="24"/>
                <w:highlight w:val="none"/>
              </w:rPr>
              <w:t>工作</w:t>
            </w:r>
            <w:r>
              <w:rPr>
                <w:rFonts w:hint="eastAsia" w:ascii="宋体" w:hAnsi="宋体" w:cs="仿宋"/>
                <w:color w:val="auto"/>
                <w:sz w:val="24"/>
                <w:highlight w:val="none"/>
                <w:lang w:val="zh-CN"/>
              </w:rPr>
              <w:t>特点，</w:t>
            </w:r>
            <w:r>
              <w:rPr>
                <w:rFonts w:hint="eastAsia" w:ascii="宋体" w:hAnsi="宋体" w:cs="仿宋"/>
                <w:color w:val="auto"/>
                <w:sz w:val="24"/>
                <w:highlight w:val="none"/>
              </w:rPr>
              <w:t>书面论述廉政服务方案，并提供相应的廉政管理制度及对应的证明材料。方案思路清晰，内容、要素齐全，针对性强的最高得5分；方案思路较为清晰，内容、要素较为齐全，针对性较强的最高得3分；方案思路不清晰，内容、要素不齐全，针对性差的最高得1分；供应商未提供廉政服务方案、廉政管理制度、证明材料等任意一项的，不得分。</w:t>
            </w:r>
            <w:r>
              <w:rPr>
                <w:rFonts w:hint="eastAsia" w:ascii="宋体" w:hAnsi="宋体" w:cs="仿宋"/>
                <w:b/>
                <w:bCs/>
                <w:color w:val="auto"/>
                <w:sz w:val="24"/>
                <w:highlight w:val="none"/>
                <w:lang w:val="zh-CN"/>
              </w:rPr>
              <w:t>（0-</w:t>
            </w:r>
            <w:r>
              <w:rPr>
                <w:rFonts w:hint="eastAsia" w:ascii="宋体" w:hAnsi="宋体" w:cs="仿宋"/>
                <w:b/>
                <w:bCs/>
                <w:color w:val="auto"/>
                <w:sz w:val="24"/>
                <w:highlight w:val="none"/>
              </w:rPr>
              <w:t>5</w:t>
            </w:r>
            <w:r>
              <w:rPr>
                <w:rFonts w:hint="eastAsia" w:ascii="宋体" w:hAnsi="宋体" w:cs="仿宋"/>
                <w:b/>
                <w:bCs/>
                <w:color w:val="auto"/>
                <w:sz w:val="24"/>
                <w:highlight w:val="none"/>
                <w:lang w:val="zh-CN"/>
              </w:rPr>
              <w:t>分，每0.5分为一间隔）</w:t>
            </w:r>
          </w:p>
          <w:p w14:paraId="1BA739F2">
            <w:pPr>
              <w:shd w:val="clear"/>
              <w:rPr>
                <w:rFonts w:ascii="宋体" w:hAnsi="宋体" w:cs="仿宋"/>
                <w:color w:val="auto"/>
                <w:spacing w:val="-4"/>
                <w:sz w:val="24"/>
                <w:highlight w:val="none"/>
              </w:rPr>
            </w:pPr>
            <w:r>
              <w:rPr>
                <w:rFonts w:hint="eastAsia" w:ascii="宋体" w:hAnsi="宋体" w:cs="仿宋"/>
                <w:color w:val="auto"/>
                <w:spacing w:val="-4"/>
                <w:sz w:val="24"/>
                <w:highlight w:val="none"/>
              </w:rPr>
              <w:t>备注：</w:t>
            </w:r>
          </w:p>
          <w:p w14:paraId="61E9396F">
            <w:pPr>
              <w:shd w:val="clear"/>
              <w:rPr>
                <w:rFonts w:ascii="宋体" w:hAnsi="宋体" w:cs="仿宋"/>
                <w:color w:val="auto"/>
                <w:spacing w:val="-4"/>
                <w:sz w:val="24"/>
                <w:highlight w:val="none"/>
              </w:rPr>
            </w:pPr>
            <w:r>
              <w:rPr>
                <w:rFonts w:hint="eastAsia" w:ascii="宋体" w:hAnsi="宋体" w:cs="仿宋"/>
                <w:color w:val="auto"/>
                <w:spacing w:val="-4"/>
                <w:sz w:val="24"/>
                <w:highlight w:val="none"/>
              </w:rPr>
              <w:t>1、各方案内容篇幅均应各自控制在2000字（含）以下，证明材料格式自拟。</w:t>
            </w:r>
          </w:p>
          <w:p w14:paraId="3250A3E5">
            <w:pPr>
              <w:shd w:val="clear"/>
              <w:rPr>
                <w:rFonts w:ascii="宋体" w:hAnsi="宋体" w:cs="仿宋"/>
                <w:bCs/>
                <w:color w:val="auto"/>
                <w:sz w:val="24"/>
                <w:highlight w:val="none"/>
                <w:lang w:val="zh-CN"/>
              </w:rPr>
            </w:pPr>
            <w:r>
              <w:rPr>
                <w:rFonts w:hint="eastAsia" w:ascii="宋体" w:hAnsi="宋体" w:cs="仿宋"/>
                <w:color w:val="auto"/>
                <w:spacing w:val="-4"/>
                <w:sz w:val="24"/>
                <w:highlight w:val="none"/>
              </w:rPr>
              <w:t>2、如供应商提供的材料因模糊不清而造成评标委员会在评审时做出对供应商不利的评审由供应商自行承担。</w:t>
            </w:r>
          </w:p>
        </w:tc>
      </w:tr>
      <w:tr w14:paraId="622D7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718" w:type="dxa"/>
            <w:tcBorders>
              <w:tl2br w:val="nil"/>
              <w:tr2bl w:val="nil"/>
            </w:tcBorders>
            <w:noWrap/>
            <w:vAlign w:val="center"/>
          </w:tcPr>
          <w:p w14:paraId="2566CB1A">
            <w:pPr>
              <w:shd w:val="clear"/>
              <w:autoSpaceDE w:val="0"/>
              <w:autoSpaceDN w:val="0"/>
              <w:spacing w:beforeLines="50" w:line="400" w:lineRule="exact"/>
              <w:jc w:val="center"/>
              <w:rPr>
                <w:rFonts w:ascii="宋体" w:hAnsi="宋体" w:cs="仿宋"/>
                <w:color w:val="auto"/>
                <w:sz w:val="24"/>
                <w:highlight w:val="none"/>
              </w:rPr>
            </w:pPr>
            <w:r>
              <w:rPr>
                <w:rFonts w:hint="eastAsia" w:ascii="宋体" w:hAnsi="宋体" w:cs="仿宋"/>
                <w:color w:val="auto"/>
                <w:sz w:val="24"/>
                <w:highlight w:val="none"/>
              </w:rPr>
              <w:t>5</w:t>
            </w:r>
          </w:p>
        </w:tc>
        <w:tc>
          <w:tcPr>
            <w:tcW w:w="1421" w:type="dxa"/>
            <w:tcBorders>
              <w:tl2br w:val="nil"/>
              <w:tr2bl w:val="nil"/>
            </w:tcBorders>
            <w:noWrap/>
            <w:vAlign w:val="center"/>
          </w:tcPr>
          <w:p w14:paraId="3C0D8A7D">
            <w:pPr>
              <w:shd w:val="clear"/>
              <w:autoSpaceDE w:val="0"/>
              <w:autoSpaceDN w:val="0"/>
              <w:spacing w:beforeLines="50" w:line="400" w:lineRule="exact"/>
              <w:jc w:val="center"/>
              <w:rPr>
                <w:rFonts w:ascii="宋体" w:hAnsi="宋体" w:cs="仿宋"/>
                <w:color w:val="auto"/>
                <w:sz w:val="24"/>
                <w:highlight w:val="none"/>
              </w:rPr>
            </w:pPr>
            <w:r>
              <w:rPr>
                <w:rFonts w:hint="eastAsia" w:ascii="宋体" w:hAnsi="宋体" w:cs="仿宋"/>
                <w:color w:val="auto"/>
                <w:sz w:val="24"/>
                <w:highlight w:val="none"/>
              </w:rPr>
              <w:t>政策掌握能力</w:t>
            </w:r>
          </w:p>
        </w:tc>
        <w:tc>
          <w:tcPr>
            <w:tcW w:w="851" w:type="dxa"/>
            <w:tcBorders>
              <w:tl2br w:val="nil"/>
              <w:tr2bl w:val="nil"/>
            </w:tcBorders>
            <w:noWrap/>
            <w:vAlign w:val="center"/>
          </w:tcPr>
          <w:p w14:paraId="028032AB">
            <w:pPr>
              <w:shd w:val="clear"/>
              <w:jc w:val="center"/>
              <w:rPr>
                <w:rFonts w:ascii="宋体" w:hAnsi="宋体" w:cs="仿宋"/>
                <w:b/>
                <w:bCs/>
                <w:color w:val="auto"/>
                <w:sz w:val="24"/>
                <w:highlight w:val="none"/>
              </w:rPr>
            </w:pPr>
            <w:r>
              <w:rPr>
                <w:rFonts w:hint="eastAsia" w:ascii="宋体" w:hAnsi="宋体" w:cs="仿宋"/>
                <w:b/>
                <w:bCs/>
                <w:color w:val="auto"/>
                <w:sz w:val="24"/>
                <w:highlight w:val="none"/>
              </w:rPr>
              <w:t>4分</w:t>
            </w:r>
          </w:p>
        </w:tc>
        <w:tc>
          <w:tcPr>
            <w:tcW w:w="7081" w:type="dxa"/>
            <w:tcBorders>
              <w:tl2br w:val="nil"/>
              <w:tr2bl w:val="nil"/>
            </w:tcBorders>
            <w:noWrap/>
          </w:tcPr>
          <w:p w14:paraId="0F596349">
            <w:pPr>
              <w:pStyle w:val="59"/>
              <w:shd w:val="clear"/>
              <w:ind w:left="0" w:leftChars="0" w:firstLine="480"/>
              <w:rPr>
                <w:rFonts w:cs="仿宋"/>
                <w:color w:val="auto"/>
                <w:sz w:val="24"/>
                <w:highlight w:val="none"/>
              </w:rPr>
            </w:pPr>
            <w:r>
              <w:rPr>
                <w:rFonts w:hint="eastAsia" w:cs="仿宋"/>
                <w:color w:val="auto"/>
                <w:sz w:val="24"/>
                <w:highlight w:val="none"/>
              </w:rPr>
              <w:t>供应商针对本项目，结合自身对嵊州市公共投资建设项目基本建设程序及造价控制等相关政策要求的熟悉程度，提供嵊州市现行的相关政策依据文件目录，并书面论述上述文件对开展XX市公共投资建设项目造价咨询工作的相关要求。目录清晰齐全，政策掌握程度高，论述清晰、准确、完备，最高得4分；目录相对齐全，政策掌握程度一般，论述有待完善，基本准确，最高得2分；目录不齐全，政策掌握程度低，论述不完善，最高得1分。供应商未提供文件目录或书面论述材料的，不得分。</w:t>
            </w:r>
            <w:r>
              <w:rPr>
                <w:rFonts w:hint="eastAsia" w:cs="仿宋"/>
                <w:b/>
                <w:bCs/>
                <w:color w:val="auto"/>
                <w:sz w:val="24"/>
                <w:highlight w:val="none"/>
              </w:rPr>
              <w:t>（0-4分，每0.5分为一间隔）</w:t>
            </w:r>
          </w:p>
          <w:p w14:paraId="016FD80A">
            <w:pPr>
              <w:shd w:val="clear"/>
              <w:rPr>
                <w:rFonts w:ascii="宋体" w:hAnsi="宋体" w:cs="仿宋"/>
                <w:color w:val="auto"/>
                <w:spacing w:val="-4"/>
                <w:sz w:val="24"/>
                <w:highlight w:val="none"/>
              </w:rPr>
            </w:pPr>
            <w:r>
              <w:rPr>
                <w:rFonts w:hint="eastAsia" w:ascii="宋体" w:hAnsi="宋体" w:cs="仿宋"/>
                <w:color w:val="auto"/>
                <w:spacing w:val="-4"/>
                <w:sz w:val="24"/>
                <w:highlight w:val="none"/>
              </w:rPr>
              <w:t>备注：</w:t>
            </w:r>
          </w:p>
          <w:p w14:paraId="3067E325">
            <w:pPr>
              <w:shd w:val="clear"/>
              <w:rPr>
                <w:rFonts w:ascii="宋体" w:hAnsi="宋体" w:cs="仿宋"/>
                <w:color w:val="auto"/>
                <w:spacing w:val="-4"/>
                <w:sz w:val="24"/>
                <w:highlight w:val="none"/>
              </w:rPr>
            </w:pPr>
            <w:r>
              <w:rPr>
                <w:rFonts w:hint="eastAsia" w:ascii="宋体" w:hAnsi="宋体" w:cs="仿宋"/>
                <w:color w:val="auto"/>
                <w:spacing w:val="-4"/>
                <w:sz w:val="24"/>
                <w:highlight w:val="none"/>
              </w:rPr>
              <w:t>1、由评委</w:t>
            </w:r>
            <w:r>
              <w:rPr>
                <w:rFonts w:hint="eastAsia" w:ascii="宋体" w:hAnsi="宋体" w:cs="仿宋"/>
                <w:color w:val="auto"/>
                <w:spacing w:val="-4"/>
                <w:sz w:val="24"/>
                <w:highlight w:val="none"/>
                <w:lang w:val="zh-CN"/>
              </w:rPr>
              <w:t>根据供应商</w:t>
            </w:r>
            <w:r>
              <w:rPr>
                <w:rFonts w:hint="eastAsia" w:ascii="宋体" w:hAnsi="宋体" w:cs="仿宋"/>
                <w:color w:val="auto"/>
                <w:spacing w:val="-4"/>
                <w:sz w:val="24"/>
                <w:highlight w:val="none"/>
              </w:rPr>
              <w:t>提供的文件目录和论述材料，评审供应商政策掌握能力，论述材料内容篇幅应控制在2000字（含）以下，论述材料格式自拟。</w:t>
            </w:r>
          </w:p>
          <w:p w14:paraId="0DCB871E">
            <w:pPr>
              <w:shd w:val="clear"/>
              <w:rPr>
                <w:rFonts w:ascii="宋体" w:hAnsi="宋体" w:cs="仿宋"/>
                <w:bCs/>
                <w:color w:val="auto"/>
                <w:spacing w:val="-4"/>
                <w:kern w:val="0"/>
                <w:sz w:val="24"/>
                <w:highlight w:val="none"/>
              </w:rPr>
            </w:pPr>
            <w:r>
              <w:rPr>
                <w:rFonts w:hint="eastAsia" w:ascii="宋体" w:hAnsi="宋体" w:cs="仿宋"/>
                <w:color w:val="auto"/>
                <w:spacing w:val="-4"/>
                <w:sz w:val="24"/>
                <w:highlight w:val="none"/>
              </w:rPr>
              <w:t>2、如供应商提供的目录及材料因模糊不清而造成评标委员会在评审时做出对供应商不利的评审由供应商自行承担。</w:t>
            </w:r>
          </w:p>
        </w:tc>
      </w:tr>
      <w:tr w14:paraId="1B4E2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718" w:type="dxa"/>
            <w:tcBorders>
              <w:tl2br w:val="nil"/>
              <w:tr2bl w:val="nil"/>
            </w:tcBorders>
            <w:noWrap/>
            <w:vAlign w:val="center"/>
          </w:tcPr>
          <w:p w14:paraId="2926228D">
            <w:pPr>
              <w:shd w:val="clear"/>
              <w:autoSpaceDE w:val="0"/>
              <w:autoSpaceDN w:val="0"/>
              <w:spacing w:beforeLines="50" w:line="400" w:lineRule="exact"/>
              <w:jc w:val="center"/>
              <w:rPr>
                <w:rFonts w:ascii="宋体" w:hAnsi="宋体" w:cs="仿宋"/>
                <w:color w:val="auto"/>
                <w:sz w:val="24"/>
                <w:highlight w:val="none"/>
              </w:rPr>
            </w:pPr>
            <w:r>
              <w:rPr>
                <w:rFonts w:hint="eastAsia" w:ascii="宋体" w:hAnsi="宋体" w:cs="仿宋"/>
                <w:color w:val="auto"/>
                <w:sz w:val="24"/>
                <w:highlight w:val="none"/>
              </w:rPr>
              <w:t>6</w:t>
            </w:r>
          </w:p>
        </w:tc>
        <w:tc>
          <w:tcPr>
            <w:tcW w:w="1421" w:type="dxa"/>
            <w:tcBorders>
              <w:tl2br w:val="nil"/>
              <w:tr2bl w:val="nil"/>
            </w:tcBorders>
            <w:noWrap/>
            <w:vAlign w:val="center"/>
          </w:tcPr>
          <w:p w14:paraId="54555E25">
            <w:pPr>
              <w:shd w:val="clear"/>
              <w:autoSpaceDE w:val="0"/>
              <w:autoSpaceDN w:val="0"/>
              <w:spacing w:beforeLines="50" w:line="400" w:lineRule="exact"/>
              <w:jc w:val="center"/>
              <w:rPr>
                <w:rFonts w:ascii="宋体" w:hAnsi="宋体" w:cs="仿宋"/>
                <w:color w:val="auto"/>
                <w:sz w:val="24"/>
                <w:highlight w:val="none"/>
              </w:rPr>
            </w:pPr>
            <w:r>
              <w:rPr>
                <w:rFonts w:hint="eastAsia" w:ascii="宋体" w:hAnsi="宋体" w:cs="仿宋"/>
                <w:color w:val="auto"/>
                <w:sz w:val="24"/>
                <w:highlight w:val="none"/>
              </w:rPr>
              <w:t>合理化建议</w:t>
            </w:r>
          </w:p>
        </w:tc>
        <w:tc>
          <w:tcPr>
            <w:tcW w:w="851" w:type="dxa"/>
            <w:tcBorders>
              <w:tl2br w:val="nil"/>
              <w:tr2bl w:val="nil"/>
            </w:tcBorders>
            <w:noWrap/>
            <w:vAlign w:val="center"/>
          </w:tcPr>
          <w:p w14:paraId="30C994DC">
            <w:pPr>
              <w:shd w:val="clear"/>
              <w:jc w:val="center"/>
              <w:rPr>
                <w:rFonts w:ascii="宋体" w:hAnsi="宋体" w:cs="仿宋"/>
                <w:b/>
                <w:bCs/>
                <w:color w:val="auto"/>
                <w:sz w:val="24"/>
                <w:highlight w:val="none"/>
              </w:rPr>
            </w:pPr>
            <w:r>
              <w:rPr>
                <w:rFonts w:hint="eastAsia" w:ascii="宋体" w:hAnsi="宋体" w:cs="仿宋"/>
                <w:b/>
                <w:bCs/>
                <w:color w:val="auto"/>
                <w:sz w:val="24"/>
                <w:highlight w:val="none"/>
              </w:rPr>
              <w:t>4分</w:t>
            </w:r>
          </w:p>
        </w:tc>
        <w:tc>
          <w:tcPr>
            <w:tcW w:w="7081" w:type="dxa"/>
            <w:tcBorders>
              <w:tl2br w:val="nil"/>
              <w:tr2bl w:val="nil"/>
            </w:tcBorders>
            <w:noWrap/>
          </w:tcPr>
          <w:p w14:paraId="66487156">
            <w:pPr>
              <w:pStyle w:val="59"/>
              <w:shd w:val="clear"/>
              <w:ind w:left="0" w:leftChars="0" w:firstLine="480"/>
              <w:rPr>
                <w:rFonts w:cs="仿宋"/>
                <w:color w:val="auto"/>
                <w:sz w:val="24"/>
                <w:highlight w:val="none"/>
              </w:rPr>
            </w:pPr>
            <w:r>
              <w:rPr>
                <w:rFonts w:hint="eastAsia" w:cs="仿宋"/>
                <w:color w:val="auto"/>
                <w:sz w:val="24"/>
                <w:highlight w:val="none"/>
              </w:rPr>
              <w:t>供应商针对本项目，结合嵊州市现行的相关政策和自身对嵊州市公共投资建设项目造价咨询行业管理现状的理解，从强化监督考核、提高业务质效、优化管理手段等方面，书面提出合理化建议或措施：合理化建议或具体措施的科学严谨性、系统完整性、针对性及可操作性强，最高得4分；合理化建议或措施的科学严谨性、系统完整性、针对性及可操作性较强，最高得2分；合理化建议或措施的科学严谨性、系统完整性、针对性及可操作性弱，最高得1分；无合理化建议或措施，不得分。</w:t>
            </w:r>
            <w:r>
              <w:rPr>
                <w:rFonts w:hint="eastAsia" w:cs="仿宋"/>
                <w:b/>
                <w:bCs/>
                <w:color w:val="auto"/>
                <w:sz w:val="24"/>
                <w:highlight w:val="none"/>
              </w:rPr>
              <w:t>（0-4分，每0.5分为一间隔）</w:t>
            </w:r>
          </w:p>
          <w:p w14:paraId="50FA66EE">
            <w:pPr>
              <w:shd w:val="clear"/>
              <w:rPr>
                <w:rFonts w:ascii="宋体" w:hAnsi="宋体" w:cs="仿宋"/>
                <w:color w:val="auto"/>
                <w:spacing w:val="-4"/>
                <w:sz w:val="24"/>
                <w:highlight w:val="none"/>
              </w:rPr>
            </w:pPr>
            <w:r>
              <w:rPr>
                <w:rFonts w:hint="eastAsia" w:ascii="宋体" w:hAnsi="宋体" w:cs="仿宋"/>
                <w:color w:val="auto"/>
                <w:spacing w:val="-4"/>
                <w:sz w:val="24"/>
                <w:highlight w:val="none"/>
              </w:rPr>
              <w:t>备注：</w:t>
            </w:r>
          </w:p>
          <w:p w14:paraId="4AE26819">
            <w:pPr>
              <w:shd w:val="clear"/>
              <w:rPr>
                <w:rFonts w:ascii="宋体" w:hAnsi="宋体" w:cs="仿宋"/>
                <w:color w:val="auto"/>
                <w:spacing w:val="-4"/>
                <w:sz w:val="24"/>
                <w:highlight w:val="none"/>
              </w:rPr>
            </w:pPr>
            <w:r>
              <w:rPr>
                <w:rFonts w:hint="eastAsia" w:ascii="宋体" w:hAnsi="宋体" w:cs="仿宋"/>
                <w:color w:val="auto"/>
                <w:spacing w:val="-4"/>
                <w:sz w:val="24"/>
                <w:highlight w:val="none"/>
              </w:rPr>
              <w:t>1、合理化建议或措施内容篇幅应控制在2000字（含）以下，论述材料格式自拟。</w:t>
            </w:r>
          </w:p>
          <w:p w14:paraId="13379A88">
            <w:pPr>
              <w:shd w:val="clear"/>
              <w:rPr>
                <w:rFonts w:ascii="宋体" w:hAnsi="宋体"/>
                <w:color w:val="auto"/>
                <w:sz w:val="24"/>
                <w:highlight w:val="none"/>
              </w:rPr>
            </w:pPr>
            <w:r>
              <w:rPr>
                <w:rFonts w:hint="eastAsia" w:ascii="宋体" w:hAnsi="宋体" w:cs="仿宋"/>
                <w:color w:val="auto"/>
                <w:spacing w:val="-4"/>
                <w:sz w:val="24"/>
                <w:highlight w:val="none"/>
              </w:rPr>
              <w:t>2、如供应商提供的材料因模糊不清而造成评标委员会在评审时做出对供应商不利的评审由供应商自行承担。</w:t>
            </w:r>
          </w:p>
        </w:tc>
      </w:tr>
      <w:tr w14:paraId="7F433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718" w:type="dxa"/>
            <w:tcBorders>
              <w:tl2br w:val="nil"/>
              <w:tr2bl w:val="nil"/>
            </w:tcBorders>
            <w:noWrap/>
            <w:vAlign w:val="center"/>
          </w:tcPr>
          <w:p w14:paraId="3B960A7C">
            <w:pPr>
              <w:shd w:val="clear"/>
              <w:autoSpaceDE w:val="0"/>
              <w:autoSpaceDN w:val="0"/>
              <w:spacing w:beforeLines="50" w:line="400" w:lineRule="exact"/>
              <w:jc w:val="center"/>
              <w:rPr>
                <w:rFonts w:ascii="宋体" w:hAnsi="宋体" w:cs="仿宋"/>
                <w:color w:val="auto"/>
                <w:sz w:val="24"/>
                <w:highlight w:val="none"/>
              </w:rPr>
            </w:pPr>
            <w:r>
              <w:rPr>
                <w:rFonts w:hint="eastAsia" w:ascii="宋体" w:hAnsi="宋体" w:cs="仿宋"/>
                <w:color w:val="auto"/>
                <w:sz w:val="24"/>
                <w:highlight w:val="none"/>
              </w:rPr>
              <w:t>7</w:t>
            </w:r>
          </w:p>
        </w:tc>
        <w:tc>
          <w:tcPr>
            <w:tcW w:w="1421" w:type="dxa"/>
            <w:tcBorders>
              <w:tl2br w:val="nil"/>
              <w:tr2bl w:val="nil"/>
            </w:tcBorders>
            <w:noWrap/>
            <w:vAlign w:val="center"/>
          </w:tcPr>
          <w:p w14:paraId="5335D555">
            <w:pPr>
              <w:shd w:val="clear"/>
              <w:autoSpaceDE w:val="0"/>
              <w:autoSpaceDN w:val="0"/>
              <w:spacing w:beforeLines="50" w:line="400" w:lineRule="exact"/>
              <w:jc w:val="center"/>
              <w:rPr>
                <w:rFonts w:ascii="宋体" w:hAnsi="宋体" w:cs="仿宋"/>
                <w:color w:val="auto"/>
                <w:sz w:val="24"/>
                <w:highlight w:val="none"/>
              </w:rPr>
            </w:pPr>
            <w:r>
              <w:rPr>
                <w:rFonts w:hint="eastAsia" w:ascii="宋体" w:hAnsi="宋体" w:cs="仿宋"/>
                <w:bCs/>
                <w:color w:val="auto"/>
                <w:sz w:val="24"/>
                <w:highlight w:val="none"/>
              </w:rPr>
              <w:t>对“大数据+工程造价”的理解及分析</w:t>
            </w:r>
          </w:p>
        </w:tc>
        <w:tc>
          <w:tcPr>
            <w:tcW w:w="851" w:type="dxa"/>
            <w:tcBorders>
              <w:tl2br w:val="nil"/>
              <w:tr2bl w:val="nil"/>
            </w:tcBorders>
            <w:noWrap/>
            <w:vAlign w:val="center"/>
          </w:tcPr>
          <w:p w14:paraId="474D4EC7">
            <w:pPr>
              <w:shd w:val="clear"/>
              <w:jc w:val="center"/>
              <w:rPr>
                <w:rFonts w:ascii="宋体" w:hAnsi="宋体" w:cs="仿宋"/>
                <w:b/>
                <w:bCs/>
                <w:color w:val="auto"/>
                <w:sz w:val="24"/>
                <w:highlight w:val="none"/>
              </w:rPr>
            </w:pPr>
            <w:r>
              <w:rPr>
                <w:rFonts w:hint="eastAsia" w:ascii="宋体" w:hAnsi="宋体" w:cs="仿宋"/>
                <w:b/>
                <w:bCs/>
                <w:color w:val="auto"/>
                <w:sz w:val="24"/>
                <w:highlight w:val="none"/>
              </w:rPr>
              <w:t>2</w:t>
            </w:r>
            <w:r>
              <w:rPr>
                <w:rFonts w:hint="eastAsia" w:ascii="宋体" w:hAnsi="宋体" w:cs="仿宋"/>
                <w:b/>
                <w:bCs/>
                <w:color w:val="auto"/>
                <w:sz w:val="24"/>
                <w:highlight w:val="none"/>
                <w:lang w:val="zh-CN"/>
              </w:rPr>
              <w:t>分</w:t>
            </w:r>
          </w:p>
        </w:tc>
        <w:tc>
          <w:tcPr>
            <w:tcW w:w="7081" w:type="dxa"/>
            <w:tcBorders>
              <w:tl2br w:val="nil"/>
              <w:tr2bl w:val="nil"/>
            </w:tcBorders>
            <w:noWrap/>
          </w:tcPr>
          <w:p w14:paraId="475B28ED">
            <w:pPr>
              <w:shd w:val="clear"/>
              <w:rPr>
                <w:rFonts w:ascii="宋体" w:hAnsi="宋体" w:cs="仿宋"/>
                <w:color w:val="auto"/>
                <w:spacing w:val="-4"/>
                <w:sz w:val="24"/>
                <w:highlight w:val="none"/>
                <w:lang w:val="zh-CN"/>
              </w:rPr>
            </w:pPr>
            <w:r>
              <w:rPr>
                <w:rFonts w:hint="eastAsia" w:ascii="宋体" w:hAnsi="宋体" w:cs="仿宋"/>
                <w:color w:val="auto"/>
                <w:sz w:val="24"/>
                <w:highlight w:val="none"/>
              </w:rPr>
              <w:t>拟派技术负责人</w:t>
            </w:r>
            <w:r>
              <w:rPr>
                <w:rFonts w:hint="eastAsia" w:ascii="宋体" w:hAnsi="宋体" w:cs="仿宋"/>
                <w:color w:val="auto"/>
                <w:spacing w:val="-4"/>
                <w:sz w:val="24"/>
                <w:highlight w:val="none"/>
              </w:rPr>
              <w:t>根据嵊州市公共投资建设项目在“大数据+造价”的应用结合本项目，书面提出个人的理解及重点、难点分析。针对性强，理解程度深入，重点、难点剖析全面、准确的最高得2分；针对性一般，理解程度一般，重点、难点剖析全面性、准确性一般的最高得1分；没有针对性，理解程度差，重点、难点剖析不全面、不准确的不得分。</w:t>
            </w:r>
            <w:r>
              <w:rPr>
                <w:rFonts w:hint="eastAsia" w:ascii="宋体" w:hAnsi="宋体" w:cs="仿宋"/>
                <w:b/>
                <w:bCs/>
                <w:color w:val="auto"/>
                <w:spacing w:val="-4"/>
                <w:sz w:val="24"/>
                <w:highlight w:val="none"/>
              </w:rPr>
              <w:t>（0-2分</w:t>
            </w:r>
            <w:r>
              <w:rPr>
                <w:rFonts w:hint="eastAsia" w:ascii="宋体" w:hAnsi="宋体" w:cs="仿宋"/>
                <w:b/>
                <w:bCs/>
                <w:color w:val="auto"/>
                <w:spacing w:val="-4"/>
                <w:sz w:val="24"/>
                <w:highlight w:val="none"/>
                <w:lang w:val="zh-CN"/>
              </w:rPr>
              <w:t>，每0.5分为一间隔</w:t>
            </w:r>
            <w:r>
              <w:rPr>
                <w:rFonts w:hint="eastAsia" w:ascii="宋体" w:hAnsi="宋体" w:cs="仿宋"/>
                <w:b/>
                <w:bCs/>
                <w:color w:val="auto"/>
                <w:spacing w:val="-4"/>
                <w:sz w:val="24"/>
                <w:highlight w:val="none"/>
              </w:rPr>
              <w:t>）</w:t>
            </w:r>
          </w:p>
          <w:p w14:paraId="3E96EFD6">
            <w:pPr>
              <w:shd w:val="clear"/>
              <w:rPr>
                <w:rFonts w:ascii="宋体" w:hAnsi="宋体" w:cs="仿宋"/>
                <w:color w:val="auto"/>
                <w:spacing w:val="-4"/>
                <w:sz w:val="24"/>
                <w:highlight w:val="none"/>
              </w:rPr>
            </w:pPr>
            <w:r>
              <w:rPr>
                <w:rFonts w:hint="eastAsia" w:ascii="宋体" w:hAnsi="宋体" w:cs="仿宋"/>
                <w:color w:val="auto"/>
                <w:spacing w:val="-4"/>
                <w:sz w:val="24"/>
                <w:highlight w:val="none"/>
              </w:rPr>
              <w:t>备注：</w:t>
            </w:r>
          </w:p>
          <w:p w14:paraId="618B2767">
            <w:pPr>
              <w:shd w:val="clear"/>
              <w:rPr>
                <w:rFonts w:ascii="宋体" w:hAnsi="宋体" w:cs="仿宋"/>
                <w:color w:val="auto"/>
                <w:spacing w:val="-4"/>
                <w:sz w:val="24"/>
                <w:highlight w:val="none"/>
              </w:rPr>
            </w:pPr>
            <w:r>
              <w:rPr>
                <w:rFonts w:hint="eastAsia" w:ascii="宋体" w:hAnsi="宋体" w:cs="仿宋"/>
                <w:color w:val="auto"/>
                <w:spacing w:val="-4"/>
                <w:sz w:val="24"/>
                <w:highlight w:val="none"/>
              </w:rPr>
              <w:t>1、需</w:t>
            </w:r>
            <w:r>
              <w:rPr>
                <w:rFonts w:hint="eastAsia" w:ascii="宋体" w:hAnsi="宋体" w:cs="仿宋"/>
                <w:color w:val="auto"/>
                <w:sz w:val="24"/>
                <w:highlight w:val="none"/>
              </w:rPr>
              <w:t>拟派技术负责人</w:t>
            </w:r>
            <w:r>
              <w:rPr>
                <w:rFonts w:hint="eastAsia" w:ascii="宋体" w:hAnsi="宋体" w:cs="仿宋"/>
                <w:color w:val="auto"/>
                <w:spacing w:val="-4"/>
                <w:sz w:val="24"/>
                <w:highlight w:val="none"/>
              </w:rPr>
              <w:t>本人签字，未签字的不得分。</w:t>
            </w:r>
          </w:p>
          <w:p w14:paraId="1AA8EF45">
            <w:pPr>
              <w:shd w:val="clear"/>
              <w:rPr>
                <w:rFonts w:ascii="宋体" w:hAnsi="宋体" w:cs="仿宋"/>
                <w:color w:val="auto"/>
                <w:spacing w:val="-4"/>
                <w:sz w:val="24"/>
                <w:highlight w:val="none"/>
              </w:rPr>
            </w:pPr>
            <w:r>
              <w:rPr>
                <w:rFonts w:hint="eastAsia" w:ascii="宋体" w:hAnsi="宋体" w:cs="仿宋"/>
                <w:color w:val="auto"/>
                <w:spacing w:val="-4"/>
                <w:sz w:val="24"/>
                <w:highlight w:val="none"/>
              </w:rPr>
              <w:t>2、理解分析内容篇幅应控制在2000字（含）以下。</w:t>
            </w:r>
          </w:p>
          <w:p w14:paraId="0C4AB1C0">
            <w:pPr>
              <w:pStyle w:val="59"/>
              <w:shd w:val="clear"/>
              <w:ind w:left="0" w:leftChars="0" w:firstLine="464"/>
              <w:rPr>
                <w:rFonts w:cs="仿宋"/>
                <w:color w:val="auto"/>
                <w:sz w:val="24"/>
                <w:highlight w:val="none"/>
              </w:rPr>
            </w:pPr>
            <w:r>
              <w:rPr>
                <w:rFonts w:hint="eastAsia" w:cs="仿宋"/>
                <w:color w:val="auto"/>
                <w:spacing w:val="-4"/>
                <w:sz w:val="24"/>
                <w:highlight w:val="none"/>
              </w:rPr>
              <w:t>3、如供应商提供的材料因模糊不清而造成评标委员会在评审时做出对供应商不利的评审由供应商自行承担。</w:t>
            </w:r>
          </w:p>
        </w:tc>
      </w:tr>
    </w:tbl>
    <w:p w14:paraId="44823B7B">
      <w:pPr>
        <w:numPr>
          <w:ilvl w:val="0"/>
          <w:numId w:val="5"/>
        </w:numPr>
        <w:shd w:val="clear"/>
        <w:spacing w:line="360" w:lineRule="auto"/>
        <w:rPr>
          <w:rFonts w:ascii="宋体" w:hAnsi="宋体" w:cs="仿宋"/>
          <w:color w:val="auto"/>
          <w:kern w:val="0"/>
          <w:sz w:val="24"/>
          <w:szCs w:val="20"/>
          <w:highlight w:val="none"/>
        </w:rPr>
      </w:pPr>
      <w:r>
        <w:rPr>
          <w:rFonts w:hint="eastAsia" w:ascii="宋体" w:hAnsi="宋体" w:cs="仿宋"/>
          <w:color w:val="auto"/>
          <w:kern w:val="0"/>
          <w:sz w:val="24"/>
          <w:szCs w:val="20"/>
          <w:highlight w:val="none"/>
        </w:rPr>
        <w:t>计算得分时，按其算术平均值保留小数点后2位。</w:t>
      </w:r>
    </w:p>
    <w:p w14:paraId="7A9D65B6">
      <w:pPr>
        <w:pStyle w:val="219"/>
        <w:shd w:val="clear"/>
        <w:spacing w:before="0"/>
        <w:ind w:firstLine="480"/>
        <w:rPr>
          <w:rFonts w:ascii="宋体" w:hAnsi="宋体" w:cs="仿宋"/>
          <w:color w:val="auto"/>
          <w:highlight w:val="none"/>
        </w:rPr>
      </w:pPr>
      <w:r>
        <w:rPr>
          <w:rFonts w:hint="eastAsia" w:ascii="宋体" w:hAnsi="宋体" w:cs="仿宋"/>
          <w:color w:val="auto"/>
          <w:kern w:val="0"/>
          <w:highlight w:val="none"/>
        </w:rPr>
        <w:t>2、评分涉及证书、证明需在有效期限内，需提交原件扫描件或彩色图片或清晰复印件并加</w:t>
      </w:r>
      <w:r>
        <w:rPr>
          <w:rFonts w:hint="eastAsia" w:ascii="宋体" w:hAnsi="宋体" w:cs="仿宋"/>
          <w:color w:val="auto"/>
          <w:highlight w:val="none"/>
        </w:rPr>
        <w:t>盖投标单位电子章；计算得分时，按其算术平均值保留小数点后2位；</w:t>
      </w:r>
      <w:r>
        <w:rPr>
          <w:rFonts w:hint="eastAsia" w:ascii="宋体" w:hAnsi="宋体" w:cs="仿宋"/>
          <w:color w:val="auto"/>
          <w:kern w:val="0"/>
          <w:highlight w:val="none"/>
        </w:rPr>
        <w:t>评审小组成员个人主观打分偏离所有评审小组成员主观打分平均值30%以上的，由评审委员会启动评分畸高、畸低行为认定程序。</w:t>
      </w:r>
    </w:p>
    <w:p w14:paraId="4B59846D">
      <w:pPr>
        <w:pStyle w:val="219"/>
        <w:shd w:val="clear"/>
        <w:spacing w:before="0"/>
        <w:ind w:firstLine="480"/>
        <w:rPr>
          <w:color w:val="auto"/>
          <w:highlight w:val="none"/>
        </w:rPr>
      </w:pPr>
      <w:r>
        <w:rPr>
          <w:rFonts w:hint="eastAsia" w:ascii="宋体" w:hAnsi="宋体" w:cs="仿宋"/>
          <w:color w:val="auto"/>
          <w:highlight w:val="none"/>
        </w:rPr>
        <w:t>3、</w:t>
      </w:r>
      <w:r>
        <w:rPr>
          <w:rFonts w:hint="eastAsia" w:hAnsi="宋体" w:cs="仿宋"/>
          <w:color w:val="auto"/>
          <w:kern w:val="0"/>
          <w:szCs w:val="24"/>
          <w:highlight w:val="none"/>
        </w:rPr>
        <w:t>确定入围供应商后，采购人有权对入围供应商提供的人员名单、注册证明、执业资格、人事关系、业绩材料等相关资料到相关部门和相关渠道进行核实，如投标文件存在虚假情况，则取消中标候选人的中标资格，存在违法违规行为的，由相关部门进行处理</w:t>
      </w:r>
      <w:r>
        <w:rPr>
          <w:rFonts w:hint="eastAsia" w:ascii="宋体" w:hAnsi="宋体" w:cs="仿宋"/>
          <w:color w:val="auto"/>
          <w:kern w:val="0"/>
          <w:highlight w:val="none"/>
        </w:rPr>
        <w:t>。</w:t>
      </w:r>
    </w:p>
    <w:p w14:paraId="1E19A397">
      <w:pPr>
        <w:pStyle w:val="219"/>
        <w:shd w:val="clear"/>
        <w:ind w:firstLine="480"/>
        <w:rPr>
          <w:rFonts w:ascii="Times New Roman" w:hAnsi="宋体" w:cs="仿宋"/>
          <w:color w:val="auto"/>
          <w:kern w:val="0"/>
          <w:szCs w:val="24"/>
          <w:highlight w:val="none"/>
        </w:rPr>
      </w:pPr>
      <w:r>
        <w:rPr>
          <w:rFonts w:ascii="Times New Roman" w:hAnsi="宋体" w:cs="仿宋"/>
          <w:color w:val="auto"/>
          <w:kern w:val="0"/>
          <w:szCs w:val="24"/>
          <w:highlight w:val="none"/>
        </w:rPr>
        <w:t>4.</w:t>
      </w:r>
      <w:r>
        <w:rPr>
          <w:rFonts w:hint="eastAsia" w:ascii="Times New Roman" w:hAnsi="宋体" w:cs="仿宋"/>
          <w:color w:val="auto"/>
          <w:kern w:val="0"/>
          <w:szCs w:val="24"/>
          <w:highlight w:val="none"/>
        </w:rPr>
        <w:t>入围方式：入围的供应商按照质量优先法从高到低排序，推荐前</w:t>
      </w:r>
      <w:r>
        <w:rPr>
          <w:rFonts w:ascii="Times New Roman" w:hAnsi="宋体" w:cs="仿宋"/>
          <w:color w:val="auto"/>
          <w:kern w:val="0"/>
          <w:szCs w:val="24"/>
          <w:highlight w:val="none"/>
        </w:rPr>
        <w:t>30名为入围供应商（适用于供应商≥38家）；入围供应商淘汰比例20%（适用于供应商＜38家）且至少淘汰1家。如遇淘汰数值为小数的，取大值整数（例如淘汰4.2家，取淘汰5家）。如</w:t>
      </w:r>
      <w:r>
        <w:rPr>
          <w:rFonts w:hint="eastAsia" w:hAnsi="宋体" w:cs="仿宋"/>
          <w:color w:val="auto"/>
          <w:kern w:val="0"/>
          <w:szCs w:val="24"/>
          <w:highlight w:val="none"/>
        </w:rPr>
        <w:t>入围数量最后一家</w:t>
      </w:r>
      <w:r>
        <w:rPr>
          <w:rFonts w:hint="eastAsia" w:ascii="Times New Roman" w:hAnsi="宋体" w:cs="仿宋"/>
          <w:color w:val="auto"/>
          <w:kern w:val="0"/>
          <w:szCs w:val="24"/>
          <w:highlight w:val="none"/>
        </w:rPr>
        <w:t>有得分相同的，按以下顺序得分高的名次在先：（</w:t>
      </w:r>
      <w:r>
        <w:rPr>
          <w:rFonts w:ascii="Times New Roman" w:hAnsi="宋体" w:cs="仿宋"/>
          <w:color w:val="auto"/>
          <w:kern w:val="0"/>
          <w:szCs w:val="24"/>
          <w:highlight w:val="none"/>
        </w:rPr>
        <w:t>1）拟派团队情况及专业能力；（2）业绩；（3）售后服务能力；（4）管理方案；（5）政策掌握能力；（6）合理化建议；（7）对“大数据+工程造价”的理解及分析</w:t>
      </w:r>
      <w:r>
        <w:rPr>
          <w:rFonts w:hint="eastAsia" w:hAnsi="宋体" w:cs="仿宋"/>
          <w:color w:val="auto"/>
          <w:kern w:val="0"/>
          <w:szCs w:val="24"/>
          <w:highlight w:val="none"/>
        </w:rPr>
        <w:t>。</w:t>
      </w:r>
    </w:p>
    <w:p w14:paraId="68DDC583">
      <w:pPr>
        <w:pStyle w:val="219"/>
        <w:shd w:val="clear"/>
        <w:spacing w:before="0"/>
        <w:ind w:firstLine="0" w:firstLineChars="0"/>
        <w:rPr>
          <w:rFonts w:ascii="宋体" w:hAnsi="宋体" w:cs="宋体"/>
          <w:color w:val="auto"/>
          <w:szCs w:val="24"/>
          <w:highlight w:val="none"/>
        </w:rPr>
      </w:pPr>
    </w:p>
    <w:p w14:paraId="01E969A4">
      <w:pPr>
        <w:pStyle w:val="219"/>
        <w:shd w:val="clear"/>
        <w:spacing w:before="0"/>
        <w:ind w:firstLine="480"/>
        <w:jc w:val="center"/>
        <w:rPr>
          <w:rFonts w:ascii="宋体" w:hAnsi="宋体" w:cs="仿宋"/>
          <w:b/>
          <w:color w:val="auto"/>
          <w:sz w:val="36"/>
          <w:szCs w:val="36"/>
          <w:highlight w:val="none"/>
        </w:rPr>
      </w:pPr>
      <w:r>
        <w:rPr>
          <w:rFonts w:hint="eastAsia" w:ascii="宋体" w:hAnsi="宋体" w:cs="仿宋"/>
          <w:color w:val="auto"/>
          <w:highlight w:val="none"/>
        </w:rPr>
        <w:br w:type="page"/>
      </w:r>
      <w:r>
        <w:rPr>
          <w:rFonts w:hint="eastAsia" w:ascii="宋体" w:hAnsi="宋体" w:cs="仿宋"/>
          <w:b/>
          <w:color w:val="auto"/>
          <w:sz w:val="36"/>
          <w:szCs w:val="36"/>
          <w:highlight w:val="none"/>
        </w:rPr>
        <w:t>第五部分</w:t>
      </w:r>
      <w:bookmarkEnd w:id="86"/>
      <w:r>
        <w:rPr>
          <w:rFonts w:hint="eastAsia" w:ascii="宋体" w:hAnsi="宋体" w:cs="仿宋"/>
          <w:b/>
          <w:color w:val="auto"/>
          <w:sz w:val="36"/>
          <w:szCs w:val="36"/>
          <w:highlight w:val="none"/>
        </w:rPr>
        <w:t xml:space="preserve"> 拟签订的合同文本</w:t>
      </w:r>
    </w:p>
    <w:p w14:paraId="6494E3B6">
      <w:pPr>
        <w:shd w:val="clear"/>
        <w:spacing w:line="360" w:lineRule="auto"/>
        <w:jc w:val="left"/>
        <w:rPr>
          <w:rFonts w:ascii="宋体" w:hAnsi="宋体" w:cs="宋体"/>
          <w:color w:val="auto"/>
          <w:sz w:val="24"/>
          <w:highlight w:val="none"/>
          <w:u w:val="single"/>
        </w:rPr>
      </w:pPr>
      <w:bookmarkStart w:id="453" w:name="_Toc86217003"/>
      <w:bookmarkStart w:id="454" w:name="第五部分"/>
      <w:r>
        <w:rPr>
          <w:rFonts w:hint="eastAsia" w:ascii="宋体" w:hAnsi="宋体" w:cs="宋体"/>
          <w:color w:val="auto"/>
          <w:sz w:val="24"/>
          <w:highlight w:val="none"/>
        </w:rPr>
        <w:t>委托人：</w:t>
      </w:r>
      <w:r>
        <w:rPr>
          <w:rFonts w:hint="eastAsia" w:ascii="宋体" w:hAnsi="宋体" w:cs="宋体"/>
          <w:color w:val="auto"/>
          <w:sz w:val="24"/>
          <w:highlight w:val="none"/>
          <w:u w:val="single"/>
        </w:rPr>
        <w:t>嵊州市政府投资项目审计中心</w:t>
      </w:r>
    </w:p>
    <w:p w14:paraId="7AF31303">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受委托人：</w:t>
      </w:r>
    </w:p>
    <w:p w14:paraId="64FE4B9E">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依照《中华人民共和国民法典》、《中华人民共和国招标投标法》及国家的有关法律、行政法规，遵循平等、自愿、公平和诚实信用的原则，双方就</w:t>
      </w:r>
      <w:r>
        <w:rPr>
          <w:rFonts w:hint="eastAsia" w:ascii="宋体" w:hAnsi="宋体" w:cs="仿宋"/>
          <w:color w:val="auto"/>
          <w:sz w:val="24"/>
          <w:szCs w:val="28"/>
          <w:highlight w:val="none"/>
        </w:rPr>
        <w:t>2025-2027年嵊州市公共投资建设项目造价咨询服务框架协议</w:t>
      </w:r>
      <w:r>
        <w:rPr>
          <w:rFonts w:hint="eastAsia" w:ascii="宋体" w:hAnsi="宋体" w:cs="宋体"/>
          <w:color w:val="auto"/>
          <w:sz w:val="24"/>
          <w:highlight w:val="none"/>
        </w:rPr>
        <w:t>采购造价咨询服务事项协商一致，订立本合同。</w:t>
      </w:r>
    </w:p>
    <w:p w14:paraId="568237B7">
      <w:pPr>
        <w:numPr>
          <w:ilvl w:val="0"/>
          <w:numId w:val="6"/>
        </w:numPr>
        <w:shd w:val="clea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项目概括：</w:t>
      </w:r>
    </w:p>
    <w:p w14:paraId="0BF9471C">
      <w:pPr>
        <w:shd w:val="clea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嵊州市</w:t>
      </w:r>
      <w:bookmarkStart w:id="455" w:name="OLE_LINK22"/>
      <w:bookmarkStart w:id="456" w:name="OLE_LINK25"/>
      <w:r>
        <w:rPr>
          <w:rFonts w:hint="eastAsia" w:ascii="宋体" w:hAnsi="宋体" w:cs="宋体"/>
          <w:color w:val="auto"/>
          <w:sz w:val="24"/>
          <w:highlight w:val="none"/>
          <w:u w:val="single"/>
        </w:rPr>
        <w:t>公共投资建设项目造价咨询服务框架协议</w:t>
      </w:r>
      <w:bookmarkEnd w:id="455"/>
      <w:bookmarkEnd w:id="456"/>
    </w:p>
    <w:p w14:paraId="46B6F160">
      <w:pPr>
        <w:shd w:val="clea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地    点：</w:t>
      </w:r>
      <w:r>
        <w:rPr>
          <w:rFonts w:hint="eastAsia" w:ascii="宋体" w:hAnsi="宋体" w:cs="宋体"/>
          <w:color w:val="auto"/>
          <w:sz w:val="24"/>
          <w:highlight w:val="none"/>
          <w:u w:val="single"/>
        </w:rPr>
        <w:t xml:space="preserve">嵊州市                                               </w:t>
      </w:r>
    </w:p>
    <w:p w14:paraId="319AAFDB">
      <w:pPr>
        <w:shd w:val="clear"/>
        <w:spacing w:line="360" w:lineRule="auto"/>
        <w:jc w:val="left"/>
        <w:rPr>
          <w:rFonts w:ascii="宋体" w:hAnsi="宋体"/>
          <w:color w:val="auto"/>
          <w:sz w:val="24"/>
          <w:highlight w:val="none"/>
        </w:rPr>
      </w:pPr>
      <w:r>
        <w:rPr>
          <w:rFonts w:hint="eastAsia" w:ascii="宋体" w:hAnsi="宋体" w:cs="宋体"/>
          <w:color w:val="auto"/>
          <w:sz w:val="24"/>
          <w:highlight w:val="none"/>
        </w:rPr>
        <w:t>框架协议范围：</w:t>
      </w:r>
      <w:r>
        <w:rPr>
          <w:rFonts w:hint="eastAsia" w:ascii="宋体" w:hAnsi="宋体"/>
          <w:color w:val="auto"/>
          <w:sz w:val="24"/>
          <w:highlight w:val="none"/>
        </w:rPr>
        <w:t>嵊州市范围内单项工程施工图预算（标底）金额在</w:t>
      </w:r>
      <w:r>
        <w:rPr>
          <w:rFonts w:ascii="宋体" w:hAnsi="宋体"/>
          <w:color w:val="auto"/>
          <w:sz w:val="24"/>
          <w:highlight w:val="none"/>
        </w:rPr>
        <w:t xml:space="preserve"> 10 </w:t>
      </w:r>
      <w:r>
        <w:rPr>
          <w:rFonts w:hint="eastAsia" w:ascii="宋体" w:hAnsi="宋体"/>
          <w:color w:val="auto"/>
          <w:sz w:val="24"/>
          <w:highlight w:val="none"/>
        </w:rPr>
        <w:t>万元（含）以上且单项业务服务费在相关规定标准限额以下的公共投资建设项目的工程类造价咨询第三方服务机构。造价咨询服务具体包括工程预算（招标控制价）编制和预算审核、施工阶段全过程工程造价控制、竣工结算审核、审计造价质量抽查及审计重大工程跟踪等工作。</w:t>
      </w:r>
    </w:p>
    <w:p w14:paraId="26981334">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框架协议期限：自本协议签订之日起至2027年7月31日止。若期满后，在未完成下一轮集中招标（采购）前，则可以继续提供服务。框架协议期内若有上级文件要求或最新规定需终止框架协议的，2026年8月1日起委托人有权决定是否终止框架协议。</w:t>
      </w:r>
      <w:r>
        <w:rPr>
          <w:rFonts w:hint="eastAsia" w:hAnsi="宋体" w:cs="仿宋"/>
          <w:color w:val="auto"/>
          <w:kern w:val="0"/>
          <w:sz w:val="24"/>
          <w:highlight w:val="none"/>
        </w:rPr>
        <w:t>如期限内累计解除框架协议家数达到本次框架协议入围供应商数量的30%以上，则以招标方式进行替补。</w:t>
      </w:r>
    </w:p>
    <w:p w14:paraId="673E0415">
      <w:pPr>
        <w:numPr>
          <w:ilvl w:val="0"/>
          <w:numId w:val="6"/>
        </w:numPr>
        <w:shd w:val="clea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委托人委托受委托人为嵊州市公共投资建设项目造价咨询服务的第三方服务机构，承担嵊州市公共投资建设项目造价咨询服务工作，具体包括工程预算（招标控制价）编制和预算审核、施工阶段全过程工程造价控制、竣工结算审核、审计造价质量抽查及审计重大工程跟踪等工作。</w:t>
      </w:r>
    </w:p>
    <w:p w14:paraId="1DFE0137">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委托人根据本协议确定第一阶段入围供应商；委托人或者建设单位等第二阶段委托人按照约定规则，确定第二阶段成交供应商，并另行签订造价咨询服务合同。受委托人在第二阶段被选定后需无条件接受。允许经总公司授权的嵊州本地分公司承接相应的造价咨询服务。</w:t>
      </w:r>
    </w:p>
    <w:p w14:paraId="61C521FD">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受委托人在嵊州市范围内开展公共投资建设项目各行业造价咨询业务，应当至少配备对应专业的注册造价师</w:t>
      </w:r>
      <w:r>
        <w:rPr>
          <w:rFonts w:ascii="宋体" w:hAnsi="宋体" w:cs="宋体"/>
          <w:color w:val="auto"/>
          <w:sz w:val="24"/>
          <w:highlight w:val="none"/>
        </w:rPr>
        <w:t>2</w:t>
      </w:r>
      <w:r>
        <w:rPr>
          <w:rFonts w:hint="eastAsia" w:ascii="宋体" w:hAnsi="宋体" w:cs="宋体"/>
          <w:color w:val="auto"/>
          <w:sz w:val="24"/>
          <w:highlight w:val="none"/>
        </w:rPr>
        <w:t>名，其中至少配备</w:t>
      </w:r>
      <w:r>
        <w:rPr>
          <w:rFonts w:ascii="宋体" w:hAnsi="宋体" w:cs="宋体"/>
          <w:color w:val="auto"/>
          <w:sz w:val="24"/>
          <w:highlight w:val="none"/>
        </w:rPr>
        <w:t>1</w:t>
      </w:r>
      <w:r>
        <w:rPr>
          <w:rFonts w:hint="eastAsia" w:ascii="宋体" w:hAnsi="宋体" w:cs="宋体"/>
          <w:color w:val="auto"/>
          <w:sz w:val="24"/>
          <w:highlight w:val="none"/>
        </w:rPr>
        <w:t>名一级造价师，否则禁止承接相应专业的造价咨询业务。</w:t>
      </w:r>
    </w:p>
    <w:p w14:paraId="0FE5078C">
      <w:pPr>
        <w:numPr>
          <w:ilvl w:val="0"/>
          <w:numId w:val="6"/>
        </w:numPr>
        <w:shd w:val="clea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合同价款：</w:t>
      </w:r>
    </w:p>
    <w:p w14:paraId="272FD4A5">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受委托人承接具体造价咨询服务时，工程预算（招标控制价）编制和预算审核、施工阶段全过程工程造价控制、竣工结算审核等咨询服务收费最高限额根据建设工程造价咨询服务收费标准*中标折扣率执行（中标折扣率</w:t>
      </w:r>
      <w:r>
        <w:rPr>
          <w:rFonts w:ascii="Arial" w:hAnsi="Arial" w:cs="Arial"/>
          <w:color w:val="auto"/>
          <w:kern w:val="0"/>
          <w:sz w:val="24"/>
          <w:highlight w:val="none"/>
        </w:rPr>
        <w:t>≤</w:t>
      </w:r>
      <w:r>
        <w:rPr>
          <w:rFonts w:hint="eastAsia" w:ascii="宋体" w:hAnsi="宋体" w:cs="宋体"/>
          <w:color w:val="auto"/>
          <w:sz w:val="24"/>
          <w:highlight w:val="none"/>
        </w:rPr>
        <w:t>65%），不足2500元的按2500元收取，具体由建设单位根据市场调查在合同内确定。如建设单位委托施工阶段全过程工程造价控制咨询服务仅实施工程变更审核的，则最高限额按工程预算（招标控制价）审核收费标准*中标折扣率执行（中标折扣率</w:t>
      </w:r>
      <w:r>
        <w:rPr>
          <w:rFonts w:ascii="Arial" w:hAnsi="Arial" w:cs="Arial"/>
          <w:color w:val="auto"/>
          <w:kern w:val="0"/>
          <w:sz w:val="24"/>
          <w:highlight w:val="none"/>
        </w:rPr>
        <w:t>≤</w:t>
      </w:r>
      <w:r>
        <w:rPr>
          <w:rFonts w:hint="eastAsia" w:ascii="宋体" w:hAnsi="宋体" w:cs="宋体"/>
          <w:color w:val="auto"/>
          <w:sz w:val="24"/>
          <w:highlight w:val="none"/>
        </w:rPr>
        <w:t>65%），收费基数为所有工程变更的累计送审额。咨询服务费包括钢筋及预埋件计算，不再另行计取相关费用。其它未在本款及建设工程造价咨询服务收费标准中明确的咨询服务收费，由建设单位根据市场调查在合同内确定。</w:t>
      </w:r>
    </w:p>
    <w:p w14:paraId="7CB7965A">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工程造价咨询工程结算审核的追加费用，</w:t>
      </w:r>
      <w:r>
        <w:rPr>
          <w:rFonts w:hint="eastAsia" w:hAnsi="宋体" w:cs="仿宋"/>
          <w:color w:val="auto"/>
          <w:kern w:val="0"/>
          <w:sz w:val="24"/>
          <w:highlight w:val="none"/>
        </w:rPr>
        <w:t>按核增额加上超过5%以外核减额之和的5%确定</w:t>
      </w:r>
      <w:r>
        <w:rPr>
          <w:rFonts w:hint="eastAsia" w:ascii="宋体" w:hAnsi="宋体" w:cs="宋体"/>
          <w:color w:val="auto"/>
          <w:sz w:val="24"/>
          <w:highlight w:val="none"/>
        </w:rPr>
        <w:t>，由施工单位承担，具体由建设单位根据市场调查在合同内确定。</w:t>
      </w:r>
    </w:p>
    <w:p w14:paraId="36A3A74A">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建设单位内审复核产生的结算审核追加费用，由受委托人承担。</w:t>
      </w:r>
    </w:p>
    <w:p w14:paraId="3F3045C2">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审计质量抽查费及审计重大工程跟踪费按嵊州市政府投资项目审计中心相关内控制度执行。</w:t>
      </w:r>
    </w:p>
    <w:p w14:paraId="71EDBF4E">
      <w:pPr>
        <w:widowControl/>
        <w:shd w:val="clear"/>
        <w:snapToGrid w:val="0"/>
        <w:spacing w:line="480" w:lineRule="exact"/>
        <w:ind w:firstLine="480" w:firstLineChars="200"/>
        <w:rPr>
          <w:rFonts w:ascii="宋体" w:hAnsi="宋体" w:cs="仿宋"/>
          <w:color w:val="auto"/>
          <w:kern w:val="0"/>
          <w:sz w:val="24"/>
          <w:highlight w:val="none"/>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14:paraId="055BB2C9">
      <w:pPr>
        <w:shd w:val="clear"/>
        <w:spacing w:line="360" w:lineRule="auto"/>
        <w:rPr>
          <w:rFonts w:ascii="仿宋_GB2312" w:hAnsi="宋体" w:eastAsia="仿宋_GB2312"/>
          <w:color w:val="auto"/>
          <w:sz w:val="32"/>
          <w:szCs w:val="32"/>
          <w:highlight w:val="none"/>
        </w:rPr>
      </w:pPr>
      <w:bookmarkStart w:id="457" w:name="OLE_LINK34"/>
      <w:bookmarkStart w:id="458" w:name="OLE_LINK33"/>
      <w:r>
        <w:rPr>
          <w:rFonts w:hint="eastAsia" w:ascii="仿宋_GB2312" w:hAnsi="宋体" w:eastAsia="仿宋_GB2312"/>
          <w:color w:val="auto"/>
          <w:sz w:val="32"/>
          <w:szCs w:val="32"/>
          <w:highlight w:val="none"/>
        </w:rPr>
        <w:t>附件</w:t>
      </w:r>
    </w:p>
    <w:p w14:paraId="477B4582">
      <w:pPr>
        <w:shd w:val="clea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建设工程造价咨询服务收费标准</w:t>
      </w:r>
    </w:p>
    <w:p w14:paraId="1E8062A8">
      <w:pPr>
        <w:shd w:val="clear"/>
        <w:spacing w:line="360" w:lineRule="auto"/>
        <w:jc w:val="right"/>
        <w:rPr>
          <w:rFonts w:ascii="仿宋_GB2312" w:hAnsi="宋体" w:eastAsia="仿宋_GB2312"/>
          <w:color w:val="auto"/>
          <w:szCs w:val="21"/>
          <w:highlight w:val="none"/>
        </w:rPr>
      </w:pPr>
      <w:r>
        <w:rPr>
          <w:rFonts w:hint="eastAsia" w:ascii="仿宋_GB2312" w:hAnsi="宋体" w:eastAsia="仿宋_GB2312"/>
          <w:color w:val="auto"/>
          <w:szCs w:val="21"/>
          <w:highlight w:val="none"/>
        </w:rPr>
        <w:t>费率：‰</w:t>
      </w:r>
    </w:p>
    <w:tbl>
      <w:tblPr>
        <w:tblStyle w:val="60"/>
        <w:tblW w:w="13730" w:type="dxa"/>
        <w:jc w:val="center"/>
        <w:tblLayout w:type="fixed"/>
        <w:tblCellMar>
          <w:top w:w="0" w:type="dxa"/>
          <w:left w:w="0" w:type="dxa"/>
          <w:bottom w:w="0" w:type="dxa"/>
          <w:right w:w="0" w:type="dxa"/>
        </w:tblCellMar>
      </w:tblPr>
      <w:tblGrid>
        <w:gridCol w:w="669"/>
        <w:gridCol w:w="769"/>
        <w:gridCol w:w="2781"/>
        <w:gridCol w:w="2251"/>
        <w:gridCol w:w="1036"/>
        <w:gridCol w:w="1037"/>
        <w:gridCol w:w="1036"/>
        <w:gridCol w:w="1037"/>
        <w:gridCol w:w="1036"/>
        <w:gridCol w:w="1041"/>
        <w:gridCol w:w="1037"/>
      </w:tblGrid>
      <w:tr w14:paraId="3B4C24B1">
        <w:tblPrEx>
          <w:tblCellMar>
            <w:top w:w="0" w:type="dxa"/>
            <w:left w:w="0" w:type="dxa"/>
            <w:bottom w:w="0" w:type="dxa"/>
            <w:right w:w="0" w:type="dxa"/>
          </w:tblCellMar>
        </w:tblPrEx>
        <w:trPr>
          <w:cantSplit/>
          <w:trHeight w:val="510"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ign w:val="center"/>
          </w:tcPr>
          <w:p w14:paraId="11A7AE0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序号</w:t>
            </w:r>
          </w:p>
        </w:tc>
        <w:tc>
          <w:tcPr>
            <w:tcW w:w="355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C41ABA7">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咨询项目</w:t>
            </w:r>
          </w:p>
        </w:tc>
        <w:tc>
          <w:tcPr>
            <w:tcW w:w="2251" w:type="dxa"/>
            <w:vMerge w:val="restart"/>
            <w:tcBorders>
              <w:top w:val="single" w:color="auto" w:sz="4" w:space="0"/>
              <w:left w:val="single" w:color="auto" w:sz="4" w:space="0"/>
              <w:bottom w:val="single" w:color="auto" w:sz="4" w:space="0"/>
              <w:right w:val="single" w:color="auto" w:sz="4" w:space="0"/>
            </w:tcBorders>
            <w:noWrap/>
            <w:vAlign w:val="center"/>
          </w:tcPr>
          <w:p w14:paraId="2F0DEB2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收费基数</w:t>
            </w:r>
          </w:p>
        </w:tc>
        <w:tc>
          <w:tcPr>
            <w:tcW w:w="7260" w:type="dxa"/>
            <w:gridSpan w:val="7"/>
            <w:tcBorders>
              <w:top w:val="single" w:color="auto" w:sz="4" w:space="0"/>
              <w:left w:val="nil"/>
              <w:bottom w:val="single" w:color="auto" w:sz="4" w:space="0"/>
              <w:right w:val="single" w:color="auto" w:sz="4" w:space="0"/>
            </w:tcBorders>
            <w:noWrap/>
            <w:vAlign w:val="center"/>
          </w:tcPr>
          <w:p w14:paraId="3DA5C90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分档累进计费标准</w:t>
            </w:r>
          </w:p>
        </w:tc>
      </w:tr>
      <w:tr w14:paraId="2BE98FBE">
        <w:tblPrEx>
          <w:tblCellMar>
            <w:top w:w="0" w:type="dxa"/>
            <w:left w:w="0" w:type="dxa"/>
            <w:bottom w:w="0" w:type="dxa"/>
            <w:right w:w="0" w:type="dxa"/>
          </w:tblCellMar>
        </w:tblPrEx>
        <w:trPr>
          <w:cantSplit/>
          <w:trHeight w:val="51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ign w:val="center"/>
          </w:tcPr>
          <w:p w14:paraId="36A86366">
            <w:pPr>
              <w:widowControl/>
              <w:shd w:val="clear"/>
              <w:spacing w:line="240" w:lineRule="exact"/>
              <w:jc w:val="left"/>
              <w:rPr>
                <w:rFonts w:ascii="宋体" w:hAnsi="宋体" w:cs="宋体"/>
                <w:color w:val="auto"/>
                <w:kern w:val="0"/>
                <w:szCs w:val="21"/>
                <w:highlight w:val="none"/>
              </w:rPr>
            </w:pPr>
          </w:p>
        </w:tc>
        <w:tc>
          <w:tcPr>
            <w:tcW w:w="355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5F66619">
            <w:pPr>
              <w:widowControl/>
              <w:shd w:val="clear"/>
              <w:spacing w:line="240" w:lineRule="exact"/>
              <w:jc w:val="left"/>
              <w:rPr>
                <w:rFonts w:ascii="宋体" w:hAnsi="宋体" w:cs="宋体"/>
                <w:color w:val="auto"/>
                <w:kern w:val="0"/>
                <w:szCs w:val="21"/>
                <w:highlight w:val="none"/>
              </w:rPr>
            </w:pPr>
          </w:p>
        </w:tc>
        <w:tc>
          <w:tcPr>
            <w:tcW w:w="2251" w:type="dxa"/>
            <w:vMerge w:val="continue"/>
            <w:tcBorders>
              <w:top w:val="single" w:color="auto" w:sz="4" w:space="0"/>
              <w:left w:val="single" w:color="auto" w:sz="4" w:space="0"/>
              <w:bottom w:val="single" w:color="auto" w:sz="4" w:space="0"/>
              <w:right w:val="single" w:color="auto" w:sz="4" w:space="0"/>
            </w:tcBorders>
            <w:noWrap/>
            <w:vAlign w:val="center"/>
          </w:tcPr>
          <w:p w14:paraId="24C086DD">
            <w:pPr>
              <w:widowControl/>
              <w:shd w:val="clear"/>
              <w:spacing w:line="240" w:lineRule="exact"/>
              <w:jc w:val="left"/>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76EBAD8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100（含）万元 以内</w:t>
            </w:r>
          </w:p>
        </w:tc>
        <w:tc>
          <w:tcPr>
            <w:tcW w:w="1037" w:type="dxa"/>
            <w:tcBorders>
              <w:top w:val="nil"/>
              <w:left w:val="nil"/>
              <w:bottom w:val="single" w:color="auto" w:sz="4" w:space="0"/>
              <w:right w:val="single" w:color="auto" w:sz="4" w:space="0"/>
            </w:tcBorders>
            <w:noWrap/>
            <w:vAlign w:val="center"/>
          </w:tcPr>
          <w:p w14:paraId="68D4C089">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100-500（含）万元</w:t>
            </w:r>
          </w:p>
        </w:tc>
        <w:tc>
          <w:tcPr>
            <w:tcW w:w="1036" w:type="dxa"/>
            <w:tcBorders>
              <w:top w:val="nil"/>
              <w:left w:val="nil"/>
              <w:bottom w:val="single" w:color="auto" w:sz="4" w:space="0"/>
              <w:right w:val="single" w:color="auto" w:sz="4" w:space="0"/>
            </w:tcBorders>
            <w:noWrap/>
            <w:vAlign w:val="center"/>
          </w:tcPr>
          <w:p w14:paraId="7FFB637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500—1000（含）万元</w:t>
            </w:r>
          </w:p>
        </w:tc>
        <w:tc>
          <w:tcPr>
            <w:tcW w:w="1037" w:type="dxa"/>
            <w:tcBorders>
              <w:top w:val="nil"/>
              <w:left w:val="nil"/>
              <w:bottom w:val="single" w:color="auto" w:sz="4" w:space="0"/>
              <w:right w:val="single" w:color="auto" w:sz="4" w:space="0"/>
            </w:tcBorders>
            <w:noWrap/>
            <w:vAlign w:val="center"/>
          </w:tcPr>
          <w:p w14:paraId="2E604C5B">
            <w:pPr>
              <w:widowControl/>
              <w:shd w:val="clear"/>
              <w:spacing w:before="100" w:beforeAutospacing="1" w:after="100" w:afterAutospacing="1" w:line="24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1000—2000（含）万元 </w:t>
            </w:r>
          </w:p>
        </w:tc>
        <w:tc>
          <w:tcPr>
            <w:tcW w:w="1036" w:type="dxa"/>
            <w:tcBorders>
              <w:top w:val="nil"/>
              <w:left w:val="nil"/>
              <w:bottom w:val="single" w:color="auto" w:sz="4" w:space="0"/>
              <w:right w:val="single" w:color="auto" w:sz="4" w:space="0"/>
            </w:tcBorders>
            <w:noWrap/>
            <w:vAlign w:val="center"/>
          </w:tcPr>
          <w:p w14:paraId="167C5804">
            <w:pPr>
              <w:widowControl/>
              <w:shd w:val="clear"/>
              <w:spacing w:before="100" w:beforeAutospacing="1" w:after="100" w:afterAutospacing="1" w:line="24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2000—5000（含）万元 </w:t>
            </w:r>
          </w:p>
        </w:tc>
        <w:tc>
          <w:tcPr>
            <w:tcW w:w="1041" w:type="dxa"/>
            <w:tcBorders>
              <w:top w:val="nil"/>
              <w:left w:val="nil"/>
              <w:bottom w:val="single" w:color="auto" w:sz="4" w:space="0"/>
              <w:right w:val="single" w:color="auto" w:sz="4" w:space="0"/>
            </w:tcBorders>
            <w:noWrap/>
            <w:vAlign w:val="center"/>
          </w:tcPr>
          <w:p w14:paraId="5A59D14B">
            <w:pPr>
              <w:widowControl/>
              <w:shd w:val="clear"/>
              <w:spacing w:before="100" w:beforeAutospacing="1" w:after="100" w:afterAutospacing="1" w:line="24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5000-10000（含）万元 </w:t>
            </w:r>
          </w:p>
        </w:tc>
        <w:tc>
          <w:tcPr>
            <w:tcW w:w="1037" w:type="dxa"/>
            <w:tcBorders>
              <w:top w:val="nil"/>
              <w:left w:val="nil"/>
              <w:bottom w:val="single" w:color="auto" w:sz="4" w:space="0"/>
              <w:right w:val="single" w:color="auto" w:sz="4" w:space="0"/>
            </w:tcBorders>
            <w:noWrap/>
            <w:vAlign w:val="center"/>
          </w:tcPr>
          <w:p w14:paraId="3DB0EB4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10000万元以上</w:t>
            </w:r>
          </w:p>
        </w:tc>
      </w:tr>
      <w:tr w14:paraId="78B70468">
        <w:tblPrEx>
          <w:tblCellMar>
            <w:top w:w="0" w:type="dxa"/>
            <w:left w:w="0" w:type="dxa"/>
            <w:bottom w:w="0" w:type="dxa"/>
            <w:right w:w="0" w:type="dxa"/>
          </w:tblCellMar>
        </w:tblPrEx>
        <w:trPr>
          <w:cantSplit/>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340B8C9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9" w:type="dxa"/>
            <w:vMerge w:val="restart"/>
            <w:tcBorders>
              <w:top w:val="nil"/>
              <w:left w:val="single" w:color="auto" w:sz="4" w:space="0"/>
              <w:bottom w:val="single" w:color="auto" w:sz="4" w:space="0"/>
              <w:right w:val="single" w:color="auto" w:sz="4" w:space="0"/>
            </w:tcBorders>
            <w:noWrap/>
            <w:vAlign w:val="center"/>
          </w:tcPr>
          <w:p w14:paraId="653727F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清单 </w:t>
            </w:r>
          </w:p>
          <w:p w14:paraId="0883A327">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计价</w:t>
            </w:r>
          </w:p>
          <w:p w14:paraId="5858EAB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法</w:t>
            </w:r>
          </w:p>
        </w:tc>
        <w:tc>
          <w:tcPr>
            <w:tcW w:w="2781" w:type="dxa"/>
            <w:tcBorders>
              <w:top w:val="nil"/>
              <w:left w:val="nil"/>
              <w:bottom w:val="single" w:color="auto" w:sz="4" w:space="0"/>
              <w:right w:val="single" w:color="auto" w:sz="4" w:space="0"/>
            </w:tcBorders>
            <w:noWrap/>
            <w:vAlign w:val="center"/>
          </w:tcPr>
          <w:p w14:paraId="5253DA4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工程量清单单独编制或审核</w:t>
            </w:r>
          </w:p>
        </w:tc>
        <w:tc>
          <w:tcPr>
            <w:tcW w:w="2251" w:type="dxa"/>
            <w:vMerge w:val="restart"/>
            <w:tcBorders>
              <w:top w:val="nil"/>
              <w:left w:val="nil"/>
              <w:right w:val="single" w:color="auto" w:sz="4" w:space="0"/>
            </w:tcBorders>
            <w:noWrap/>
            <w:vAlign w:val="center"/>
          </w:tcPr>
          <w:p w14:paraId="76C26688">
            <w:pPr>
              <w:widowControl/>
              <w:shd w:val="clear"/>
              <w:spacing w:before="100" w:beforeAutospacing="1" w:after="100" w:afterAutospacing="1" w:line="240" w:lineRule="exact"/>
              <w:jc w:val="center"/>
              <w:rPr>
                <w:rFonts w:ascii="宋体" w:hAnsi="宋体" w:cs="宋体"/>
                <w:color w:val="auto"/>
                <w:kern w:val="0"/>
                <w:szCs w:val="21"/>
                <w:highlight w:val="none"/>
              </w:rPr>
            </w:pPr>
          </w:p>
          <w:p w14:paraId="15023D9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最终预算(招标控制价）金额</w:t>
            </w:r>
          </w:p>
          <w:p w14:paraId="2940CAF6">
            <w:pPr>
              <w:widowControl/>
              <w:shd w:val="clear"/>
              <w:spacing w:before="100" w:beforeAutospacing="1" w:after="100" w:afterAutospacing="1" w:line="240" w:lineRule="exact"/>
              <w:jc w:val="center"/>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10DC87E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1037" w:type="dxa"/>
            <w:tcBorders>
              <w:top w:val="nil"/>
              <w:left w:val="nil"/>
              <w:bottom w:val="single" w:color="auto" w:sz="4" w:space="0"/>
              <w:right w:val="single" w:color="auto" w:sz="4" w:space="0"/>
            </w:tcBorders>
            <w:noWrap/>
            <w:vAlign w:val="center"/>
          </w:tcPr>
          <w:p w14:paraId="1724B3F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036" w:type="dxa"/>
            <w:tcBorders>
              <w:top w:val="nil"/>
              <w:left w:val="nil"/>
              <w:bottom w:val="single" w:color="auto" w:sz="4" w:space="0"/>
              <w:right w:val="single" w:color="auto" w:sz="4" w:space="0"/>
            </w:tcBorders>
            <w:noWrap/>
            <w:vAlign w:val="center"/>
          </w:tcPr>
          <w:p w14:paraId="0D1B166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37" w:type="dxa"/>
            <w:tcBorders>
              <w:top w:val="nil"/>
              <w:left w:val="nil"/>
              <w:bottom w:val="single" w:color="auto" w:sz="4" w:space="0"/>
              <w:right w:val="single" w:color="auto" w:sz="4" w:space="0"/>
            </w:tcBorders>
            <w:noWrap/>
            <w:vAlign w:val="center"/>
          </w:tcPr>
          <w:p w14:paraId="025397D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036" w:type="dxa"/>
            <w:tcBorders>
              <w:top w:val="nil"/>
              <w:left w:val="nil"/>
              <w:bottom w:val="single" w:color="auto" w:sz="4" w:space="0"/>
              <w:right w:val="single" w:color="auto" w:sz="4" w:space="0"/>
            </w:tcBorders>
            <w:noWrap/>
            <w:vAlign w:val="center"/>
          </w:tcPr>
          <w:p w14:paraId="12A72DC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41" w:type="dxa"/>
            <w:tcBorders>
              <w:top w:val="single" w:color="auto" w:sz="4" w:space="0"/>
              <w:left w:val="nil"/>
              <w:bottom w:val="single" w:color="auto" w:sz="4" w:space="0"/>
              <w:right w:val="single" w:color="auto" w:sz="4" w:space="0"/>
            </w:tcBorders>
            <w:noWrap/>
            <w:vAlign w:val="center"/>
          </w:tcPr>
          <w:p w14:paraId="7120319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37" w:type="dxa"/>
            <w:tcBorders>
              <w:top w:val="single" w:color="auto" w:sz="4" w:space="0"/>
              <w:left w:val="nil"/>
              <w:bottom w:val="single" w:color="auto" w:sz="4" w:space="0"/>
              <w:right w:val="single" w:color="auto" w:sz="4" w:space="0"/>
            </w:tcBorders>
            <w:noWrap/>
            <w:vAlign w:val="center"/>
          </w:tcPr>
          <w:p w14:paraId="4DDD2D6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r>
      <w:tr w14:paraId="65966EB1">
        <w:tblPrEx>
          <w:tblCellMar>
            <w:top w:w="0" w:type="dxa"/>
            <w:left w:w="0" w:type="dxa"/>
            <w:bottom w:w="0" w:type="dxa"/>
            <w:right w:w="0" w:type="dxa"/>
          </w:tblCellMar>
        </w:tblPrEx>
        <w:trPr>
          <w:cantSplit/>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3EF21E2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69" w:type="dxa"/>
            <w:vMerge w:val="continue"/>
            <w:tcBorders>
              <w:top w:val="nil"/>
              <w:left w:val="single" w:color="auto" w:sz="4" w:space="0"/>
              <w:bottom w:val="single" w:color="auto" w:sz="4" w:space="0"/>
              <w:right w:val="single" w:color="auto" w:sz="4" w:space="0"/>
            </w:tcBorders>
            <w:noWrap/>
            <w:vAlign w:val="center"/>
          </w:tcPr>
          <w:p w14:paraId="23C3BF8B">
            <w:pPr>
              <w:widowControl/>
              <w:shd w:val="clear"/>
              <w:spacing w:line="240" w:lineRule="exact"/>
              <w:jc w:val="left"/>
              <w:rPr>
                <w:rFonts w:ascii="宋体" w:hAnsi="宋体" w:cs="宋体"/>
                <w:color w:val="auto"/>
                <w:kern w:val="0"/>
                <w:szCs w:val="21"/>
                <w:highlight w:val="none"/>
              </w:rPr>
            </w:pPr>
          </w:p>
        </w:tc>
        <w:tc>
          <w:tcPr>
            <w:tcW w:w="2781" w:type="dxa"/>
            <w:tcBorders>
              <w:top w:val="nil"/>
              <w:left w:val="nil"/>
              <w:bottom w:val="single" w:color="auto" w:sz="4" w:space="0"/>
              <w:right w:val="single" w:color="auto" w:sz="4" w:space="0"/>
            </w:tcBorders>
            <w:noWrap/>
            <w:vAlign w:val="center"/>
          </w:tcPr>
          <w:p w14:paraId="4FCB55A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工程量清单及预算、招标控制价的编制或审核</w:t>
            </w:r>
          </w:p>
        </w:tc>
        <w:tc>
          <w:tcPr>
            <w:tcW w:w="2251" w:type="dxa"/>
            <w:vMerge w:val="continue"/>
            <w:tcBorders>
              <w:left w:val="nil"/>
              <w:right w:val="single" w:color="auto" w:sz="4" w:space="0"/>
            </w:tcBorders>
            <w:noWrap/>
            <w:vAlign w:val="center"/>
          </w:tcPr>
          <w:p w14:paraId="0951D25C">
            <w:pPr>
              <w:widowControl/>
              <w:shd w:val="clear"/>
              <w:spacing w:before="100" w:beforeAutospacing="1" w:after="100" w:afterAutospacing="1" w:line="240" w:lineRule="exact"/>
              <w:jc w:val="center"/>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0113570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037" w:type="dxa"/>
            <w:tcBorders>
              <w:top w:val="nil"/>
              <w:left w:val="nil"/>
              <w:bottom w:val="single" w:color="auto" w:sz="4" w:space="0"/>
              <w:right w:val="single" w:color="auto" w:sz="4" w:space="0"/>
            </w:tcBorders>
            <w:noWrap/>
            <w:vAlign w:val="center"/>
          </w:tcPr>
          <w:p w14:paraId="67D5273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036" w:type="dxa"/>
            <w:tcBorders>
              <w:top w:val="nil"/>
              <w:left w:val="nil"/>
              <w:bottom w:val="single" w:color="auto" w:sz="4" w:space="0"/>
              <w:right w:val="single" w:color="auto" w:sz="4" w:space="0"/>
            </w:tcBorders>
            <w:noWrap/>
            <w:vAlign w:val="center"/>
          </w:tcPr>
          <w:p w14:paraId="6278D6E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037" w:type="dxa"/>
            <w:tcBorders>
              <w:top w:val="nil"/>
              <w:left w:val="nil"/>
              <w:bottom w:val="single" w:color="auto" w:sz="4" w:space="0"/>
              <w:right w:val="single" w:color="auto" w:sz="4" w:space="0"/>
            </w:tcBorders>
            <w:noWrap/>
            <w:vAlign w:val="center"/>
          </w:tcPr>
          <w:p w14:paraId="25DC0CE7">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036" w:type="dxa"/>
            <w:tcBorders>
              <w:top w:val="nil"/>
              <w:left w:val="nil"/>
              <w:bottom w:val="single" w:color="auto" w:sz="4" w:space="0"/>
              <w:right w:val="single" w:color="auto" w:sz="4" w:space="0"/>
            </w:tcBorders>
            <w:noWrap/>
            <w:vAlign w:val="center"/>
          </w:tcPr>
          <w:p w14:paraId="7DC7A50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041" w:type="dxa"/>
            <w:tcBorders>
              <w:top w:val="single" w:color="auto" w:sz="4" w:space="0"/>
              <w:left w:val="nil"/>
              <w:bottom w:val="single" w:color="auto" w:sz="4" w:space="0"/>
              <w:right w:val="single" w:color="auto" w:sz="4" w:space="0"/>
            </w:tcBorders>
            <w:noWrap/>
            <w:vAlign w:val="center"/>
          </w:tcPr>
          <w:p w14:paraId="345ED83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37" w:type="dxa"/>
            <w:tcBorders>
              <w:top w:val="single" w:color="auto" w:sz="4" w:space="0"/>
              <w:left w:val="nil"/>
              <w:bottom w:val="single" w:color="auto" w:sz="4" w:space="0"/>
              <w:right w:val="single" w:color="auto" w:sz="4" w:space="0"/>
            </w:tcBorders>
            <w:noWrap/>
            <w:vAlign w:val="center"/>
          </w:tcPr>
          <w:p w14:paraId="1C006E1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r>
      <w:tr w14:paraId="67B0372C">
        <w:tblPrEx>
          <w:tblCellMar>
            <w:top w:w="0" w:type="dxa"/>
            <w:left w:w="0" w:type="dxa"/>
            <w:bottom w:w="0" w:type="dxa"/>
            <w:right w:w="0" w:type="dxa"/>
          </w:tblCellMar>
        </w:tblPrEx>
        <w:trPr>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7345FB0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69" w:type="dxa"/>
            <w:tcBorders>
              <w:top w:val="nil"/>
              <w:left w:val="single" w:color="auto" w:sz="4" w:space="0"/>
              <w:bottom w:val="single" w:color="auto" w:sz="4" w:space="0"/>
              <w:right w:val="single" w:color="auto" w:sz="4" w:space="0"/>
            </w:tcBorders>
            <w:noWrap/>
            <w:vAlign w:val="center"/>
          </w:tcPr>
          <w:p w14:paraId="2DC4375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定额计价法</w:t>
            </w:r>
          </w:p>
        </w:tc>
        <w:tc>
          <w:tcPr>
            <w:tcW w:w="2781" w:type="dxa"/>
            <w:tcBorders>
              <w:top w:val="nil"/>
              <w:left w:val="nil"/>
              <w:bottom w:val="single" w:color="auto" w:sz="4" w:space="0"/>
              <w:right w:val="single" w:color="auto" w:sz="4" w:space="0"/>
            </w:tcBorders>
            <w:noWrap/>
            <w:vAlign w:val="center"/>
          </w:tcPr>
          <w:p w14:paraId="514D0447">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预算、招标控制价、投标报价的编制或审核</w:t>
            </w:r>
          </w:p>
        </w:tc>
        <w:tc>
          <w:tcPr>
            <w:tcW w:w="2251" w:type="dxa"/>
            <w:vMerge w:val="continue"/>
            <w:tcBorders>
              <w:left w:val="nil"/>
              <w:bottom w:val="single" w:color="auto" w:sz="4" w:space="0"/>
              <w:right w:val="single" w:color="auto" w:sz="4" w:space="0"/>
            </w:tcBorders>
            <w:noWrap/>
            <w:vAlign w:val="center"/>
          </w:tcPr>
          <w:p w14:paraId="30727F32">
            <w:pPr>
              <w:widowControl/>
              <w:shd w:val="clear"/>
              <w:spacing w:before="100" w:beforeAutospacing="1" w:after="100" w:afterAutospacing="1" w:line="240" w:lineRule="exact"/>
              <w:jc w:val="center"/>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134B8F3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037" w:type="dxa"/>
            <w:tcBorders>
              <w:top w:val="nil"/>
              <w:left w:val="nil"/>
              <w:bottom w:val="single" w:color="auto" w:sz="4" w:space="0"/>
              <w:right w:val="single" w:color="auto" w:sz="4" w:space="0"/>
            </w:tcBorders>
            <w:noWrap/>
            <w:vAlign w:val="center"/>
          </w:tcPr>
          <w:p w14:paraId="734BD8F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36" w:type="dxa"/>
            <w:tcBorders>
              <w:top w:val="nil"/>
              <w:left w:val="nil"/>
              <w:bottom w:val="single" w:color="auto" w:sz="4" w:space="0"/>
              <w:right w:val="single" w:color="auto" w:sz="4" w:space="0"/>
            </w:tcBorders>
            <w:noWrap/>
            <w:vAlign w:val="center"/>
          </w:tcPr>
          <w:p w14:paraId="4929843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037" w:type="dxa"/>
            <w:tcBorders>
              <w:top w:val="nil"/>
              <w:left w:val="nil"/>
              <w:bottom w:val="single" w:color="auto" w:sz="4" w:space="0"/>
              <w:right w:val="single" w:color="auto" w:sz="4" w:space="0"/>
            </w:tcBorders>
            <w:noWrap/>
            <w:vAlign w:val="center"/>
          </w:tcPr>
          <w:p w14:paraId="598132C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36" w:type="dxa"/>
            <w:tcBorders>
              <w:top w:val="nil"/>
              <w:left w:val="nil"/>
              <w:bottom w:val="single" w:color="auto" w:sz="4" w:space="0"/>
              <w:right w:val="single" w:color="auto" w:sz="4" w:space="0"/>
            </w:tcBorders>
            <w:noWrap/>
            <w:vAlign w:val="center"/>
          </w:tcPr>
          <w:p w14:paraId="6162EFD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41" w:type="dxa"/>
            <w:tcBorders>
              <w:top w:val="single" w:color="auto" w:sz="4" w:space="0"/>
              <w:left w:val="nil"/>
              <w:bottom w:val="single" w:color="auto" w:sz="4" w:space="0"/>
              <w:right w:val="single" w:color="auto" w:sz="4" w:space="0"/>
            </w:tcBorders>
            <w:noWrap/>
            <w:vAlign w:val="center"/>
          </w:tcPr>
          <w:p w14:paraId="544B843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037" w:type="dxa"/>
            <w:tcBorders>
              <w:top w:val="single" w:color="auto" w:sz="4" w:space="0"/>
              <w:left w:val="nil"/>
              <w:bottom w:val="single" w:color="auto" w:sz="4" w:space="0"/>
              <w:right w:val="single" w:color="auto" w:sz="4" w:space="0"/>
            </w:tcBorders>
            <w:noWrap/>
            <w:vAlign w:val="center"/>
          </w:tcPr>
          <w:p w14:paraId="1D86EAA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2F81B731">
        <w:tblPrEx>
          <w:tblCellMar>
            <w:top w:w="0" w:type="dxa"/>
            <w:left w:w="0" w:type="dxa"/>
            <w:bottom w:w="0" w:type="dxa"/>
            <w:right w:w="0" w:type="dxa"/>
          </w:tblCellMar>
        </w:tblPrEx>
        <w:trPr>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3B6B00F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550" w:type="dxa"/>
            <w:gridSpan w:val="2"/>
            <w:tcBorders>
              <w:top w:val="nil"/>
              <w:left w:val="single" w:color="auto" w:sz="4" w:space="0"/>
              <w:bottom w:val="single" w:color="auto" w:sz="4" w:space="0"/>
              <w:right w:val="single" w:color="auto" w:sz="4" w:space="0"/>
            </w:tcBorders>
            <w:noWrap/>
            <w:vAlign w:val="center"/>
          </w:tcPr>
          <w:p w14:paraId="27DD582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施工阶段全过程工程造价控制（不含预算、招标控制价的编制或审核）</w:t>
            </w:r>
          </w:p>
        </w:tc>
        <w:tc>
          <w:tcPr>
            <w:tcW w:w="2251" w:type="dxa"/>
            <w:tcBorders>
              <w:top w:val="nil"/>
              <w:left w:val="nil"/>
              <w:bottom w:val="single" w:color="auto" w:sz="4" w:space="0"/>
              <w:right w:val="single" w:color="auto" w:sz="4" w:space="0"/>
            </w:tcBorders>
            <w:noWrap/>
            <w:vAlign w:val="center"/>
          </w:tcPr>
          <w:p w14:paraId="384FC4C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取施工合同金额及进度款累计审定额的小值</w:t>
            </w:r>
          </w:p>
        </w:tc>
        <w:tc>
          <w:tcPr>
            <w:tcW w:w="1036" w:type="dxa"/>
            <w:tcBorders>
              <w:top w:val="nil"/>
              <w:left w:val="nil"/>
              <w:bottom w:val="single" w:color="auto" w:sz="4" w:space="0"/>
              <w:right w:val="single" w:color="auto" w:sz="4" w:space="0"/>
            </w:tcBorders>
            <w:noWrap/>
            <w:vAlign w:val="center"/>
          </w:tcPr>
          <w:p w14:paraId="1586B6E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8.4</w:t>
            </w:r>
          </w:p>
        </w:tc>
        <w:tc>
          <w:tcPr>
            <w:tcW w:w="1037" w:type="dxa"/>
            <w:tcBorders>
              <w:top w:val="nil"/>
              <w:left w:val="nil"/>
              <w:bottom w:val="single" w:color="auto" w:sz="4" w:space="0"/>
              <w:right w:val="single" w:color="auto" w:sz="4" w:space="0"/>
            </w:tcBorders>
            <w:noWrap/>
            <w:vAlign w:val="center"/>
          </w:tcPr>
          <w:p w14:paraId="14E0EB0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7.7</w:t>
            </w:r>
          </w:p>
        </w:tc>
        <w:tc>
          <w:tcPr>
            <w:tcW w:w="1036" w:type="dxa"/>
            <w:tcBorders>
              <w:top w:val="nil"/>
              <w:left w:val="nil"/>
              <w:bottom w:val="single" w:color="auto" w:sz="4" w:space="0"/>
              <w:right w:val="single" w:color="auto" w:sz="4" w:space="0"/>
            </w:tcBorders>
            <w:noWrap/>
            <w:vAlign w:val="center"/>
          </w:tcPr>
          <w:p w14:paraId="5688E235">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037" w:type="dxa"/>
            <w:tcBorders>
              <w:top w:val="nil"/>
              <w:left w:val="nil"/>
              <w:bottom w:val="single" w:color="auto" w:sz="4" w:space="0"/>
              <w:right w:val="single" w:color="auto" w:sz="4" w:space="0"/>
            </w:tcBorders>
            <w:noWrap/>
            <w:vAlign w:val="center"/>
          </w:tcPr>
          <w:p w14:paraId="383951F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6.3</w:t>
            </w:r>
          </w:p>
        </w:tc>
        <w:tc>
          <w:tcPr>
            <w:tcW w:w="1036" w:type="dxa"/>
            <w:tcBorders>
              <w:top w:val="nil"/>
              <w:left w:val="nil"/>
              <w:bottom w:val="single" w:color="auto" w:sz="4" w:space="0"/>
              <w:right w:val="single" w:color="auto" w:sz="4" w:space="0"/>
            </w:tcBorders>
            <w:noWrap/>
            <w:vAlign w:val="center"/>
          </w:tcPr>
          <w:p w14:paraId="5383A0E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1041" w:type="dxa"/>
            <w:tcBorders>
              <w:top w:val="single" w:color="auto" w:sz="4" w:space="0"/>
              <w:left w:val="nil"/>
              <w:bottom w:val="single" w:color="auto" w:sz="4" w:space="0"/>
              <w:right w:val="single" w:color="auto" w:sz="4" w:space="0"/>
            </w:tcBorders>
            <w:noWrap/>
            <w:vAlign w:val="center"/>
          </w:tcPr>
          <w:p w14:paraId="5BE4DD49">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1037" w:type="dxa"/>
            <w:tcBorders>
              <w:top w:val="single" w:color="auto" w:sz="4" w:space="0"/>
              <w:left w:val="nil"/>
              <w:bottom w:val="single" w:color="auto" w:sz="4" w:space="0"/>
              <w:right w:val="single" w:color="auto" w:sz="4" w:space="0"/>
            </w:tcBorders>
            <w:noWrap/>
            <w:vAlign w:val="center"/>
          </w:tcPr>
          <w:p w14:paraId="17A7D68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r>
      <w:tr w14:paraId="3DCE6AD9">
        <w:tblPrEx>
          <w:tblCellMar>
            <w:top w:w="0" w:type="dxa"/>
            <w:left w:w="0" w:type="dxa"/>
            <w:bottom w:w="0" w:type="dxa"/>
            <w:right w:w="0" w:type="dxa"/>
          </w:tblCellMar>
        </w:tblPrEx>
        <w:trPr>
          <w:cantSplit/>
          <w:trHeight w:val="454" w:hRule="atLeast"/>
          <w:jc w:val="center"/>
        </w:trPr>
        <w:tc>
          <w:tcPr>
            <w:tcW w:w="669" w:type="dxa"/>
            <w:tcBorders>
              <w:top w:val="single" w:color="auto" w:sz="4" w:space="0"/>
              <w:left w:val="single" w:color="auto" w:sz="4" w:space="0"/>
              <w:bottom w:val="single" w:color="auto" w:sz="4" w:space="0"/>
              <w:right w:val="single" w:color="auto" w:sz="4" w:space="0"/>
            </w:tcBorders>
            <w:noWrap/>
            <w:vAlign w:val="center"/>
          </w:tcPr>
          <w:p w14:paraId="212A2F8C">
            <w:pPr>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69" w:type="dxa"/>
            <w:tcBorders>
              <w:top w:val="single" w:color="auto" w:sz="4" w:space="0"/>
              <w:left w:val="single" w:color="auto" w:sz="4" w:space="0"/>
              <w:bottom w:val="single" w:color="auto" w:sz="4" w:space="0"/>
              <w:right w:val="single" w:color="auto" w:sz="4" w:space="0"/>
            </w:tcBorders>
            <w:noWrap/>
            <w:vAlign w:val="center"/>
          </w:tcPr>
          <w:p w14:paraId="5473CB5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工程结算审核</w:t>
            </w:r>
          </w:p>
        </w:tc>
        <w:tc>
          <w:tcPr>
            <w:tcW w:w="2781" w:type="dxa"/>
            <w:tcBorders>
              <w:top w:val="nil"/>
              <w:left w:val="nil"/>
              <w:bottom w:val="single" w:color="auto" w:sz="4" w:space="0"/>
              <w:right w:val="single" w:color="auto" w:sz="4" w:space="0"/>
            </w:tcBorders>
            <w:noWrap/>
            <w:vAlign w:val="center"/>
          </w:tcPr>
          <w:p w14:paraId="228A56C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基本收费</w:t>
            </w:r>
          </w:p>
        </w:tc>
        <w:tc>
          <w:tcPr>
            <w:tcW w:w="2251" w:type="dxa"/>
            <w:tcBorders>
              <w:top w:val="nil"/>
              <w:left w:val="nil"/>
              <w:bottom w:val="single" w:color="auto" w:sz="4" w:space="0"/>
              <w:right w:val="single" w:color="auto" w:sz="4" w:space="0"/>
            </w:tcBorders>
            <w:noWrap/>
            <w:vAlign w:val="center"/>
          </w:tcPr>
          <w:p w14:paraId="1E2509B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送审工程造价</w:t>
            </w:r>
          </w:p>
        </w:tc>
        <w:tc>
          <w:tcPr>
            <w:tcW w:w="1036" w:type="dxa"/>
            <w:tcBorders>
              <w:top w:val="single" w:color="auto" w:sz="4" w:space="0"/>
              <w:left w:val="nil"/>
              <w:bottom w:val="single" w:color="auto" w:sz="4" w:space="0"/>
              <w:right w:val="single" w:color="auto" w:sz="4" w:space="0"/>
            </w:tcBorders>
            <w:noWrap/>
            <w:vAlign w:val="center"/>
          </w:tcPr>
          <w:p w14:paraId="4547A701">
            <w:pPr>
              <w:widowControl/>
              <w:shd w:val="clear"/>
              <w:spacing w:before="100" w:beforeAutospacing="1" w:after="100" w:afterAutospacing="1" w:line="240" w:lineRule="exact"/>
              <w:jc w:val="center"/>
              <w:rPr>
                <w:rFonts w:ascii="宋体" w:hAnsi="宋体" w:cs="宋体"/>
                <w:dstrike/>
                <w:color w:val="auto"/>
                <w:kern w:val="0"/>
                <w:szCs w:val="21"/>
                <w:highlight w:val="none"/>
              </w:rPr>
            </w:pPr>
            <w:r>
              <w:rPr>
                <w:rFonts w:hint="eastAsia" w:ascii="宋体" w:hAnsi="宋体" w:cs="宋体"/>
                <w:color w:val="auto"/>
                <w:kern w:val="0"/>
                <w:szCs w:val="21"/>
                <w:highlight w:val="none"/>
              </w:rPr>
              <w:t>2.8</w:t>
            </w:r>
          </w:p>
        </w:tc>
        <w:tc>
          <w:tcPr>
            <w:tcW w:w="1037" w:type="dxa"/>
            <w:tcBorders>
              <w:top w:val="single" w:color="auto" w:sz="4" w:space="0"/>
              <w:left w:val="nil"/>
              <w:bottom w:val="single" w:color="auto" w:sz="4" w:space="0"/>
              <w:right w:val="single" w:color="auto" w:sz="4" w:space="0"/>
            </w:tcBorders>
            <w:noWrap/>
            <w:vAlign w:val="center"/>
          </w:tcPr>
          <w:p w14:paraId="4FB33A0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36" w:type="dxa"/>
            <w:tcBorders>
              <w:top w:val="single" w:color="auto" w:sz="4" w:space="0"/>
              <w:left w:val="nil"/>
              <w:bottom w:val="single" w:color="auto" w:sz="4" w:space="0"/>
              <w:right w:val="single" w:color="auto" w:sz="4" w:space="0"/>
            </w:tcBorders>
            <w:noWrap/>
            <w:vAlign w:val="center"/>
          </w:tcPr>
          <w:p w14:paraId="7E02DEF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037" w:type="dxa"/>
            <w:tcBorders>
              <w:top w:val="single" w:color="auto" w:sz="4" w:space="0"/>
              <w:left w:val="nil"/>
              <w:bottom w:val="single" w:color="auto" w:sz="4" w:space="0"/>
              <w:right w:val="single" w:color="auto" w:sz="4" w:space="0"/>
            </w:tcBorders>
            <w:noWrap/>
            <w:vAlign w:val="center"/>
          </w:tcPr>
          <w:p w14:paraId="56793E9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36" w:type="dxa"/>
            <w:tcBorders>
              <w:top w:val="single" w:color="auto" w:sz="4" w:space="0"/>
              <w:left w:val="nil"/>
              <w:bottom w:val="single" w:color="auto" w:sz="4" w:space="0"/>
              <w:right w:val="single" w:color="auto" w:sz="4" w:space="0"/>
            </w:tcBorders>
            <w:noWrap/>
            <w:vAlign w:val="center"/>
          </w:tcPr>
          <w:p w14:paraId="33773CD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041" w:type="dxa"/>
            <w:tcBorders>
              <w:top w:val="single" w:color="auto" w:sz="4" w:space="0"/>
              <w:left w:val="nil"/>
              <w:bottom w:val="single" w:color="auto" w:sz="4" w:space="0"/>
              <w:right w:val="single" w:color="auto" w:sz="4" w:space="0"/>
            </w:tcBorders>
            <w:noWrap/>
            <w:vAlign w:val="center"/>
          </w:tcPr>
          <w:p w14:paraId="556B6ED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037" w:type="dxa"/>
            <w:tcBorders>
              <w:top w:val="single" w:color="auto" w:sz="4" w:space="0"/>
              <w:left w:val="nil"/>
              <w:bottom w:val="single" w:color="auto" w:sz="4" w:space="0"/>
              <w:right w:val="single" w:color="auto" w:sz="4" w:space="0"/>
            </w:tcBorders>
            <w:noWrap/>
            <w:vAlign w:val="center"/>
          </w:tcPr>
          <w:p w14:paraId="22065D9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r>
    </w:tbl>
    <w:p w14:paraId="7DDF3B84">
      <w:pPr>
        <w:shd w:val="clear"/>
        <w:spacing w:line="480" w:lineRule="exact"/>
        <w:rPr>
          <w:rFonts w:ascii="宋体" w:hAnsi="宋体" w:cs="宋体"/>
          <w:color w:val="auto"/>
          <w:szCs w:val="21"/>
          <w:highlight w:val="none"/>
        </w:rPr>
        <w:sectPr>
          <w:pgSz w:w="16838" w:h="11906" w:orient="landscape"/>
          <w:pgMar w:top="1587" w:right="2098" w:bottom="1474" w:left="1984" w:header="851" w:footer="992" w:gutter="0"/>
          <w:cols w:space="425" w:num="1"/>
          <w:docGrid w:type="lines" w:linePitch="312" w:charSpace="0"/>
        </w:sectPr>
      </w:pPr>
    </w:p>
    <w:p w14:paraId="6F57E81B">
      <w:pPr>
        <w:shd w:val="clear"/>
        <w:spacing w:line="480" w:lineRule="exact"/>
        <w:rPr>
          <w:rFonts w:ascii="宋体" w:hAnsi="宋体" w:cs="宋体"/>
          <w:color w:val="auto"/>
          <w:sz w:val="24"/>
          <w:highlight w:val="none"/>
        </w:rPr>
      </w:pPr>
      <w:r>
        <w:rPr>
          <w:rFonts w:hint="eastAsia" w:ascii="宋体" w:hAnsi="宋体" w:cs="宋体"/>
          <w:color w:val="auto"/>
          <w:sz w:val="24"/>
          <w:highlight w:val="none"/>
        </w:rPr>
        <w:t>四、团队成员</w:t>
      </w:r>
    </w:p>
    <w:p w14:paraId="6FD2CD87">
      <w:pPr>
        <w:shd w:val="clea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受委托人承接具体造价咨询业务时，团队成员中至少配备对应造价主专业的注册造价师 2 名，其中至少配备 1 名一级造价师，否则不得承接相应专业的造价咨询业务。</w:t>
      </w:r>
    </w:p>
    <w:p w14:paraId="0679E41D">
      <w:pPr>
        <w:shd w:val="clear"/>
        <w:spacing w:line="480" w:lineRule="exact"/>
        <w:ind w:firstLine="422" w:firstLineChars="200"/>
        <w:rPr>
          <w:rFonts w:ascii="宋体" w:hAnsi="宋体" w:cs="宋体"/>
          <w:b/>
          <w:bCs/>
          <w:color w:val="auto"/>
          <w:kern w:val="0"/>
          <w:sz w:val="24"/>
          <w:szCs w:val="21"/>
          <w:highlight w:val="none"/>
        </w:rPr>
      </w:pPr>
      <w:r>
        <w:rPr>
          <w:rFonts w:hint="eastAsia" w:ascii="宋体" w:hAnsi="宋体" w:cs="宋体"/>
          <w:b/>
          <w:bCs/>
          <w:color w:val="auto"/>
          <w:szCs w:val="21"/>
          <w:highlight w:val="none"/>
        </w:rPr>
        <w:t>受委托人应确保团队成员稳定，团队成员在框架协议期内原则上不得替换和新增，确需要替换或新增的，需报委托人同意，且在框架协议服务期内最多可替换3人、新增2人，其中替换人员需具备同原团队成员一致或以上的投标资质（包括投标的证书及职称）、投标业绩数。</w:t>
      </w:r>
    </w:p>
    <w:p w14:paraId="6E17C0EB">
      <w:pPr>
        <w:shd w:val="clear"/>
        <w:spacing w:line="480" w:lineRule="exact"/>
        <w:ind w:firstLine="480" w:firstLineChars="200"/>
        <w:rPr>
          <w:rFonts w:ascii="宋体" w:hAnsi="宋体" w:cs="宋体"/>
          <w:color w:val="auto"/>
          <w:sz w:val="24"/>
          <w:highlight w:val="none"/>
        </w:rPr>
      </w:pPr>
      <w:r>
        <w:rPr>
          <w:rFonts w:hint="eastAsia" w:hAnsi="宋体" w:cs="仿宋"/>
          <w:color w:val="auto"/>
          <w:kern w:val="0"/>
          <w:sz w:val="24"/>
          <w:highlight w:val="none"/>
        </w:rPr>
        <w:t>框架协议服务期内，团队成员人数少于原投标团队成员的人数或资质、业绩水平低于原投标资质、业绩水平的情况时，委托人有权暂停入围供应商的业务承接。</w:t>
      </w:r>
    </w:p>
    <w:p w14:paraId="3FE82570">
      <w:pPr>
        <w:shd w:val="clear"/>
        <w:spacing w:line="480" w:lineRule="exact"/>
        <w:rPr>
          <w:rFonts w:ascii="宋体" w:hAnsi="宋体" w:cs="宋体"/>
          <w:color w:val="auto"/>
          <w:sz w:val="24"/>
          <w:highlight w:val="none"/>
        </w:rPr>
      </w:pPr>
      <w:r>
        <w:rPr>
          <w:rFonts w:hint="eastAsia" w:ascii="宋体" w:hAnsi="宋体" w:cs="宋体"/>
          <w:color w:val="auto"/>
          <w:sz w:val="24"/>
          <w:highlight w:val="none"/>
        </w:rPr>
        <w:t xml:space="preserve">五、考核管理 </w:t>
      </w:r>
    </w:p>
    <w:p w14:paraId="2CF04CDE">
      <w:pPr>
        <w:shd w:val="clea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由委托人制订对受委托人的考核和管理的具体细则，</w:t>
      </w:r>
      <w:r>
        <w:rPr>
          <w:rFonts w:hint="eastAsia" w:hAnsi="宋体" w:cs="仿宋"/>
          <w:color w:val="auto"/>
          <w:kern w:val="0"/>
          <w:sz w:val="24"/>
          <w:highlight w:val="none"/>
        </w:rPr>
        <w:t>考核和管理包括且不限于团队水平、业务质量、响应能力、服务时限、廉洁执业、业主评价等方面的内容</w:t>
      </w:r>
      <w:r>
        <w:rPr>
          <w:rFonts w:hint="eastAsia" w:ascii="宋体" w:hAnsi="宋体" w:cs="宋体"/>
          <w:color w:val="auto"/>
          <w:sz w:val="24"/>
          <w:highlight w:val="none"/>
        </w:rPr>
        <w:t>，并由委托人组织对受委托人进行考核和管理，受委托人需无条件配合。如考核和管理的具体细则有更新，受委托人无条件按更新后的细则执行。</w:t>
      </w:r>
    </w:p>
    <w:p w14:paraId="4A114839">
      <w:pPr>
        <w:numPr>
          <w:ilvl w:val="0"/>
          <w:numId w:val="7"/>
        </w:numPr>
        <w:snapToGrid w:val="0"/>
        <w:ind w:firstLine="480" w:firstLineChars="200"/>
        <w:jc w:val="left"/>
        <w:rPr>
          <w:rFonts w:ascii="宋体" w:hAnsi="宋体" w:cs="宋体"/>
          <w:b/>
          <w:bCs/>
          <w:color w:val="auto"/>
          <w:sz w:val="24"/>
          <w:highlight w:val="none"/>
        </w:rPr>
      </w:pPr>
      <w:r>
        <w:rPr>
          <w:rFonts w:hint="eastAsia" w:hAnsi="宋体" w:cs="宋体"/>
          <w:color w:val="auto"/>
          <w:sz w:val="24"/>
          <w:highlight w:val="none"/>
        </w:rPr>
        <w:t>若</w:t>
      </w:r>
      <w:r>
        <w:rPr>
          <w:rFonts w:hint="eastAsia" w:hAnsi="宋体" w:cs="仿宋"/>
          <w:color w:val="auto"/>
          <w:kern w:val="0"/>
          <w:sz w:val="24"/>
          <w:highlight w:val="none"/>
        </w:rPr>
        <w:t>履行过程中发生的任何争议，双方当事人均可通过和解或者调解解决；不愿和解、调解或者和解、调解不成的，可以</w:t>
      </w:r>
      <w:r>
        <w:rPr>
          <w:rFonts w:hint="eastAsia" w:ascii="宋体" w:hAnsi="宋体" w:cs="仿宋"/>
          <w:color w:val="auto"/>
          <w:kern w:val="0"/>
          <w:sz w:val="24"/>
          <w:highlight w:val="none"/>
        </w:rPr>
        <w:t>将争议提交仲裁委员会申请仲裁，依现行有效仲裁规则裁决</w:t>
      </w:r>
      <w:r>
        <w:rPr>
          <w:rFonts w:hint="eastAsia" w:ascii="宋体" w:hAnsi="宋体" w:cs="宋体"/>
          <w:color w:val="auto"/>
          <w:sz w:val="24"/>
          <w:highlight w:val="none"/>
        </w:rPr>
        <w:t>或交由嵊州市人民法院管辖。</w:t>
      </w:r>
    </w:p>
    <w:p w14:paraId="2470631F">
      <w:pPr>
        <w:shd w:val="clear"/>
        <w:spacing w:line="480" w:lineRule="exact"/>
        <w:rPr>
          <w:rFonts w:ascii="宋体" w:hAnsi="宋体" w:cs="宋体"/>
          <w:color w:val="auto"/>
          <w:sz w:val="24"/>
          <w:highlight w:val="none"/>
        </w:rPr>
      </w:pPr>
      <w:r>
        <w:rPr>
          <w:rFonts w:hint="eastAsia" w:ascii="宋体" w:hAnsi="宋体" w:cs="宋体"/>
          <w:color w:val="auto"/>
          <w:sz w:val="24"/>
          <w:highlight w:val="none"/>
        </w:rPr>
        <w:t>七、合同订立</w:t>
      </w:r>
    </w:p>
    <w:p w14:paraId="3BADC7A4">
      <w:pPr>
        <w:shd w:val="clear"/>
        <w:spacing w:line="480" w:lineRule="exact"/>
        <w:rPr>
          <w:rFonts w:ascii="宋体" w:hAnsi="宋体" w:cs="宋体"/>
          <w:color w:val="auto"/>
          <w:sz w:val="24"/>
          <w:highlight w:val="none"/>
          <w:u w:val="single"/>
        </w:rPr>
      </w:pPr>
      <w:r>
        <w:rPr>
          <w:rFonts w:hint="eastAsia" w:ascii="宋体" w:hAnsi="宋体" w:cs="宋体"/>
          <w:color w:val="auto"/>
          <w:sz w:val="24"/>
          <w:highlight w:val="none"/>
        </w:rPr>
        <w:t>合同订立时间：</w:t>
      </w:r>
      <w:r>
        <w:rPr>
          <w:rFonts w:hint="eastAsia" w:ascii="宋体" w:hAnsi="宋体" w:cs="宋体"/>
          <w:color w:val="auto"/>
          <w:sz w:val="24"/>
          <w:highlight w:val="none"/>
          <w:u w:val="single"/>
        </w:rPr>
        <w:t xml:space="preserve"> 2025年   月   日 </w:t>
      </w:r>
    </w:p>
    <w:p w14:paraId="20CB2A90">
      <w:pPr>
        <w:shd w:val="clear"/>
        <w:spacing w:line="480" w:lineRule="exact"/>
        <w:rPr>
          <w:rFonts w:ascii="宋体" w:hAnsi="宋体" w:cs="宋体"/>
          <w:color w:val="auto"/>
          <w:sz w:val="24"/>
          <w:highlight w:val="none"/>
          <w:u w:val="single"/>
        </w:rPr>
      </w:pPr>
      <w:r>
        <w:rPr>
          <w:rFonts w:hint="eastAsia" w:ascii="宋体" w:hAnsi="宋体" w:cs="宋体"/>
          <w:color w:val="auto"/>
          <w:sz w:val="24"/>
          <w:highlight w:val="none"/>
        </w:rPr>
        <w:t>合同订立地点：</w:t>
      </w:r>
      <w:r>
        <w:rPr>
          <w:rFonts w:hint="eastAsia" w:ascii="宋体" w:hAnsi="宋体" w:cs="宋体"/>
          <w:color w:val="auto"/>
          <w:sz w:val="24"/>
          <w:highlight w:val="none"/>
          <w:u w:val="single"/>
        </w:rPr>
        <w:t xml:space="preserve">      嵊州市  </w:t>
      </w:r>
    </w:p>
    <w:p w14:paraId="45B86654">
      <w:pPr>
        <w:shd w:val="clear"/>
        <w:spacing w:line="480" w:lineRule="exact"/>
        <w:rPr>
          <w:rFonts w:ascii="宋体" w:hAnsi="宋体" w:cs="宋体"/>
          <w:color w:val="auto"/>
          <w:sz w:val="24"/>
          <w:highlight w:val="none"/>
        </w:rPr>
      </w:pPr>
      <w:r>
        <w:rPr>
          <w:rFonts w:hint="eastAsia" w:ascii="宋体" w:hAnsi="宋体" w:cs="宋体"/>
          <w:color w:val="auto"/>
          <w:sz w:val="24"/>
          <w:highlight w:val="none"/>
        </w:rPr>
        <w:t>八、合同生效</w:t>
      </w:r>
    </w:p>
    <w:p w14:paraId="720AEDD3">
      <w:pPr>
        <w:shd w:val="clear"/>
        <w:spacing w:line="480" w:lineRule="exact"/>
        <w:rPr>
          <w:rFonts w:ascii="宋体" w:hAnsi="宋体" w:cs="宋体"/>
          <w:color w:val="auto"/>
          <w:sz w:val="24"/>
          <w:highlight w:val="none"/>
        </w:rPr>
      </w:pPr>
      <w:r>
        <w:rPr>
          <w:rFonts w:hint="eastAsia" w:ascii="宋体" w:hAnsi="宋体" w:cs="宋体"/>
          <w:color w:val="auto"/>
          <w:sz w:val="24"/>
          <w:highlight w:val="none"/>
        </w:rPr>
        <w:t>本合同双方约定</w:t>
      </w:r>
      <w:r>
        <w:rPr>
          <w:rFonts w:hint="eastAsia" w:ascii="宋体" w:hAnsi="宋体" w:cs="宋体"/>
          <w:b/>
          <w:bCs/>
          <w:color w:val="auto"/>
          <w:sz w:val="24"/>
          <w:highlight w:val="none"/>
          <w:u w:val="single"/>
        </w:rPr>
        <w:t>双方盖章</w:t>
      </w:r>
      <w:r>
        <w:rPr>
          <w:rFonts w:hint="eastAsia" w:ascii="宋体" w:hAnsi="宋体" w:cs="宋体"/>
          <w:color w:val="auto"/>
          <w:sz w:val="24"/>
          <w:highlight w:val="none"/>
        </w:rPr>
        <w:t>后生效</w:t>
      </w:r>
    </w:p>
    <w:p w14:paraId="3E8B6F7E">
      <w:pPr>
        <w:shd w:val="clear"/>
        <w:spacing w:line="480" w:lineRule="exact"/>
        <w:rPr>
          <w:rFonts w:ascii="宋体" w:hAnsi="宋体" w:cs="宋体"/>
          <w:color w:val="auto"/>
          <w:sz w:val="24"/>
          <w:highlight w:val="none"/>
        </w:rPr>
      </w:pPr>
    </w:p>
    <w:p w14:paraId="00D299E9">
      <w:pPr>
        <w:shd w:val="clear"/>
        <w:spacing w:line="480" w:lineRule="exact"/>
        <w:rPr>
          <w:rFonts w:ascii="宋体" w:hAnsi="宋体" w:cs="宋体"/>
          <w:color w:val="auto"/>
          <w:sz w:val="24"/>
          <w:highlight w:val="none"/>
        </w:rPr>
      </w:pPr>
      <w:r>
        <w:rPr>
          <w:rFonts w:hint="eastAsia" w:ascii="宋体" w:hAnsi="宋体" w:cs="宋体"/>
          <w:color w:val="auto"/>
          <w:sz w:val="24"/>
          <w:highlight w:val="none"/>
        </w:rPr>
        <w:t xml:space="preserve">委托人（盖章）：                    受托人（盖章）： </w:t>
      </w:r>
    </w:p>
    <w:p w14:paraId="1EDC7115">
      <w:pPr>
        <w:shd w:val="clear"/>
        <w:spacing w:line="480" w:lineRule="exact"/>
        <w:rPr>
          <w:rFonts w:ascii="宋体" w:hAnsi="宋体" w:cs="宋体"/>
          <w:color w:val="auto"/>
          <w:sz w:val="24"/>
          <w:highlight w:val="none"/>
        </w:rPr>
      </w:pPr>
      <w:r>
        <w:rPr>
          <w:rFonts w:hint="eastAsia" w:ascii="宋体" w:hAnsi="宋体" w:cs="宋体"/>
          <w:color w:val="auto"/>
          <w:sz w:val="24"/>
          <w:highlight w:val="none"/>
        </w:rPr>
        <w:t>法定代表人（签字或盖章）：          法定代表人（签字或盖章）：</w:t>
      </w:r>
    </w:p>
    <w:p w14:paraId="43DF5312">
      <w:pPr>
        <w:shd w:val="clear"/>
        <w:spacing w:line="480" w:lineRule="exact"/>
        <w:rPr>
          <w:rFonts w:ascii="宋体" w:hAnsi="宋体" w:cs="宋体"/>
          <w:color w:val="auto"/>
          <w:sz w:val="24"/>
          <w:highlight w:val="none"/>
        </w:rPr>
      </w:pPr>
    </w:p>
    <w:p w14:paraId="7C8C2476">
      <w:pPr>
        <w:shd w:val="clear"/>
        <w:spacing w:line="480" w:lineRule="exact"/>
        <w:rPr>
          <w:rFonts w:ascii="宋体" w:hAnsi="宋体" w:cs="仿宋"/>
          <w:color w:val="auto"/>
          <w:kern w:val="0"/>
          <w:sz w:val="24"/>
          <w:highlight w:val="none"/>
        </w:rPr>
        <w:sectPr>
          <w:pgSz w:w="11906" w:h="16838"/>
          <w:pgMar w:top="1247" w:right="1418" w:bottom="1276" w:left="1418" w:header="851" w:footer="992" w:gutter="0"/>
          <w:cols w:space="720" w:num="1"/>
          <w:titlePg/>
          <w:docGrid w:linePitch="312" w:charSpace="0"/>
        </w:sectPr>
      </w:pPr>
      <w:r>
        <w:rPr>
          <w:rFonts w:hint="eastAsia" w:ascii="宋体" w:hAnsi="宋体" w:cs="宋体"/>
          <w:color w:val="auto"/>
          <w:sz w:val="24"/>
          <w:highlight w:val="none"/>
        </w:rPr>
        <w:t>授权代理人（签字或盖章）：          代理人：（签字或盖章）</w:t>
      </w:r>
      <w:bookmarkEnd w:id="457"/>
      <w:bookmarkEnd w:id="458"/>
    </w:p>
    <w:p w14:paraId="66DC2A11">
      <w:pPr>
        <w:shd w:val="clear"/>
        <w:snapToGrid w:val="0"/>
        <w:spacing w:line="360" w:lineRule="auto"/>
        <w:jc w:val="center"/>
        <w:rPr>
          <w:rFonts w:ascii="宋体" w:hAnsi="宋体" w:cs="仿宋"/>
          <w:b/>
          <w:color w:val="auto"/>
          <w:sz w:val="36"/>
          <w:szCs w:val="20"/>
          <w:highlight w:val="none"/>
        </w:rPr>
      </w:pPr>
      <w:r>
        <w:rPr>
          <w:rFonts w:hint="eastAsia" w:ascii="宋体" w:hAnsi="宋体" w:cs="仿宋"/>
          <w:b/>
          <w:color w:val="auto"/>
          <w:sz w:val="36"/>
          <w:szCs w:val="20"/>
          <w:highlight w:val="none"/>
        </w:rPr>
        <w:t>第六部分</w:t>
      </w:r>
      <w:bookmarkEnd w:id="453"/>
      <w:bookmarkEnd w:id="454"/>
      <w:r>
        <w:rPr>
          <w:rFonts w:hint="eastAsia" w:ascii="宋体" w:hAnsi="宋体" w:cs="仿宋"/>
          <w:b/>
          <w:color w:val="auto"/>
          <w:sz w:val="36"/>
          <w:szCs w:val="20"/>
          <w:highlight w:val="none"/>
        </w:rPr>
        <w:t>应提交的有关格式范例</w:t>
      </w:r>
    </w:p>
    <w:p w14:paraId="0069F939">
      <w:pPr>
        <w:shd w:val="clear"/>
        <w:spacing w:line="360" w:lineRule="auto"/>
        <w:jc w:val="center"/>
        <w:outlineLvl w:val="0"/>
        <w:rPr>
          <w:rFonts w:ascii="宋体" w:hAnsi="宋体" w:cs="仿宋"/>
          <w:color w:val="auto"/>
          <w:sz w:val="36"/>
          <w:szCs w:val="36"/>
          <w:highlight w:val="none"/>
          <w:lang w:val="zh-CN"/>
        </w:rPr>
      </w:pPr>
    </w:p>
    <w:p w14:paraId="19A60831">
      <w:pPr>
        <w:shd w:val="clear"/>
        <w:spacing w:line="360" w:lineRule="auto"/>
        <w:jc w:val="center"/>
        <w:outlineLvl w:val="0"/>
        <w:rPr>
          <w:rFonts w:ascii="宋体" w:hAnsi="宋体" w:cs="仿宋"/>
          <w:b/>
          <w:color w:val="auto"/>
          <w:kern w:val="0"/>
          <w:sz w:val="36"/>
          <w:szCs w:val="36"/>
          <w:highlight w:val="none"/>
        </w:rPr>
      </w:pPr>
      <w:r>
        <w:rPr>
          <w:rFonts w:hint="eastAsia" w:ascii="宋体" w:hAnsi="宋体" w:cs="仿宋"/>
          <w:b/>
          <w:color w:val="auto"/>
          <w:kern w:val="0"/>
          <w:sz w:val="36"/>
          <w:szCs w:val="36"/>
          <w:highlight w:val="none"/>
        </w:rPr>
        <w:t>资格文件部分</w:t>
      </w:r>
    </w:p>
    <w:p w14:paraId="7A7B8A87">
      <w:pPr>
        <w:shd w:val="clear"/>
        <w:spacing w:line="360" w:lineRule="auto"/>
        <w:jc w:val="center"/>
        <w:outlineLvl w:val="0"/>
        <w:rPr>
          <w:rFonts w:ascii="宋体" w:hAnsi="宋体" w:cs="仿宋"/>
          <w:b/>
          <w:color w:val="auto"/>
          <w:kern w:val="0"/>
          <w:sz w:val="36"/>
          <w:szCs w:val="36"/>
          <w:highlight w:val="none"/>
        </w:rPr>
      </w:pPr>
      <w:r>
        <w:rPr>
          <w:rFonts w:hint="eastAsia" w:ascii="宋体" w:hAnsi="宋体" w:cs="仿宋"/>
          <w:b/>
          <w:color w:val="auto"/>
          <w:kern w:val="0"/>
          <w:sz w:val="36"/>
          <w:szCs w:val="36"/>
          <w:highlight w:val="none"/>
        </w:rPr>
        <w:t>目录</w:t>
      </w:r>
    </w:p>
    <w:p w14:paraId="46562BB9">
      <w:pPr>
        <w:shd w:val="clear"/>
        <w:spacing w:line="360" w:lineRule="auto"/>
        <w:jc w:val="center"/>
        <w:outlineLvl w:val="0"/>
        <w:rPr>
          <w:rFonts w:ascii="宋体" w:hAnsi="宋体" w:cs="仿宋"/>
          <w:b/>
          <w:color w:val="auto"/>
          <w:kern w:val="0"/>
          <w:sz w:val="36"/>
          <w:szCs w:val="36"/>
          <w:highlight w:val="none"/>
        </w:rPr>
      </w:pPr>
    </w:p>
    <w:p w14:paraId="695F38F5">
      <w:pPr>
        <w:shd w:val="clear"/>
        <w:spacing w:line="360" w:lineRule="auto"/>
        <w:ind w:firstLine="600" w:firstLineChars="250"/>
        <w:jc w:val="left"/>
        <w:rPr>
          <w:rFonts w:ascii="宋体" w:hAnsi="宋体" w:cs="仿宋"/>
          <w:color w:val="auto"/>
          <w:kern w:val="0"/>
          <w:sz w:val="24"/>
          <w:highlight w:val="none"/>
        </w:rPr>
      </w:pPr>
      <w:r>
        <w:rPr>
          <w:rFonts w:hint="eastAsia" w:ascii="宋体" w:hAnsi="宋体" w:cs="仿宋"/>
          <w:color w:val="auto"/>
          <w:kern w:val="0"/>
          <w:sz w:val="24"/>
          <w:highlight w:val="none"/>
        </w:rPr>
        <w:t>(1）营业执照(或事业法人登记证或其他工商等登记证明材料)复印件（投标人为自然人的，须提供自然人的身份证明）……………………………………………（页码）</w:t>
      </w:r>
    </w:p>
    <w:p w14:paraId="4820D341">
      <w:pPr>
        <w:shd w:val="clear"/>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（2）投标声明函 ………………………………………………………………（页码）</w:t>
      </w:r>
    </w:p>
    <w:p w14:paraId="4C5298F8">
      <w:pPr>
        <w:shd w:val="clear"/>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（3）联合体协议书（如有） …………………………………………………（页码）</w:t>
      </w:r>
    </w:p>
    <w:p w14:paraId="23BC4700">
      <w:pPr>
        <w:shd w:val="clear"/>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（4）法定代表人授权委托书 …………………………………………………（页码）</w:t>
      </w:r>
    </w:p>
    <w:p w14:paraId="72B7FEA0">
      <w:pPr>
        <w:shd w:val="clear"/>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（5）法定代表人及其授权代表的身份证（复印件） ………………………（页码）</w:t>
      </w:r>
    </w:p>
    <w:p w14:paraId="198B857F">
      <w:pPr>
        <w:shd w:val="clear"/>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（6）符合特定资格条件（如有）……………………………………………（页码）</w:t>
      </w:r>
    </w:p>
    <w:p w14:paraId="40E3C28F">
      <w:pPr>
        <w:shd w:val="clear"/>
        <w:snapToGrid w:val="0"/>
        <w:spacing w:line="360" w:lineRule="auto"/>
        <w:rPr>
          <w:rFonts w:ascii="宋体" w:hAnsi="宋体" w:cs="仿宋"/>
          <w:color w:val="auto"/>
          <w:sz w:val="36"/>
          <w:szCs w:val="36"/>
          <w:highlight w:val="none"/>
        </w:rPr>
      </w:pPr>
    </w:p>
    <w:p w14:paraId="7AAC26CA">
      <w:pPr>
        <w:shd w:val="clear"/>
        <w:snapToGrid w:val="0"/>
        <w:spacing w:line="360" w:lineRule="auto"/>
        <w:jc w:val="center"/>
        <w:outlineLvl w:val="0"/>
        <w:rPr>
          <w:rFonts w:ascii="宋体" w:hAnsi="宋体" w:cs="仿宋"/>
          <w:b/>
          <w:color w:val="auto"/>
          <w:sz w:val="30"/>
          <w:szCs w:val="30"/>
          <w:highlight w:val="none"/>
        </w:rPr>
      </w:pPr>
      <w:r>
        <w:rPr>
          <w:rFonts w:hint="eastAsia" w:ascii="宋体" w:hAnsi="宋体" w:cs="仿宋"/>
          <w:b/>
          <w:color w:val="auto"/>
          <w:kern w:val="0"/>
          <w:sz w:val="32"/>
          <w:szCs w:val="32"/>
          <w:highlight w:val="none"/>
          <w:lang w:val="zh-CN"/>
        </w:rPr>
        <w:br w:type="page"/>
      </w:r>
      <w:r>
        <w:rPr>
          <w:rFonts w:hint="eastAsia" w:ascii="宋体" w:hAnsi="宋体" w:cs="仿宋"/>
          <w:b/>
          <w:color w:val="auto"/>
          <w:kern w:val="0"/>
          <w:sz w:val="32"/>
          <w:szCs w:val="32"/>
          <w:highlight w:val="none"/>
        </w:rPr>
        <w:t>一、营业执照(或事业法人登记证或其他工商等登记证明材料)复印件（投标人为自然人的，须提供自然人的身份证明）</w:t>
      </w:r>
    </w:p>
    <w:p w14:paraId="26C91154">
      <w:pPr>
        <w:shd w:val="clear"/>
        <w:spacing w:line="360" w:lineRule="auto"/>
        <w:rPr>
          <w:rFonts w:ascii="宋体" w:hAnsi="宋体" w:cs="仿宋"/>
          <w:b/>
          <w:color w:val="auto"/>
          <w:sz w:val="30"/>
          <w:szCs w:val="30"/>
          <w:highlight w:val="none"/>
        </w:rPr>
      </w:pPr>
    </w:p>
    <w:p w14:paraId="30DEC359">
      <w:pPr>
        <w:shd w:val="clear"/>
        <w:spacing w:line="360" w:lineRule="auto"/>
        <w:rPr>
          <w:rFonts w:ascii="宋体" w:hAnsi="宋体" w:cs="仿宋"/>
          <w:b/>
          <w:color w:val="auto"/>
          <w:sz w:val="30"/>
          <w:szCs w:val="30"/>
          <w:highlight w:val="none"/>
        </w:rPr>
      </w:pPr>
    </w:p>
    <w:p w14:paraId="70D1BD70">
      <w:pPr>
        <w:shd w:val="clear"/>
        <w:spacing w:line="360" w:lineRule="auto"/>
        <w:rPr>
          <w:rFonts w:ascii="宋体" w:hAnsi="宋体" w:cs="仿宋"/>
          <w:b/>
          <w:color w:val="auto"/>
          <w:sz w:val="30"/>
          <w:szCs w:val="30"/>
          <w:highlight w:val="none"/>
        </w:rPr>
      </w:pPr>
    </w:p>
    <w:p w14:paraId="776E29BE">
      <w:pPr>
        <w:shd w:val="clear"/>
        <w:spacing w:line="360" w:lineRule="auto"/>
        <w:rPr>
          <w:rFonts w:ascii="宋体" w:hAnsi="宋体" w:cs="仿宋"/>
          <w:b/>
          <w:color w:val="auto"/>
          <w:sz w:val="30"/>
          <w:szCs w:val="30"/>
          <w:highlight w:val="none"/>
        </w:rPr>
      </w:pPr>
    </w:p>
    <w:p w14:paraId="23DACE36">
      <w:pPr>
        <w:shd w:val="clear"/>
        <w:spacing w:line="360" w:lineRule="auto"/>
        <w:rPr>
          <w:rFonts w:ascii="宋体" w:hAnsi="宋体" w:cs="仿宋"/>
          <w:b/>
          <w:color w:val="auto"/>
          <w:sz w:val="30"/>
          <w:szCs w:val="30"/>
          <w:highlight w:val="none"/>
        </w:rPr>
      </w:pPr>
    </w:p>
    <w:p w14:paraId="3DAD620F">
      <w:pPr>
        <w:shd w:val="clear"/>
        <w:spacing w:line="360" w:lineRule="auto"/>
        <w:rPr>
          <w:rFonts w:ascii="宋体" w:hAnsi="宋体" w:cs="仿宋"/>
          <w:b/>
          <w:color w:val="auto"/>
          <w:sz w:val="30"/>
          <w:szCs w:val="30"/>
          <w:highlight w:val="none"/>
        </w:rPr>
      </w:pPr>
    </w:p>
    <w:p w14:paraId="0D94134A">
      <w:pPr>
        <w:shd w:val="clear"/>
        <w:spacing w:line="360" w:lineRule="auto"/>
        <w:rPr>
          <w:rFonts w:ascii="宋体" w:hAnsi="宋体" w:cs="仿宋"/>
          <w:b/>
          <w:color w:val="auto"/>
          <w:sz w:val="30"/>
          <w:szCs w:val="30"/>
          <w:highlight w:val="none"/>
        </w:rPr>
      </w:pPr>
    </w:p>
    <w:p w14:paraId="719B0C39">
      <w:pPr>
        <w:shd w:val="clear"/>
        <w:spacing w:line="360" w:lineRule="auto"/>
        <w:rPr>
          <w:rFonts w:ascii="宋体" w:hAnsi="宋体" w:cs="仿宋"/>
          <w:b/>
          <w:color w:val="auto"/>
          <w:sz w:val="30"/>
          <w:szCs w:val="30"/>
          <w:highlight w:val="none"/>
        </w:rPr>
      </w:pPr>
    </w:p>
    <w:p w14:paraId="03B807C4">
      <w:pPr>
        <w:shd w:val="clear"/>
        <w:spacing w:line="360" w:lineRule="auto"/>
        <w:rPr>
          <w:rFonts w:ascii="宋体" w:hAnsi="宋体" w:cs="仿宋"/>
          <w:b/>
          <w:color w:val="auto"/>
          <w:sz w:val="30"/>
          <w:szCs w:val="30"/>
          <w:highlight w:val="none"/>
        </w:rPr>
      </w:pPr>
    </w:p>
    <w:p w14:paraId="784F6D4E">
      <w:pPr>
        <w:shd w:val="clear"/>
        <w:spacing w:line="360" w:lineRule="auto"/>
        <w:rPr>
          <w:rFonts w:ascii="宋体" w:hAnsi="宋体" w:cs="仿宋"/>
          <w:b/>
          <w:color w:val="auto"/>
          <w:sz w:val="30"/>
          <w:szCs w:val="30"/>
          <w:highlight w:val="none"/>
        </w:rPr>
      </w:pPr>
    </w:p>
    <w:p w14:paraId="0FFBA5BF">
      <w:pPr>
        <w:shd w:val="clear"/>
        <w:spacing w:line="360" w:lineRule="auto"/>
        <w:rPr>
          <w:rFonts w:ascii="宋体" w:hAnsi="宋体" w:cs="仿宋"/>
          <w:b/>
          <w:color w:val="auto"/>
          <w:sz w:val="30"/>
          <w:szCs w:val="30"/>
          <w:highlight w:val="none"/>
        </w:rPr>
      </w:pPr>
    </w:p>
    <w:p w14:paraId="65346211">
      <w:pPr>
        <w:shd w:val="clear"/>
        <w:spacing w:line="360" w:lineRule="auto"/>
        <w:rPr>
          <w:rFonts w:ascii="宋体" w:hAnsi="宋体" w:cs="仿宋"/>
          <w:b/>
          <w:color w:val="auto"/>
          <w:sz w:val="30"/>
          <w:szCs w:val="30"/>
          <w:highlight w:val="none"/>
        </w:rPr>
      </w:pPr>
    </w:p>
    <w:p w14:paraId="61941FD3">
      <w:pPr>
        <w:shd w:val="clear"/>
        <w:spacing w:line="360" w:lineRule="auto"/>
        <w:rPr>
          <w:rFonts w:ascii="宋体" w:hAnsi="宋体" w:cs="仿宋"/>
          <w:b/>
          <w:color w:val="auto"/>
          <w:sz w:val="30"/>
          <w:szCs w:val="30"/>
          <w:highlight w:val="none"/>
        </w:rPr>
      </w:pPr>
    </w:p>
    <w:p w14:paraId="10634461">
      <w:pPr>
        <w:shd w:val="clear"/>
        <w:spacing w:line="360" w:lineRule="auto"/>
        <w:rPr>
          <w:rFonts w:ascii="宋体" w:hAnsi="宋体" w:cs="仿宋"/>
          <w:b/>
          <w:color w:val="auto"/>
          <w:sz w:val="30"/>
          <w:szCs w:val="30"/>
          <w:highlight w:val="none"/>
        </w:rPr>
      </w:pPr>
    </w:p>
    <w:p w14:paraId="1A74761C">
      <w:pPr>
        <w:shd w:val="clear"/>
        <w:spacing w:line="360" w:lineRule="auto"/>
        <w:rPr>
          <w:rFonts w:ascii="宋体" w:hAnsi="宋体" w:cs="仿宋"/>
          <w:b/>
          <w:color w:val="auto"/>
          <w:sz w:val="30"/>
          <w:szCs w:val="30"/>
          <w:highlight w:val="none"/>
        </w:rPr>
      </w:pPr>
    </w:p>
    <w:p w14:paraId="5E050365">
      <w:pPr>
        <w:shd w:val="clear"/>
        <w:spacing w:line="360" w:lineRule="auto"/>
        <w:rPr>
          <w:rFonts w:ascii="宋体" w:hAnsi="宋体" w:cs="仿宋"/>
          <w:b/>
          <w:color w:val="auto"/>
          <w:sz w:val="30"/>
          <w:szCs w:val="30"/>
          <w:highlight w:val="none"/>
        </w:rPr>
      </w:pPr>
    </w:p>
    <w:p w14:paraId="07A0A523">
      <w:pPr>
        <w:shd w:val="clear"/>
        <w:spacing w:line="360" w:lineRule="auto"/>
        <w:rPr>
          <w:rFonts w:ascii="宋体" w:hAnsi="宋体" w:cs="仿宋"/>
          <w:b/>
          <w:color w:val="auto"/>
          <w:sz w:val="30"/>
          <w:szCs w:val="30"/>
          <w:highlight w:val="none"/>
        </w:rPr>
      </w:pPr>
    </w:p>
    <w:p w14:paraId="10A66476">
      <w:pPr>
        <w:shd w:val="clear"/>
        <w:spacing w:line="360" w:lineRule="auto"/>
        <w:rPr>
          <w:rFonts w:ascii="宋体" w:hAnsi="宋体" w:cs="仿宋"/>
          <w:b/>
          <w:color w:val="auto"/>
          <w:sz w:val="30"/>
          <w:szCs w:val="30"/>
          <w:highlight w:val="none"/>
        </w:rPr>
      </w:pPr>
    </w:p>
    <w:p w14:paraId="0CD5CBD4">
      <w:pPr>
        <w:shd w:val="clear"/>
        <w:snapToGrid w:val="0"/>
        <w:spacing w:line="360" w:lineRule="auto"/>
        <w:jc w:val="center"/>
        <w:outlineLvl w:val="0"/>
        <w:rPr>
          <w:rFonts w:ascii="宋体" w:hAnsi="宋体" w:cs="仿宋"/>
          <w:b/>
          <w:color w:val="auto"/>
          <w:sz w:val="32"/>
          <w:szCs w:val="32"/>
          <w:highlight w:val="none"/>
        </w:rPr>
      </w:pPr>
      <w:r>
        <w:rPr>
          <w:rFonts w:hint="eastAsia" w:ascii="宋体" w:hAnsi="宋体" w:cs="仿宋"/>
          <w:b/>
          <w:color w:val="auto"/>
          <w:sz w:val="30"/>
          <w:szCs w:val="30"/>
          <w:highlight w:val="none"/>
        </w:rPr>
        <w:br w:type="page"/>
      </w:r>
      <w:r>
        <w:rPr>
          <w:rFonts w:hint="eastAsia" w:ascii="宋体" w:hAnsi="宋体" w:cs="仿宋"/>
          <w:b/>
          <w:color w:val="auto"/>
          <w:kern w:val="0"/>
          <w:sz w:val="32"/>
          <w:szCs w:val="32"/>
          <w:highlight w:val="none"/>
        </w:rPr>
        <w:t>二、投标声明</w:t>
      </w:r>
      <w:r>
        <w:rPr>
          <w:rFonts w:hint="eastAsia" w:ascii="宋体" w:hAnsi="宋体" w:cs="仿宋"/>
          <w:b/>
          <w:color w:val="auto"/>
          <w:sz w:val="32"/>
          <w:szCs w:val="32"/>
          <w:highlight w:val="none"/>
        </w:rPr>
        <w:t>函</w:t>
      </w:r>
    </w:p>
    <w:p w14:paraId="1021A11E">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致：</w:t>
      </w:r>
      <w:r>
        <w:rPr>
          <w:rFonts w:hint="eastAsia" w:ascii="宋体" w:hAnsi="宋体" w:cs="仿宋"/>
          <w:color w:val="auto"/>
          <w:sz w:val="24"/>
          <w:highlight w:val="none"/>
          <w:u w:val="single"/>
        </w:rPr>
        <w:t>（采购单位或采购代理机构名称）</w:t>
      </w:r>
      <w:r>
        <w:rPr>
          <w:rFonts w:hint="eastAsia" w:ascii="宋体" w:hAnsi="宋体" w:cs="仿宋"/>
          <w:color w:val="auto"/>
          <w:sz w:val="24"/>
          <w:highlight w:val="none"/>
        </w:rPr>
        <w:t>：</w:t>
      </w:r>
    </w:p>
    <w:p w14:paraId="7383B4F4">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我方</w:t>
      </w:r>
      <w:r>
        <w:rPr>
          <w:rFonts w:hint="eastAsia" w:ascii="宋体" w:hAnsi="宋体" w:cs="仿宋"/>
          <w:color w:val="auto"/>
          <w:sz w:val="24"/>
          <w:highlight w:val="none"/>
          <w:u w:val="single"/>
        </w:rPr>
        <w:t>（投标人或联合体牵头人全称）</w:t>
      </w:r>
      <w:r>
        <w:rPr>
          <w:rFonts w:hint="eastAsia" w:ascii="宋体" w:hAnsi="宋体" w:cs="仿宋"/>
          <w:color w:val="auto"/>
          <w:sz w:val="24"/>
          <w:highlight w:val="none"/>
        </w:rPr>
        <w:t>愿意参加贵方组织的</w:t>
      </w:r>
      <w:r>
        <w:rPr>
          <w:rFonts w:hint="eastAsia" w:ascii="宋体" w:hAnsi="宋体" w:cs="仿宋"/>
          <w:color w:val="auto"/>
          <w:sz w:val="24"/>
          <w:highlight w:val="none"/>
          <w:u w:val="single"/>
        </w:rPr>
        <w:t>（招标项目名称及编号）</w:t>
      </w:r>
      <w:r>
        <w:rPr>
          <w:rFonts w:hint="eastAsia" w:ascii="宋体" w:hAnsi="宋体" w:cs="仿宋"/>
          <w:color w:val="auto"/>
          <w:sz w:val="24"/>
          <w:highlight w:val="none"/>
        </w:rPr>
        <w:t>的投标，为此，我方就本次投标有关事项郑重声明如下：</w:t>
      </w:r>
    </w:p>
    <w:p w14:paraId="60A61385">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1、我方承诺已经具备《中华人民共和国政府采购法》中规定的参加政府采购活动的供应商应当具备的条件。</w:t>
      </w:r>
    </w:p>
    <w:p w14:paraId="1BD47795">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14:paraId="3116166D">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3、不存在以下情况：</w:t>
      </w:r>
    </w:p>
    <w:p w14:paraId="7DA32633">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（1）单位负责人为同一人或者存在直接控股、管理关系的不同供应商参加同一合同项下的政府采购活动的；</w:t>
      </w:r>
    </w:p>
    <w:p w14:paraId="47BC0584">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（2）为采购项目提供整体设计、规范编制或者项目管理、监理、检测等服务后再参加该采购项目的其他采购活动的。</w:t>
      </w:r>
    </w:p>
    <w:p w14:paraId="7EEFCB3B">
      <w:pPr>
        <w:shd w:val="clear"/>
        <w:snapToGrid w:val="0"/>
        <w:spacing w:line="360" w:lineRule="auto"/>
        <w:ind w:firstLine="480" w:firstLineChars="200"/>
        <w:rPr>
          <w:rFonts w:ascii="宋体" w:hAnsi="宋体" w:cs="仿宋"/>
          <w:color w:val="auto"/>
          <w:sz w:val="24"/>
          <w:highlight w:val="none"/>
        </w:rPr>
      </w:pPr>
    </w:p>
    <w:p w14:paraId="38CA8388">
      <w:pPr>
        <w:shd w:val="clear"/>
        <w:snapToGrid w:val="0"/>
        <w:spacing w:line="360" w:lineRule="auto"/>
        <w:ind w:firstLine="480" w:firstLineChars="200"/>
        <w:rPr>
          <w:rFonts w:ascii="宋体" w:hAnsi="宋体" w:cs="仿宋"/>
          <w:color w:val="auto"/>
          <w:sz w:val="24"/>
          <w:highlight w:val="none"/>
        </w:rPr>
      </w:pPr>
    </w:p>
    <w:p w14:paraId="6A93B46A">
      <w:pPr>
        <w:shd w:val="clea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lang w:val="zh-CN"/>
        </w:rPr>
        <w:t>联系人：联系电话：传真号码：</w:t>
      </w:r>
    </w:p>
    <w:p w14:paraId="30475507">
      <w:pPr>
        <w:shd w:val="clear"/>
        <w:snapToGrid w:val="0"/>
        <w:spacing w:line="360" w:lineRule="auto"/>
        <w:ind w:left="420" w:leftChars="200"/>
        <w:rPr>
          <w:rFonts w:ascii="宋体" w:hAnsi="宋体" w:cs="仿宋"/>
          <w:color w:val="auto"/>
          <w:kern w:val="0"/>
          <w:sz w:val="24"/>
          <w:highlight w:val="none"/>
        </w:rPr>
      </w:pPr>
      <w:r>
        <w:rPr>
          <w:rFonts w:hint="eastAsia" w:ascii="宋体" w:hAnsi="宋体" w:cs="仿宋"/>
          <w:color w:val="auto"/>
          <w:kern w:val="0"/>
          <w:sz w:val="24"/>
          <w:highlight w:val="none"/>
          <w:lang w:val="zh-CN"/>
        </w:rPr>
        <w:t>联系地址：邮政编码：</w:t>
      </w:r>
    </w:p>
    <w:p w14:paraId="0EAC962D">
      <w:pPr>
        <w:shd w:val="clear"/>
        <w:snapToGrid w:val="0"/>
        <w:spacing w:line="360" w:lineRule="auto"/>
        <w:ind w:firstLine="5040" w:firstLineChars="2100"/>
        <w:rPr>
          <w:rFonts w:ascii="宋体" w:hAnsi="宋体" w:cs="仿宋"/>
          <w:color w:val="auto"/>
          <w:kern w:val="0"/>
          <w:sz w:val="24"/>
          <w:highlight w:val="none"/>
          <w:lang w:val="zh-CN"/>
        </w:rPr>
      </w:pPr>
    </w:p>
    <w:p w14:paraId="16FE8CD0">
      <w:pPr>
        <w:shd w:val="clear"/>
        <w:snapToGrid w:val="0"/>
        <w:spacing w:line="360" w:lineRule="auto"/>
        <w:ind w:firstLine="5040" w:firstLineChars="2100"/>
        <w:rPr>
          <w:rFonts w:ascii="宋体" w:hAnsi="宋体" w:cs="仿宋"/>
          <w:color w:val="auto"/>
          <w:kern w:val="0"/>
          <w:sz w:val="24"/>
          <w:highlight w:val="none"/>
          <w:lang w:val="zh-CN"/>
        </w:rPr>
      </w:pPr>
    </w:p>
    <w:p w14:paraId="7E78024E">
      <w:pPr>
        <w:shd w:val="clear"/>
        <w:snapToGrid w:val="0"/>
        <w:spacing w:line="360" w:lineRule="auto"/>
        <w:ind w:firstLine="5040" w:firstLineChars="2100"/>
        <w:rPr>
          <w:rFonts w:ascii="宋体" w:hAnsi="宋体" w:cs="仿宋"/>
          <w:color w:val="auto"/>
          <w:kern w:val="0"/>
          <w:sz w:val="24"/>
          <w:highlight w:val="none"/>
          <w:lang w:val="zh-CN"/>
        </w:rPr>
      </w:pPr>
    </w:p>
    <w:p w14:paraId="76C675E9">
      <w:pPr>
        <w:shd w:val="clear"/>
        <w:snapToGrid w:val="0"/>
        <w:spacing w:line="360" w:lineRule="auto"/>
        <w:ind w:firstLine="5040" w:firstLineChars="2100"/>
        <w:rPr>
          <w:rFonts w:ascii="宋体" w:hAnsi="宋体" w:cs="仿宋"/>
          <w:color w:val="auto"/>
          <w:kern w:val="0"/>
          <w:sz w:val="24"/>
          <w:highlight w:val="none"/>
        </w:rPr>
      </w:pPr>
      <w:r>
        <w:rPr>
          <w:rFonts w:hint="eastAsia" w:ascii="宋体" w:hAnsi="宋体" w:cs="仿宋"/>
          <w:color w:val="auto"/>
          <w:kern w:val="0"/>
          <w:sz w:val="24"/>
          <w:highlight w:val="none"/>
          <w:lang w:val="zh-CN"/>
        </w:rPr>
        <w:t>投标人名称(电子签名)：</w:t>
      </w:r>
    </w:p>
    <w:p w14:paraId="52A5D324">
      <w:pPr>
        <w:shd w:val="clear"/>
        <w:snapToGrid w:val="0"/>
        <w:spacing w:line="360" w:lineRule="auto"/>
        <w:ind w:firstLine="5160" w:firstLineChars="215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日期</w:t>
      </w:r>
      <w:r>
        <w:rPr>
          <w:rFonts w:hint="eastAsia" w:ascii="宋体" w:hAnsi="宋体" w:cs="仿宋"/>
          <w:color w:val="auto"/>
          <w:kern w:val="0"/>
          <w:sz w:val="24"/>
          <w:highlight w:val="none"/>
        </w:rPr>
        <w:t xml:space="preserve">：  年  </w:t>
      </w:r>
      <w:r>
        <w:rPr>
          <w:rFonts w:hint="eastAsia" w:ascii="宋体" w:hAnsi="宋体" w:cs="仿宋"/>
          <w:color w:val="auto"/>
          <w:kern w:val="0"/>
          <w:sz w:val="24"/>
          <w:highlight w:val="none"/>
          <w:lang w:val="zh-CN"/>
        </w:rPr>
        <w:t>月日</w:t>
      </w:r>
    </w:p>
    <w:p w14:paraId="435F8DA2">
      <w:pPr>
        <w:shd w:val="clear"/>
        <w:snapToGrid w:val="0"/>
        <w:spacing w:line="360" w:lineRule="auto"/>
        <w:outlineLvl w:val="0"/>
        <w:rPr>
          <w:rFonts w:ascii="宋体" w:hAnsi="宋体" w:cs="仿宋"/>
          <w:b/>
          <w:color w:val="auto"/>
          <w:kern w:val="0"/>
          <w:sz w:val="32"/>
          <w:szCs w:val="32"/>
          <w:highlight w:val="none"/>
        </w:rPr>
      </w:pPr>
    </w:p>
    <w:p w14:paraId="75E0E3D8">
      <w:pPr>
        <w:shd w:val="clear"/>
        <w:snapToGrid w:val="0"/>
        <w:spacing w:line="360" w:lineRule="auto"/>
        <w:jc w:val="center"/>
        <w:outlineLvl w:val="0"/>
        <w:rPr>
          <w:rFonts w:ascii="宋体" w:hAnsi="宋体" w:cs="仿宋"/>
          <w:b/>
          <w:color w:val="auto"/>
          <w:kern w:val="0"/>
          <w:sz w:val="32"/>
          <w:szCs w:val="32"/>
          <w:highlight w:val="none"/>
        </w:rPr>
      </w:pPr>
    </w:p>
    <w:p w14:paraId="28F2FEE5">
      <w:pPr>
        <w:pStyle w:val="2"/>
        <w:shd w:val="clear"/>
        <w:ind w:left="0" w:firstLine="0"/>
        <w:rPr>
          <w:rFonts w:ascii="宋体" w:hAnsi="宋体" w:eastAsia="宋体" w:cs="仿宋"/>
          <w:color w:val="auto"/>
          <w:highlight w:val="none"/>
        </w:rPr>
      </w:pPr>
    </w:p>
    <w:p w14:paraId="397D85BA">
      <w:pPr>
        <w:shd w:val="clear"/>
        <w:snapToGrid w:val="0"/>
        <w:spacing w:line="360" w:lineRule="auto"/>
        <w:jc w:val="center"/>
        <w:outlineLvl w:val="0"/>
        <w:rPr>
          <w:rFonts w:ascii="宋体" w:hAnsi="宋体" w:cs="仿宋"/>
          <w:b/>
          <w:color w:val="auto"/>
          <w:kern w:val="0"/>
          <w:sz w:val="32"/>
          <w:szCs w:val="32"/>
          <w:highlight w:val="none"/>
        </w:rPr>
      </w:pPr>
    </w:p>
    <w:p w14:paraId="6E2EA6C8">
      <w:pPr>
        <w:shd w:val="clear"/>
        <w:snapToGrid w:val="0"/>
        <w:spacing w:line="360" w:lineRule="auto"/>
        <w:jc w:val="center"/>
        <w:outlineLvl w:val="0"/>
        <w:rPr>
          <w:rFonts w:ascii="宋体" w:hAnsi="宋体" w:cs="仿宋"/>
          <w:b/>
          <w:color w:val="auto"/>
          <w:kern w:val="0"/>
          <w:sz w:val="32"/>
          <w:szCs w:val="32"/>
          <w:highlight w:val="none"/>
        </w:rPr>
      </w:pPr>
    </w:p>
    <w:p w14:paraId="4658382E">
      <w:pPr>
        <w:shd w:val="clear"/>
        <w:snapToGrid w:val="0"/>
        <w:spacing w:line="360" w:lineRule="auto"/>
        <w:jc w:val="center"/>
        <w:outlineLvl w:val="0"/>
        <w:rPr>
          <w:rFonts w:ascii="宋体" w:hAnsi="宋体" w:cs="仿宋"/>
          <w:b/>
          <w:color w:val="auto"/>
          <w:kern w:val="0"/>
          <w:sz w:val="32"/>
          <w:szCs w:val="32"/>
          <w:highlight w:val="none"/>
        </w:rPr>
      </w:pPr>
      <w:r>
        <w:rPr>
          <w:rFonts w:hint="eastAsia" w:ascii="宋体" w:hAnsi="宋体" w:cs="仿宋"/>
          <w:b/>
          <w:color w:val="auto"/>
          <w:kern w:val="0"/>
          <w:sz w:val="32"/>
          <w:szCs w:val="32"/>
          <w:highlight w:val="none"/>
        </w:rPr>
        <w:t>三、联合体协议书（如有）</w:t>
      </w:r>
    </w:p>
    <w:p w14:paraId="43F496B5">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甲方：</w:t>
      </w:r>
    </w:p>
    <w:p w14:paraId="6E5EA6B3">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乙方：</w:t>
      </w:r>
    </w:p>
    <w:p w14:paraId="66C6BA0F">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（如果有的话，可按甲、乙、丙、丁…序列增加）</w:t>
      </w:r>
    </w:p>
    <w:p w14:paraId="68F4BEAD">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各方经协商，就响应</w:t>
      </w:r>
      <w:r>
        <w:rPr>
          <w:rFonts w:hint="eastAsia" w:ascii="宋体" w:hAnsi="宋体" w:cs="仿宋"/>
          <w:color w:val="auto"/>
          <w:kern w:val="0"/>
          <w:sz w:val="24"/>
          <w:highlight w:val="none"/>
          <w:u w:val="single"/>
          <w:lang w:val="zh-CN"/>
        </w:rPr>
        <w:t>（采购单位或采购代理机构名称）</w:t>
      </w:r>
      <w:r>
        <w:rPr>
          <w:rFonts w:hint="eastAsia" w:ascii="宋体" w:hAnsi="宋体" w:cs="仿宋"/>
          <w:color w:val="auto"/>
          <w:kern w:val="0"/>
          <w:sz w:val="24"/>
          <w:highlight w:val="none"/>
          <w:lang w:val="zh-CN"/>
        </w:rPr>
        <w:t>组织实施的</w:t>
      </w:r>
      <w:r>
        <w:rPr>
          <w:rFonts w:hint="eastAsia" w:ascii="宋体" w:hAnsi="宋体" w:cs="仿宋"/>
          <w:color w:val="auto"/>
          <w:kern w:val="0"/>
          <w:sz w:val="24"/>
          <w:highlight w:val="none"/>
          <w:u w:val="single"/>
          <w:lang w:val="zh-CN"/>
        </w:rPr>
        <w:t xml:space="preserve"> （招标项目名称及编号）</w:t>
      </w:r>
      <w:r>
        <w:rPr>
          <w:rFonts w:hint="eastAsia" w:ascii="宋体" w:hAnsi="宋体" w:cs="仿宋"/>
          <w:color w:val="auto"/>
          <w:kern w:val="0"/>
          <w:sz w:val="24"/>
          <w:highlight w:val="none"/>
          <w:lang w:val="zh-CN"/>
        </w:rPr>
        <w:t>的招标活动联合进行投标之事宜，达成如下协议：</w:t>
      </w:r>
    </w:p>
    <w:p w14:paraId="0B027E58">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一、各方一致决定组成一个联合体，以一个供应商的身份共同参加本项目政府采购。</w:t>
      </w:r>
    </w:p>
    <w:p w14:paraId="6338652E">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二、以</w:t>
      </w:r>
      <w:r>
        <w:rPr>
          <w:rFonts w:hint="eastAsia" w:ascii="宋体" w:hAnsi="宋体" w:cs="仿宋"/>
          <w:color w:val="auto"/>
          <w:kern w:val="0"/>
          <w:sz w:val="24"/>
          <w:highlight w:val="none"/>
          <w:u w:val="single"/>
          <w:lang w:val="zh-CN"/>
        </w:rPr>
        <w:t xml:space="preserve">   （联合体牵头人名称）   </w:t>
      </w:r>
      <w:r>
        <w:rPr>
          <w:rFonts w:hint="eastAsia" w:ascii="宋体" w:hAnsi="宋体" w:cs="仿宋"/>
          <w:color w:val="auto"/>
          <w:kern w:val="0"/>
          <w:sz w:val="24"/>
          <w:highlight w:val="none"/>
          <w:lang w:val="zh-CN"/>
        </w:rPr>
        <w:t>为联合体牵头人，负责包括但不仅限于投标、配合处理质疑投诉等一切和采购活动相关的事宜。</w:t>
      </w:r>
    </w:p>
    <w:p w14:paraId="3B6DD4AF">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三、联合体各方对投标响应文件及开标过程中的各种书面承诺、澄清等均予以认可，对联合投标各方均产生约束力。</w:t>
      </w:r>
    </w:p>
    <w:p w14:paraId="3BF91444">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四、如果中标，联合投标各方共同与征集人签订采购合同，共同履行对征集人所负有的全部义务并就采购合同约定的事项对征集人承担连带责任。</w:t>
      </w:r>
    </w:p>
    <w:p w14:paraId="45915BC1">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五、联合体各方不再单独参加或与其他供应商另外组成联合体参加同一标项（项目）的政府采购活动，否则均被视为无效投标。</w:t>
      </w:r>
    </w:p>
    <w:p w14:paraId="78D59F8A">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六、如果中标，联合体各方在项目实施过程中承担的工作和义务为：</w:t>
      </w:r>
    </w:p>
    <w:p w14:paraId="2F1E44F1">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甲方：…            乙方：…</w:t>
      </w:r>
    </w:p>
    <w:p w14:paraId="42E434C4">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w:t>
      </w:r>
    </w:p>
    <w:p w14:paraId="322E102C">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七、联合体成员中小企业合同份额。</w:t>
      </w:r>
    </w:p>
    <w:p w14:paraId="4691B692">
      <w:pPr>
        <w:shd w:val="clear"/>
        <w:snapToGrid w:val="0"/>
        <w:spacing w:line="360" w:lineRule="auto"/>
        <w:ind w:firstLine="576"/>
        <w:rPr>
          <w:rFonts w:ascii="宋体" w:hAnsi="宋体" w:cs="仿宋"/>
          <w:b/>
          <w:color w:val="auto"/>
          <w:kern w:val="0"/>
          <w:sz w:val="24"/>
          <w:highlight w:val="none"/>
          <w:lang w:val="zh-CN"/>
        </w:rPr>
      </w:pPr>
      <w:r>
        <w:rPr>
          <w:rFonts w:hint="eastAsia" w:ascii="宋体" w:hAnsi="宋体" w:cs="仿宋"/>
          <w:color w:val="auto"/>
          <w:kern w:val="0"/>
          <w:sz w:val="24"/>
          <w:highlight w:val="none"/>
          <w:lang w:val="zh-CN"/>
        </w:rPr>
        <w:t>1、</w:t>
      </w:r>
      <w:r>
        <w:rPr>
          <w:rFonts w:hint="eastAsia" w:ascii="宋体" w:hAnsi="宋体" w:cs="仿宋"/>
          <w:color w:val="auto"/>
          <w:kern w:val="0"/>
          <w:sz w:val="24"/>
          <w:highlight w:val="none"/>
          <w:u w:val="single"/>
        </w:rPr>
        <w:t>（联合体成员X,……）</w:t>
      </w:r>
      <w:r>
        <w:rPr>
          <w:rFonts w:hint="eastAsia" w:ascii="宋体" w:hAnsi="宋体" w:cs="仿宋"/>
          <w:color w:val="auto"/>
          <w:kern w:val="0"/>
          <w:sz w:val="24"/>
          <w:highlight w:val="none"/>
        </w:rPr>
        <w:t>提供的全部货物由小微企业制造，其合同份额占到合同总金额___%以上；</w:t>
      </w:r>
      <w:r>
        <w:rPr>
          <w:rFonts w:hint="eastAsia" w:ascii="宋体" w:hAnsi="宋体" w:cs="仿宋"/>
          <w:color w:val="auto"/>
          <w:kern w:val="0"/>
          <w:sz w:val="24"/>
          <w:highlight w:val="none"/>
          <w:lang w:val="zh-CN"/>
        </w:rPr>
        <w:t>……。</w:t>
      </w:r>
      <w:r>
        <w:rPr>
          <w:rFonts w:hint="eastAsia" w:ascii="宋体" w:hAnsi="宋体"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仿宋"/>
          <w:b/>
          <w:color w:val="auto"/>
          <w:sz w:val="24"/>
          <w:highlight w:val="none"/>
        </w:rPr>
        <w:t>拟享受以上价格扣除政策的，填写有关内容。</w:t>
      </w:r>
      <w:r>
        <w:rPr>
          <w:rFonts w:hint="eastAsia" w:ascii="宋体" w:hAnsi="宋体" w:cs="仿宋"/>
          <w:b/>
          <w:color w:val="auto"/>
          <w:kern w:val="0"/>
          <w:sz w:val="24"/>
          <w:highlight w:val="none"/>
          <w:lang w:val="zh-CN"/>
        </w:rPr>
        <w:t>）</w:t>
      </w:r>
    </w:p>
    <w:p w14:paraId="79E57503">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sz w:val="24"/>
          <w:highlight w:val="none"/>
        </w:rPr>
        <w:t>2、中小企业合同金额达到___%，其中小微企业合同金额达到___%</w:t>
      </w:r>
      <w:r>
        <w:rPr>
          <w:rFonts w:hint="eastAsia" w:ascii="宋体" w:hAnsi="宋体" w:cs="仿宋"/>
          <w:color w:val="auto"/>
          <w:kern w:val="0"/>
          <w:sz w:val="24"/>
          <w:highlight w:val="none"/>
          <w:lang w:val="zh-CN"/>
        </w:rPr>
        <w:t>。</w:t>
      </w:r>
      <w:r>
        <w:rPr>
          <w:rFonts w:hint="eastAsia" w:ascii="宋体" w:hAnsi="宋体" w:cs="仿宋"/>
          <w:b/>
          <w:bCs/>
          <w:color w:val="auto"/>
          <w:kern w:val="0"/>
          <w:sz w:val="24"/>
          <w:highlight w:val="none"/>
          <w:lang w:val="zh-CN"/>
        </w:rPr>
        <w:t>（</w:t>
      </w:r>
      <w:r>
        <w:rPr>
          <w:rFonts w:hint="eastAsia" w:ascii="宋体" w:hAnsi="宋体" w:cs="仿宋"/>
          <w:b/>
          <w:bCs/>
          <w:color w:val="auto"/>
          <w:sz w:val="24"/>
          <w:highlight w:val="none"/>
        </w:rPr>
        <w:t>要求以联合体形式参加的项目或采购包，供应商按征集文件第一部分征集公告申请人的资格要求中规定的联合协议中中小企业、小微企业合同金额应当达到的比例要求填写。</w:t>
      </w:r>
      <w:r>
        <w:rPr>
          <w:rFonts w:hint="eastAsia" w:ascii="宋体" w:hAnsi="宋体" w:cs="仿宋"/>
          <w:b/>
          <w:bCs/>
          <w:color w:val="auto"/>
          <w:kern w:val="0"/>
          <w:sz w:val="24"/>
          <w:highlight w:val="none"/>
          <w:lang w:val="zh-CN"/>
        </w:rPr>
        <w:t>）</w:t>
      </w:r>
    </w:p>
    <w:p w14:paraId="161EFBDA">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八、本协议签约各方各持一份，并作为响应文件的一部分。</w:t>
      </w:r>
    </w:p>
    <w:p w14:paraId="7EF7E8B2">
      <w:pPr>
        <w:shd w:val="clear"/>
        <w:snapToGrid w:val="0"/>
        <w:spacing w:line="360" w:lineRule="auto"/>
        <w:ind w:firstLine="576"/>
        <w:rPr>
          <w:rFonts w:ascii="宋体" w:hAnsi="宋体" w:cs="仿宋"/>
          <w:color w:val="auto"/>
          <w:kern w:val="0"/>
          <w:sz w:val="24"/>
          <w:highlight w:val="none"/>
          <w:lang w:val="zh-CN"/>
        </w:rPr>
      </w:pPr>
    </w:p>
    <w:p w14:paraId="4806B16F">
      <w:pPr>
        <w:shd w:val="clear"/>
        <w:snapToGrid w:val="0"/>
        <w:spacing w:line="360" w:lineRule="auto"/>
        <w:ind w:firstLine="576"/>
        <w:rPr>
          <w:rFonts w:ascii="宋体" w:hAnsi="宋体" w:cs="仿宋"/>
          <w:color w:val="auto"/>
          <w:kern w:val="0"/>
          <w:sz w:val="24"/>
          <w:highlight w:val="none"/>
          <w:lang w:val="zh-CN"/>
        </w:rPr>
      </w:pPr>
    </w:p>
    <w:tbl>
      <w:tblPr>
        <w:tblStyle w:val="60"/>
        <w:tblW w:w="8528" w:type="dxa"/>
        <w:jc w:val="center"/>
        <w:tblLayout w:type="fixed"/>
        <w:tblCellMar>
          <w:top w:w="0" w:type="dxa"/>
          <w:left w:w="108" w:type="dxa"/>
          <w:bottom w:w="0" w:type="dxa"/>
          <w:right w:w="108" w:type="dxa"/>
        </w:tblCellMar>
      </w:tblPr>
      <w:tblGrid>
        <w:gridCol w:w="4264"/>
        <w:gridCol w:w="4264"/>
      </w:tblGrid>
      <w:tr w14:paraId="4AFF0E62">
        <w:tblPrEx>
          <w:tblCellMar>
            <w:top w:w="0" w:type="dxa"/>
            <w:left w:w="108" w:type="dxa"/>
            <w:bottom w:w="0" w:type="dxa"/>
            <w:right w:w="108" w:type="dxa"/>
          </w:tblCellMar>
        </w:tblPrEx>
        <w:trPr>
          <w:jc w:val="center"/>
        </w:trPr>
        <w:tc>
          <w:tcPr>
            <w:tcW w:w="4264" w:type="dxa"/>
          </w:tcPr>
          <w:p w14:paraId="0CFBF092">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甲方单位：       （公章）</w:t>
            </w:r>
          </w:p>
          <w:p w14:paraId="21C47A69">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法定代表人：     （签章）</w:t>
            </w:r>
          </w:p>
          <w:p w14:paraId="784374B8">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日  期：  年  月   日</w:t>
            </w:r>
          </w:p>
        </w:tc>
        <w:tc>
          <w:tcPr>
            <w:tcW w:w="4264" w:type="dxa"/>
          </w:tcPr>
          <w:p w14:paraId="13645264">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乙方单位：       （公章）</w:t>
            </w:r>
          </w:p>
          <w:p w14:paraId="421480CB">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法定代表人：     （签章）</w:t>
            </w:r>
          </w:p>
          <w:p w14:paraId="51C5BDD3">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日  期：  年  月   日</w:t>
            </w:r>
          </w:p>
        </w:tc>
      </w:tr>
    </w:tbl>
    <w:p w14:paraId="105A8665">
      <w:pPr>
        <w:shd w:val="clear"/>
        <w:spacing w:line="360" w:lineRule="auto"/>
        <w:jc w:val="center"/>
        <w:rPr>
          <w:rFonts w:ascii="宋体" w:hAnsi="宋体" w:cs="仿宋"/>
          <w:b/>
          <w:color w:val="auto"/>
          <w:sz w:val="32"/>
          <w:szCs w:val="32"/>
          <w:highlight w:val="none"/>
        </w:rPr>
      </w:pPr>
    </w:p>
    <w:p w14:paraId="761D232E">
      <w:pPr>
        <w:shd w:val="clear"/>
        <w:rPr>
          <w:rFonts w:ascii="宋体" w:hAnsi="宋体" w:cs="仿宋"/>
          <w:b/>
          <w:color w:val="auto"/>
          <w:sz w:val="32"/>
          <w:szCs w:val="32"/>
          <w:highlight w:val="none"/>
        </w:rPr>
      </w:pPr>
    </w:p>
    <w:p w14:paraId="3CB19575">
      <w:pPr>
        <w:shd w:val="clear"/>
        <w:rPr>
          <w:rFonts w:ascii="宋体" w:hAnsi="宋体" w:cs="仿宋"/>
          <w:b/>
          <w:color w:val="auto"/>
          <w:sz w:val="32"/>
          <w:szCs w:val="32"/>
          <w:highlight w:val="none"/>
        </w:rPr>
      </w:pPr>
    </w:p>
    <w:p w14:paraId="57E2E491">
      <w:pPr>
        <w:shd w:val="clear"/>
        <w:rPr>
          <w:rFonts w:ascii="宋体" w:hAnsi="宋体" w:cs="仿宋"/>
          <w:b/>
          <w:color w:val="auto"/>
          <w:sz w:val="32"/>
          <w:szCs w:val="32"/>
          <w:highlight w:val="none"/>
        </w:rPr>
      </w:pPr>
    </w:p>
    <w:p w14:paraId="45F39D94">
      <w:pPr>
        <w:shd w:val="clear"/>
        <w:rPr>
          <w:rFonts w:ascii="宋体" w:hAnsi="宋体" w:cs="仿宋"/>
          <w:b/>
          <w:color w:val="auto"/>
          <w:sz w:val="32"/>
          <w:szCs w:val="32"/>
          <w:highlight w:val="none"/>
        </w:rPr>
      </w:pPr>
    </w:p>
    <w:p w14:paraId="0F4822E5">
      <w:pPr>
        <w:shd w:val="clear"/>
        <w:rPr>
          <w:rFonts w:ascii="宋体" w:hAnsi="宋体" w:cs="仿宋"/>
          <w:b/>
          <w:color w:val="auto"/>
          <w:sz w:val="32"/>
          <w:szCs w:val="32"/>
          <w:highlight w:val="none"/>
        </w:rPr>
      </w:pPr>
    </w:p>
    <w:p w14:paraId="3B63482B">
      <w:pPr>
        <w:shd w:val="clear"/>
        <w:rPr>
          <w:rFonts w:ascii="宋体" w:hAnsi="宋体" w:cs="仿宋"/>
          <w:b/>
          <w:color w:val="auto"/>
          <w:sz w:val="32"/>
          <w:szCs w:val="32"/>
          <w:highlight w:val="none"/>
        </w:rPr>
      </w:pPr>
    </w:p>
    <w:p w14:paraId="4B6DBA02">
      <w:pPr>
        <w:shd w:val="clear"/>
        <w:rPr>
          <w:rFonts w:ascii="宋体" w:hAnsi="宋体" w:cs="仿宋"/>
          <w:b/>
          <w:color w:val="auto"/>
          <w:sz w:val="32"/>
          <w:szCs w:val="32"/>
          <w:highlight w:val="none"/>
        </w:rPr>
      </w:pPr>
    </w:p>
    <w:p w14:paraId="5F496B6B">
      <w:pPr>
        <w:shd w:val="clear"/>
        <w:rPr>
          <w:rFonts w:ascii="宋体" w:hAnsi="宋体" w:cs="仿宋"/>
          <w:b/>
          <w:color w:val="auto"/>
          <w:sz w:val="32"/>
          <w:szCs w:val="32"/>
          <w:highlight w:val="none"/>
        </w:rPr>
      </w:pPr>
    </w:p>
    <w:p w14:paraId="147788CB">
      <w:pPr>
        <w:shd w:val="clear"/>
        <w:rPr>
          <w:rFonts w:ascii="宋体" w:hAnsi="宋体" w:cs="仿宋"/>
          <w:b/>
          <w:color w:val="auto"/>
          <w:sz w:val="32"/>
          <w:szCs w:val="32"/>
          <w:highlight w:val="none"/>
        </w:rPr>
      </w:pPr>
    </w:p>
    <w:p w14:paraId="4441936C">
      <w:pPr>
        <w:shd w:val="clear"/>
        <w:jc w:val="center"/>
        <w:rPr>
          <w:rFonts w:ascii="宋体" w:hAnsi="宋体" w:cs="仿宋"/>
          <w:b/>
          <w:color w:val="auto"/>
          <w:kern w:val="0"/>
          <w:sz w:val="32"/>
          <w:szCs w:val="32"/>
          <w:highlight w:val="none"/>
        </w:rPr>
      </w:pPr>
      <w:r>
        <w:rPr>
          <w:rFonts w:hint="eastAsia" w:ascii="宋体" w:hAnsi="宋体" w:cs="仿宋"/>
          <w:b/>
          <w:color w:val="auto"/>
          <w:sz w:val="32"/>
          <w:szCs w:val="32"/>
          <w:highlight w:val="none"/>
        </w:rPr>
        <w:br w:type="page"/>
      </w:r>
      <w:r>
        <w:rPr>
          <w:rFonts w:hint="eastAsia" w:ascii="宋体" w:hAnsi="宋体" w:cs="仿宋"/>
          <w:b/>
          <w:color w:val="auto"/>
          <w:kern w:val="0"/>
          <w:sz w:val="32"/>
          <w:szCs w:val="32"/>
          <w:highlight w:val="none"/>
        </w:rPr>
        <w:t>四、法定代表人授权委托书</w:t>
      </w:r>
    </w:p>
    <w:p w14:paraId="3EB58D11">
      <w:pPr>
        <w:shd w:val="clear"/>
        <w:snapToGrid w:val="0"/>
        <w:spacing w:line="360" w:lineRule="auto"/>
        <w:rPr>
          <w:rFonts w:ascii="宋体" w:hAnsi="宋体" w:cs="仿宋"/>
          <w:color w:val="auto"/>
          <w:sz w:val="24"/>
          <w:highlight w:val="none"/>
          <w:u w:val="single"/>
        </w:rPr>
      </w:pPr>
    </w:p>
    <w:p w14:paraId="45946C62">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u w:val="single"/>
        </w:rPr>
        <w:t>（采购单位或采购代理机构名称）</w:t>
      </w:r>
      <w:r>
        <w:rPr>
          <w:rFonts w:hint="eastAsia" w:ascii="宋体" w:hAnsi="宋体" w:cs="仿宋"/>
          <w:color w:val="auto"/>
          <w:sz w:val="24"/>
          <w:highlight w:val="none"/>
        </w:rPr>
        <w:t>：</w:t>
      </w:r>
    </w:p>
    <w:p w14:paraId="51291982">
      <w:pPr>
        <w:shd w:val="clear"/>
        <w:snapToGrid w:val="0"/>
        <w:spacing w:line="360" w:lineRule="auto"/>
        <w:ind w:firstLine="576"/>
        <w:rPr>
          <w:rFonts w:ascii="宋体" w:hAnsi="宋体" w:cs="仿宋"/>
          <w:color w:val="auto"/>
          <w:sz w:val="24"/>
          <w:highlight w:val="none"/>
          <w:u w:val="single"/>
        </w:rPr>
      </w:pPr>
      <w:r>
        <w:rPr>
          <w:rFonts w:hint="eastAsia" w:ascii="宋体" w:hAnsi="宋体" w:cs="仿宋"/>
          <w:color w:val="auto"/>
          <w:sz w:val="24"/>
          <w:highlight w:val="none"/>
        </w:rPr>
        <w:t>我</w:t>
      </w:r>
      <w:r>
        <w:rPr>
          <w:rFonts w:hint="eastAsia" w:ascii="宋体" w:hAnsi="宋体" w:cs="仿宋"/>
          <w:color w:val="auto"/>
          <w:sz w:val="24"/>
          <w:highlight w:val="none"/>
          <w:u w:val="single"/>
        </w:rPr>
        <w:t xml:space="preserve">（姓名及身份证号码） </w:t>
      </w:r>
      <w:r>
        <w:rPr>
          <w:rFonts w:hint="eastAsia" w:ascii="宋体" w:hAnsi="宋体" w:cs="仿宋"/>
          <w:color w:val="auto"/>
          <w:sz w:val="24"/>
          <w:highlight w:val="none"/>
        </w:rPr>
        <w:t>系</w:t>
      </w:r>
      <w:r>
        <w:rPr>
          <w:rFonts w:hint="eastAsia" w:ascii="宋体" w:hAnsi="宋体" w:cs="仿宋"/>
          <w:color w:val="auto"/>
          <w:sz w:val="24"/>
          <w:highlight w:val="none"/>
          <w:u w:val="single"/>
        </w:rPr>
        <w:t xml:space="preserve">  （投标人或联合体牵头人全称） </w:t>
      </w:r>
      <w:r>
        <w:rPr>
          <w:rFonts w:hint="eastAsia" w:ascii="宋体" w:hAnsi="宋体" w:cs="仿宋"/>
          <w:color w:val="auto"/>
          <w:sz w:val="24"/>
          <w:highlight w:val="none"/>
        </w:rPr>
        <w:t>的法定代表人，现授权委托本单位在职职工</w:t>
      </w:r>
      <w:r>
        <w:rPr>
          <w:rFonts w:hint="eastAsia" w:ascii="宋体" w:hAnsi="宋体" w:cs="仿宋"/>
          <w:color w:val="auto"/>
          <w:sz w:val="24"/>
          <w:highlight w:val="none"/>
          <w:u w:val="single"/>
        </w:rPr>
        <w:t>（姓名）</w:t>
      </w:r>
      <w:r>
        <w:rPr>
          <w:rFonts w:hint="eastAsia" w:ascii="宋体" w:hAnsi="宋体" w:cs="仿宋"/>
          <w:color w:val="auto"/>
          <w:kern w:val="0"/>
          <w:sz w:val="24"/>
          <w:highlight w:val="none"/>
          <w:lang w:val="zh-CN"/>
        </w:rPr>
        <w:t>(其身份证号码：联系电话：手机：传真：)，以我方的名义参加</w:t>
      </w:r>
      <w:r>
        <w:rPr>
          <w:rFonts w:hint="eastAsia" w:ascii="宋体" w:hAnsi="宋体" w:cs="仿宋"/>
          <w:color w:val="auto"/>
          <w:sz w:val="24"/>
          <w:highlight w:val="none"/>
          <w:u w:val="single"/>
        </w:rPr>
        <w:t>（招标项目名称及编号）</w:t>
      </w:r>
      <w:r>
        <w:rPr>
          <w:rFonts w:hint="eastAsia" w:ascii="宋体" w:hAnsi="宋体" w:cs="仿宋"/>
          <w:color w:val="auto"/>
          <w:kern w:val="0"/>
          <w:sz w:val="24"/>
          <w:highlight w:val="none"/>
          <w:lang w:val="zh-CN"/>
        </w:rPr>
        <w:t>的投标活动，并代表我方全权办理针对上述项目投标、开标、评标、签约等具体事务和签署相关文件。我方对授权代表的签名事项负全部责任。</w:t>
      </w:r>
    </w:p>
    <w:p w14:paraId="7A784B6B">
      <w:pPr>
        <w:shd w:val="clear"/>
        <w:snapToGrid w:val="0"/>
        <w:spacing w:line="360" w:lineRule="auto"/>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 xml:space="preserve">    在撤销授权的书面通知以前，本授权书一直有效。全权代表在授权书有效期内签署的所有文件不因授权的撤销而失效。</w:t>
      </w:r>
    </w:p>
    <w:p w14:paraId="30B85431">
      <w:pPr>
        <w:shd w:val="clea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lang w:val="zh-CN"/>
        </w:rPr>
        <w:t xml:space="preserve">    授权代表无转委托权。特此委托</w:t>
      </w:r>
    </w:p>
    <w:p w14:paraId="147475D6">
      <w:pPr>
        <w:shd w:val="clear"/>
        <w:snapToGrid w:val="0"/>
        <w:spacing w:line="360" w:lineRule="auto"/>
        <w:ind w:firstLine="5040" w:firstLineChars="2100"/>
        <w:rPr>
          <w:rFonts w:ascii="宋体" w:hAnsi="宋体" w:cs="仿宋"/>
          <w:color w:val="auto"/>
          <w:kern w:val="0"/>
          <w:sz w:val="24"/>
          <w:highlight w:val="none"/>
        </w:rPr>
      </w:pPr>
      <w:r>
        <w:rPr>
          <w:rFonts w:hint="eastAsia" w:ascii="宋体" w:hAnsi="宋体" w:cs="仿宋"/>
          <w:color w:val="auto"/>
          <w:kern w:val="0"/>
          <w:sz w:val="24"/>
          <w:highlight w:val="none"/>
          <w:lang w:val="zh-CN"/>
        </w:rPr>
        <w:t>投标人名称(电子签名)：</w:t>
      </w:r>
    </w:p>
    <w:p w14:paraId="301C07E2">
      <w:pPr>
        <w:shd w:val="clear"/>
        <w:snapToGrid w:val="0"/>
        <w:spacing w:line="360" w:lineRule="auto"/>
        <w:ind w:firstLine="5160" w:firstLineChars="215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日期</w:t>
      </w:r>
      <w:r>
        <w:rPr>
          <w:rFonts w:hint="eastAsia" w:ascii="宋体" w:hAnsi="宋体" w:cs="仿宋"/>
          <w:color w:val="auto"/>
          <w:kern w:val="0"/>
          <w:sz w:val="24"/>
          <w:highlight w:val="none"/>
        </w:rPr>
        <w:t xml:space="preserve">：  年  </w:t>
      </w:r>
      <w:r>
        <w:rPr>
          <w:rFonts w:hint="eastAsia" w:ascii="宋体" w:hAnsi="宋体" w:cs="仿宋"/>
          <w:color w:val="auto"/>
          <w:kern w:val="0"/>
          <w:sz w:val="24"/>
          <w:highlight w:val="none"/>
          <w:lang w:val="zh-CN"/>
        </w:rPr>
        <w:t>月日</w:t>
      </w:r>
    </w:p>
    <w:p w14:paraId="04086D77">
      <w:pPr>
        <w:shd w:val="clear"/>
        <w:tabs>
          <w:tab w:val="left" w:pos="6603"/>
        </w:tabs>
        <w:snapToGrid w:val="0"/>
        <w:spacing w:line="360" w:lineRule="auto"/>
        <w:ind w:firstLine="5160" w:firstLineChars="215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ab/>
      </w:r>
    </w:p>
    <w:p w14:paraId="5A2F8893">
      <w:pPr>
        <w:shd w:val="clear"/>
        <w:spacing w:line="360" w:lineRule="auto"/>
        <w:jc w:val="center"/>
        <w:rPr>
          <w:rFonts w:ascii="宋体" w:hAnsi="宋体" w:cs="仿宋"/>
          <w:b/>
          <w:color w:val="auto"/>
          <w:sz w:val="32"/>
          <w:szCs w:val="32"/>
          <w:highlight w:val="none"/>
        </w:rPr>
      </w:pPr>
    </w:p>
    <w:p w14:paraId="4104D37B">
      <w:pPr>
        <w:shd w:val="clear"/>
        <w:spacing w:line="360" w:lineRule="auto"/>
        <w:jc w:val="center"/>
        <w:rPr>
          <w:rFonts w:ascii="宋体" w:hAnsi="宋体" w:cs="仿宋"/>
          <w:b/>
          <w:color w:val="auto"/>
          <w:sz w:val="32"/>
          <w:szCs w:val="32"/>
          <w:highlight w:val="none"/>
        </w:rPr>
      </w:pPr>
    </w:p>
    <w:p w14:paraId="4F3739F7">
      <w:pPr>
        <w:shd w:val="clear"/>
        <w:spacing w:line="360" w:lineRule="auto"/>
        <w:jc w:val="center"/>
        <w:rPr>
          <w:rFonts w:ascii="宋体" w:hAnsi="宋体" w:cs="仿宋"/>
          <w:b/>
          <w:color w:val="auto"/>
          <w:sz w:val="32"/>
          <w:szCs w:val="32"/>
          <w:highlight w:val="none"/>
        </w:rPr>
      </w:pPr>
    </w:p>
    <w:p w14:paraId="36CA6C27">
      <w:pPr>
        <w:shd w:val="clear"/>
        <w:spacing w:line="360" w:lineRule="auto"/>
        <w:jc w:val="center"/>
        <w:rPr>
          <w:rFonts w:ascii="宋体" w:hAnsi="宋体" w:cs="仿宋"/>
          <w:b/>
          <w:color w:val="auto"/>
          <w:sz w:val="32"/>
          <w:szCs w:val="32"/>
          <w:highlight w:val="none"/>
        </w:rPr>
      </w:pPr>
    </w:p>
    <w:p w14:paraId="059318C0">
      <w:pPr>
        <w:shd w:val="clear"/>
        <w:spacing w:line="360" w:lineRule="auto"/>
        <w:jc w:val="center"/>
        <w:rPr>
          <w:rFonts w:ascii="宋体" w:hAnsi="宋体" w:cs="仿宋"/>
          <w:b/>
          <w:color w:val="auto"/>
          <w:sz w:val="32"/>
          <w:szCs w:val="32"/>
          <w:highlight w:val="none"/>
        </w:rPr>
      </w:pPr>
    </w:p>
    <w:p w14:paraId="05E54058">
      <w:pPr>
        <w:shd w:val="clear"/>
        <w:spacing w:line="360" w:lineRule="auto"/>
        <w:jc w:val="center"/>
        <w:rPr>
          <w:rFonts w:ascii="宋体" w:hAnsi="宋体" w:cs="仿宋"/>
          <w:b/>
          <w:color w:val="auto"/>
          <w:sz w:val="32"/>
          <w:szCs w:val="32"/>
          <w:highlight w:val="none"/>
        </w:rPr>
      </w:pPr>
    </w:p>
    <w:p w14:paraId="3D606E28">
      <w:pPr>
        <w:shd w:val="clear"/>
        <w:spacing w:line="360" w:lineRule="auto"/>
        <w:jc w:val="center"/>
        <w:rPr>
          <w:rFonts w:ascii="宋体" w:hAnsi="宋体" w:cs="仿宋"/>
          <w:b/>
          <w:color w:val="auto"/>
          <w:sz w:val="32"/>
          <w:szCs w:val="32"/>
          <w:highlight w:val="none"/>
        </w:rPr>
      </w:pPr>
    </w:p>
    <w:p w14:paraId="71CCB5E8">
      <w:pPr>
        <w:shd w:val="clear"/>
        <w:spacing w:line="360" w:lineRule="auto"/>
        <w:jc w:val="center"/>
        <w:rPr>
          <w:rFonts w:ascii="宋体" w:hAnsi="宋体" w:cs="仿宋"/>
          <w:b/>
          <w:color w:val="auto"/>
          <w:sz w:val="32"/>
          <w:szCs w:val="32"/>
          <w:highlight w:val="none"/>
        </w:rPr>
      </w:pPr>
    </w:p>
    <w:p w14:paraId="56C6365C">
      <w:pPr>
        <w:shd w:val="clear"/>
        <w:spacing w:line="360" w:lineRule="auto"/>
        <w:jc w:val="center"/>
        <w:rPr>
          <w:rFonts w:ascii="宋体" w:hAnsi="宋体" w:cs="仿宋"/>
          <w:b/>
          <w:color w:val="auto"/>
          <w:sz w:val="32"/>
          <w:szCs w:val="32"/>
          <w:highlight w:val="none"/>
        </w:rPr>
      </w:pPr>
    </w:p>
    <w:p w14:paraId="2BA2F7F1">
      <w:pPr>
        <w:shd w:val="clear"/>
        <w:spacing w:line="360" w:lineRule="auto"/>
        <w:jc w:val="center"/>
        <w:rPr>
          <w:rFonts w:ascii="宋体" w:hAnsi="宋体" w:cs="仿宋"/>
          <w:b/>
          <w:color w:val="auto"/>
          <w:sz w:val="32"/>
          <w:szCs w:val="32"/>
          <w:highlight w:val="none"/>
        </w:rPr>
      </w:pPr>
    </w:p>
    <w:p w14:paraId="78529BAE">
      <w:pPr>
        <w:shd w:val="clear"/>
        <w:spacing w:line="360" w:lineRule="auto"/>
        <w:jc w:val="center"/>
        <w:rPr>
          <w:rFonts w:ascii="宋体" w:hAnsi="宋体" w:cs="仿宋"/>
          <w:b/>
          <w:color w:val="auto"/>
          <w:sz w:val="32"/>
          <w:szCs w:val="32"/>
          <w:highlight w:val="none"/>
        </w:rPr>
      </w:pPr>
    </w:p>
    <w:p w14:paraId="6D622FCB">
      <w:pPr>
        <w:shd w:val="clear"/>
        <w:spacing w:line="360" w:lineRule="auto"/>
        <w:jc w:val="center"/>
        <w:rPr>
          <w:rFonts w:ascii="宋体" w:hAnsi="宋体" w:cs="仿宋"/>
          <w:b/>
          <w:color w:val="auto"/>
          <w:kern w:val="0"/>
          <w:sz w:val="32"/>
          <w:szCs w:val="32"/>
          <w:highlight w:val="none"/>
        </w:rPr>
      </w:pPr>
      <w:r>
        <w:rPr>
          <w:rFonts w:hint="eastAsia" w:ascii="宋体" w:hAnsi="宋体" w:cs="仿宋"/>
          <w:b/>
          <w:color w:val="auto"/>
          <w:sz w:val="32"/>
          <w:szCs w:val="32"/>
          <w:highlight w:val="none"/>
        </w:rPr>
        <w:br w:type="page"/>
      </w:r>
      <w:r>
        <w:rPr>
          <w:rFonts w:hint="eastAsia" w:ascii="宋体" w:hAnsi="宋体" w:cs="仿宋"/>
          <w:b/>
          <w:color w:val="auto"/>
          <w:kern w:val="0"/>
          <w:sz w:val="32"/>
          <w:szCs w:val="32"/>
          <w:highlight w:val="none"/>
        </w:rPr>
        <w:t>五、法定代表人及其授权代表的身份证（复印件）</w:t>
      </w:r>
    </w:p>
    <w:p w14:paraId="44B7B310">
      <w:pPr>
        <w:widowControl/>
        <w:shd w:val="clear"/>
        <w:spacing w:line="360" w:lineRule="auto"/>
        <w:jc w:val="left"/>
        <w:rPr>
          <w:rFonts w:ascii="宋体" w:hAnsi="宋体" w:cs="仿宋"/>
          <w:color w:val="auto"/>
          <w:sz w:val="24"/>
          <w:highlight w:val="none"/>
        </w:rPr>
      </w:pPr>
    </w:p>
    <w:p w14:paraId="7529E0A3">
      <w:pPr>
        <w:shd w:val="clear"/>
        <w:spacing w:line="360" w:lineRule="auto"/>
        <w:jc w:val="center"/>
        <w:rPr>
          <w:rFonts w:ascii="宋体" w:hAnsi="宋体" w:cs="仿宋"/>
          <w:strike/>
          <w:color w:val="auto"/>
          <w:sz w:val="24"/>
          <w:highlight w:val="none"/>
        </w:rPr>
      </w:pPr>
    </w:p>
    <w:p w14:paraId="12D54397">
      <w:pPr>
        <w:pStyle w:val="2"/>
        <w:shd w:val="clear"/>
        <w:ind w:left="0" w:firstLine="0"/>
        <w:rPr>
          <w:rFonts w:ascii="宋体" w:hAnsi="宋体" w:eastAsia="宋体"/>
          <w:color w:val="auto"/>
          <w:highlight w:val="none"/>
        </w:rPr>
      </w:pPr>
    </w:p>
    <w:p w14:paraId="114EEE64">
      <w:pPr>
        <w:shd w:val="clear"/>
        <w:spacing w:line="360" w:lineRule="auto"/>
        <w:jc w:val="center"/>
        <w:rPr>
          <w:rFonts w:ascii="宋体" w:hAnsi="宋体" w:cs="仿宋"/>
          <w:b/>
          <w:color w:val="auto"/>
          <w:sz w:val="32"/>
          <w:szCs w:val="32"/>
          <w:highlight w:val="none"/>
        </w:rPr>
      </w:pPr>
    </w:p>
    <w:p w14:paraId="52E838B5">
      <w:pPr>
        <w:shd w:val="clear"/>
        <w:spacing w:line="360" w:lineRule="auto"/>
        <w:jc w:val="center"/>
        <w:rPr>
          <w:rFonts w:ascii="宋体" w:hAnsi="宋体" w:cs="仿宋"/>
          <w:b/>
          <w:color w:val="auto"/>
          <w:sz w:val="32"/>
          <w:szCs w:val="32"/>
          <w:highlight w:val="none"/>
        </w:rPr>
      </w:pPr>
      <w:r>
        <w:rPr>
          <w:rFonts w:hint="eastAsia" w:ascii="宋体" w:hAnsi="宋体" w:cs="仿宋"/>
          <w:b/>
          <w:color w:val="auto"/>
          <w:sz w:val="32"/>
          <w:szCs w:val="32"/>
          <w:highlight w:val="none"/>
        </w:rPr>
        <w:t>六、符合特定资格条件（如果项目要求）</w:t>
      </w:r>
    </w:p>
    <w:p w14:paraId="46C2D91E">
      <w:pPr>
        <w:shd w:val="clear"/>
        <w:spacing w:line="360" w:lineRule="auto"/>
        <w:jc w:val="center"/>
        <w:rPr>
          <w:rFonts w:ascii="宋体" w:hAnsi="宋体" w:cs="仿宋"/>
          <w:b/>
          <w:color w:val="auto"/>
          <w:sz w:val="32"/>
          <w:szCs w:val="32"/>
          <w:highlight w:val="none"/>
        </w:rPr>
      </w:pPr>
      <w:r>
        <w:rPr>
          <w:rFonts w:hint="eastAsia" w:ascii="宋体" w:hAnsi="宋体" w:cs="仿宋"/>
          <w:b/>
          <w:color w:val="auto"/>
          <w:sz w:val="32"/>
          <w:szCs w:val="32"/>
          <w:highlight w:val="none"/>
        </w:rPr>
        <w:t>的有关证明材料（复印件）</w:t>
      </w:r>
    </w:p>
    <w:p w14:paraId="33CEC12C">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（由投标人根据征集公告合格的投标人应具备的特定资格要求编制；如果本项目没有设置特定资格条件，则不需要提供）</w:t>
      </w:r>
    </w:p>
    <w:p w14:paraId="59A6A2F4">
      <w:pPr>
        <w:shd w:val="clear"/>
        <w:spacing w:line="360" w:lineRule="auto"/>
        <w:outlineLvl w:val="0"/>
        <w:rPr>
          <w:rFonts w:ascii="宋体" w:hAnsi="宋体" w:cs="仿宋"/>
          <w:color w:val="auto"/>
          <w:sz w:val="24"/>
          <w:highlight w:val="none"/>
        </w:rPr>
      </w:pPr>
    </w:p>
    <w:p w14:paraId="6CD3FE4D">
      <w:pPr>
        <w:pStyle w:val="2"/>
        <w:shd w:val="clear"/>
        <w:ind w:left="0" w:firstLine="0"/>
        <w:rPr>
          <w:rFonts w:ascii="宋体" w:hAnsi="宋体" w:eastAsia="宋体"/>
          <w:color w:val="auto"/>
          <w:highlight w:val="none"/>
        </w:rPr>
      </w:pPr>
    </w:p>
    <w:p w14:paraId="7291A8A0">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02882A59">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4A59B94A">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25CA17B0">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18363D77">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440FDA45">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55D8F740">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593A1103">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3E619DDF">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696DDB9A">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557F6811">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189DAC1E">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1B452468">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60A2E169">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4C3D0F13">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6EDED7C2">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606A8AF7">
      <w:pPr>
        <w:pStyle w:val="302"/>
        <w:keepNext w:val="0"/>
        <w:pageBreakBefore w:val="0"/>
        <w:shd w:val="clear"/>
        <w:tabs>
          <w:tab w:val="clear" w:pos="720"/>
        </w:tabs>
        <w:snapToGrid w:val="0"/>
        <w:outlineLvl w:val="9"/>
        <w:rPr>
          <w:rFonts w:ascii="宋体" w:hAnsi="宋体" w:eastAsia="宋体"/>
          <w:color w:val="auto"/>
          <w:highlight w:val="none"/>
        </w:rPr>
        <w:sectPr>
          <w:pgSz w:w="11906" w:h="16838"/>
          <w:pgMar w:top="1247" w:right="1418" w:bottom="1276" w:left="1418" w:header="851" w:footer="992" w:gutter="0"/>
          <w:cols w:space="720" w:num="1"/>
          <w:titlePg/>
          <w:docGrid w:linePitch="312" w:charSpace="0"/>
        </w:sectPr>
      </w:pPr>
    </w:p>
    <w:p w14:paraId="281E6878">
      <w:pPr>
        <w:shd w:val="clear"/>
        <w:spacing w:line="360" w:lineRule="auto"/>
        <w:jc w:val="center"/>
        <w:outlineLvl w:val="0"/>
        <w:rPr>
          <w:rFonts w:ascii="宋体" w:hAnsi="宋体" w:cs="仿宋"/>
          <w:b/>
          <w:color w:val="auto"/>
          <w:kern w:val="0"/>
          <w:sz w:val="36"/>
          <w:szCs w:val="36"/>
          <w:highlight w:val="none"/>
        </w:rPr>
      </w:pPr>
      <w:r>
        <w:rPr>
          <w:rFonts w:hint="eastAsia" w:ascii="宋体" w:hAnsi="宋体" w:cs="仿宋"/>
          <w:b/>
          <w:color w:val="auto"/>
          <w:kern w:val="0"/>
          <w:sz w:val="36"/>
          <w:szCs w:val="36"/>
          <w:highlight w:val="none"/>
        </w:rPr>
        <w:t>商务技术文件部分</w:t>
      </w:r>
    </w:p>
    <w:p w14:paraId="001BECD7">
      <w:pPr>
        <w:shd w:val="clear"/>
        <w:spacing w:line="360" w:lineRule="auto"/>
        <w:jc w:val="center"/>
        <w:outlineLvl w:val="0"/>
        <w:rPr>
          <w:rFonts w:ascii="宋体" w:hAnsi="宋体" w:cs="仿宋"/>
          <w:b/>
          <w:color w:val="auto"/>
          <w:kern w:val="0"/>
          <w:sz w:val="24"/>
          <w:highlight w:val="none"/>
        </w:rPr>
      </w:pPr>
    </w:p>
    <w:p w14:paraId="3C8B91F8">
      <w:pPr>
        <w:shd w:val="clear"/>
        <w:spacing w:line="360" w:lineRule="auto"/>
        <w:jc w:val="center"/>
        <w:outlineLvl w:val="0"/>
        <w:rPr>
          <w:rFonts w:ascii="宋体" w:hAnsi="宋体" w:cs="仿宋"/>
          <w:b/>
          <w:color w:val="auto"/>
          <w:kern w:val="0"/>
          <w:sz w:val="28"/>
          <w:szCs w:val="28"/>
          <w:highlight w:val="none"/>
        </w:rPr>
      </w:pPr>
      <w:r>
        <w:rPr>
          <w:rFonts w:hint="eastAsia" w:ascii="宋体" w:hAnsi="宋体" w:cs="仿宋"/>
          <w:b/>
          <w:color w:val="auto"/>
          <w:kern w:val="0"/>
          <w:sz w:val="28"/>
          <w:szCs w:val="28"/>
          <w:highlight w:val="none"/>
        </w:rPr>
        <w:t>目录</w:t>
      </w:r>
    </w:p>
    <w:p w14:paraId="24FD445C">
      <w:pPr>
        <w:shd w:val="clear"/>
        <w:spacing w:line="360" w:lineRule="auto"/>
        <w:ind w:firstLine="480" w:firstLineChars="200"/>
        <w:rPr>
          <w:rFonts w:ascii="宋体" w:hAnsi="宋体" w:cs="仿宋"/>
          <w:b/>
          <w:color w:val="auto"/>
          <w:kern w:val="0"/>
          <w:sz w:val="24"/>
          <w:highlight w:val="none"/>
        </w:rPr>
      </w:pPr>
      <w:r>
        <w:rPr>
          <w:rFonts w:hint="eastAsia" w:ascii="宋体" w:hAnsi="宋体" w:cs="仿宋"/>
          <w:color w:val="auto"/>
          <w:kern w:val="0"/>
          <w:sz w:val="24"/>
          <w:highlight w:val="none"/>
        </w:rPr>
        <w:t>（1）投标函</w:t>
      </w:r>
      <w:r>
        <w:rPr>
          <w:rFonts w:hint="eastAsia" w:ascii="宋体" w:hAnsi="宋体" w:cs="仿宋"/>
          <w:color w:val="auto"/>
          <w:sz w:val="24"/>
          <w:highlight w:val="none"/>
          <w:lang w:val="zh-CN"/>
        </w:rPr>
        <w:t>……………………………………………………………（页码）</w:t>
      </w:r>
    </w:p>
    <w:p w14:paraId="2AC04F5A">
      <w:pPr>
        <w:pStyle w:val="536"/>
        <w:shd w:val="clear"/>
        <w:spacing w:line="360" w:lineRule="auto"/>
        <w:ind w:left="0"/>
        <w:rPr>
          <w:rFonts w:ascii="宋体" w:hAnsi="宋体" w:eastAsia="宋体" w:cs="仿宋"/>
          <w:color w:val="auto"/>
          <w:highlight w:val="none"/>
        </w:rPr>
      </w:pPr>
      <w:r>
        <w:rPr>
          <w:rFonts w:hint="eastAsia" w:ascii="宋体" w:hAnsi="宋体" w:eastAsia="宋体" w:cs="仿宋"/>
          <w:color w:val="auto"/>
          <w:highlight w:val="none"/>
        </w:rPr>
        <w:t>（2）</w:t>
      </w:r>
      <w:r>
        <w:rPr>
          <w:rFonts w:hint="eastAsia" w:ascii="宋体" w:hAnsi="宋体" w:eastAsia="宋体" w:cs="仿宋"/>
          <w:color w:val="auto"/>
          <w:highlight w:val="none"/>
          <w:lang w:val="zh-CN"/>
        </w:rPr>
        <w:t>评分对应表………………………………………………………</w:t>
      </w:r>
      <w:r>
        <w:rPr>
          <w:rFonts w:hint="eastAsia" w:ascii="宋体" w:hAnsi="宋体" w:eastAsia="宋体" w:cs="仿宋"/>
          <w:color w:val="auto"/>
          <w:highlight w:val="none"/>
        </w:rPr>
        <w:t>（页码）</w:t>
      </w:r>
    </w:p>
    <w:p w14:paraId="35E7F83A">
      <w:pPr>
        <w:pStyle w:val="536"/>
        <w:shd w:val="clear"/>
        <w:spacing w:line="360" w:lineRule="auto"/>
        <w:ind w:left="0"/>
        <w:rPr>
          <w:rFonts w:ascii="宋体" w:hAnsi="宋体" w:eastAsia="宋体" w:cs="仿宋"/>
          <w:color w:val="auto"/>
          <w:highlight w:val="none"/>
        </w:rPr>
      </w:pPr>
      <w:r>
        <w:rPr>
          <w:rFonts w:hint="eastAsia" w:ascii="宋体" w:hAnsi="宋体" w:eastAsia="宋体" w:cs="仿宋"/>
          <w:color w:val="auto"/>
          <w:highlight w:val="none"/>
        </w:rPr>
        <w:t>（3）</w:t>
      </w:r>
      <w:bookmarkStart w:id="459" w:name="OLE_LINK6"/>
      <w:bookmarkStart w:id="460" w:name="OLE_LINK7"/>
      <w:bookmarkStart w:id="461" w:name="OLE_LINK5"/>
      <w:r>
        <w:rPr>
          <w:rFonts w:hint="eastAsia" w:ascii="宋体" w:hAnsi="宋体" w:eastAsia="宋体" w:cs="仿宋"/>
          <w:color w:val="auto"/>
          <w:highlight w:val="none"/>
        </w:rPr>
        <w:t>技术响应表</w:t>
      </w:r>
      <w:r>
        <w:rPr>
          <w:rFonts w:hint="eastAsia" w:ascii="宋体" w:hAnsi="宋体" w:eastAsia="宋体" w:cs="仿宋"/>
          <w:color w:val="auto"/>
          <w:highlight w:val="none"/>
          <w:lang w:val="zh-CN"/>
        </w:rPr>
        <w:t>………………………………………………………</w:t>
      </w:r>
      <w:r>
        <w:rPr>
          <w:rFonts w:hint="eastAsia" w:ascii="宋体" w:hAnsi="宋体" w:eastAsia="宋体" w:cs="仿宋"/>
          <w:color w:val="auto"/>
          <w:highlight w:val="none"/>
        </w:rPr>
        <w:t>（页码）</w:t>
      </w:r>
      <w:bookmarkEnd w:id="459"/>
      <w:bookmarkEnd w:id="460"/>
    </w:p>
    <w:bookmarkEnd w:id="461"/>
    <w:p w14:paraId="24C7D446">
      <w:pPr>
        <w:pStyle w:val="536"/>
        <w:shd w:val="clear"/>
        <w:spacing w:line="360" w:lineRule="auto"/>
        <w:ind w:left="0"/>
        <w:rPr>
          <w:rFonts w:ascii="宋体" w:hAnsi="宋体" w:eastAsia="宋体" w:cs="仿宋"/>
          <w:color w:val="auto"/>
          <w:highlight w:val="none"/>
        </w:rPr>
      </w:pPr>
      <w:r>
        <w:rPr>
          <w:rFonts w:hint="eastAsia" w:ascii="宋体" w:hAnsi="宋体" w:eastAsia="宋体" w:cs="仿宋"/>
          <w:color w:val="auto"/>
          <w:highlight w:val="none"/>
        </w:rPr>
        <w:t>（4）商务响应表</w:t>
      </w:r>
      <w:r>
        <w:rPr>
          <w:rFonts w:hint="eastAsia" w:ascii="宋体" w:hAnsi="宋体" w:eastAsia="宋体" w:cs="仿宋"/>
          <w:color w:val="auto"/>
          <w:highlight w:val="none"/>
          <w:lang w:val="zh-CN"/>
        </w:rPr>
        <w:t>………………………………………………………</w:t>
      </w:r>
      <w:r>
        <w:rPr>
          <w:rFonts w:hint="eastAsia" w:ascii="宋体" w:hAnsi="宋体" w:eastAsia="宋体" w:cs="仿宋"/>
          <w:color w:val="auto"/>
          <w:highlight w:val="none"/>
        </w:rPr>
        <w:t>（页码）</w:t>
      </w:r>
    </w:p>
    <w:p w14:paraId="64BEE1B7">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（5）项目组织实施方案……………………………………………</w:t>
      </w:r>
      <w:r>
        <w:rPr>
          <w:rFonts w:hint="eastAsia" w:ascii="宋体" w:hAnsi="宋体" w:cs="仿宋"/>
          <w:color w:val="auto"/>
          <w:sz w:val="24"/>
          <w:highlight w:val="none"/>
          <w:lang w:val="zh-CN"/>
        </w:rPr>
        <w:t>…</w:t>
      </w:r>
      <w:r>
        <w:rPr>
          <w:rFonts w:hint="eastAsia" w:ascii="宋体" w:hAnsi="宋体" w:cs="仿宋"/>
          <w:color w:val="auto"/>
          <w:kern w:val="0"/>
          <w:sz w:val="24"/>
          <w:highlight w:val="none"/>
        </w:rPr>
        <w:t>（页码）</w:t>
      </w:r>
    </w:p>
    <w:p w14:paraId="1EB57587">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（6）技术负责人情况表………………………………………………（页码）</w:t>
      </w:r>
    </w:p>
    <w:p w14:paraId="368EC2DF">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（7）项目组人员名单…………………………………………………（页码）</w:t>
      </w:r>
    </w:p>
    <w:p w14:paraId="194A7A75">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（8）售后服务方案（如有）…………………………………………（页码）</w:t>
      </w:r>
    </w:p>
    <w:p w14:paraId="34C24AC6">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（9）</w:t>
      </w:r>
      <w:r>
        <w:rPr>
          <w:rFonts w:hint="eastAsia" w:ascii="宋体" w:hAnsi="宋体" w:cs="仿宋"/>
          <w:color w:val="auto"/>
          <w:kern w:val="0"/>
          <w:sz w:val="24"/>
          <w:highlight w:val="none"/>
          <w:lang w:val="zh-CN"/>
        </w:rPr>
        <w:t>优惠条件及特殊承诺（如有）</w:t>
      </w:r>
      <w:r>
        <w:rPr>
          <w:rFonts w:hint="eastAsia" w:ascii="宋体" w:hAnsi="宋体" w:cs="仿宋"/>
          <w:color w:val="auto"/>
          <w:kern w:val="0"/>
          <w:sz w:val="24"/>
          <w:highlight w:val="none"/>
        </w:rPr>
        <w:t>…………………………………（页码）</w:t>
      </w:r>
    </w:p>
    <w:p w14:paraId="1994EF45">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（10）</w:t>
      </w:r>
      <w:r>
        <w:rPr>
          <w:rFonts w:hint="eastAsia" w:ascii="宋体" w:hAnsi="宋体" w:cs="仿宋"/>
          <w:color w:val="auto"/>
          <w:kern w:val="0"/>
          <w:sz w:val="24"/>
          <w:highlight w:val="none"/>
          <w:lang w:val="zh-CN"/>
        </w:rPr>
        <w:t>投标人认为需要的其它商务技术文件或说明…………………</w:t>
      </w:r>
      <w:r>
        <w:rPr>
          <w:rFonts w:hint="eastAsia" w:ascii="宋体" w:hAnsi="宋体" w:cs="仿宋"/>
          <w:color w:val="auto"/>
          <w:kern w:val="0"/>
          <w:sz w:val="24"/>
          <w:highlight w:val="none"/>
        </w:rPr>
        <w:t>（页码）</w:t>
      </w:r>
    </w:p>
    <w:p w14:paraId="69963324">
      <w:pPr>
        <w:shd w:val="clear"/>
        <w:spacing w:line="360" w:lineRule="auto"/>
        <w:ind w:firstLine="602" w:firstLineChars="250"/>
        <w:rPr>
          <w:rFonts w:ascii="宋体" w:hAnsi="宋体" w:cs="仿宋"/>
          <w:b/>
          <w:bCs/>
          <w:color w:val="auto"/>
          <w:sz w:val="24"/>
          <w:highlight w:val="none"/>
        </w:rPr>
      </w:pPr>
      <w:r>
        <w:rPr>
          <w:rFonts w:hint="eastAsia" w:ascii="宋体" w:hAnsi="宋体" w:cs="仿宋"/>
          <w:b/>
          <w:bCs/>
          <w:color w:val="auto"/>
          <w:sz w:val="24"/>
          <w:highlight w:val="none"/>
        </w:rPr>
        <w:t>注：以上目录是基本格式要求，各投标人可根据自身情况进一步细化。</w:t>
      </w:r>
    </w:p>
    <w:p w14:paraId="029ACE62">
      <w:pPr>
        <w:shd w:val="clear"/>
        <w:snapToGrid w:val="0"/>
        <w:spacing w:line="360" w:lineRule="auto"/>
        <w:jc w:val="center"/>
        <w:rPr>
          <w:rFonts w:ascii="宋体" w:hAnsi="宋体" w:cs="仿宋"/>
          <w:b/>
          <w:color w:val="auto"/>
          <w:kern w:val="0"/>
          <w:sz w:val="32"/>
          <w:szCs w:val="32"/>
          <w:highlight w:val="none"/>
          <w:lang w:val="zh-CN"/>
        </w:rPr>
      </w:pPr>
    </w:p>
    <w:p w14:paraId="5B886A98">
      <w:pPr>
        <w:shd w:val="clear"/>
        <w:snapToGrid w:val="0"/>
        <w:spacing w:line="360" w:lineRule="auto"/>
        <w:jc w:val="center"/>
        <w:rPr>
          <w:rFonts w:ascii="宋体" w:hAnsi="宋体" w:cs="仿宋"/>
          <w:b/>
          <w:color w:val="auto"/>
          <w:kern w:val="0"/>
          <w:sz w:val="32"/>
          <w:szCs w:val="32"/>
          <w:highlight w:val="none"/>
          <w:lang w:val="zh-CN"/>
        </w:rPr>
      </w:pPr>
    </w:p>
    <w:p w14:paraId="0F4E2721">
      <w:pPr>
        <w:shd w:val="clear"/>
        <w:snapToGrid w:val="0"/>
        <w:spacing w:line="360" w:lineRule="auto"/>
        <w:jc w:val="center"/>
        <w:rPr>
          <w:rFonts w:ascii="宋体" w:hAnsi="宋体" w:cs="仿宋"/>
          <w:b/>
          <w:color w:val="auto"/>
          <w:kern w:val="0"/>
          <w:sz w:val="32"/>
          <w:szCs w:val="32"/>
          <w:highlight w:val="none"/>
          <w:lang w:val="zh-CN"/>
        </w:rPr>
      </w:pPr>
    </w:p>
    <w:p w14:paraId="0F092325">
      <w:pPr>
        <w:shd w:val="clear"/>
        <w:snapToGrid w:val="0"/>
        <w:spacing w:line="360" w:lineRule="auto"/>
        <w:jc w:val="center"/>
        <w:rPr>
          <w:rFonts w:ascii="宋体" w:hAnsi="宋体" w:cs="仿宋"/>
          <w:b/>
          <w:color w:val="auto"/>
          <w:kern w:val="0"/>
          <w:sz w:val="32"/>
          <w:szCs w:val="32"/>
          <w:highlight w:val="none"/>
          <w:lang w:val="zh-CN"/>
        </w:rPr>
      </w:pPr>
    </w:p>
    <w:p w14:paraId="20F0E508">
      <w:pPr>
        <w:shd w:val="clear"/>
        <w:spacing w:line="360" w:lineRule="auto"/>
        <w:rPr>
          <w:rFonts w:ascii="宋体" w:hAnsi="宋体" w:cs="仿宋"/>
          <w:color w:val="auto"/>
          <w:kern w:val="0"/>
          <w:sz w:val="24"/>
          <w:highlight w:val="none"/>
        </w:rPr>
      </w:pPr>
    </w:p>
    <w:p w14:paraId="62FC49DA">
      <w:pPr>
        <w:shd w:val="clear"/>
        <w:spacing w:line="360" w:lineRule="auto"/>
        <w:jc w:val="center"/>
        <w:rPr>
          <w:rFonts w:ascii="宋体" w:hAnsi="宋体" w:cs="仿宋"/>
          <w:b/>
          <w:bCs/>
          <w:color w:val="auto"/>
          <w:sz w:val="32"/>
          <w:szCs w:val="32"/>
          <w:highlight w:val="none"/>
        </w:rPr>
      </w:pPr>
    </w:p>
    <w:p w14:paraId="5D967223">
      <w:pPr>
        <w:shd w:val="clear"/>
        <w:spacing w:line="360" w:lineRule="auto"/>
        <w:jc w:val="center"/>
        <w:rPr>
          <w:rFonts w:ascii="宋体" w:hAnsi="宋体" w:cs="仿宋"/>
          <w:b/>
          <w:bCs/>
          <w:color w:val="auto"/>
          <w:sz w:val="32"/>
          <w:szCs w:val="32"/>
          <w:highlight w:val="none"/>
        </w:rPr>
      </w:pPr>
    </w:p>
    <w:p w14:paraId="69082F93">
      <w:pPr>
        <w:shd w:val="clear"/>
        <w:spacing w:line="360" w:lineRule="auto"/>
        <w:jc w:val="center"/>
        <w:rPr>
          <w:rFonts w:ascii="宋体" w:hAnsi="宋体" w:cs="仿宋"/>
          <w:b/>
          <w:bCs/>
          <w:color w:val="auto"/>
          <w:sz w:val="32"/>
          <w:szCs w:val="32"/>
          <w:highlight w:val="none"/>
        </w:rPr>
      </w:pPr>
    </w:p>
    <w:p w14:paraId="10BC880B">
      <w:pPr>
        <w:shd w:val="clear"/>
        <w:spacing w:line="360" w:lineRule="auto"/>
        <w:jc w:val="center"/>
        <w:rPr>
          <w:rFonts w:ascii="宋体" w:hAnsi="宋体" w:cs="仿宋"/>
          <w:b/>
          <w:bCs/>
          <w:color w:val="auto"/>
          <w:sz w:val="32"/>
          <w:szCs w:val="32"/>
          <w:highlight w:val="none"/>
        </w:rPr>
      </w:pPr>
    </w:p>
    <w:p w14:paraId="35A8336E">
      <w:pPr>
        <w:shd w:val="clear"/>
        <w:spacing w:line="360" w:lineRule="auto"/>
        <w:jc w:val="center"/>
        <w:rPr>
          <w:rFonts w:ascii="宋体" w:hAnsi="宋体" w:cs="仿宋"/>
          <w:b/>
          <w:bCs/>
          <w:color w:val="auto"/>
          <w:sz w:val="32"/>
          <w:szCs w:val="32"/>
          <w:highlight w:val="none"/>
        </w:rPr>
      </w:pPr>
    </w:p>
    <w:p w14:paraId="3BC40184">
      <w:pPr>
        <w:pStyle w:val="557"/>
        <w:shd w:val="clear"/>
        <w:rPr>
          <w:rFonts w:hAnsi="宋体" w:cs="仿宋"/>
          <w:color w:val="auto"/>
          <w:highlight w:val="none"/>
        </w:rPr>
      </w:pPr>
    </w:p>
    <w:p w14:paraId="4472FDE3">
      <w:pPr>
        <w:shd w:val="clear"/>
        <w:spacing w:line="360" w:lineRule="auto"/>
        <w:jc w:val="center"/>
        <w:rPr>
          <w:rFonts w:ascii="宋体" w:hAnsi="宋体" w:cs="仿宋"/>
          <w:b/>
          <w:bCs/>
          <w:color w:val="auto"/>
          <w:sz w:val="32"/>
          <w:szCs w:val="32"/>
          <w:highlight w:val="none"/>
        </w:rPr>
      </w:pPr>
    </w:p>
    <w:p w14:paraId="779BCC61">
      <w:pPr>
        <w:shd w:val="clear"/>
        <w:snapToGrid w:val="0"/>
        <w:spacing w:line="360" w:lineRule="auto"/>
        <w:ind w:firstLine="3855" w:firstLineChars="1200"/>
        <w:outlineLvl w:val="0"/>
        <w:rPr>
          <w:rFonts w:ascii="宋体" w:hAnsi="宋体" w:cs="仿宋"/>
          <w:b/>
          <w:color w:val="auto"/>
          <w:sz w:val="32"/>
          <w:szCs w:val="32"/>
          <w:highlight w:val="none"/>
        </w:rPr>
      </w:pPr>
      <w:r>
        <w:rPr>
          <w:rFonts w:hint="eastAsia" w:ascii="宋体" w:hAnsi="宋体" w:cs="仿宋"/>
          <w:b/>
          <w:color w:val="auto"/>
          <w:kern w:val="0"/>
          <w:sz w:val="32"/>
          <w:szCs w:val="32"/>
          <w:highlight w:val="none"/>
        </w:rPr>
        <w:t>一、投标</w:t>
      </w:r>
      <w:r>
        <w:rPr>
          <w:rFonts w:hint="eastAsia" w:ascii="宋体" w:hAnsi="宋体" w:cs="仿宋"/>
          <w:b/>
          <w:color w:val="auto"/>
          <w:sz w:val="32"/>
          <w:szCs w:val="32"/>
          <w:highlight w:val="none"/>
        </w:rPr>
        <w:t>函</w:t>
      </w:r>
    </w:p>
    <w:p w14:paraId="01C25AFE">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（征集人）、（采购代理机构）：</w:t>
      </w:r>
    </w:p>
    <w:p w14:paraId="6DC48820">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我方参加你方组织的（项目名称）（项目编号：）招标的有关活动，并对此项目进行投标。为此：</w:t>
      </w:r>
    </w:p>
    <w:p w14:paraId="5DC57CD6">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1、我方承诺投标有效期从提交响应文件的截止之日起___天（不少于90天），本响应文件在投标有效期满之前均具有约束力。</w:t>
      </w:r>
    </w:p>
    <w:p w14:paraId="67362327">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2、我方承诺除技术响应表、商务响应表列出的偏离外，我方响应征集文件的全部要求。</w:t>
      </w:r>
    </w:p>
    <w:p w14:paraId="6C649ED9">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3、我方提交的所有响应文件、资料都是准确的和真实的。</w:t>
      </w:r>
    </w:p>
    <w:p w14:paraId="09766DE4">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4、我方具有履行本项目合同所必需的设备和专业技术能力。如中标，我方将保证合同顺利履行。</w:t>
      </w:r>
    </w:p>
    <w:p w14:paraId="312133CC">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14:paraId="5C766B5C">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6、如我方中标，我方承诺：</w:t>
      </w:r>
    </w:p>
    <w:p w14:paraId="05891CF5">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6.1在收到中标通知书后，在中标通知书规定的期限内与你方签订合同； </w:t>
      </w:r>
    </w:p>
    <w:p w14:paraId="61937A55">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6.2在签订合同时不向你方提出附加条件； </w:t>
      </w:r>
    </w:p>
    <w:p w14:paraId="7E87ED7F">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6.3按照征集文件要求提交履约保证金； </w:t>
      </w:r>
    </w:p>
    <w:p w14:paraId="275AEB44">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6.4在合同约定的期限内完成合同规定的全部义务。 </w:t>
      </w:r>
    </w:p>
    <w:p w14:paraId="3BE796EE">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7、其他补充说明:___________。</w:t>
      </w:r>
    </w:p>
    <w:p w14:paraId="23DF112D">
      <w:pPr>
        <w:shd w:val="clear"/>
        <w:spacing w:line="360" w:lineRule="auto"/>
        <w:ind w:firstLine="3600" w:firstLineChars="1500"/>
        <w:rPr>
          <w:rFonts w:ascii="宋体" w:hAnsi="宋体" w:cs="仿宋"/>
          <w:color w:val="auto"/>
          <w:sz w:val="24"/>
          <w:highlight w:val="none"/>
        </w:rPr>
      </w:pPr>
    </w:p>
    <w:p w14:paraId="5307A093">
      <w:pPr>
        <w:shd w:val="clear"/>
        <w:spacing w:line="360" w:lineRule="auto"/>
        <w:ind w:firstLine="3600" w:firstLineChars="1500"/>
        <w:rPr>
          <w:rFonts w:ascii="宋体" w:hAnsi="宋体" w:cs="仿宋"/>
          <w:color w:val="auto"/>
          <w:sz w:val="24"/>
          <w:highlight w:val="none"/>
        </w:rPr>
      </w:pPr>
    </w:p>
    <w:p w14:paraId="56331F03">
      <w:pPr>
        <w:shd w:val="clear"/>
        <w:spacing w:line="360" w:lineRule="auto"/>
        <w:ind w:firstLine="3600" w:firstLineChars="1500"/>
        <w:rPr>
          <w:rFonts w:ascii="宋体" w:hAnsi="宋体" w:cs="仿宋"/>
          <w:color w:val="auto"/>
          <w:sz w:val="24"/>
          <w:highlight w:val="none"/>
        </w:rPr>
      </w:pPr>
    </w:p>
    <w:p w14:paraId="6577D470">
      <w:pPr>
        <w:shd w:val="clear"/>
        <w:spacing w:line="360" w:lineRule="auto"/>
        <w:ind w:firstLine="3600" w:firstLineChars="1500"/>
        <w:rPr>
          <w:rFonts w:ascii="宋体" w:hAnsi="宋体" w:cs="仿宋"/>
          <w:color w:val="auto"/>
          <w:sz w:val="24"/>
          <w:highlight w:val="none"/>
        </w:rPr>
      </w:pPr>
      <w:r>
        <w:rPr>
          <w:rFonts w:hint="eastAsia" w:ascii="宋体" w:hAnsi="宋体" w:cs="仿宋"/>
          <w:color w:val="auto"/>
          <w:sz w:val="24"/>
          <w:highlight w:val="none"/>
        </w:rPr>
        <w:t xml:space="preserve">投标人名称（电子签名）：    </w:t>
      </w:r>
    </w:p>
    <w:p w14:paraId="2FE8FE2A">
      <w:pPr>
        <w:shd w:val="clear"/>
        <w:spacing w:line="360" w:lineRule="auto"/>
        <w:jc w:val="center"/>
        <w:rPr>
          <w:rFonts w:ascii="宋体" w:hAnsi="宋体" w:cs="仿宋"/>
          <w:color w:val="auto"/>
          <w:sz w:val="24"/>
          <w:highlight w:val="none"/>
        </w:rPr>
      </w:pPr>
      <w:r>
        <w:rPr>
          <w:rFonts w:hint="eastAsia" w:ascii="宋体" w:hAnsi="宋体" w:cs="仿宋"/>
          <w:color w:val="auto"/>
          <w:sz w:val="24"/>
          <w:highlight w:val="none"/>
        </w:rPr>
        <w:t xml:space="preserve"> 日期：  年   月   日</w:t>
      </w:r>
    </w:p>
    <w:p w14:paraId="7B167476">
      <w:pPr>
        <w:shd w:val="clear"/>
        <w:snapToGrid w:val="0"/>
        <w:spacing w:line="360" w:lineRule="auto"/>
        <w:ind w:left="420" w:leftChars="200" w:firstLine="4200" w:firstLineChars="1750"/>
        <w:rPr>
          <w:rFonts w:ascii="宋体" w:hAnsi="宋体" w:cs="仿宋"/>
          <w:color w:val="auto"/>
          <w:kern w:val="0"/>
          <w:sz w:val="24"/>
          <w:highlight w:val="none"/>
          <w:u w:val="single"/>
        </w:rPr>
      </w:pPr>
    </w:p>
    <w:p w14:paraId="040B93B7">
      <w:pPr>
        <w:shd w:val="clear"/>
        <w:spacing w:line="360" w:lineRule="auto"/>
        <w:ind w:right="420"/>
        <w:rPr>
          <w:rFonts w:ascii="宋体" w:hAnsi="宋体" w:cs="仿宋"/>
          <w:color w:val="auto"/>
          <w:sz w:val="24"/>
          <w:highlight w:val="none"/>
        </w:rPr>
      </w:pPr>
      <w:r>
        <w:rPr>
          <w:rFonts w:hint="eastAsia" w:ascii="宋体" w:hAnsi="宋体" w:cs="仿宋"/>
          <w:color w:val="auto"/>
          <w:sz w:val="24"/>
          <w:highlight w:val="none"/>
        </w:rPr>
        <w:t>注：按本格式和要求提供。</w:t>
      </w:r>
    </w:p>
    <w:p w14:paraId="599CBBCD">
      <w:pPr>
        <w:shd w:val="clear"/>
        <w:spacing w:line="360" w:lineRule="auto"/>
        <w:rPr>
          <w:rFonts w:ascii="宋体" w:hAnsi="宋体" w:cs="仿宋"/>
          <w:b/>
          <w:bCs/>
          <w:color w:val="auto"/>
          <w:spacing w:val="6"/>
          <w:sz w:val="32"/>
          <w:szCs w:val="32"/>
          <w:highlight w:val="none"/>
        </w:rPr>
      </w:pPr>
    </w:p>
    <w:p w14:paraId="7E9CED0B">
      <w:pPr>
        <w:shd w:val="clear"/>
        <w:spacing w:line="360" w:lineRule="auto"/>
        <w:jc w:val="center"/>
        <w:rPr>
          <w:rFonts w:ascii="宋体" w:hAnsi="宋体" w:cs="仿宋"/>
          <w:b/>
          <w:bCs/>
          <w:color w:val="auto"/>
          <w:spacing w:val="6"/>
          <w:sz w:val="32"/>
          <w:szCs w:val="32"/>
          <w:highlight w:val="none"/>
        </w:rPr>
      </w:pPr>
    </w:p>
    <w:p w14:paraId="57CF7856">
      <w:pPr>
        <w:shd w:val="clear"/>
        <w:spacing w:line="360" w:lineRule="auto"/>
        <w:jc w:val="center"/>
        <w:rPr>
          <w:rFonts w:ascii="宋体" w:hAnsi="宋体" w:cs="仿宋"/>
          <w:color w:val="auto"/>
          <w:spacing w:val="6"/>
          <w:sz w:val="32"/>
          <w:szCs w:val="32"/>
          <w:highlight w:val="none"/>
        </w:rPr>
      </w:pPr>
      <w:r>
        <w:rPr>
          <w:rFonts w:hint="eastAsia" w:ascii="宋体" w:hAnsi="宋体" w:cs="仿宋"/>
          <w:b/>
          <w:bCs/>
          <w:color w:val="auto"/>
          <w:spacing w:val="6"/>
          <w:sz w:val="32"/>
          <w:szCs w:val="32"/>
          <w:highlight w:val="none"/>
        </w:rPr>
        <w:t>二、评分对应表</w:t>
      </w:r>
    </w:p>
    <w:p w14:paraId="072CC832">
      <w:pPr>
        <w:pStyle w:val="16"/>
        <w:shd w:val="clear"/>
        <w:snapToGrid w:val="0"/>
        <w:rPr>
          <w:rFonts w:ascii="宋体" w:hAnsi="宋体" w:cs="仿宋"/>
          <w:color w:val="auto"/>
          <w:sz w:val="30"/>
          <w:szCs w:val="30"/>
          <w:highlight w:val="none"/>
          <w:u w:val="singl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50E83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vAlign w:val="center"/>
          </w:tcPr>
          <w:p w14:paraId="453B9707">
            <w:pPr>
              <w:shd w:val="clear"/>
              <w:snapToGrid w:val="0"/>
              <w:spacing w:beforeLines="50"/>
              <w:jc w:val="center"/>
              <w:rPr>
                <w:rFonts w:ascii="宋体" w:hAnsi="宋体" w:cs="仿宋"/>
                <w:color w:val="auto"/>
                <w:sz w:val="24"/>
                <w:highlight w:val="none"/>
              </w:rPr>
            </w:pPr>
            <w:r>
              <w:rPr>
                <w:rFonts w:hint="eastAsia" w:ascii="宋体" w:hAnsi="宋体" w:cs="仿宋"/>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14:paraId="47C30025">
            <w:pPr>
              <w:shd w:val="clear"/>
              <w:snapToGrid w:val="0"/>
              <w:spacing w:beforeLines="50"/>
              <w:jc w:val="center"/>
              <w:rPr>
                <w:rFonts w:ascii="宋体" w:hAnsi="宋体" w:cs="仿宋"/>
                <w:color w:val="auto"/>
                <w:sz w:val="24"/>
                <w:highlight w:val="none"/>
              </w:rPr>
            </w:pPr>
            <w:r>
              <w:rPr>
                <w:rFonts w:hint="eastAsia" w:ascii="宋体" w:hAnsi="宋体" w:cs="仿宋"/>
                <w:color w:val="auto"/>
                <w:sz w:val="24"/>
                <w:highlight w:val="none"/>
              </w:rPr>
              <w:t>响应文件对应资料</w:t>
            </w:r>
          </w:p>
        </w:tc>
        <w:tc>
          <w:tcPr>
            <w:tcW w:w="2126" w:type="dxa"/>
            <w:tcBorders>
              <w:top w:val="single" w:color="auto" w:sz="4" w:space="0"/>
              <w:left w:val="single" w:color="auto" w:sz="4" w:space="0"/>
              <w:bottom w:val="single" w:color="auto" w:sz="4" w:space="0"/>
              <w:right w:val="single" w:color="auto" w:sz="4" w:space="0"/>
            </w:tcBorders>
            <w:vAlign w:val="center"/>
          </w:tcPr>
          <w:p w14:paraId="26534EF0">
            <w:pPr>
              <w:shd w:val="clear"/>
              <w:snapToGrid w:val="0"/>
              <w:spacing w:beforeLines="50"/>
              <w:jc w:val="center"/>
              <w:rPr>
                <w:rFonts w:ascii="宋体" w:hAnsi="宋体" w:cs="仿宋"/>
                <w:color w:val="auto"/>
                <w:sz w:val="24"/>
                <w:highlight w:val="none"/>
              </w:rPr>
            </w:pPr>
            <w:r>
              <w:rPr>
                <w:rFonts w:hint="eastAsia" w:ascii="宋体" w:hAnsi="宋体" w:cs="仿宋"/>
                <w:color w:val="auto"/>
                <w:sz w:val="24"/>
                <w:highlight w:val="none"/>
              </w:rPr>
              <w:t>响应文件页码</w:t>
            </w:r>
          </w:p>
        </w:tc>
      </w:tr>
      <w:tr w14:paraId="01DF7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7E87A905">
            <w:pPr>
              <w:shd w:val="clear"/>
              <w:snapToGrid w:val="0"/>
              <w:rPr>
                <w:rFonts w:ascii="宋体" w:hAnsi="宋体" w:cs="仿宋"/>
                <w:color w:val="auto"/>
                <w:sz w:val="24"/>
                <w:highlight w:val="none"/>
              </w:rPr>
            </w:pPr>
            <w:r>
              <w:rPr>
                <w:rFonts w:hint="eastAsia" w:ascii="宋体" w:hAnsi="宋体" w:cs="仿宋"/>
                <w:color w:val="auto"/>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14:paraId="228CB17F">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765B3CD0">
            <w:pPr>
              <w:shd w:val="clear"/>
              <w:snapToGrid w:val="0"/>
              <w:spacing w:beforeLines="50"/>
              <w:rPr>
                <w:rFonts w:ascii="宋体" w:hAnsi="宋体" w:cs="仿宋"/>
                <w:color w:val="auto"/>
                <w:sz w:val="24"/>
                <w:highlight w:val="none"/>
              </w:rPr>
            </w:pPr>
          </w:p>
        </w:tc>
      </w:tr>
      <w:tr w14:paraId="78269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center"/>
          </w:tcPr>
          <w:p w14:paraId="745530D6">
            <w:pPr>
              <w:shd w:val="clear"/>
              <w:snapToGrid w:val="0"/>
              <w:rPr>
                <w:rFonts w:ascii="宋体" w:hAnsi="宋体" w:cs="仿宋"/>
                <w:color w:val="auto"/>
                <w:sz w:val="24"/>
                <w:highlight w:val="none"/>
              </w:rPr>
            </w:pPr>
            <w:r>
              <w:rPr>
                <w:rFonts w:hint="eastAsia" w:ascii="宋体" w:hAnsi="宋体" w:cs="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tcPr>
          <w:p w14:paraId="48FF2A6D">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17CEDCF9">
            <w:pPr>
              <w:shd w:val="clear"/>
              <w:snapToGrid w:val="0"/>
              <w:spacing w:beforeLines="50"/>
              <w:ind w:left="43"/>
              <w:rPr>
                <w:rFonts w:ascii="宋体" w:hAnsi="宋体" w:cs="仿宋"/>
                <w:color w:val="auto"/>
                <w:sz w:val="24"/>
                <w:highlight w:val="none"/>
              </w:rPr>
            </w:pPr>
          </w:p>
        </w:tc>
      </w:tr>
      <w:tr w14:paraId="4E442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2B417783">
            <w:pPr>
              <w:shd w:val="clear"/>
              <w:snapToGrid w:val="0"/>
              <w:rPr>
                <w:rFonts w:ascii="宋体" w:hAnsi="宋体"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3A969FE7">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263DA19D">
            <w:pPr>
              <w:shd w:val="clear"/>
              <w:snapToGrid w:val="0"/>
              <w:spacing w:beforeLines="50"/>
              <w:ind w:left="43"/>
              <w:rPr>
                <w:rFonts w:ascii="宋体" w:hAnsi="宋体" w:cs="仿宋"/>
                <w:color w:val="auto"/>
                <w:sz w:val="24"/>
                <w:highlight w:val="none"/>
              </w:rPr>
            </w:pPr>
          </w:p>
        </w:tc>
      </w:tr>
      <w:tr w14:paraId="3FFD0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6CF67B03">
            <w:pPr>
              <w:shd w:val="clear"/>
              <w:snapToGrid w:val="0"/>
              <w:rPr>
                <w:rFonts w:ascii="宋体" w:hAnsi="宋体"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15A5282B">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109D418B">
            <w:pPr>
              <w:shd w:val="clear"/>
              <w:snapToGrid w:val="0"/>
              <w:spacing w:beforeLines="50"/>
              <w:ind w:left="43"/>
              <w:rPr>
                <w:rFonts w:ascii="宋体" w:hAnsi="宋体" w:cs="仿宋"/>
                <w:color w:val="auto"/>
                <w:sz w:val="24"/>
                <w:highlight w:val="none"/>
              </w:rPr>
            </w:pPr>
          </w:p>
        </w:tc>
      </w:tr>
      <w:tr w14:paraId="21881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48386095">
            <w:pPr>
              <w:shd w:val="clear"/>
              <w:snapToGrid w:val="0"/>
              <w:rPr>
                <w:rFonts w:ascii="宋体" w:hAnsi="宋体"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723FDA76">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71BC95D7">
            <w:pPr>
              <w:shd w:val="clear"/>
              <w:snapToGrid w:val="0"/>
              <w:spacing w:beforeLines="50"/>
              <w:rPr>
                <w:rFonts w:ascii="宋体" w:hAnsi="宋体" w:cs="仿宋"/>
                <w:color w:val="auto"/>
                <w:sz w:val="24"/>
                <w:highlight w:val="none"/>
              </w:rPr>
            </w:pPr>
          </w:p>
        </w:tc>
      </w:tr>
      <w:tr w14:paraId="6EB02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384E4035">
            <w:pPr>
              <w:shd w:val="clear"/>
              <w:snapToGrid w:val="0"/>
              <w:rPr>
                <w:rFonts w:ascii="宋体" w:hAnsi="宋体"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1EC21037">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4C2FEC65">
            <w:pPr>
              <w:shd w:val="clear"/>
              <w:snapToGrid w:val="0"/>
              <w:spacing w:beforeLines="50"/>
              <w:rPr>
                <w:rFonts w:ascii="宋体" w:hAnsi="宋体" w:cs="仿宋"/>
                <w:color w:val="auto"/>
                <w:sz w:val="24"/>
                <w:highlight w:val="none"/>
              </w:rPr>
            </w:pPr>
          </w:p>
        </w:tc>
      </w:tr>
      <w:tr w14:paraId="7E0AB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102BEA8E">
            <w:pPr>
              <w:shd w:val="clear"/>
              <w:snapToGrid w:val="0"/>
              <w:rPr>
                <w:rFonts w:ascii="宋体" w:hAnsi="宋体"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633349C7">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4A9700FF">
            <w:pPr>
              <w:shd w:val="clear"/>
              <w:snapToGrid w:val="0"/>
              <w:spacing w:beforeLines="50"/>
              <w:rPr>
                <w:rFonts w:ascii="宋体" w:hAnsi="宋体" w:cs="仿宋"/>
                <w:color w:val="auto"/>
                <w:sz w:val="24"/>
                <w:highlight w:val="none"/>
              </w:rPr>
            </w:pPr>
          </w:p>
        </w:tc>
      </w:tr>
      <w:tr w14:paraId="5F77C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273F28B8">
            <w:pPr>
              <w:shd w:val="clear"/>
              <w:snapToGrid w:val="0"/>
              <w:rPr>
                <w:rFonts w:ascii="宋体" w:hAnsi="宋体"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29FD512C">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75A09BAF">
            <w:pPr>
              <w:shd w:val="clear"/>
              <w:snapToGrid w:val="0"/>
              <w:spacing w:beforeLines="50"/>
              <w:rPr>
                <w:rFonts w:ascii="宋体" w:hAnsi="宋体" w:cs="仿宋"/>
                <w:color w:val="auto"/>
                <w:sz w:val="24"/>
                <w:highlight w:val="none"/>
              </w:rPr>
            </w:pPr>
          </w:p>
        </w:tc>
      </w:tr>
      <w:tr w14:paraId="4CDD2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103EDBD1">
            <w:pPr>
              <w:shd w:val="clear"/>
              <w:snapToGrid w:val="0"/>
              <w:rPr>
                <w:rFonts w:ascii="宋体" w:hAnsi="宋体"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54166300">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7F86D44E">
            <w:pPr>
              <w:shd w:val="clear"/>
              <w:snapToGrid w:val="0"/>
              <w:spacing w:beforeLines="50"/>
              <w:rPr>
                <w:rFonts w:ascii="宋体" w:hAnsi="宋体" w:cs="仿宋"/>
                <w:color w:val="auto"/>
                <w:sz w:val="24"/>
                <w:highlight w:val="none"/>
              </w:rPr>
            </w:pPr>
          </w:p>
        </w:tc>
      </w:tr>
    </w:tbl>
    <w:p w14:paraId="22213C6A">
      <w:pPr>
        <w:shd w:val="clear"/>
        <w:snapToGrid w:val="0"/>
        <w:spacing w:beforeLines="50"/>
        <w:rPr>
          <w:rFonts w:ascii="宋体" w:hAnsi="宋体" w:cs="仿宋"/>
          <w:b/>
          <w:color w:val="auto"/>
          <w:sz w:val="24"/>
          <w:highlight w:val="none"/>
        </w:rPr>
      </w:pPr>
      <w:r>
        <w:rPr>
          <w:rFonts w:hint="eastAsia" w:ascii="宋体" w:hAnsi="宋体" w:cs="仿宋"/>
          <w:b/>
          <w:color w:val="auto"/>
          <w:sz w:val="24"/>
          <w:highlight w:val="none"/>
        </w:rPr>
        <w:t xml:space="preserve">注：如果本项目评标办法采用质量优先法，需在商务技术文件中提供此评分对应表。 </w:t>
      </w:r>
    </w:p>
    <w:p w14:paraId="6790DF1E">
      <w:pPr>
        <w:shd w:val="clear"/>
        <w:snapToGrid w:val="0"/>
        <w:spacing w:beforeLines="50"/>
        <w:rPr>
          <w:rFonts w:ascii="宋体" w:hAnsi="宋体" w:cs="仿宋"/>
          <w:color w:val="auto"/>
          <w:sz w:val="30"/>
          <w:szCs w:val="30"/>
          <w:highlight w:val="none"/>
        </w:rPr>
      </w:pPr>
    </w:p>
    <w:p w14:paraId="15D33E89">
      <w:pPr>
        <w:shd w:val="clear"/>
        <w:autoSpaceDE w:val="0"/>
        <w:autoSpaceDN w:val="0"/>
        <w:spacing w:line="360" w:lineRule="auto"/>
        <w:ind w:firstLine="4560" w:firstLineChars="1900"/>
        <w:rPr>
          <w:rFonts w:ascii="宋体" w:hAnsi="宋体" w:cs="仿宋"/>
          <w:color w:val="auto"/>
          <w:kern w:val="0"/>
          <w:sz w:val="24"/>
          <w:highlight w:val="none"/>
        </w:rPr>
      </w:pPr>
      <w:r>
        <w:rPr>
          <w:rFonts w:hint="eastAsia" w:ascii="宋体" w:hAnsi="宋体" w:cs="仿宋"/>
          <w:color w:val="auto"/>
          <w:kern w:val="0"/>
          <w:sz w:val="24"/>
          <w:highlight w:val="none"/>
        </w:rPr>
        <w:t>投标人名称（</w:t>
      </w:r>
      <w:r>
        <w:rPr>
          <w:rFonts w:hint="eastAsia" w:ascii="宋体" w:hAnsi="宋体" w:cs="仿宋"/>
          <w:color w:val="auto"/>
          <w:kern w:val="0"/>
          <w:sz w:val="24"/>
          <w:highlight w:val="none"/>
          <w:lang w:val="zh-CN"/>
        </w:rPr>
        <w:t>电子签名</w:t>
      </w:r>
      <w:r>
        <w:rPr>
          <w:rFonts w:hint="eastAsia" w:ascii="宋体" w:hAnsi="宋体" w:cs="仿宋"/>
          <w:color w:val="auto"/>
          <w:kern w:val="0"/>
          <w:sz w:val="24"/>
          <w:highlight w:val="none"/>
        </w:rPr>
        <w:t>）：</w:t>
      </w:r>
    </w:p>
    <w:p w14:paraId="33EDEF80">
      <w:pPr>
        <w:shd w:val="clear"/>
        <w:snapToGrid w:val="0"/>
        <w:spacing w:before="50" w:after="50"/>
        <w:rPr>
          <w:rFonts w:ascii="宋体" w:hAnsi="宋体" w:cs="仿宋"/>
          <w:color w:val="auto"/>
          <w:kern w:val="0"/>
          <w:sz w:val="24"/>
          <w:highlight w:val="none"/>
        </w:rPr>
      </w:pPr>
      <w:r>
        <w:rPr>
          <w:rFonts w:hint="eastAsia" w:ascii="宋体" w:hAnsi="宋体" w:cs="仿宋"/>
          <w:color w:val="auto"/>
          <w:kern w:val="0"/>
          <w:sz w:val="24"/>
          <w:highlight w:val="none"/>
        </w:rPr>
        <w:t xml:space="preserve">                                       日期：  年  月   日</w:t>
      </w:r>
    </w:p>
    <w:p w14:paraId="6A6B5C8E">
      <w:pPr>
        <w:shd w:val="clear"/>
        <w:spacing w:line="360" w:lineRule="auto"/>
        <w:rPr>
          <w:rFonts w:ascii="宋体" w:hAnsi="宋体" w:cs="仿宋"/>
          <w:b/>
          <w:bCs/>
          <w:color w:val="auto"/>
          <w:sz w:val="32"/>
          <w:szCs w:val="32"/>
          <w:highlight w:val="none"/>
        </w:rPr>
        <w:sectPr>
          <w:pgSz w:w="11906" w:h="16838"/>
          <w:pgMar w:top="1247" w:right="1418" w:bottom="1276" w:left="1418" w:header="851" w:footer="992" w:gutter="0"/>
          <w:cols w:space="720" w:num="1"/>
          <w:titlePg/>
          <w:docGrid w:linePitch="312" w:charSpace="0"/>
        </w:sectPr>
      </w:pPr>
    </w:p>
    <w:p w14:paraId="3027221F">
      <w:pPr>
        <w:shd w:val="clear"/>
        <w:snapToGrid w:val="0"/>
        <w:spacing w:before="50" w:after="50"/>
        <w:jc w:val="center"/>
        <w:rPr>
          <w:rFonts w:ascii="宋体" w:hAnsi="宋体" w:cs="仿宋"/>
          <w:b/>
          <w:bCs/>
          <w:color w:val="auto"/>
          <w:spacing w:val="6"/>
          <w:sz w:val="32"/>
          <w:szCs w:val="32"/>
          <w:highlight w:val="none"/>
        </w:rPr>
      </w:pPr>
      <w:r>
        <w:rPr>
          <w:rFonts w:hint="eastAsia" w:ascii="宋体" w:hAnsi="宋体" w:cs="仿宋"/>
          <w:b/>
          <w:bCs/>
          <w:color w:val="auto"/>
          <w:spacing w:val="6"/>
          <w:sz w:val="32"/>
          <w:szCs w:val="32"/>
          <w:highlight w:val="none"/>
        </w:rPr>
        <w:t>三、技术响应表</w:t>
      </w:r>
    </w:p>
    <w:p w14:paraId="2DF13A35">
      <w:pPr>
        <w:shd w:val="clear"/>
        <w:rPr>
          <w:rFonts w:ascii="宋体" w:hAnsi="宋体" w:cs="仿宋"/>
          <w:snapToGrid w:val="0"/>
          <w:color w:val="auto"/>
          <w:kern w:val="0"/>
          <w:szCs w:val="21"/>
          <w:highlight w:val="non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14:paraId="2A19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vAlign w:val="center"/>
          </w:tcPr>
          <w:p w14:paraId="594A8F01">
            <w:pPr>
              <w:shd w:val="clear"/>
              <w:snapToGrid w:val="0"/>
              <w:spacing w:before="50" w:after="50"/>
              <w:jc w:val="center"/>
              <w:rPr>
                <w:rFonts w:ascii="宋体" w:hAnsi="宋体" w:cs="仿宋"/>
                <w:color w:val="auto"/>
                <w:sz w:val="24"/>
                <w:highlight w:val="none"/>
              </w:rPr>
            </w:pPr>
            <w:bookmarkStart w:id="462" w:name="_Toc64369808"/>
            <w:r>
              <w:rPr>
                <w:rFonts w:hint="eastAsia" w:ascii="宋体" w:hAnsi="宋体" w:cs="仿宋"/>
                <w:color w:val="auto"/>
                <w:sz w:val="24"/>
                <w:highlight w:val="none"/>
              </w:rPr>
              <w:t>序号</w:t>
            </w:r>
            <w:bookmarkEnd w:id="462"/>
          </w:p>
        </w:tc>
        <w:tc>
          <w:tcPr>
            <w:tcW w:w="1711" w:type="dxa"/>
            <w:tcBorders>
              <w:top w:val="single" w:color="auto" w:sz="4" w:space="0"/>
              <w:left w:val="single" w:color="auto" w:sz="4" w:space="0"/>
              <w:bottom w:val="single" w:color="auto" w:sz="4" w:space="0"/>
              <w:right w:val="single" w:color="auto" w:sz="4" w:space="0"/>
            </w:tcBorders>
            <w:vAlign w:val="center"/>
          </w:tcPr>
          <w:p w14:paraId="0300DB39">
            <w:pPr>
              <w:shd w:val="clear"/>
              <w:snapToGrid w:val="0"/>
              <w:spacing w:before="50" w:after="50"/>
              <w:jc w:val="center"/>
              <w:rPr>
                <w:rFonts w:ascii="宋体" w:hAnsi="宋体" w:cs="仿宋"/>
                <w:color w:val="auto"/>
                <w:sz w:val="24"/>
                <w:highlight w:val="none"/>
              </w:rPr>
            </w:pPr>
            <w:r>
              <w:rPr>
                <w:rFonts w:hint="eastAsia" w:ascii="宋体" w:hAnsi="宋体" w:cs="仿宋"/>
                <w:color w:val="auto"/>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vAlign w:val="center"/>
          </w:tcPr>
          <w:p w14:paraId="6812D0B2">
            <w:pPr>
              <w:shd w:val="clear"/>
              <w:snapToGrid w:val="0"/>
              <w:spacing w:before="50" w:after="50"/>
              <w:jc w:val="center"/>
              <w:rPr>
                <w:rFonts w:ascii="宋体" w:hAnsi="宋体" w:cs="仿宋"/>
                <w:color w:val="auto"/>
                <w:sz w:val="24"/>
                <w:highlight w:val="none"/>
              </w:rPr>
            </w:pPr>
            <w:bookmarkStart w:id="463" w:name="_Toc64369809"/>
            <w:bookmarkStart w:id="464" w:name="_Toc64369810"/>
            <w:r>
              <w:rPr>
                <w:rFonts w:hint="eastAsia" w:ascii="宋体" w:hAnsi="宋体" w:cs="仿宋"/>
                <w:color w:val="auto"/>
                <w:sz w:val="24"/>
                <w:highlight w:val="none"/>
              </w:rPr>
              <w:t>征集文件</w:t>
            </w:r>
          </w:p>
          <w:p w14:paraId="2101ACB6">
            <w:pPr>
              <w:shd w:val="clear"/>
              <w:snapToGrid w:val="0"/>
              <w:spacing w:before="50" w:after="50"/>
              <w:jc w:val="center"/>
              <w:rPr>
                <w:rFonts w:ascii="宋体" w:hAnsi="宋体" w:cs="仿宋"/>
                <w:color w:val="auto"/>
                <w:sz w:val="24"/>
                <w:highlight w:val="none"/>
              </w:rPr>
            </w:pPr>
            <w:r>
              <w:rPr>
                <w:rFonts w:hint="eastAsia" w:ascii="宋体" w:hAnsi="宋体" w:cs="仿宋"/>
                <w:color w:val="auto"/>
                <w:sz w:val="24"/>
                <w:highlight w:val="none"/>
              </w:rPr>
              <w:t>要求</w:t>
            </w:r>
            <w:bookmarkEnd w:id="463"/>
          </w:p>
        </w:tc>
        <w:tc>
          <w:tcPr>
            <w:tcW w:w="2552" w:type="dxa"/>
            <w:tcBorders>
              <w:top w:val="single" w:color="auto" w:sz="4" w:space="0"/>
              <w:left w:val="single" w:color="auto" w:sz="4" w:space="0"/>
              <w:bottom w:val="single" w:color="auto" w:sz="4" w:space="0"/>
              <w:right w:val="single" w:color="auto" w:sz="4" w:space="0"/>
            </w:tcBorders>
            <w:vAlign w:val="center"/>
          </w:tcPr>
          <w:p w14:paraId="4C748815">
            <w:pPr>
              <w:shd w:val="clear"/>
              <w:snapToGrid w:val="0"/>
              <w:spacing w:before="50" w:after="50"/>
              <w:jc w:val="center"/>
              <w:rPr>
                <w:rFonts w:ascii="宋体" w:hAnsi="宋体" w:cs="仿宋"/>
                <w:color w:val="auto"/>
                <w:sz w:val="24"/>
                <w:highlight w:val="none"/>
              </w:rPr>
            </w:pPr>
            <w:r>
              <w:rPr>
                <w:rFonts w:hint="eastAsia" w:ascii="宋体" w:hAnsi="宋体" w:cs="仿宋"/>
                <w:color w:val="auto"/>
                <w:sz w:val="24"/>
                <w:highlight w:val="none"/>
              </w:rPr>
              <w:t>响应文件</w:t>
            </w:r>
          </w:p>
          <w:p w14:paraId="586F9A98">
            <w:pPr>
              <w:shd w:val="clear"/>
              <w:snapToGrid w:val="0"/>
              <w:spacing w:before="50" w:after="50"/>
              <w:jc w:val="center"/>
              <w:rPr>
                <w:rFonts w:ascii="宋体" w:hAnsi="宋体" w:cs="仿宋"/>
                <w:color w:val="auto"/>
                <w:sz w:val="24"/>
                <w:highlight w:val="none"/>
              </w:rPr>
            </w:pPr>
            <w:r>
              <w:rPr>
                <w:rFonts w:hint="eastAsia" w:ascii="宋体" w:hAnsi="宋体" w:cs="仿宋"/>
                <w:color w:val="auto"/>
                <w:sz w:val="24"/>
                <w:highlight w:val="none"/>
              </w:rPr>
              <w:t>响应</w:t>
            </w:r>
            <w:bookmarkEnd w:id="464"/>
          </w:p>
        </w:tc>
        <w:tc>
          <w:tcPr>
            <w:tcW w:w="1275" w:type="dxa"/>
            <w:tcBorders>
              <w:top w:val="single" w:color="auto" w:sz="4" w:space="0"/>
              <w:left w:val="single" w:color="auto" w:sz="4" w:space="0"/>
              <w:bottom w:val="single" w:color="auto" w:sz="4" w:space="0"/>
              <w:right w:val="single" w:color="auto" w:sz="4" w:space="0"/>
            </w:tcBorders>
            <w:vAlign w:val="center"/>
          </w:tcPr>
          <w:p w14:paraId="1F995A8C">
            <w:pPr>
              <w:shd w:val="clear"/>
              <w:snapToGrid w:val="0"/>
              <w:spacing w:before="50" w:after="50"/>
              <w:jc w:val="center"/>
              <w:rPr>
                <w:rFonts w:ascii="宋体" w:hAnsi="宋体" w:cs="仿宋"/>
                <w:color w:val="auto"/>
                <w:sz w:val="24"/>
                <w:highlight w:val="none"/>
              </w:rPr>
            </w:pPr>
            <w:bookmarkStart w:id="465" w:name="_Toc64369811"/>
            <w:r>
              <w:rPr>
                <w:rFonts w:hint="eastAsia" w:ascii="宋体" w:hAnsi="宋体" w:cs="仿宋"/>
                <w:color w:val="auto"/>
                <w:sz w:val="24"/>
                <w:highlight w:val="none"/>
              </w:rPr>
              <w:t>偏离</w:t>
            </w:r>
          </w:p>
          <w:p w14:paraId="09A2764E">
            <w:pPr>
              <w:shd w:val="clear"/>
              <w:snapToGrid w:val="0"/>
              <w:spacing w:before="50" w:after="50"/>
              <w:jc w:val="center"/>
              <w:rPr>
                <w:rFonts w:ascii="宋体" w:hAnsi="宋体" w:cs="仿宋"/>
                <w:color w:val="auto"/>
                <w:sz w:val="24"/>
                <w:highlight w:val="none"/>
              </w:rPr>
            </w:pPr>
            <w:r>
              <w:rPr>
                <w:rFonts w:hint="eastAsia" w:ascii="宋体" w:hAnsi="宋体" w:cs="仿宋"/>
                <w:color w:val="auto"/>
                <w:sz w:val="24"/>
                <w:highlight w:val="none"/>
              </w:rPr>
              <w:t>情况</w:t>
            </w:r>
            <w:bookmarkEnd w:id="465"/>
          </w:p>
        </w:tc>
      </w:tr>
      <w:tr w14:paraId="2DA71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14:paraId="5416E76D">
            <w:pPr>
              <w:shd w:val="clear"/>
              <w:snapToGrid w:val="0"/>
              <w:spacing w:before="50" w:after="50"/>
              <w:jc w:val="center"/>
              <w:rPr>
                <w:rFonts w:ascii="宋体" w:hAnsi="宋体" w:cs="仿宋"/>
                <w:color w:val="auto"/>
                <w:sz w:val="24"/>
                <w:highlight w:val="none"/>
              </w:rPr>
            </w:pPr>
            <w:bookmarkStart w:id="466" w:name="_Toc64369812"/>
            <w:r>
              <w:rPr>
                <w:rFonts w:hint="eastAsia" w:ascii="宋体" w:hAnsi="宋体" w:cs="仿宋"/>
                <w:color w:val="auto"/>
                <w:sz w:val="24"/>
                <w:highlight w:val="none"/>
              </w:rPr>
              <w:t>1</w:t>
            </w:r>
            <w:bookmarkEnd w:id="466"/>
          </w:p>
        </w:tc>
        <w:tc>
          <w:tcPr>
            <w:tcW w:w="1711" w:type="dxa"/>
            <w:tcBorders>
              <w:top w:val="single" w:color="auto" w:sz="4" w:space="0"/>
              <w:left w:val="single" w:color="auto" w:sz="4" w:space="0"/>
              <w:bottom w:val="single" w:color="auto" w:sz="4" w:space="0"/>
              <w:right w:val="single" w:color="auto" w:sz="4" w:space="0"/>
            </w:tcBorders>
            <w:vAlign w:val="center"/>
          </w:tcPr>
          <w:p w14:paraId="50B4900C">
            <w:pPr>
              <w:shd w:val="clear"/>
              <w:snapToGrid w:val="0"/>
              <w:spacing w:before="50" w:after="50"/>
              <w:jc w:val="center"/>
              <w:rPr>
                <w:rFonts w:ascii="宋体" w:hAnsi="宋体" w:cs="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vAlign w:val="center"/>
          </w:tcPr>
          <w:p w14:paraId="4FC36FC6">
            <w:pPr>
              <w:shd w:val="clear"/>
              <w:snapToGrid w:val="0"/>
              <w:spacing w:before="50" w:after="50"/>
              <w:jc w:val="center"/>
              <w:rPr>
                <w:rFonts w:ascii="宋体" w:hAnsi="宋体"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1E40939">
            <w:pPr>
              <w:shd w:val="clear"/>
              <w:snapToGrid w:val="0"/>
              <w:spacing w:before="50" w:after="50"/>
              <w:jc w:val="center"/>
              <w:rPr>
                <w:rFonts w:ascii="宋体" w:hAnsi="宋体"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F0D43DF">
            <w:pPr>
              <w:shd w:val="clear"/>
              <w:snapToGrid w:val="0"/>
              <w:spacing w:before="50" w:after="50"/>
              <w:jc w:val="center"/>
              <w:rPr>
                <w:rFonts w:ascii="宋体" w:hAnsi="宋体" w:cs="仿宋"/>
                <w:color w:val="auto"/>
                <w:sz w:val="24"/>
                <w:highlight w:val="none"/>
              </w:rPr>
            </w:pPr>
          </w:p>
        </w:tc>
      </w:tr>
      <w:tr w14:paraId="6C6F8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14:paraId="5DF4D604">
            <w:pPr>
              <w:shd w:val="clear"/>
              <w:snapToGrid w:val="0"/>
              <w:spacing w:before="50" w:after="50"/>
              <w:jc w:val="center"/>
              <w:rPr>
                <w:rFonts w:ascii="宋体" w:hAnsi="宋体" w:cs="仿宋"/>
                <w:color w:val="auto"/>
                <w:sz w:val="24"/>
                <w:highlight w:val="none"/>
              </w:rPr>
            </w:pPr>
            <w:bookmarkStart w:id="467" w:name="_Toc64369813"/>
            <w:r>
              <w:rPr>
                <w:rFonts w:hint="eastAsia" w:ascii="宋体" w:hAnsi="宋体" w:cs="仿宋"/>
                <w:color w:val="auto"/>
                <w:sz w:val="24"/>
                <w:highlight w:val="none"/>
              </w:rPr>
              <w:t>2</w:t>
            </w:r>
            <w:bookmarkEnd w:id="467"/>
          </w:p>
        </w:tc>
        <w:tc>
          <w:tcPr>
            <w:tcW w:w="1711" w:type="dxa"/>
            <w:tcBorders>
              <w:top w:val="single" w:color="auto" w:sz="4" w:space="0"/>
              <w:left w:val="single" w:color="auto" w:sz="4" w:space="0"/>
              <w:bottom w:val="single" w:color="auto" w:sz="4" w:space="0"/>
              <w:right w:val="single" w:color="auto" w:sz="4" w:space="0"/>
            </w:tcBorders>
            <w:vAlign w:val="center"/>
          </w:tcPr>
          <w:p w14:paraId="45EAD439">
            <w:pPr>
              <w:shd w:val="clear"/>
              <w:snapToGrid w:val="0"/>
              <w:spacing w:before="50" w:after="50"/>
              <w:jc w:val="center"/>
              <w:rPr>
                <w:rFonts w:ascii="宋体" w:hAnsi="宋体" w:cs="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vAlign w:val="center"/>
          </w:tcPr>
          <w:p w14:paraId="33B9EF66">
            <w:pPr>
              <w:shd w:val="clear"/>
              <w:snapToGrid w:val="0"/>
              <w:spacing w:before="50" w:after="50"/>
              <w:jc w:val="center"/>
              <w:rPr>
                <w:rFonts w:ascii="宋体" w:hAnsi="宋体"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05ED160">
            <w:pPr>
              <w:shd w:val="clear"/>
              <w:snapToGrid w:val="0"/>
              <w:spacing w:before="50" w:after="50"/>
              <w:jc w:val="center"/>
              <w:rPr>
                <w:rFonts w:ascii="宋体" w:hAnsi="宋体"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39CE4F6">
            <w:pPr>
              <w:shd w:val="clear"/>
              <w:snapToGrid w:val="0"/>
              <w:spacing w:before="50" w:after="50"/>
              <w:jc w:val="center"/>
              <w:rPr>
                <w:rFonts w:ascii="宋体" w:hAnsi="宋体" w:cs="仿宋"/>
                <w:color w:val="auto"/>
                <w:sz w:val="24"/>
                <w:highlight w:val="none"/>
              </w:rPr>
            </w:pPr>
          </w:p>
        </w:tc>
      </w:tr>
      <w:tr w14:paraId="2ECE5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14:paraId="6BF7374D">
            <w:pPr>
              <w:shd w:val="clear"/>
              <w:snapToGrid w:val="0"/>
              <w:spacing w:before="50" w:after="50"/>
              <w:jc w:val="center"/>
              <w:rPr>
                <w:rFonts w:ascii="宋体" w:hAnsi="宋体" w:cs="仿宋"/>
                <w:color w:val="auto"/>
                <w:sz w:val="24"/>
                <w:highlight w:val="none"/>
              </w:rPr>
            </w:pPr>
            <w:bookmarkStart w:id="468" w:name="_Toc64369814"/>
            <w:r>
              <w:rPr>
                <w:rFonts w:hint="eastAsia" w:ascii="宋体" w:hAnsi="宋体" w:cs="仿宋"/>
                <w:color w:val="auto"/>
                <w:sz w:val="24"/>
                <w:highlight w:val="none"/>
              </w:rPr>
              <w:t>…</w:t>
            </w:r>
            <w:bookmarkEnd w:id="468"/>
          </w:p>
        </w:tc>
        <w:tc>
          <w:tcPr>
            <w:tcW w:w="1711" w:type="dxa"/>
            <w:tcBorders>
              <w:top w:val="single" w:color="auto" w:sz="4" w:space="0"/>
              <w:left w:val="single" w:color="auto" w:sz="4" w:space="0"/>
              <w:bottom w:val="single" w:color="auto" w:sz="4" w:space="0"/>
              <w:right w:val="single" w:color="auto" w:sz="4" w:space="0"/>
            </w:tcBorders>
            <w:vAlign w:val="center"/>
          </w:tcPr>
          <w:p w14:paraId="0B08A4A6">
            <w:pPr>
              <w:shd w:val="clear"/>
              <w:snapToGrid w:val="0"/>
              <w:spacing w:before="50" w:after="50"/>
              <w:jc w:val="center"/>
              <w:rPr>
                <w:rFonts w:ascii="宋体" w:hAnsi="宋体" w:cs="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vAlign w:val="center"/>
          </w:tcPr>
          <w:p w14:paraId="2A29B5E0">
            <w:pPr>
              <w:shd w:val="clear"/>
              <w:snapToGrid w:val="0"/>
              <w:spacing w:before="50" w:after="50"/>
              <w:jc w:val="center"/>
              <w:rPr>
                <w:rFonts w:ascii="宋体" w:hAnsi="宋体"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6A97159">
            <w:pPr>
              <w:shd w:val="clear"/>
              <w:snapToGrid w:val="0"/>
              <w:spacing w:before="50" w:after="50"/>
              <w:jc w:val="center"/>
              <w:rPr>
                <w:rFonts w:ascii="宋体" w:hAnsi="宋体"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CCDD1B5">
            <w:pPr>
              <w:shd w:val="clear"/>
              <w:snapToGrid w:val="0"/>
              <w:spacing w:before="50" w:after="50"/>
              <w:jc w:val="center"/>
              <w:rPr>
                <w:rFonts w:ascii="宋体" w:hAnsi="宋体" w:cs="仿宋"/>
                <w:color w:val="auto"/>
                <w:sz w:val="24"/>
                <w:highlight w:val="none"/>
              </w:rPr>
            </w:pPr>
          </w:p>
        </w:tc>
      </w:tr>
    </w:tbl>
    <w:p w14:paraId="2D1C7B79">
      <w:pPr>
        <w:shd w:val="clear"/>
        <w:snapToGrid w:val="0"/>
        <w:spacing w:beforeLines="50"/>
        <w:rPr>
          <w:rFonts w:ascii="宋体" w:hAnsi="宋体" w:cs="仿宋"/>
          <w:color w:val="auto"/>
          <w:sz w:val="24"/>
          <w:highlight w:val="none"/>
        </w:rPr>
      </w:pPr>
      <w:r>
        <w:rPr>
          <w:rFonts w:hint="eastAsia" w:ascii="宋体" w:hAnsi="宋体" w:cs="仿宋"/>
          <w:color w:val="auto"/>
          <w:sz w:val="24"/>
          <w:highlight w:val="none"/>
        </w:rPr>
        <w:t>注：投标人应对照征集文件要求和响应文件响应情况在“偏离情况”栏注明“正偏离”、“负偏离”或“无偏离”。</w:t>
      </w:r>
      <w:r>
        <w:rPr>
          <w:rFonts w:hint="eastAsia" w:ascii="宋体" w:hAnsi="宋体" w:cs="仿宋"/>
          <w:color w:val="auto"/>
          <w:sz w:val="24"/>
          <w:highlight w:val="none"/>
          <w:lang w:val="zh-CN"/>
        </w:rPr>
        <w:t>如无对应内容，则填写：“无或/”</w:t>
      </w:r>
      <w:r>
        <w:rPr>
          <w:rFonts w:hint="eastAsia" w:ascii="宋体" w:hAnsi="宋体" w:cs="仿宋"/>
          <w:color w:val="auto"/>
          <w:sz w:val="24"/>
          <w:highlight w:val="none"/>
        </w:rPr>
        <w:t>。</w:t>
      </w:r>
    </w:p>
    <w:p w14:paraId="648E2BB9">
      <w:pPr>
        <w:shd w:val="clear"/>
        <w:snapToGrid w:val="0"/>
        <w:spacing w:beforeLines="50"/>
        <w:rPr>
          <w:rFonts w:ascii="宋体" w:hAnsi="宋体" w:cs="仿宋"/>
          <w:color w:val="auto"/>
          <w:sz w:val="24"/>
          <w:highlight w:val="none"/>
        </w:rPr>
      </w:pPr>
    </w:p>
    <w:p w14:paraId="7BB7CAE7">
      <w:pPr>
        <w:shd w:val="clear"/>
        <w:autoSpaceDE w:val="0"/>
        <w:autoSpaceDN w:val="0"/>
        <w:spacing w:line="360" w:lineRule="auto"/>
        <w:ind w:firstLine="4560" w:firstLineChars="1900"/>
        <w:rPr>
          <w:rFonts w:ascii="宋体" w:hAnsi="宋体" w:cs="仿宋"/>
          <w:color w:val="auto"/>
          <w:kern w:val="0"/>
          <w:sz w:val="24"/>
          <w:highlight w:val="none"/>
        </w:rPr>
      </w:pPr>
      <w:r>
        <w:rPr>
          <w:rFonts w:hint="eastAsia" w:ascii="宋体" w:hAnsi="宋体" w:cs="仿宋"/>
          <w:color w:val="auto"/>
          <w:kern w:val="0"/>
          <w:sz w:val="24"/>
          <w:highlight w:val="none"/>
        </w:rPr>
        <w:t>投标人名称（</w:t>
      </w:r>
      <w:r>
        <w:rPr>
          <w:rFonts w:hint="eastAsia" w:ascii="宋体" w:hAnsi="宋体" w:cs="仿宋"/>
          <w:color w:val="auto"/>
          <w:kern w:val="0"/>
          <w:sz w:val="24"/>
          <w:highlight w:val="none"/>
          <w:lang w:val="zh-CN"/>
        </w:rPr>
        <w:t>电子签名</w:t>
      </w:r>
      <w:r>
        <w:rPr>
          <w:rFonts w:hint="eastAsia" w:ascii="宋体" w:hAnsi="宋体" w:cs="仿宋"/>
          <w:color w:val="auto"/>
          <w:kern w:val="0"/>
          <w:sz w:val="24"/>
          <w:highlight w:val="none"/>
        </w:rPr>
        <w:t>）：</w:t>
      </w:r>
    </w:p>
    <w:p w14:paraId="7464F89F">
      <w:pPr>
        <w:shd w:val="clear"/>
        <w:snapToGrid w:val="0"/>
        <w:spacing w:before="50" w:after="50"/>
        <w:rPr>
          <w:rFonts w:ascii="宋体" w:hAnsi="宋体" w:cs="仿宋"/>
          <w:color w:val="auto"/>
          <w:kern w:val="0"/>
          <w:sz w:val="24"/>
          <w:highlight w:val="none"/>
        </w:rPr>
      </w:pPr>
      <w:r>
        <w:rPr>
          <w:rFonts w:hint="eastAsia" w:ascii="宋体" w:hAnsi="宋体" w:cs="仿宋"/>
          <w:color w:val="auto"/>
          <w:kern w:val="0"/>
          <w:sz w:val="24"/>
          <w:highlight w:val="none"/>
        </w:rPr>
        <w:t xml:space="preserve">                                       日期：  年  月   </w:t>
      </w:r>
    </w:p>
    <w:p w14:paraId="16FF6948">
      <w:pPr>
        <w:shd w:val="clear"/>
        <w:snapToGrid w:val="0"/>
        <w:spacing w:before="50" w:afterLines="50"/>
        <w:jc w:val="center"/>
        <w:rPr>
          <w:rFonts w:ascii="宋体" w:hAnsi="宋体" w:cs="仿宋"/>
          <w:b/>
          <w:bCs/>
          <w:color w:val="auto"/>
          <w:sz w:val="30"/>
          <w:szCs w:val="30"/>
          <w:highlight w:val="none"/>
        </w:rPr>
      </w:pPr>
    </w:p>
    <w:p w14:paraId="0EB2480C">
      <w:pPr>
        <w:shd w:val="clear"/>
        <w:snapToGrid w:val="0"/>
        <w:spacing w:before="50" w:afterLines="50"/>
        <w:jc w:val="center"/>
        <w:rPr>
          <w:rFonts w:ascii="宋体" w:hAnsi="宋体" w:cs="仿宋"/>
          <w:b/>
          <w:color w:val="auto"/>
          <w:spacing w:val="40"/>
          <w:kern w:val="0"/>
          <w:sz w:val="36"/>
          <w:szCs w:val="36"/>
          <w:highlight w:val="none"/>
        </w:rPr>
      </w:pPr>
    </w:p>
    <w:p w14:paraId="7DB9C73B">
      <w:pPr>
        <w:shd w:val="clear"/>
        <w:snapToGrid w:val="0"/>
        <w:spacing w:before="50" w:afterLines="50"/>
        <w:jc w:val="center"/>
        <w:rPr>
          <w:rFonts w:ascii="宋体" w:hAnsi="宋体" w:cs="仿宋"/>
          <w:b/>
          <w:color w:val="auto"/>
          <w:spacing w:val="40"/>
          <w:kern w:val="0"/>
          <w:sz w:val="36"/>
          <w:szCs w:val="36"/>
          <w:highlight w:val="none"/>
        </w:rPr>
      </w:pPr>
    </w:p>
    <w:p w14:paraId="350BFFA7">
      <w:pPr>
        <w:shd w:val="clear"/>
        <w:snapToGrid w:val="0"/>
        <w:spacing w:before="50" w:afterLines="50"/>
        <w:jc w:val="center"/>
        <w:rPr>
          <w:rFonts w:ascii="宋体" w:hAnsi="宋体" w:cs="仿宋"/>
          <w:b/>
          <w:color w:val="auto"/>
          <w:spacing w:val="40"/>
          <w:kern w:val="0"/>
          <w:sz w:val="36"/>
          <w:szCs w:val="36"/>
          <w:highlight w:val="none"/>
        </w:rPr>
      </w:pPr>
    </w:p>
    <w:p w14:paraId="41686F61">
      <w:pPr>
        <w:shd w:val="clear"/>
        <w:snapToGrid w:val="0"/>
        <w:spacing w:before="50" w:afterLines="50"/>
        <w:jc w:val="center"/>
        <w:rPr>
          <w:rFonts w:ascii="宋体" w:hAnsi="宋体" w:cs="仿宋"/>
          <w:b/>
          <w:color w:val="auto"/>
          <w:spacing w:val="40"/>
          <w:kern w:val="0"/>
          <w:sz w:val="36"/>
          <w:szCs w:val="36"/>
          <w:highlight w:val="none"/>
        </w:rPr>
      </w:pPr>
    </w:p>
    <w:p w14:paraId="2644680A">
      <w:pPr>
        <w:shd w:val="clear"/>
        <w:snapToGrid w:val="0"/>
        <w:spacing w:before="50" w:afterLines="50"/>
        <w:jc w:val="center"/>
        <w:rPr>
          <w:rFonts w:ascii="宋体" w:hAnsi="宋体" w:cs="仿宋"/>
          <w:b/>
          <w:color w:val="auto"/>
          <w:spacing w:val="40"/>
          <w:kern w:val="0"/>
          <w:sz w:val="36"/>
          <w:szCs w:val="36"/>
          <w:highlight w:val="none"/>
        </w:rPr>
      </w:pPr>
    </w:p>
    <w:p w14:paraId="061518C2">
      <w:pPr>
        <w:shd w:val="clear"/>
        <w:snapToGrid w:val="0"/>
        <w:spacing w:before="50" w:afterLines="50"/>
        <w:jc w:val="center"/>
        <w:rPr>
          <w:rFonts w:ascii="宋体" w:hAnsi="宋体" w:cs="仿宋"/>
          <w:b/>
          <w:color w:val="auto"/>
          <w:spacing w:val="40"/>
          <w:kern w:val="0"/>
          <w:sz w:val="36"/>
          <w:szCs w:val="36"/>
          <w:highlight w:val="none"/>
        </w:rPr>
      </w:pPr>
    </w:p>
    <w:p w14:paraId="333A40E8">
      <w:pPr>
        <w:shd w:val="clear"/>
        <w:snapToGrid w:val="0"/>
        <w:spacing w:before="50" w:afterLines="50"/>
        <w:jc w:val="center"/>
        <w:rPr>
          <w:rFonts w:ascii="宋体" w:hAnsi="宋体" w:cs="仿宋"/>
          <w:b/>
          <w:color w:val="auto"/>
          <w:spacing w:val="40"/>
          <w:kern w:val="0"/>
          <w:sz w:val="36"/>
          <w:szCs w:val="36"/>
          <w:highlight w:val="none"/>
        </w:rPr>
      </w:pPr>
    </w:p>
    <w:p w14:paraId="2DD4DF76">
      <w:pPr>
        <w:shd w:val="clear"/>
        <w:snapToGrid w:val="0"/>
        <w:spacing w:before="50" w:afterLines="50"/>
        <w:rPr>
          <w:rFonts w:ascii="宋体" w:hAnsi="宋体" w:cs="仿宋"/>
          <w:b/>
          <w:color w:val="auto"/>
          <w:spacing w:val="40"/>
          <w:kern w:val="0"/>
          <w:sz w:val="36"/>
          <w:szCs w:val="36"/>
          <w:highlight w:val="none"/>
        </w:rPr>
      </w:pPr>
    </w:p>
    <w:p w14:paraId="7841DB5E">
      <w:pPr>
        <w:pStyle w:val="16"/>
        <w:shd w:val="clear"/>
        <w:snapToGrid w:val="0"/>
        <w:jc w:val="center"/>
        <w:rPr>
          <w:rFonts w:ascii="宋体" w:hAnsi="宋体" w:cs="仿宋"/>
          <w:color w:val="auto"/>
          <w:spacing w:val="40"/>
          <w:kern w:val="0"/>
          <w:sz w:val="36"/>
          <w:szCs w:val="36"/>
          <w:highlight w:val="none"/>
        </w:rPr>
      </w:pPr>
    </w:p>
    <w:p w14:paraId="474F5425">
      <w:pPr>
        <w:shd w:val="clear"/>
        <w:jc w:val="center"/>
        <w:rPr>
          <w:rFonts w:ascii="宋体" w:hAnsi="宋体" w:cs="仿宋"/>
          <w:b/>
          <w:bCs/>
          <w:color w:val="auto"/>
          <w:spacing w:val="6"/>
          <w:sz w:val="32"/>
          <w:szCs w:val="32"/>
          <w:highlight w:val="none"/>
        </w:rPr>
      </w:pPr>
      <w:r>
        <w:rPr>
          <w:rFonts w:hint="eastAsia" w:ascii="宋体" w:hAnsi="宋体" w:cs="仿宋"/>
          <w:snapToGrid w:val="0"/>
          <w:color w:val="auto"/>
          <w:kern w:val="0"/>
          <w:szCs w:val="21"/>
          <w:highlight w:val="none"/>
        </w:rPr>
        <w:br w:type="page"/>
      </w:r>
      <w:r>
        <w:rPr>
          <w:rFonts w:hint="eastAsia" w:ascii="宋体" w:hAnsi="宋体" w:cs="仿宋"/>
          <w:b/>
          <w:bCs/>
          <w:color w:val="auto"/>
          <w:spacing w:val="6"/>
          <w:sz w:val="32"/>
          <w:szCs w:val="32"/>
          <w:highlight w:val="none"/>
        </w:rPr>
        <w:t>四、商务响应表</w:t>
      </w:r>
    </w:p>
    <w:p w14:paraId="7CDD34D3">
      <w:pPr>
        <w:shd w:val="clear"/>
        <w:rPr>
          <w:rFonts w:ascii="宋体" w:hAnsi="宋体" w:cs="仿宋"/>
          <w:snapToGrid w:val="0"/>
          <w:color w:val="auto"/>
          <w:kern w:val="0"/>
          <w:szCs w:val="21"/>
          <w:highlight w:val="none"/>
        </w:rPr>
      </w:pPr>
    </w:p>
    <w:tbl>
      <w:tblPr>
        <w:tblStyle w:val="60"/>
        <w:tblW w:w="89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7"/>
        <w:gridCol w:w="4855"/>
        <w:gridCol w:w="1715"/>
        <w:gridCol w:w="1201"/>
      </w:tblGrid>
      <w:tr w14:paraId="0694F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1227" w:type="dxa"/>
            <w:tcBorders>
              <w:top w:val="single" w:color="auto" w:sz="4" w:space="0"/>
              <w:left w:val="single" w:color="auto" w:sz="4" w:space="0"/>
              <w:bottom w:val="single" w:color="auto" w:sz="4" w:space="0"/>
              <w:right w:val="single" w:color="auto" w:sz="4" w:space="0"/>
            </w:tcBorders>
            <w:vAlign w:val="center"/>
          </w:tcPr>
          <w:p w14:paraId="634E64D6">
            <w:pPr>
              <w:shd w:val="clear"/>
              <w:snapToGrid w:val="0"/>
              <w:spacing w:before="50" w:after="50"/>
              <w:jc w:val="center"/>
              <w:rPr>
                <w:rFonts w:ascii="宋体" w:hAnsi="宋体" w:cs="仿宋"/>
                <w:color w:val="auto"/>
                <w:sz w:val="24"/>
                <w:highlight w:val="none"/>
              </w:rPr>
            </w:pPr>
            <w:bookmarkStart w:id="469" w:name="_Toc64369815"/>
            <w:r>
              <w:rPr>
                <w:rFonts w:hint="eastAsia" w:ascii="宋体" w:hAnsi="宋体" w:cs="仿宋"/>
                <w:color w:val="auto"/>
                <w:sz w:val="24"/>
                <w:highlight w:val="none"/>
              </w:rPr>
              <w:t>类别</w:t>
            </w:r>
            <w:bookmarkEnd w:id="469"/>
          </w:p>
        </w:tc>
        <w:tc>
          <w:tcPr>
            <w:tcW w:w="4855" w:type="dxa"/>
            <w:tcBorders>
              <w:top w:val="single" w:color="auto" w:sz="4" w:space="0"/>
              <w:left w:val="single" w:color="auto" w:sz="4" w:space="0"/>
              <w:bottom w:val="single" w:color="auto" w:sz="4" w:space="0"/>
              <w:right w:val="single" w:color="auto" w:sz="4" w:space="0"/>
            </w:tcBorders>
            <w:vAlign w:val="center"/>
          </w:tcPr>
          <w:p w14:paraId="4EAB6037">
            <w:pPr>
              <w:shd w:val="clear"/>
              <w:snapToGrid w:val="0"/>
              <w:spacing w:beforeLines="50" w:after="50"/>
              <w:jc w:val="center"/>
              <w:rPr>
                <w:rFonts w:ascii="宋体" w:hAnsi="宋体" w:cs="仿宋"/>
                <w:color w:val="auto"/>
                <w:sz w:val="24"/>
                <w:highlight w:val="none"/>
              </w:rPr>
            </w:pPr>
            <w:bookmarkStart w:id="470" w:name="_Toc64369816"/>
            <w:r>
              <w:rPr>
                <w:rFonts w:hint="eastAsia" w:ascii="宋体" w:hAnsi="宋体" w:cs="仿宋"/>
                <w:color w:val="auto"/>
                <w:sz w:val="24"/>
                <w:highlight w:val="none"/>
              </w:rPr>
              <w:t>征集文件要求</w:t>
            </w:r>
            <w:bookmarkEnd w:id="470"/>
          </w:p>
        </w:tc>
        <w:tc>
          <w:tcPr>
            <w:tcW w:w="1715" w:type="dxa"/>
            <w:tcBorders>
              <w:top w:val="single" w:color="auto" w:sz="4" w:space="0"/>
              <w:left w:val="single" w:color="auto" w:sz="4" w:space="0"/>
              <w:bottom w:val="single" w:color="auto" w:sz="4" w:space="0"/>
              <w:right w:val="single" w:color="auto" w:sz="4" w:space="0"/>
            </w:tcBorders>
            <w:vAlign w:val="center"/>
          </w:tcPr>
          <w:p w14:paraId="18F554E9">
            <w:pPr>
              <w:shd w:val="clear"/>
              <w:snapToGrid w:val="0"/>
              <w:spacing w:beforeLines="50" w:after="50"/>
              <w:jc w:val="center"/>
              <w:rPr>
                <w:rFonts w:ascii="宋体" w:hAnsi="宋体" w:cs="仿宋"/>
                <w:color w:val="auto"/>
                <w:sz w:val="24"/>
                <w:highlight w:val="none"/>
              </w:rPr>
            </w:pPr>
            <w:bookmarkStart w:id="471" w:name="_Toc64369817"/>
            <w:r>
              <w:rPr>
                <w:rFonts w:hint="eastAsia" w:ascii="宋体" w:hAnsi="宋体" w:cs="仿宋"/>
                <w:color w:val="auto"/>
                <w:sz w:val="24"/>
                <w:highlight w:val="none"/>
              </w:rPr>
              <w:t>响应文件响应</w:t>
            </w:r>
            <w:bookmarkEnd w:id="471"/>
          </w:p>
        </w:tc>
        <w:tc>
          <w:tcPr>
            <w:tcW w:w="1201" w:type="dxa"/>
            <w:tcBorders>
              <w:top w:val="single" w:color="auto" w:sz="4" w:space="0"/>
              <w:left w:val="single" w:color="auto" w:sz="4" w:space="0"/>
              <w:bottom w:val="single" w:color="auto" w:sz="4" w:space="0"/>
              <w:right w:val="single" w:color="auto" w:sz="4" w:space="0"/>
            </w:tcBorders>
            <w:vAlign w:val="center"/>
          </w:tcPr>
          <w:p w14:paraId="1049A86A">
            <w:pPr>
              <w:shd w:val="clear"/>
              <w:snapToGrid w:val="0"/>
              <w:spacing w:beforeLines="50" w:after="50"/>
              <w:jc w:val="center"/>
              <w:rPr>
                <w:rFonts w:ascii="宋体" w:hAnsi="宋体" w:cs="仿宋"/>
                <w:color w:val="auto"/>
                <w:sz w:val="24"/>
                <w:highlight w:val="none"/>
              </w:rPr>
            </w:pPr>
            <w:bookmarkStart w:id="472" w:name="_Toc64369818"/>
            <w:r>
              <w:rPr>
                <w:rFonts w:hint="eastAsia" w:ascii="宋体" w:hAnsi="宋体" w:cs="仿宋"/>
                <w:color w:val="auto"/>
                <w:sz w:val="24"/>
                <w:highlight w:val="none"/>
              </w:rPr>
              <w:t>偏离情况</w:t>
            </w:r>
            <w:bookmarkEnd w:id="472"/>
          </w:p>
        </w:tc>
      </w:tr>
      <w:tr w14:paraId="3D547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227" w:type="dxa"/>
            <w:tcBorders>
              <w:top w:val="single" w:color="auto" w:sz="4" w:space="0"/>
              <w:left w:val="single" w:color="auto" w:sz="4" w:space="0"/>
              <w:bottom w:val="single" w:color="auto" w:sz="4" w:space="0"/>
              <w:right w:val="single" w:color="auto" w:sz="4" w:space="0"/>
            </w:tcBorders>
            <w:vAlign w:val="center"/>
          </w:tcPr>
          <w:p w14:paraId="607D4FCC">
            <w:pPr>
              <w:shd w:val="clear"/>
              <w:snapToGrid w:val="0"/>
              <w:spacing w:before="50" w:after="50" w:line="360" w:lineRule="auto"/>
              <w:jc w:val="left"/>
              <w:rPr>
                <w:rFonts w:ascii="宋体" w:hAnsi="宋体" w:cs="仿宋"/>
                <w:color w:val="auto"/>
                <w:sz w:val="24"/>
                <w:highlight w:val="none"/>
              </w:rPr>
            </w:pPr>
            <w:r>
              <w:rPr>
                <w:rFonts w:hint="eastAsia" w:ascii="宋体" w:hAnsi="宋体" w:cs="仿宋"/>
                <w:bCs/>
                <w:color w:val="auto"/>
                <w:kern w:val="0"/>
                <w:sz w:val="24"/>
                <w:highlight w:val="none"/>
              </w:rPr>
              <w:t>服务期限</w:t>
            </w:r>
          </w:p>
        </w:tc>
        <w:tc>
          <w:tcPr>
            <w:tcW w:w="4855" w:type="dxa"/>
            <w:tcBorders>
              <w:top w:val="single" w:color="auto" w:sz="4" w:space="0"/>
              <w:left w:val="single" w:color="auto" w:sz="4" w:space="0"/>
              <w:bottom w:val="single" w:color="auto" w:sz="4" w:space="0"/>
              <w:right w:val="single" w:color="auto" w:sz="4" w:space="0"/>
            </w:tcBorders>
            <w:vAlign w:val="center"/>
          </w:tcPr>
          <w:p w14:paraId="444E902A">
            <w:pPr>
              <w:pStyle w:val="31"/>
              <w:shd w:val="clear"/>
              <w:tabs>
                <w:tab w:val="left" w:pos="840"/>
              </w:tabs>
              <w:spacing w:line="360" w:lineRule="auto"/>
              <w:rPr>
                <w:rFonts w:hAnsi="宋体" w:cs="仿宋"/>
                <w:color w:val="auto"/>
                <w:sz w:val="24"/>
                <w:highlight w:val="none"/>
              </w:rPr>
            </w:pPr>
            <w:r>
              <w:rPr>
                <w:rFonts w:hint="eastAsia" w:hAnsi="宋体" w:cs="仿宋"/>
                <w:color w:val="auto"/>
                <w:kern w:val="0"/>
                <w:sz w:val="24"/>
                <w:highlight w:val="none"/>
              </w:rPr>
              <w:t>自本协议签订之日起至2027年7月31日止。若期满后，在未完成下一轮集中招标（采购）前，则可以继续提供服务。框架协议期内若有上级文件要求或最新规定需终止框架协议的，2026年8月1日起委托人有权决定是否终止框架协议。如期限内累计解除框架协议家数达到本次框架协议入围供应商数量的30%以上，则以公开招标方式进行替补。</w:t>
            </w:r>
          </w:p>
        </w:tc>
        <w:tc>
          <w:tcPr>
            <w:tcW w:w="1715" w:type="dxa"/>
            <w:tcBorders>
              <w:top w:val="single" w:color="auto" w:sz="4" w:space="0"/>
              <w:left w:val="single" w:color="auto" w:sz="4" w:space="0"/>
              <w:bottom w:val="single" w:color="auto" w:sz="4" w:space="0"/>
              <w:right w:val="single" w:color="auto" w:sz="4" w:space="0"/>
            </w:tcBorders>
          </w:tcPr>
          <w:p w14:paraId="624B3212">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tcPr>
          <w:p w14:paraId="1FAD79CA">
            <w:pPr>
              <w:pStyle w:val="31"/>
              <w:shd w:val="clear"/>
              <w:snapToGrid w:val="0"/>
              <w:spacing w:before="120" w:after="120"/>
              <w:jc w:val="center"/>
              <w:outlineLvl w:val="0"/>
              <w:rPr>
                <w:rFonts w:hAnsi="宋体" w:cs="仿宋"/>
                <w:snapToGrid/>
                <w:color w:val="auto"/>
                <w:sz w:val="24"/>
                <w:szCs w:val="24"/>
                <w:highlight w:val="none"/>
              </w:rPr>
            </w:pPr>
          </w:p>
        </w:tc>
      </w:tr>
      <w:tr w14:paraId="6CDBC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27" w:type="dxa"/>
            <w:tcBorders>
              <w:top w:val="single" w:color="auto" w:sz="4" w:space="0"/>
              <w:left w:val="single" w:color="auto" w:sz="4" w:space="0"/>
              <w:bottom w:val="single" w:color="auto" w:sz="4" w:space="0"/>
              <w:right w:val="single" w:color="auto" w:sz="4" w:space="0"/>
            </w:tcBorders>
            <w:vAlign w:val="center"/>
          </w:tcPr>
          <w:p w14:paraId="43535502">
            <w:pPr>
              <w:shd w:val="clear"/>
              <w:snapToGrid w:val="0"/>
              <w:spacing w:before="50" w:after="50" w:line="360" w:lineRule="auto"/>
              <w:jc w:val="left"/>
              <w:rPr>
                <w:rFonts w:ascii="宋体" w:hAnsi="宋体" w:cs="仿宋"/>
                <w:color w:val="auto"/>
                <w:sz w:val="24"/>
                <w:highlight w:val="none"/>
              </w:rPr>
            </w:pPr>
            <w:r>
              <w:rPr>
                <w:rFonts w:hint="eastAsia" w:ascii="宋体" w:hAnsi="宋体" w:cs="仿宋"/>
                <w:color w:val="auto"/>
                <w:sz w:val="24"/>
                <w:highlight w:val="none"/>
              </w:rPr>
              <w:t>数量调整</w:t>
            </w:r>
          </w:p>
        </w:tc>
        <w:tc>
          <w:tcPr>
            <w:tcW w:w="4855" w:type="dxa"/>
            <w:tcBorders>
              <w:top w:val="single" w:color="auto" w:sz="4" w:space="0"/>
              <w:left w:val="single" w:color="auto" w:sz="4" w:space="0"/>
              <w:bottom w:val="single" w:color="auto" w:sz="4" w:space="0"/>
              <w:right w:val="single" w:color="auto" w:sz="4" w:space="0"/>
            </w:tcBorders>
            <w:vAlign w:val="center"/>
          </w:tcPr>
          <w:p w14:paraId="73DF440C">
            <w:pPr>
              <w:pStyle w:val="31"/>
              <w:shd w:val="clear"/>
              <w:tabs>
                <w:tab w:val="left" w:pos="840"/>
              </w:tabs>
              <w:spacing w:line="360" w:lineRule="auto"/>
              <w:rPr>
                <w:rFonts w:hAnsi="宋体" w:cs="仿宋"/>
                <w:color w:val="auto"/>
                <w:sz w:val="24"/>
                <w:highlight w:val="none"/>
              </w:rPr>
            </w:pPr>
            <w:r>
              <w:rPr>
                <w:rFonts w:hint="eastAsia" w:hAnsi="宋体" w:cs="仿宋"/>
                <w:color w:val="auto"/>
                <w:kern w:val="0"/>
                <w:sz w:val="24"/>
                <w:highlight w:val="none"/>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征集没有涉及的服务时，由中标人提供申请，采购人确认后实施。</w:t>
            </w:r>
          </w:p>
        </w:tc>
        <w:tc>
          <w:tcPr>
            <w:tcW w:w="1715" w:type="dxa"/>
            <w:tcBorders>
              <w:top w:val="single" w:color="auto" w:sz="4" w:space="0"/>
              <w:left w:val="single" w:color="auto" w:sz="4" w:space="0"/>
              <w:bottom w:val="single" w:color="auto" w:sz="4" w:space="0"/>
              <w:right w:val="single" w:color="auto" w:sz="4" w:space="0"/>
            </w:tcBorders>
          </w:tcPr>
          <w:p w14:paraId="61693A2C">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tcPr>
          <w:p w14:paraId="2EC895B5">
            <w:pPr>
              <w:pStyle w:val="31"/>
              <w:shd w:val="clear"/>
              <w:snapToGrid w:val="0"/>
              <w:spacing w:before="120" w:after="120"/>
              <w:jc w:val="center"/>
              <w:outlineLvl w:val="0"/>
              <w:rPr>
                <w:rFonts w:hAnsi="宋体" w:cs="仿宋"/>
                <w:snapToGrid/>
                <w:color w:val="auto"/>
                <w:sz w:val="24"/>
                <w:szCs w:val="24"/>
                <w:highlight w:val="none"/>
              </w:rPr>
            </w:pPr>
          </w:p>
        </w:tc>
      </w:tr>
      <w:tr w14:paraId="48188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9" w:hRule="atLeast"/>
        </w:trPr>
        <w:tc>
          <w:tcPr>
            <w:tcW w:w="1227" w:type="dxa"/>
            <w:tcBorders>
              <w:top w:val="single" w:color="auto" w:sz="4" w:space="0"/>
              <w:left w:val="single" w:color="auto" w:sz="4" w:space="0"/>
              <w:bottom w:val="single" w:color="auto" w:sz="4" w:space="0"/>
              <w:right w:val="single" w:color="auto" w:sz="4" w:space="0"/>
            </w:tcBorders>
            <w:vAlign w:val="center"/>
          </w:tcPr>
          <w:p w14:paraId="461A1660">
            <w:pPr>
              <w:shd w:val="clear"/>
              <w:snapToGrid w:val="0"/>
              <w:spacing w:before="50" w:after="50" w:line="360" w:lineRule="auto"/>
              <w:jc w:val="left"/>
              <w:rPr>
                <w:rFonts w:ascii="宋体" w:hAnsi="宋体" w:cs="仿宋"/>
                <w:color w:val="auto"/>
                <w:sz w:val="24"/>
                <w:highlight w:val="none"/>
              </w:rPr>
            </w:pPr>
            <w:r>
              <w:rPr>
                <w:rFonts w:hint="eastAsia" w:ascii="宋体" w:hAnsi="宋体" w:cs="仿宋"/>
                <w:color w:val="auto"/>
                <w:sz w:val="24"/>
                <w:highlight w:val="none"/>
              </w:rPr>
              <w:t>收费标准</w:t>
            </w:r>
          </w:p>
        </w:tc>
        <w:tc>
          <w:tcPr>
            <w:tcW w:w="4855" w:type="dxa"/>
            <w:tcBorders>
              <w:top w:val="single" w:color="auto" w:sz="4" w:space="0"/>
              <w:left w:val="single" w:color="auto" w:sz="4" w:space="0"/>
              <w:bottom w:val="single" w:color="auto" w:sz="4" w:space="0"/>
              <w:right w:val="single" w:color="auto" w:sz="4" w:space="0"/>
            </w:tcBorders>
            <w:vAlign w:val="center"/>
          </w:tcPr>
          <w:p w14:paraId="5DEFFDDD">
            <w:pPr>
              <w:pStyle w:val="31"/>
              <w:shd w:val="clear"/>
              <w:tabs>
                <w:tab w:val="left" w:pos="840"/>
              </w:tabs>
              <w:spacing w:line="360" w:lineRule="auto"/>
              <w:rPr>
                <w:rFonts w:hAnsi="宋体" w:cs="仿宋"/>
                <w:color w:val="auto"/>
                <w:kern w:val="0"/>
                <w:sz w:val="24"/>
                <w:highlight w:val="none"/>
              </w:rPr>
            </w:pPr>
            <w:r>
              <w:rPr>
                <w:rFonts w:hint="eastAsia" w:hAnsi="宋体" w:cs="仿宋"/>
                <w:color w:val="auto"/>
                <w:kern w:val="0"/>
                <w:sz w:val="24"/>
                <w:highlight w:val="none"/>
              </w:rPr>
              <w:t>工程预算（招标控制价）编制和预算审核、施工阶段全过程工程造价控制、竣工结算审核等咨询服务收费最高限额根据建设工程造价咨询服务收费标准*中标折扣率执行（中标折扣率</w:t>
            </w:r>
            <w:r>
              <w:rPr>
                <w:rFonts w:ascii="Arial" w:hAnsi="Arial"/>
                <w:color w:val="auto"/>
                <w:kern w:val="0"/>
                <w:sz w:val="24"/>
                <w:highlight w:val="none"/>
              </w:rPr>
              <w:t>≤</w:t>
            </w:r>
            <w:r>
              <w:rPr>
                <w:rFonts w:hint="eastAsia" w:hAnsi="宋体" w:cs="仿宋"/>
                <w:color w:val="auto"/>
                <w:kern w:val="0"/>
                <w:sz w:val="24"/>
                <w:highlight w:val="none"/>
              </w:rPr>
              <w:t>65%），不足2500元的按2500元收取，具体由建设单位根据市场调查在合同内确定。如建设单位委托施工阶段全过程工程造价控制咨询服务仅实施工程变更审核的，则最高限额按工程预算（招标控制价）审核收费标准*中标折扣率执行（中标折扣率</w:t>
            </w:r>
            <w:r>
              <w:rPr>
                <w:rFonts w:ascii="Arial" w:hAnsi="Arial"/>
                <w:color w:val="auto"/>
                <w:kern w:val="0"/>
                <w:sz w:val="24"/>
                <w:highlight w:val="none"/>
              </w:rPr>
              <w:t>≤</w:t>
            </w:r>
            <w:r>
              <w:rPr>
                <w:rFonts w:hint="eastAsia" w:hAnsi="宋体" w:cs="仿宋"/>
                <w:color w:val="auto"/>
                <w:kern w:val="0"/>
                <w:sz w:val="24"/>
                <w:highlight w:val="none"/>
              </w:rPr>
              <w:t>65%），收费基数为所有工程变更的累计送审额。咨询服务费包括钢筋及预埋件计算，不再另行计取相关费用。其它未在本款及建设工程造价咨询服务收费标准中明确的咨询服务收费，由建设单位根据市场调查在合同内确定。</w:t>
            </w:r>
          </w:p>
          <w:p w14:paraId="13E458F9">
            <w:pPr>
              <w:pStyle w:val="31"/>
              <w:shd w:val="clear"/>
              <w:tabs>
                <w:tab w:val="left" w:pos="840"/>
              </w:tabs>
              <w:spacing w:line="360" w:lineRule="auto"/>
              <w:rPr>
                <w:rFonts w:hAnsi="宋体" w:cs="仿宋"/>
                <w:color w:val="auto"/>
                <w:kern w:val="0"/>
                <w:sz w:val="24"/>
                <w:highlight w:val="none"/>
              </w:rPr>
            </w:pPr>
            <w:r>
              <w:rPr>
                <w:rFonts w:hint="eastAsia" w:hAnsi="宋体" w:cs="仿宋"/>
                <w:color w:val="auto"/>
                <w:kern w:val="0"/>
                <w:sz w:val="24"/>
                <w:highlight w:val="none"/>
              </w:rPr>
              <w:t>工程造价咨询工程结算审核的追加费用，按核增额加上超过5%以外核减额之和的5%确定，由施工单位承担，具体由建设单位根据市场调查在合同内确定。</w:t>
            </w:r>
          </w:p>
          <w:p w14:paraId="5312C40C">
            <w:pPr>
              <w:pStyle w:val="31"/>
              <w:shd w:val="clear"/>
              <w:tabs>
                <w:tab w:val="left" w:pos="840"/>
              </w:tabs>
              <w:spacing w:line="360" w:lineRule="auto"/>
              <w:rPr>
                <w:rFonts w:hAnsi="宋体" w:cs="仿宋"/>
                <w:color w:val="auto"/>
                <w:kern w:val="0"/>
                <w:sz w:val="24"/>
                <w:highlight w:val="none"/>
              </w:rPr>
            </w:pPr>
            <w:r>
              <w:rPr>
                <w:rFonts w:hint="eastAsia" w:hAnsi="宋体" w:cs="仿宋"/>
                <w:color w:val="auto"/>
                <w:kern w:val="0"/>
                <w:sz w:val="24"/>
                <w:highlight w:val="none"/>
              </w:rPr>
              <w:t>建设单位内审复核产生的结算审核追加费用，由供应商承担。</w:t>
            </w:r>
          </w:p>
          <w:p w14:paraId="6BAE9FA2">
            <w:pPr>
              <w:pStyle w:val="31"/>
              <w:shd w:val="clear"/>
              <w:tabs>
                <w:tab w:val="left" w:pos="840"/>
              </w:tabs>
              <w:spacing w:line="360" w:lineRule="auto"/>
              <w:rPr>
                <w:rFonts w:hAnsi="宋体" w:cs="仿宋"/>
                <w:color w:val="auto"/>
                <w:sz w:val="24"/>
                <w:highlight w:val="none"/>
              </w:rPr>
            </w:pPr>
            <w:r>
              <w:rPr>
                <w:rFonts w:hint="eastAsia" w:hAnsi="宋体" w:cs="仿宋"/>
                <w:color w:val="auto"/>
                <w:kern w:val="0"/>
                <w:sz w:val="24"/>
                <w:highlight w:val="none"/>
              </w:rPr>
              <w:t>审计质量抽查费及审计重大工程跟踪费按嵊州市政府投资项目审计中心相关内控制度执行。</w:t>
            </w:r>
          </w:p>
        </w:tc>
        <w:tc>
          <w:tcPr>
            <w:tcW w:w="1715" w:type="dxa"/>
            <w:tcBorders>
              <w:top w:val="single" w:color="auto" w:sz="4" w:space="0"/>
              <w:left w:val="single" w:color="auto" w:sz="4" w:space="0"/>
              <w:bottom w:val="single" w:color="auto" w:sz="4" w:space="0"/>
              <w:right w:val="single" w:color="auto" w:sz="4" w:space="0"/>
            </w:tcBorders>
          </w:tcPr>
          <w:p w14:paraId="45286EB8">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nil"/>
              <w:right w:val="single" w:color="auto" w:sz="4" w:space="0"/>
            </w:tcBorders>
          </w:tcPr>
          <w:p w14:paraId="4202A109">
            <w:pPr>
              <w:pStyle w:val="31"/>
              <w:shd w:val="clear"/>
              <w:snapToGrid w:val="0"/>
              <w:spacing w:before="120" w:after="120"/>
              <w:jc w:val="center"/>
              <w:outlineLvl w:val="0"/>
              <w:rPr>
                <w:rFonts w:hAnsi="宋体" w:cs="仿宋"/>
                <w:snapToGrid/>
                <w:color w:val="auto"/>
                <w:sz w:val="24"/>
                <w:szCs w:val="24"/>
                <w:highlight w:val="none"/>
              </w:rPr>
            </w:pPr>
          </w:p>
        </w:tc>
      </w:tr>
      <w:tr w14:paraId="1FD3D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54" w:hRule="atLeast"/>
        </w:trPr>
        <w:tc>
          <w:tcPr>
            <w:tcW w:w="1227" w:type="dxa"/>
            <w:tcBorders>
              <w:top w:val="single" w:color="auto" w:sz="4" w:space="0"/>
              <w:left w:val="single" w:color="auto" w:sz="4" w:space="0"/>
              <w:bottom w:val="single" w:color="auto" w:sz="4" w:space="0"/>
              <w:right w:val="single" w:color="auto" w:sz="4" w:space="0"/>
            </w:tcBorders>
            <w:vAlign w:val="center"/>
          </w:tcPr>
          <w:p w14:paraId="4E27B2E2">
            <w:pPr>
              <w:shd w:val="clear"/>
              <w:snapToGrid w:val="0"/>
              <w:spacing w:before="50" w:after="50" w:line="360" w:lineRule="auto"/>
              <w:jc w:val="left"/>
              <w:rPr>
                <w:rFonts w:ascii="宋体" w:hAnsi="宋体" w:cs="仿宋"/>
                <w:color w:val="auto"/>
                <w:sz w:val="24"/>
                <w:highlight w:val="none"/>
              </w:rPr>
            </w:pPr>
            <w:r>
              <w:rPr>
                <w:rFonts w:hint="eastAsia" w:hAnsi="宋体" w:cs="仿宋"/>
                <w:color w:val="auto"/>
                <w:sz w:val="24"/>
                <w:highlight w:val="none"/>
              </w:rPr>
              <w:t>付款方式</w:t>
            </w:r>
          </w:p>
        </w:tc>
        <w:tc>
          <w:tcPr>
            <w:tcW w:w="4855" w:type="dxa"/>
            <w:tcBorders>
              <w:top w:val="single" w:color="auto" w:sz="4" w:space="0"/>
              <w:left w:val="single" w:color="auto" w:sz="4" w:space="0"/>
              <w:bottom w:val="single" w:color="auto" w:sz="4" w:space="0"/>
              <w:right w:val="single" w:color="auto" w:sz="4" w:space="0"/>
            </w:tcBorders>
            <w:vAlign w:val="center"/>
          </w:tcPr>
          <w:p w14:paraId="2CA737D2">
            <w:pPr>
              <w:widowControl/>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kern w:val="0"/>
                <w:sz w:val="24"/>
                <w:highlight w:val="none"/>
              </w:rPr>
              <w:t>在咨询合同生效后，</w:t>
            </w:r>
            <w:r>
              <w:rPr>
                <w:rFonts w:hint="eastAsia" w:ascii="宋体" w:hAnsi="宋体" w:cs="仿宋"/>
                <w:color w:val="auto"/>
                <w:sz w:val="24"/>
                <w:highlight w:val="none"/>
              </w:rPr>
              <w:t>按照第二阶段委托人根据自身内控制度要求和合同约定进行支付。</w:t>
            </w:r>
          </w:p>
          <w:p w14:paraId="79FD1026">
            <w:pPr>
              <w:pStyle w:val="22"/>
              <w:shd w:val="clear"/>
              <w:ind w:firstLine="480" w:firstLineChars="200"/>
              <w:rPr>
                <w:rFonts w:hAnsi="宋体" w:cs="仿宋"/>
                <w:color w:val="auto"/>
                <w:kern w:val="0"/>
                <w:highlight w:val="none"/>
              </w:rPr>
            </w:pPr>
            <w:r>
              <w:rPr>
                <w:rFonts w:hint="eastAsia" w:hAnsi="宋体" w:cs="仿宋"/>
                <w:color w:val="auto"/>
                <w:szCs w:val="24"/>
                <w:highlight w:val="none"/>
              </w:rPr>
              <w:t>涉及中小企业合同的，付款根据浙财采监〔2022〕3号文件相关规定执行。</w:t>
            </w:r>
          </w:p>
        </w:tc>
        <w:tc>
          <w:tcPr>
            <w:tcW w:w="1715" w:type="dxa"/>
            <w:tcBorders>
              <w:top w:val="single" w:color="auto" w:sz="4" w:space="0"/>
              <w:left w:val="single" w:color="auto" w:sz="4" w:space="0"/>
              <w:bottom w:val="single" w:color="auto" w:sz="4" w:space="0"/>
              <w:right w:val="single" w:color="auto" w:sz="4" w:space="0"/>
            </w:tcBorders>
          </w:tcPr>
          <w:p w14:paraId="2B0060D2">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tcPr>
          <w:p w14:paraId="2429FAD2">
            <w:pPr>
              <w:pStyle w:val="31"/>
              <w:shd w:val="clear"/>
              <w:snapToGrid w:val="0"/>
              <w:spacing w:before="120" w:after="120"/>
              <w:jc w:val="center"/>
              <w:outlineLvl w:val="0"/>
              <w:rPr>
                <w:rFonts w:hAnsi="宋体" w:cs="仿宋"/>
                <w:snapToGrid/>
                <w:color w:val="auto"/>
                <w:sz w:val="24"/>
                <w:szCs w:val="24"/>
                <w:highlight w:val="none"/>
              </w:rPr>
            </w:pPr>
          </w:p>
        </w:tc>
      </w:tr>
      <w:tr w14:paraId="51015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69C7F6CD">
            <w:pPr>
              <w:pStyle w:val="31"/>
              <w:shd w:val="clear"/>
              <w:tabs>
                <w:tab w:val="left" w:pos="840"/>
              </w:tabs>
              <w:spacing w:line="360" w:lineRule="auto"/>
              <w:rPr>
                <w:rFonts w:hAnsi="宋体" w:cs="仿宋"/>
                <w:snapToGrid/>
                <w:color w:val="auto"/>
                <w:sz w:val="24"/>
                <w:szCs w:val="24"/>
                <w:highlight w:val="none"/>
              </w:rPr>
            </w:pPr>
            <w:r>
              <w:rPr>
                <w:rFonts w:hint="eastAsia" w:hAnsi="宋体" w:cs="仿宋"/>
                <w:b/>
                <w:bCs/>
                <w:color w:val="auto"/>
                <w:sz w:val="24"/>
                <w:highlight w:val="none"/>
              </w:rPr>
              <w:t>承接具体业务时人员要求</w:t>
            </w:r>
          </w:p>
        </w:tc>
        <w:tc>
          <w:tcPr>
            <w:tcW w:w="4855" w:type="dxa"/>
            <w:tcBorders>
              <w:top w:val="single" w:color="auto" w:sz="4" w:space="0"/>
              <w:left w:val="single" w:color="auto" w:sz="4" w:space="0"/>
              <w:bottom w:val="single" w:color="auto" w:sz="4" w:space="0"/>
              <w:right w:val="single" w:color="auto" w:sz="4" w:space="0"/>
            </w:tcBorders>
            <w:shd w:val="clear" w:color="auto" w:fill="auto"/>
            <w:vAlign w:val="center"/>
          </w:tcPr>
          <w:p w14:paraId="11E77420">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入围供应商承接具体造价咨询业务时，承诺团队成员中至少配备对应造价主专业的注册造价师 2 名，其中至少配备 1 名一级造价师，否则不得承接相应专业的造价咨询业务。</w:t>
            </w:r>
          </w:p>
        </w:tc>
        <w:tc>
          <w:tcPr>
            <w:tcW w:w="1715" w:type="dxa"/>
            <w:tcBorders>
              <w:top w:val="single" w:color="auto" w:sz="4" w:space="0"/>
              <w:left w:val="single" w:color="auto" w:sz="4" w:space="0"/>
              <w:bottom w:val="single" w:color="auto" w:sz="4" w:space="0"/>
              <w:right w:val="single" w:color="auto" w:sz="4" w:space="0"/>
            </w:tcBorders>
          </w:tcPr>
          <w:p w14:paraId="6697B6B7">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tcPr>
          <w:p w14:paraId="0C4D437F">
            <w:pPr>
              <w:pStyle w:val="31"/>
              <w:shd w:val="clear"/>
              <w:snapToGrid w:val="0"/>
              <w:spacing w:before="120" w:after="120"/>
              <w:jc w:val="center"/>
              <w:outlineLvl w:val="0"/>
              <w:rPr>
                <w:rFonts w:hAnsi="宋体" w:cs="仿宋"/>
                <w:snapToGrid/>
                <w:color w:val="auto"/>
                <w:sz w:val="24"/>
                <w:szCs w:val="24"/>
                <w:highlight w:val="none"/>
              </w:rPr>
            </w:pPr>
          </w:p>
        </w:tc>
      </w:tr>
      <w:tr w14:paraId="4F085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7868B9DE">
            <w:pPr>
              <w:shd w:val="clear"/>
              <w:snapToGrid w:val="0"/>
              <w:spacing w:before="50" w:after="50" w:line="360" w:lineRule="auto"/>
              <w:jc w:val="left"/>
              <w:rPr>
                <w:rFonts w:ascii="宋体" w:hAnsi="宋体" w:cs="仿宋"/>
                <w:color w:val="auto"/>
                <w:sz w:val="24"/>
                <w:highlight w:val="none"/>
              </w:rPr>
            </w:pPr>
            <w:r>
              <w:rPr>
                <w:rFonts w:hint="eastAsia" w:ascii="宋体" w:hAnsi="宋体" w:cs="仿宋"/>
                <w:color w:val="auto"/>
                <w:sz w:val="24"/>
                <w:highlight w:val="none"/>
              </w:rPr>
              <w:t>团队成员稳定要求</w:t>
            </w:r>
          </w:p>
        </w:tc>
        <w:tc>
          <w:tcPr>
            <w:tcW w:w="4855" w:type="dxa"/>
            <w:tcBorders>
              <w:top w:val="single" w:color="auto" w:sz="4" w:space="0"/>
              <w:left w:val="single" w:color="auto" w:sz="4" w:space="0"/>
              <w:bottom w:val="single" w:color="auto" w:sz="4" w:space="0"/>
              <w:right w:val="single" w:color="auto" w:sz="4" w:space="0"/>
            </w:tcBorders>
            <w:shd w:val="clear" w:color="auto" w:fill="auto"/>
            <w:vAlign w:val="center"/>
          </w:tcPr>
          <w:p w14:paraId="771A45E3">
            <w:pPr>
              <w:shd w:val="clear"/>
              <w:spacing w:line="480" w:lineRule="exact"/>
              <w:ind w:firstLine="422" w:firstLineChars="200"/>
              <w:rPr>
                <w:rFonts w:ascii="宋体" w:hAnsi="宋体" w:cs="宋体"/>
                <w:b/>
                <w:bCs/>
                <w:color w:val="auto"/>
                <w:kern w:val="0"/>
                <w:sz w:val="24"/>
                <w:szCs w:val="21"/>
                <w:highlight w:val="none"/>
              </w:rPr>
            </w:pPr>
            <w:r>
              <w:rPr>
                <w:rFonts w:hint="eastAsia" w:ascii="宋体" w:hAnsi="宋体" w:cs="宋体"/>
                <w:b/>
                <w:bCs/>
                <w:color w:val="auto"/>
                <w:szCs w:val="21"/>
                <w:highlight w:val="none"/>
              </w:rPr>
              <w:t>入围供应商应确保团队成员稳定，团队成员在框架协议期内原则上不得替换和新增，确需要替换或新增的，需报征集人同意，</w:t>
            </w:r>
            <w:r>
              <w:rPr>
                <w:rFonts w:hint="eastAsia" w:ascii="宋体" w:hAnsi="宋体" w:eastAsia="宋体" w:cs="宋体"/>
                <w:b/>
                <w:bCs/>
                <w:color w:val="auto"/>
                <w:sz w:val="21"/>
                <w:szCs w:val="21"/>
                <w:highlight w:val="none"/>
                <w:lang w:val="en-US"/>
              </w:rPr>
              <w:t>且在框架协议服务期内最多可替换</w:t>
            </w:r>
            <w:r>
              <w:rPr>
                <w:rFonts w:ascii="宋体" w:hAnsi="宋体" w:eastAsia="宋体" w:cs="宋体"/>
                <w:b/>
                <w:bCs/>
                <w:color w:val="auto"/>
                <w:sz w:val="21"/>
                <w:szCs w:val="21"/>
                <w:highlight w:val="none"/>
                <w:lang w:val="en-US"/>
              </w:rPr>
              <w:t>3人、新增2人，</w:t>
            </w:r>
            <w:r>
              <w:rPr>
                <w:rFonts w:hint="eastAsia" w:ascii="宋体" w:hAnsi="宋体" w:cs="宋体"/>
                <w:b/>
                <w:bCs/>
                <w:color w:val="auto"/>
                <w:szCs w:val="21"/>
                <w:highlight w:val="none"/>
              </w:rPr>
              <w:t>其中替换人员需具备同原团队成员一致或以上的投标资质（包括投标的证书及职称）、投标业绩数。</w:t>
            </w:r>
          </w:p>
          <w:p w14:paraId="2C4C9ED6">
            <w:pPr>
              <w:pStyle w:val="31"/>
              <w:shd w:val="clear"/>
              <w:tabs>
                <w:tab w:val="left" w:pos="840"/>
              </w:tabs>
              <w:spacing w:line="360" w:lineRule="auto"/>
              <w:rPr>
                <w:rFonts w:hAnsi="宋体" w:cs="仿宋"/>
                <w:snapToGrid/>
                <w:color w:val="auto"/>
                <w:sz w:val="24"/>
                <w:szCs w:val="24"/>
                <w:highlight w:val="none"/>
              </w:rPr>
            </w:pPr>
            <w:r>
              <w:rPr>
                <w:rFonts w:hint="eastAsia" w:hAnsi="宋体" w:cs="仿宋"/>
                <w:color w:val="auto"/>
                <w:kern w:val="0"/>
                <w:sz w:val="24"/>
                <w:szCs w:val="24"/>
                <w:highlight w:val="none"/>
              </w:rPr>
              <w:t>框架协议服务期内，团队成员人数少于原投标团队成员的人数或资质、业绩水平低于原投标资质、业绩水平的情况时，征集人有权暂停入围供应商的业务承接。</w:t>
            </w:r>
          </w:p>
        </w:tc>
        <w:tc>
          <w:tcPr>
            <w:tcW w:w="1715" w:type="dxa"/>
            <w:tcBorders>
              <w:top w:val="single" w:color="auto" w:sz="4" w:space="0"/>
              <w:left w:val="single" w:color="auto" w:sz="4" w:space="0"/>
              <w:bottom w:val="single" w:color="auto" w:sz="4" w:space="0"/>
              <w:right w:val="single" w:color="auto" w:sz="4" w:space="0"/>
            </w:tcBorders>
          </w:tcPr>
          <w:p w14:paraId="2DEAB151">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tcPr>
          <w:p w14:paraId="1B691C2D">
            <w:pPr>
              <w:pStyle w:val="31"/>
              <w:shd w:val="clear"/>
              <w:snapToGrid w:val="0"/>
              <w:spacing w:before="120" w:after="120"/>
              <w:jc w:val="center"/>
              <w:outlineLvl w:val="0"/>
              <w:rPr>
                <w:rFonts w:hAnsi="宋体" w:cs="仿宋"/>
                <w:snapToGrid/>
                <w:color w:val="auto"/>
                <w:sz w:val="24"/>
                <w:szCs w:val="24"/>
                <w:highlight w:val="none"/>
              </w:rPr>
            </w:pPr>
          </w:p>
        </w:tc>
      </w:tr>
      <w:tr w14:paraId="639F6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6ECFE3F0">
            <w:pPr>
              <w:shd w:val="clear"/>
              <w:snapToGrid w:val="0"/>
              <w:spacing w:before="50" w:after="50" w:line="360" w:lineRule="auto"/>
              <w:jc w:val="left"/>
              <w:rPr>
                <w:rFonts w:ascii="宋体" w:hAnsi="宋体" w:cs="仿宋"/>
                <w:color w:val="auto"/>
                <w:sz w:val="24"/>
                <w:highlight w:val="none"/>
              </w:rPr>
            </w:pPr>
            <w:r>
              <w:rPr>
                <w:rFonts w:hint="eastAsia" w:ascii="宋体" w:hAnsi="宋体" w:cs="仿宋"/>
                <w:color w:val="auto"/>
                <w:sz w:val="24"/>
                <w:highlight w:val="none"/>
              </w:rPr>
              <w:t>业务承接和考核管理</w:t>
            </w:r>
          </w:p>
        </w:tc>
        <w:tc>
          <w:tcPr>
            <w:tcW w:w="4855" w:type="dxa"/>
            <w:tcBorders>
              <w:top w:val="single" w:color="auto" w:sz="4" w:space="0"/>
              <w:left w:val="single" w:color="auto" w:sz="4" w:space="0"/>
              <w:bottom w:val="single" w:color="auto" w:sz="4" w:space="0"/>
              <w:right w:val="single" w:color="auto" w:sz="4" w:space="0"/>
            </w:tcBorders>
            <w:shd w:val="clear" w:color="auto" w:fill="auto"/>
            <w:vAlign w:val="center"/>
          </w:tcPr>
          <w:p w14:paraId="7CDEE8E1">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确定第二阶段成交供应商的方式为直接选定，具体由第二阶段委托人根据内部管理规定直接选定。入围供应商在第二阶段被选定后需无条件接受。</w:t>
            </w:r>
          </w:p>
          <w:p w14:paraId="76EB16D6">
            <w:pPr>
              <w:pStyle w:val="31"/>
              <w:shd w:val="clear"/>
              <w:tabs>
                <w:tab w:val="left" w:pos="840"/>
              </w:tabs>
              <w:spacing w:line="360" w:lineRule="auto"/>
              <w:rPr>
                <w:rFonts w:hAnsi="宋体" w:cs="仿宋"/>
                <w:snapToGrid/>
                <w:color w:val="auto"/>
                <w:sz w:val="24"/>
                <w:szCs w:val="24"/>
                <w:highlight w:val="none"/>
              </w:rPr>
            </w:pPr>
            <w:r>
              <w:rPr>
                <w:rFonts w:hint="eastAsia" w:hAnsi="宋体" w:cs="仿宋"/>
                <w:color w:val="auto"/>
                <w:kern w:val="0"/>
                <w:sz w:val="24"/>
                <w:szCs w:val="24"/>
                <w:highlight w:val="none"/>
              </w:rPr>
              <w:t>由征集人制订对入围供应商的考核和管理的具体细则，考核和管理包括且不限于团队水平、业务质量、响应能力、服务时限、廉洁执业、业主评价等方面的内容，并由征集人组织对入围供应商进行考核和管理，入围供应商需无条件配合。如考核和管理的具体细则有更新，入围供应商无条件按更新后的细则执行。</w:t>
            </w:r>
          </w:p>
        </w:tc>
        <w:tc>
          <w:tcPr>
            <w:tcW w:w="1715" w:type="dxa"/>
            <w:tcBorders>
              <w:top w:val="single" w:color="auto" w:sz="4" w:space="0"/>
              <w:left w:val="single" w:color="auto" w:sz="4" w:space="0"/>
              <w:bottom w:val="single" w:color="auto" w:sz="4" w:space="0"/>
              <w:right w:val="single" w:color="auto" w:sz="4" w:space="0"/>
            </w:tcBorders>
          </w:tcPr>
          <w:p w14:paraId="2A70DF76">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tcPr>
          <w:p w14:paraId="4C5F654D">
            <w:pPr>
              <w:pStyle w:val="31"/>
              <w:shd w:val="clear"/>
              <w:snapToGrid w:val="0"/>
              <w:spacing w:before="120" w:after="120"/>
              <w:jc w:val="center"/>
              <w:outlineLvl w:val="0"/>
              <w:rPr>
                <w:rFonts w:hAnsi="宋体" w:cs="仿宋"/>
                <w:snapToGrid/>
                <w:color w:val="auto"/>
                <w:sz w:val="24"/>
                <w:szCs w:val="24"/>
                <w:highlight w:val="none"/>
              </w:rPr>
            </w:pPr>
          </w:p>
        </w:tc>
      </w:tr>
      <w:tr w14:paraId="1990F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2B76D6AA">
            <w:pPr>
              <w:shd w:val="clear"/>
              <w:snapToGrid w:val="0"/>
              <w:spacing w:before="50" w:after="50" w:line="360" w:lineRule="auto"/>
              <w:jc w:val="left"/>
              <w:rPr>
                <w:rFonts w:ascii="宋体" w:hAnsi="宋体" w:cs="仿宋"/>
                <w:color w:val="auto"/>
                <w:sz w:val="24"/>
                <w:highlight w:val="none"/>
              </w:rPr>
            </w:pPr>
            <w:r>
              <w:rPr>
                <w:rFonts w:hint="eastAsia" w:ascii="宋体" w:hAnsi="宋体" w:cs="仿宋"/>
                <w:color w:val="auto"/>
                <w:sz w:val="24"/>
                <w:highlight w:val="none"/>
              </w:rPr>
              <w:t>其他</w:t>
            </w:r>
          </w:p>
        </w:tc>
        <w:tc>
          <w:tcPr>
            <w:tcW w:w="4855" w:type="dxa"/>
            <w:tcBorders>
              <w:top w:val="single" w:color="auto" w:sz="4" w:space="0"/>
              <w:left w:val="single" w:color="auto" w:sz="4" w:space="0"/>
              <w:bottom w:val="single" w:color="auto" w:sz="4" w:space="0"/>
              <w:right w:val="single" w:color="auto" w:sz="4" w:space="0"/>
            </w:tcBorders>
            <w:shd w:val="clear" w:color="auto" w:fill="auto"/>
            <w:vAlign w:val="center"/>
          </w:tcPr>
          <w:p w14:paraId="6A8A693F">
            <w:pPr>
              <w:pStyle w:val="31"/>
              <w:shd w:val="clear"/>
              <w:snapToGrid w:val="0"/>
              <w:spacing w:before="120" w:after="120" w:line="360" w:lineRule="auto"/>
              <w:jc w:val="left"/>
              <w:outlineLvl w:val="0"/>
              <w:rPr>
                <w:rFonts w:hAnsi="宋体" w:cs="仿宋"/>
                <w:color w:val="auto"/>
                <w:sz w:val="24"/>
                <w:highlight w:val="none"/>
              </w:rPr>
            </w:pPr>
            <w:r>
              <w:rPr>
                <w:rFonts w:hint="eastAsia" w:hAnsi="宋体" w:cs="仿宋"/>
                <w:color w:val="auto"/>
                <w:sz w:val="24"/>
                <w:highlight w:val="none"/>
              </w:rPr>
              <w:t>详见征集文件及合同相应条款</w:t>
            </w:r>
          </w:p>
        </w:tc>
        <w:tc>
          <w:tcPr>
            <w:tcW w:w="1715" w:type="dxa"/>
            <w:tcBorders>
              <w:top w:val="single" w:color="auto" w:sz="4" w:space="0"/>
              <w:left w:val="single" w:color="auto" w:sz="4" w:space="0"/>
              <w:bottom w:val="single" w:color="auto" w:sz="4" w:space="0"/>
              <w:right w:val="single" w:color="auto" w:sz="4" w:space="0"/>
            </w:tcBorders>
          </w:tcPr>
          <w:p w14:paraId="5E318239">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tcPr>
          <w:p w14:paraId="3A4C04EB">
            <w:pPr>
              <w:pStyle w:val="31"/>
              <w:shd w:val="clear"/>
              <w:snapToGrid w:val="0"/>
              <w:spacing w:before="120" w:after="120"/>
              <w:jc w:val="center"/>
              <w:outlineLvl w:val="0"/>
              <w:rPr>
                <w:rFonts w:hAnsi="宋体" w:cs="仿宋"/>
                <w:snapToGrid/>
                <w:color w:val="auto"/>
                <w:sz w:val="24"/>
                <w:szCs w:val="24"/>
                <w:highlight w:val="none"/>
              </w:rPr>
            </w:pPr>
          </w:p>
        </w:tc>
      </w:tr>
    </w:tbl>
    <w:p w14:paraId="635702B0">
      <w:pPr>
        <w:shd w:val="clear"/>
        <w:spacing w:line="360" w:lineRule="auto"/>
        <w:ind w:right="420"/>
        <w:rPr>
          <w:rFonts w:ascii="宋体" w:hAnsi="宋体" w:cs="仿宋"/>
          <w:color w:val="auto"/>
          <w:sz w:val="24"/>
          <w:highlight w:val="none"/>
        </w:rPr>
      </w:pPr>
      <w:r>
        <w:rPr>
          <w:rFonts w:hint="eastAsia" w:ascii="宋体" w:hAnsi="宋体" w:cs="仿宋"/>
          <w:color w:val="auto"/>
          <w:sz w:val="24"/>
          <w:highlight w:val="none"/>
        </w:rPr>
        <w:t>注：</w:t>
      </w:r>
    </w:p>
    <w:p w14:paraId="1B286D04">
      <w:pPr>
        <w:shd w:val="clear"/>
        <w:spacing w:line="360" w:lineRule="auto"/>
        <w:ind w:right="420"/>
        <w:rPr>
          <w:rFonts w:ascii="宋体" w:hAnsi="宋体" w:cs="仿宋"/>
          <w:color w:val="auto"/>
          <w:sz w:val="24"/>
          <w:highlight w:val="none"/>
        </w:rPr>
      </w:pPr>
      <w:r>
        <w:rPr>
          <w:rFonts w:hint="eastAsia" w:ascii="宋体" w:hAnsi="宋体" w:cs="仿宋"/>
          <w:color w:val="auto"/>
          <w:sz w:val="24"/>
          <w:highlight w:val="none"/>
        </w:rPr>
        <w:t>1、投标人应对照征集文件要求和响应文件响应情况在“偏离情况”栏注明“正偏离”、“负偏离”或“无偏离”。</w:t>
      </w:r>
    </w:p>
    <w:p w14:paraId="2EA3BB0F">
      <w:pPr>
        <w:shd w:val="clear"/>
        <w:spacing w:line="360" w:lineRule="auto"/>
        <w:ind w:right="420"/>
        <w:rPr>
          <w:rFonts w:ascii="宋体" w:hAnsi="宋体" w:cs="仿宋"/>
          <w:b/>
          <w:color w:val="auto"/>
          <w:sz w:val="24"/>
          <w:highlight w:val="none"/>
        </w:rPr>
      </w:pPr>
      <w:r>
        <w:rPr>
          <w:rFonts w:hint="eastAsia" w:ascii="宋体" w:hAnsi="宋体" w:cs="仿宋"/>
          <w:b/>
          <w:color w:val="auto"/>
          <w:sz w:val="24"/>
          <w:highlight w:val="none"/>
        </w:rPr>
        <w:t>2、“类别”一栏按征集文件第三部分中商务要求的分类填写。</w:t>
      </w:r>
    </w:p>
    <w:p w14:paraId="226ABA51">
      <w:pPr>
        <w:shd w:val="clear"/>
        <w:autoSpaceDE w:val="0"/>
        <w:autoSpaceDN w:val="0"/>
        <w:spacing w:line="360" w:lineRule="auto"/>
        <w:ind w:firstLine="4560" w:firstLineChars="1900"/>
        <w:rPr>
          <w:rFonts w:ascii="宋体" w:hAnsi="宋体" w:cs="仿宋"/>
          <w:color w:val="auto"/>
          <w:kern w:val="0"/>
          <w:sz w:val="24"/>
          <w:highlight w:val="none"/>
        </w:rPr>
      </w:pPr>
      <w:r>
        <w:rPr>
          <w:rFonts w:hint="eastAsia" w:ascii="宋体" w:hAnsi="宋体" w:cs="仿宋"/>
          <w:color w:val="auto"/>
          <w:kern w:val="0"/>
          <w:sz w:val="24"/>
          <w:highlight w:val="none"/>
        </w:rPr>
        <w:t>投标人名称（</w:t>
      </w:r>
      <w:r>
        <w:rPr>
          <w:rFonts w:hint="eastAsia" w:ascii="宋体" w:hAnsi="宋体" w:cs="仿宋"/>
          <w:color w:val="auto"/>
          <w:kern w:val="0"/>
          <w:sz w:val="24"/>
          <w:highlight w:val="none"/>
          <w:lang w:val="zh-CN"/>
        </w:rPr>
        <w:t>电子签名</w:t>
      </w:r>
      <w:r>
        <w:rPr>
          <w:rFonts w:hint="eastAsia" w:ascii="宋体" w:hAnsi="宋体" w:cs="仿宋"/>
          <w:color w:val="auto"/>
          <w:kern w:val="0"/>
          <w:sz w:val="24"/>
          <w:highlight w:val="none"/>
        </w:rPr>
        <w:t>）：</w:t>
      </w:r>
    </w:p>
    <w:p w14:paraId="01BD432C">
      <w:pPr>
        <w:shd w:val="clear"/>
        <w:snapToGrid w:val="0"/>
        <w:spacing w:before="50" w:after="50"/>
        <w:rPr>
          <w:rFonts w:ascii="宋体" w:hAnsi="宋体" w:cs="仿宋"/>
          <w:color w:val="auto"/>
          <w:kern w:val="0"/>
          <w:sz w:val="24"/>
          <w:highlight w:val="none"/>
        </w:rPr>
      </w:pPr>
      <w:r>
        <w:rPr>
          <w:rFonts w:hint="eastAsia" w:ascii="宋体" w:hAnsi="宋体" w:cs="仿宋"/>
          <w:color w:val="auto"/>
          <w:kern w:val="0"/>
          <w:sz w:val="24"/>
          <w:highlight w:val="none"/>
        </w:rPr>
        <w:t xml:space="preserve">                                       日期：  年  月   日</w:t>
      </w:r>
    </w:p>
    <w:p w14:paraId="22CD8590">
      <w:pPr>
        <w:shd w:val="clear"/>
        <w:tabs>
          <w:tab w:val="left" w:pos="2790"/>
          <w:tab w:val="left" w:pos="4230"/>
        </w:tabs>
        <w:autoSpaceDE w:val="0"/>
        <w:autoSpaceDN w:val="0"/>
        <w:spacing w:line="360" w:lineRule="auto"/>
        <w:ind w:right="1400"/>
        <w:jc w:val="center"/>
        <w:outlineLvl w:val="1"/>
        <w:rPr>
          <w:rFonts w:ascii="宋体" w:hAnsi="宋体" w:cs="仿宋"/>
          <w:b/>
          <w:bCs/>
          <w:color w:val="auto"/>
          <w:sz w:val="32"/>
          <w:szCs w:val="32"/>
          <w:highlight w:val="none"/>
        </w:rPr>
      </w:pPr>
      <w:r>
        <w:rPr>
          <w:rFonts w:hint="eastAsia" w:ascii="宋体" w:hAnsi="宋体" w:cs="仿宋"/>
          <w:b/>
          <w:bCs/>
          <w:color w:val="auto"/>
          <w:kern w:val="0"/>
          <w:sz w:val="36"/>
          <w:szCs w:val="36"/>
          <w:highlight w:val="none"/>
          <w:lang w:val="zh-CN"/>
        </w:rPr>
        <w:br w:type="page"/>
      </w:r>
      <w:r>
        <w:rPr>
          <w:rFonts w:hint="eastAsia" w:ascii="宋体" w:hAnsi="宋体" w:cs="仿宋"/>
          <w:b/>
          <w:bCs/>
          <w:color w:val="auto"/>
          <w:kern w:val="0"/>
          <w:sz w:val="36"/>
          <w:szCs w:val="36"/>
          <w:highlight w:val="none"/>
        </w:rPr>
        <w:t>五</w:t>
      </w:r>
      <w:r>
        <w:rPr>
          <w:rFonts w:hint="eastAsia" w:ascii="宋体" w:hAnsi="宋体" w:cs="仿宋"/>
          <w:b/>
          <w:bCs/>
          <w:color w:val="auto"/>
          <w:sz w:val="32"/>
          <w:szCs w:val="32"/>
          <w:highlight w:val="none"/>
        </w:rPr>
        <w:t>、项目组织实施方案</w:t>
      </w:r>
    </w:p>
    <w:p w14:paraId="2D0D1D1C">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（由投标人根据采购需求及征集文件要求编制）</w:t>
      </w:r>
    </w:p>
    <w:p w14:paraId="7206DD6F">
      <w:pPr>
        <w:shd w:val="clear"/>
        <w:autoSpaceDE w:val="0"/>
        <w:autoSpaceDN w:val="0"/>
        <w:spacing w:line="360" w:lineRule="auto"/>
        <w:jc w:val="center"/>
        <w:rPr>
          <w:rFonts w:ascii="宋体" w:hAnsi="宋体" w:cs="仿宋"/>
          <w:b/>
          <w:bCs/>
          <w:color w:val="auto"/>
          <w:sz w:val="32"/>
          <w:szCs w:val="32"/>
          <w:highlight w:val="none"/>
        </w:rPr>
      </w:pPr>
      <w:r>
        <w:rPr>
          <w:rFonts w:hint="eastAsia" w:ascii="宋体" w:hAnsi="宋体" w:cs="仿宋"/>
          <w:color w:val="auto"/>
          <w:sz w:val="24"/>
          <w:highlight w:val="none"/>
        </w:rPr>
        <w:br w:type="page"/>
      </w:r>
      <w:r>
        <w:rPr>
          <w:rFonts w:hint="eastAsia" w:ascii="宋体" w:hAnsi="宋体" w:cs="仿宋"/>
          <w:b/>
          <w:bCs/>
          <w:color w:val="auto"/>
          <w:sz w:val="32"/>
          <w:szCs w:val="32"/>
          <w:highlight w:val="none"/>
        </w:rPr>
        <w:t>六、技术负责人情况表</w:t>
      </w:r>
    </w:p>
    <w:p w14:paraId="76B92F8C">
      <w:pPr>
        <w:shd w:val="clear"/>
        <w:spacing w:line="360" w:lineRule="auto"/>
        <w:jc w:val="center"/>
        <w:rPr>
          <w:rFonts w:ascii="宋体" w:hAnsi="宋体" w:cs="仿宋"/>
          <w:color w:val="auto"/>
          <w:sz w:val="24"/>
          <w:highlight w:val="none"/>
        </w:rPr>
      </w:pPr>
    </w:p>
    <w:tbl>
      <w:tblPr>
        <w:tblStyle w:val="60"/>
        <w:tblW w:w="9072" w:type="dxa"/>
        <w:tblInd w:w="108" w:type="dxa"/>
        <w:tblLayout w:type="fixed"/>
        <w:tblCellMar>
          <w:top w:w="0" w:type="dxa"/>
          <w:left w:w="108" w:type="dxa"/>
          <w:bottom w:w="0" w:type="dxa"/>
          <w:right w:w="108" w:type="dxa"/>
        </w:tblCellMar>
      </w:tblPr>
      <w:tblGrid>
        <w:gridCol w:w="1953"/>
        <w:gridCol w:w="1308"/>
        <w:gridCol w:w="5811"/>
      </w:tblGrid>
      <w:tr w14:paraId="1A616786">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vAlign w:val="center"/>
          </w:tcPr>
          <w:p w14:paraId="795F6D52">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姓名</w:t>
            </w:r>
          </w:p>
        </w:tc>
        <w:tc>
          <w:tcPr>
            <w:tcW w:w="1308" w:type="dxa"/>
            <w:tcBorders>
              <w:top w:val="single" w:color="auto" w:sz="6" w:space="0"/>
              <w:left w:val="single" w:color="auto" w:sz="6" w:space="0"/>
              <w:bottom w:val="single" w:color="auto" w:sz="6" w:space="0"/>
              <w:right w:val="single" w:color="auto" w:sz="6" w:space="0"/>
            </w:tcBorders>
            <w:vAlign w:val="center"/>
          </w:tcPr>
          <w:p w14:paraId="3303FFBB">
            <w:pPr>
              <w:shd w:val="clear"/>
              <w:autoSpaceDE w:val="0"/>
              <w:autoSpaceDN w:val="0"/>
              <w:spacing w:line="360" w:lineRule="auto"/>
              <w:jc w:val="center"/>
              <w:rPr>
                <w:rFonts w:ascii="宋体" w:hAnsi="宋体" w:cs="仿宋"/>
                <w:color w:val="auto"/>
                <w:sz w:val="24"/>
                <w:highlight w:val="none"/>
              </w:rPr>
            </w:pPr>
          </w:p>
        </w:tc>
        <w:tc>
          <w:tcPr>
            <w:tcW w:w="5811" w:type="dxa"/>
            <w:tcBorders>
              <w:top w:val="single" w:color="auto" w:sz="6" w:space="0"/>
              <w:left w:val="single" w:color="auto" w:sz="6" w:space="0"/>
              <w:bottom w:val="single" w:color="auto" w:sz="6" w:space="0"/>
              <w:right w:val="single" w:color="auto" w:sz="6" w:space="0"/>
            </w:tcBorders>
            <w:vAlign w:val="center"/>
          </w:tcPr>
          <w:p w14:paraId="1B1F3D39">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投标截止时间前三年业绩及承担的主要工作情况，曾担任技术负责人的项目应列明细</w:t>
            </w:r>
          </w:p>
        </w:tc>
      </w:tr>
      <w:tr w14:paraId="3C1F2922">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5C4F14FC">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性别</w:t>
            </w:r>
          </w:p>
        </w:tc>
        <w:tc>
          <w:tcPr>
            <w:tcW w:w="1308" w:type="dxa"/>
            <w:tcBorders>
              <w:top w:val="single" w:color="auto" w:sz="6" w:space="0"/>
              <w:left w:val="single" w:color="auto" w:sz="6" w:space="0"/>
              <w:bottom w:val="single" w:color="auto" w:sz="6" w:space="0"/>
              <w:right w:val="single" w:color="auto" w:sz="6" w:space="0"/>
            </w:tcBorders>
          </w:tcPr>
          <w:p w14:paraId="0A20A237">
            <w:pPr>
              <w:shd w:val="clear"/>
              <w:autoSpaceDE w:val="0"/>
              <w:autoSpaceDN w:val="0"/>
              <w:spacing w:line="360" w:lineRule="auto"/>
              <w:jc w:val="center"/>
              <w:rPr>
                <w:rFonts w:ascii="宋体" w:hAnsi="宋体" w:cs="仿宋"/>
                <w:color w:val="auto"/>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vAlign w:val="center"/>
          </w:tcPr>
          <w:p w14:paraId="3BF892CA">
            <w:pPr>
              <w:shd w:val="clear"/>
              <w:autoSpaceDE w:val="0"/>
              <w:autoSpaceDN w:val="0"/>
              <w:spacing w:line="360" w:lineRule="auto"/>
              <w:jc w:val="center"/>
              <w:rPr>
                <w:rFonts w:ascii="宋体" w:hAnsi="宋体" w:cs="仿宋"/>
                <w:color w:val="auto"/>
                <w:sz w:val="24"/>
                <w:highlight w:val="none"/>
              </w:rPr>
            </w:pPr>
          </w:p>
        </w:tc>
      </w:tr>
      <w:tr w14:paraId="6AB35878">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vAlign w:val="center"/>
          </w:tcPr>
          <w:p w14:paraId="5254FC74">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年龄</w:t>
            </w:r>
          </w:p>
        </w:tc>
        <w:tc>
          <w:tcPr>
            <w:tcW w:w="1308" w:type="dxa"/>
            <w:tcBorders>
              <w:top w:val="single" w:color="auto" w:sz="6" w:space="0"/>
              <w:left w:val="single" w:color="auto" w:sz="6" w:space="0"/>
              <w:bottom w:val="single" w:color="auto" w:sz="6" w:space="0"/>
              <w:right w:val="single" w:color="auto" w:sz="6" w:space="0"/>
            </w:tcBorders>
          </w:tcPr>
          <w:p w14:paraId="7C2EAA8D">
            <w:pPr>
              <w:shd w:val="clear"/>
              <w:autoSpaceDE w:val="0"/>
              <w:autoSpaceDN w:val="0"/>
              <w:spacing w:line="360" w:lineRule="auto"/>
              <w:jc w:val="center"/>
              <w:rPr>
                <w:rFonts w:ascii="宋体" w:hAnsi="宋体"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41A3BDD2">
            <w:pPr>
              <w:shd w:val="clear"/>
              <w:autoSpaceDE w:val="0"/>
              <w:autoSpaceDN w:val="0"/>
              <w:spacing w:line="360" w:lineRule="auto"/>
              <w:jc w:val="center"/>
              <w:rPr>
                <w:rFonts w:ascii="宋体" w:hAnsi="宋体" w:cs="仿宋"/>
                <w:color w:val="auto"/>
                <w:sz w:val="24"/>
                <w:highlight w:val="none"/>
              </w:rPr>
            </w:pPr>
          </w:p>
        </w:tc>
      </w:tr>
      <w:tr w14:paraId="0B48328B">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7CB38EEB">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职称</w:t>
            </w:r>
          </w:p>
        </w:tc>
        <w:tc>
          <w:tcPr>
            <w:tcW w:w="1308" w:type="dxa"/>
            <w:tcBorders>
              <w:top w:val="single" w:color="auto" w:sz="6" w:space="0"/>
              <w:left w:val="single" w:color="auto" w:sz="6" w:space="0"/>
              <w:bottom w:val="single" w:color="auto" w:sz="6" w:space="0"/>
              <w:right w:val="single" w:color="auto" w:sz="6" w:space="0"/>
            </w:tcBorders>
          </w:tcPr>
          <w:p w14:paraId="7B22EE38">
            <w:pPr>
              <w:shd w:val="clear"/>
              <w:autoSpaceDE w:val="0"/>
              <w:autoSpaceDN w:val="0"/>
              <w:spacing w:line="360" w:lineRule="auto"/>
              <w:jc w:val="center"/>
              <w:rPr>
                <w:rFonts w:ascii="宋体" w:hAnsi="宋体"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2CC63EA1">
            <w:pPr>
              <w:shd w:val="clear"/>
              <w:autoSpaceDE w:val="0"/>
              <w:autoSpaceDN w:val="0"/>
              <w:spacing w:line="360" w:lineRule="auto"/>
              <w:jc w:val="center"/>
              <w:rPr>
                <w:rFonts w:ascii="宋体" w:hAnsi="宋体" w:cs="仿宋"/>
                <w:color w:val="auto"/>
                <w:sz w:val="24"/>
                <w:highlight w:val="none"/>
              </w:rPr>
            </w:pPr>
          </w:p>
        </w:tc>
      </w:tr>
      <w:tr w14:paraId="4063A7E3">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67E278D6">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tcPr>
          <w:p w14:paraId="014C5A53">
            <w:pPr>
              <w:shd w:val="clear"/>
              <w:autoSpaceDE w:val="0"/>
              <w:autoSpaceDN w:val="0"/>
              <w:spacing w:line="360" w:lineRule="auto"/>
              <w:jc w:val="center"/>
              <w:rPr>
                <w:rFonts w:ascii="宋体" w:hAnsi="宋体"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7FAD8ED5">
            <w:pPr>
              <w:shd w:val="clear"/>
              <w:autoSpaceDE w:val="0"/>
              <w:autoSpaceDN w:val="0"/>
              <w:spacing w:line="360" w:lineRule="auto"/>
              <w:jc w:val="center"/>
              <w:rPr>
                <w:rFonts w:ascii="宋体" w:hAnsi="宋体" w:cs="仿宋"/>
                <w:color w:val="auto"/>
                <w:sz w:val="24"/>
                <w:highlight w:val="none"/>
              </w:rPr>
            </w:pPr>
          </w:p>
        </w:tc>
      </w:tr>
      <w:tr w14:paraId="1A3C48BC">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vAlign w:val="center"/>
          </w:tcPr>
          <w:p w14:paraId="7C5ACD25">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tcPr>
          <w:p w14:paraId="47E889D5">
            <w:pPr>
              <w:shd w:val="clear"/>
              <w:autoSpaceDE w:val="0"/>
              <w:autoSpaceDN w:val="0"/>
              <w:spacing w:line="360" w:lineRule="auto"/>
              <w:jc w:val="center"/>
              <w:rPr>
                <w:rFonts w:ascii="宋体" w:hAnsi="宋体"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0BD4CBEF">
            <w:pPr>
              <w:shd w:val="clear"/>
              <w:autoSpaceDE w:val="0"/>
              <w:autoSpaceDN w:val="0"/>
              <w:spacing w:line="360" w:lineRule="auto"/>
              <w:jc w:val="center"/>
              <w:rPr>
                <w:rFonts w:ascii="宋体" w:hAnsi="宋体" w:cs="仿宋"/>
                <w:color w:val="auto"/>
                <w:sz w:val="24"/>
                <w:highlight w:val="none"/>
              </w:rPr>
            </w:pPr>
          </w:p>
        </w:tc>
      </w:tr>
      <w:tr w14:paraId="0476BBA7">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vAlign w:val="center"/>
          </w:tcPr>
          <w:p w14:paraId="0AA387D8">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学历</w:t>
            </w:r>
          </w:p>
        </w:tc>
        <w:tc>
          <w:tcPr>
            <w:tcW w:w="1308" w:type="dxa"/>
            <w:tcBorders>
              <w:top w:val="single" w:color="auto" w:sz="6" w:space="0"/>
              <w:left w:val="single" w:color="auto" w:sz="6" w:space="0"/>
              <w:bottom w:val="single" w:color="auto" w:sz="6" w:space="0"/>
              <w:right w:val="single" w:color="auto" w:sz="6" w:space="0"/>
            </w:tcBorders>
          </w:tcPr>
          <w:p w14:paraId="375B78C5">
            <w:pPr>
              <w:shd w:val="clear"/>
              <w:autoSpaceDE w:val="0"/>
              <w:autoSpaceDN w:val="0"/>
              <w:spacing w:line="360" w:lineRule="auto"/>
              <w:jc w:val="center"/>
              <w:rPr>
                <w:rFonts w:ascii="宋体" w:hAnsi="宋体"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2303EBE1">
            <w:pPr>
              <w:shd w:val="clear"/>
              <w:autoSpaceDE w:val="0"/>
              <w:autoSpaceDN w:val="0"/>
              <w:spacing w:line="360" w:lineRule="auto"/>
              <w:jc w:val="center"/>
              <w:rPr>
                <w:rFonts w:ascii="宋体" w:hAnsi="宋体" w:cs="仿宋"/>
                <w:color w:val="auto"/>
                <w:sz w:val="24"/>
                <w:highlight w:val="none"/>
              </w:rPr>
            </w:pPr>
          </w:p>
        </w:tc>
      </w:tr>
      <w:tr w14:paraId="39C845E3">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vAlign w:val="center"/>
          </w:tcPr>
          <w:p w14:paraId="5DDB30B0">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tcPr>
          <w:p w14:paraId="206AFAF7">
            <w:pPr>
              <w:shd w:val="clear"/>
              <w:autoSpaceDE w:val="0"/>
              <w:autoSpaceDN w:val="0"/>
              <w:spacing w:line="360" w:lineRule="auto"/>
              <w:jc w:val="center"/>
              <w:rPr>
                <w:rFonts w:ascii="宋体" w:hAnsi="宋体"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754BD703">
            <w:pPr>
              <w:shd w:val="clear"/>
              <w:autoSpaceDE w:val="0"/>
              <w:autoSpaceDN w:val="0"/>
              <w:spacing w:line="360" w:lineRule="auto"/>
              <w:jc w:val="center"/>
              <w:rPr>
                <w:rFonts w:ascii="宋体" w:hAnsi="宋体" w:cs="仿宋"/>
                <w:color w:val="auto"/>
                <w:sz w:val="24"/>
                <w:highlight w:val="none"/>
              </w:rPr>
            </w:pPr>
          </w:p>
        </w:tc>
      </w:tr>
      <w:tr w14:paraId="623E9C9C">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vAlign w:val="center"/>
          </w:tcPr>
          <w:p w14:paraId="763AF68A">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tcPr>
          <w:p w14:paraId="3C61E6D7">
            <w:pPr>
              <w:shd w:val="clear"/>
              <w:autoSpaceDE w:val="0"/>
              <w:autoSpaceDN w:val="0"/>
              <w:spacing w:line="360" w:lineRule="auto"/>
              <w:jc w:val="center"/>
              <w:rPr>
                <w:rFonts w:ascii="宋体" w:hAnsi="宋体"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39AA2FDF">
            <w:pPr>
              <w:shd w:val="clear"/>
              <w:autoSpaceDE w:val="0"/>
              <w:autoSpaceDN w:val="0"/>
              <w:spacing w:line="360" w:lineRule="auto"/>
              <w:jc w:val="center"/>
              <w:rPr>
                <w:rFonts w:ascii="宋体" w:hAnsi="宋体" w:cs="仿宋"/>
                <w:color w:val="auto"/>
                <w:sz w:val="24"/>
                <w:highlight w:val="none"/>
              </w:rPr>
            </w:pPr>
          </w:p>
        </w:tc>
      </w:tr>
      <w:tr w14:paraId="2DD4D5DD">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vAlign w:val="center"/>
          </w:tcPr>
          <w:p w14:paraId="115A3FF9">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tcPr>
          <w:p w14:paraId="35925F26">
            <w:pPr>
              <w:shd w:val="clear"/>
              <w:autoSpaceDE w:val="0"/>
              <w:autoSpaceDN w:val="0"/>
              <w:spacing w:line="360" w:lineRule="auto"/>
              <w:jc w:val="center"/>
              <w:rPr>
                <w:rFonts w:ascii="宋体" w:hAnsi="宋体"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5B7281B9">
            <w:pPr>
              <w:shd w:val="clear"/>
              <w:autoSpaceDE w:val="0"/>
              <w:autoSpaceDN w:val="0"/>
              <w:spacing w:line="360" w:lineRule="auto"/>
              <w:jc w:val="center"/>
              <w:rPr>
                <w:rFonts w:ascii="宋体" w:hAnsi="宋体" w:cs="仿宋"/>
                <w:color w:val="auto"/>
                <w:sz w:val="24"/>
                <w:highlight w:val="none"/>
              </w:rPr>
            </w:pPr>
          </w:p>
        </w:tc>
      </w:tr>
    </w:tbl>
    <w:p w14:paraId="02B35188">
      <w:pPr>
        <w:shd w:val="clear"/>
        <w:spacing w:line="360" w:lineRule="auto"/>
        <w:ind w:right="420"/>
        <w:rPr>
          <w:rFonts w:ascii="宋体" w:hAnsi="宋体" w:cs="仿宋"/>
          <w:color w:val="auto"/>
          <w:sz w:val="24"/>
          <w:highlight w:val="none"/>
        </w:rPr>
      </w:pPr>
    </w:p>
    <w:p w14:paraId="2BF00E7A">
      <w:pPr>
        <w:shd w:val="clear"/>
        <w:autoSpaceDE w:val="0"/>
        <w:autoSpaceDN w:val="0"/>
        <w:spacing w:line="360" w:lineRule="auto"/>
        <w:ind w:firstLine="4560" w:firstLineChars="1900"/>
        <w:rPr>
          <w:rFonts w:ascii="宋体" w:hAnsi="宋体" w:cs="仿宋"/>
          <w:color w:val="auto"/>
          <w:kern w:val="0"/>
          <w:sz w:val="24"/>
          <w:highlight w:val="none"/>
        </w:rPr>
      </w:pPr>
      <w:r>
        <w:rPr>
          <w:rFonts w:hint="eastAsia" w:ascii="宋体" w:hAnsi="宋体" w:cs="仿宋"/>
          <w:color w:val="auto"/>
          <w:kern w:val="0"/>
          <w:sz w:val="24"/>
          <w:highlight w:val="none"/>
        </w:rPr>
        <w:t>投标人名称（</w:t>
      </w:r>
      <w:r>
        <w:rPr>
          <w:rFonts w:hint="eastAsia" w:ascii="宋体" w:hAnsi="宋体" w:cs="仿宋"/>
          <w:color w:val="auto"/>
          <w:kern w:val="0"/>
          <w:sz w:val="24"/>
          <w:highlight w:val="none"/>
          <w:lang w:val="zh-CN"/>
        </w:rPr>
        <w:t>电子签名</w:t>
      </w:r>
      <w:r>
        <w:rPr>
          <w:rFonts w:hint="eastAsia" w:ascii="宋体" w:hAnsi="宋体" w:cs="仿宋"/>
          <w:color w:val="auto"/>
          <w:kern w:val="0"/>
          <w:sz w:val="24"/>
          <w:highlight w:val="none"/>
        </w:rPr>
        <w:t>）：</w:t>
      </w:r>
    </w:p>
    <w:p w14:paraId="4BFBDD20">
      <w:pPr>
        <w:shd w:val="clear"/>
        <w:snapToGrid w:val="0"/>
        <w:spacing w:before="50" w:after="50"/>
        <w:rPr>
          <w:rFonts w:ascii="宋体" w:hAnsi="宋体" w:cs="仿宋"/>
          <w:color w:val="auto"/>
          <w:kern w:val="0"/>
          <w:sz w:val="24"/>
          <w:highlight w:val="none"/>
        </w:rPr>
      </w:pPr>
      <w:r>
        <w:rPr>
          <w:rFonts w:hint="eastAsia" w:ascii="宋体" w:hAnsi="宋体" w:cs="仿宋"/>
          <w:color w:val="auto"/>
          <w:kern w:val="0"/>
          <w:sz w:val="24"/>
          <w:highlight w:val="none"/>
        </w:rPr>
        <w:t xml:space="preserve">                                       日期：  年  月   日</w:t>
      </w:r>
    </w:p>
    <w:p w14:paraId="47811EAB">
      <w:pPr>
        <w:shd w:val="clear"/>
        <w:spacing w:line="360" w:lineRule="auto"/>
        <w:jc w:val="center"/>
        <w:rPr>
          <w:rFonts w:ascii="宋体" w:hAnsi="宋体" w:cs="仿宋"/>
          <w:b/>
          <w:bCs/>
          <w:color w:val="auto"/>
          <w:sz w:val="32"/>
          <w:szCs w:val="32"/>
          <w:highlight w:val="none"/>
        </w:rPr>
      </w:pPr>
      <w:r>
        <w:rPr>
          <w:rFonts w:hint="eastAsia" w:ascii="宋体" w:hAnsi="宋体" w:cs="仿宋"/>
          <w:color w:val="auto"/>
          <w:sz w:val="24"/>
          <w:highlight w:val="none"/>
        </w:rPr>
        <w:br w:type="page"/>
      </w:r>
      <w:r>
        <w:rPr>
          <w:rFonts w:hint="eastAsia" w:ascii="宋体" w:hAnsi="宋体" w:cs="仿宋"/>
          <w:b/>
          <w:bCs/>
          <w:color w:val="auto"/>
          <w:sz w:val="32"/>
          <w:szCs w:val="32"/>
          <w:highlight w:val="none"/>
        </w:rPr>
        <w:t>七、项目组人员名单</w:t>
      </w:r>
    </w:p>
    <w:p w14:paraId="6B006742">
      <w:pPr>
        <w:shd w:val="clear"/>
        <w:spacing w:line="360" w:lineRule="auto"/>
        <w:rPr>
          <w:rFonts w:ascii="宋体" w:hAnsi="宋体" w:cs="仿宋"/>
          <w:color w:val="auto"/>
          <w:sz w:val="24"/>
          <w:highlight w:val="none"/>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1D22DDBC">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vAlign w:val="center"/>
          </w:tcPr>
          <w:p w14:paraId="609FAFA6">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序号</w:t>
            </w:r>
          </w:p>
        </w:tc>
        <w:tc>
          <w:tcPr>
            <w:tcW w:w="851" w:type="dxa"/>
            <w:tcBorders>
              <w:top w:val="single" w:color="auto" w:sz="6" w:space="0"/>
              <w:left w:val="single" w:color="auto" w:sz="6" w:space="0"/>
              <w:bottom w:val="single" w:color="auto" w:sz="6" w:space="0"/>
              <w:right w:val="single" w:color="auto" w:sz="6" w:space="0"/>
            </w:tcBorders>
            <w:vAlign w:val="center"/>
          </w:tcPr>
          <w:p w14:paraId="41167481">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姓名</w:t>
            </w:r>
          </w:p>
        </w:tc>
        <w:tc>
          <w:tcPr>
            <w:tcW w:w="708" w:type="dxa"/>
            <w:tcBorders>
              <w:top w:val="single" w:color="auto" w:sz="6" w:space="0"/>
              <w:left w:val="single" w:color="auto" w:sz="6" w:space="0"/>
              <w:bottom w:val="single" w:color="auto" w:sz="6" w:space="0"/>
              <w:right w:val="single" w:color="auto" w:sz="6" w:space="0"/>
            </w:tcBorders>
            <w:vAlign w:val="center"/>
          </w:tcPr>
          <w:p w14:paraId="65ABAA01">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性别</w:t>
            </w:r>
          </w:p>
        </w:tc>
        <w:tc>
          <w:tcPr>
            <w:tcW w:w="709" w:type="dxa"/>
            <w:tcBorders>
              <w:top w:val="single" w:color="auto" w:sz="6" w:space="0"/>
              <w:left w:val="single" w:color="auto" w:sz="6" w:space="0"/>
              <w:bottom w:val="single" w:color="auto" w:sz="6" w:space="0"/>
              <w:right w:val="single" w:color="auto" w:sz="6" w:space="0"/>
            </w:tcBorders>
            <w:vAlign w:val="center"/>
          </w:tcPr>
          <w:p w14:paraId="6B60C7B9">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年龄</w:t>
            </w:r>
          </w:p>
        </w:tc>
        <w:tc>
          <w:tcPr>
            <w:tcW w:w="709" w:type="dxa"/>
            <w:tcBorders>
              <w:top w:val="single" w:color="auto" w:sz="6" w:space="0"/>
              <w:left w:val="single" w:color="auto" w:sz="6" w:space="0"/>
              <w:bottom w:val="single" w:color="auto" w:sz="6" w:space="0"/>
              <w:right w:val="single" w:color="auto" w:sz="6" w:space="0"/>
            </w:tcBorders>
            <w:vAlign w:val="center"/>
          </w:tcPr>
          <w:p w14:paraId="046E650A">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学历</w:t>
            </w:r>
          </w:p>
        </w:tc>
        <w:tc>
          <w:tcPr>
            <w:tcW w:w="1134" w:type="dxa"/>
            <w:tcBorders>
              <w:top w:val="single" w:color="auto" w:sz="6" w:space="0"/>
              <w:left w:val="single" w:color="auto" w:sz="6" w:space="0"/>
              <w:bottom w:val="single" w:color="auto" w:sz="6" w:space="0"/>
              <w:right w:val="single" w:color="auto" w:sz="6" w:space="0"/>
            </w:tcBorders>
            <w:vAlign w:val="center"/>
          </w:tcPr>
          <w:p w14:paraId="43C36BBD">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专业</w:t>
            </w:r>
          </w:p>
        </w:tc>
        <w:tc>
          <w:tcPr>
            <w:tcW w:w="709" w:type="dxa"/>
            <w:tcBorders>
              <w:top w:val="single" w:color="auto" w:sz="6" w:space="0"/>
              <w:left w:val="single" w:color="auto" w:sz="6" w:space="0"/>
              <w:bottom w:val="single" w:color="auto" w:sz="6" w:space="0"/>
              <w:right w:val="single" w:color="auto" w:sz="6" w:space="0"/>
            </w:tcBorders>
            <w:vAlign w:val="center"/>
          </w:tcPr>
          <w:p w14:paraId="0E0D1165">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职称</w:t>
            </w:r>
          </w:p>
        </w:tc>
        <w:tc>
          <w:tcPr>
            <w:tcW w:w="3543" w:type="dxa"/>
            <w:tcBorders>
              <w:top w:val="single" w:color="auto" w:sz="6" w:space="0"/>
              <w:left w:val="single" w:color="auto" w:sz="6" w:space="0"/>
              <w:bottom w:val="single" w:color="auto" w:sz="6" w:space="0"/>
              <w:right w:val="single" w:color="auto" w:sz="6" w:space="0"/>
            </w:tcBorders>
            <w:vAlign w:val="center"/>
          </w:tcPr>
          <w:p w14:paraId="1393D985">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本项目中的工作内容</w:t>
            </w:r>
          </w:p>
        </w:tc>
      </w:tr>
      <w:tr w14:paraId="2E9DE9C4">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tcPr>
          <w:p w14:paraId="346B58CF">
            <w:pPr>
              <w:shd w:val="clear"/>
              <w:autoSpaceDE w:val="0"/>
              <w:autoSpaceDN w:val="0"/>
              <w:spacing w:line="360" w:lineRule="auto"/>
              <w:jc w:val="center"/>
              <w:rPr>
                <w:rFonts w:ascii="宋体" w:hAnsi="宋体" w:cs="仿宋"/>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tcPr>
          <w:p w14:paraId="13B3F575">
            <w:pPr>
              <w:shd w:val="clear"/>
              <w:autoSpaceDE w:val="0"/>
              <w:autoSpaceDN w:val="0"/>
              <w:spacing w:line="360" w:lineRule="auto"/>
              <w:jc w:val="center"/>
              <w:rPr>
                <w:rFonts w:ascii="宋体" w:hAnsi="宋体" w:cs="仿宋"/>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tcPr>
          <w:p w14:paraId="0B543EBA">
            <w:pPr>
              <w:shd w:val="clear"/>
              <w:autoSpaceDE w:val="0"/>
              <w:autoSpaceDN w:val="0"/>
              <w:spacing w:line="360" w:lineRule="auto"/>
              <w:rPr>
                <w:rFonts w:ascii="宋体" w:hAnsi="宋体"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186E808E">
            <w:pPr>
              <w:shd w:val="clear"/>
              <w:autoSpaceDE w:val="0"/>
              <w:autoSpaceDN w:val="0"/>
              <w:spacing w:line="360" w:lineRule="auto"/>
              <w:rPr>
                <w:rFonts w:ascii="宋体" w:hAnsi="宋体"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3C10DF4E">
            <w:pPr>
              <w:shd w:val="clear"/>
              <w:autoSpaceDE w:val="0"/>
              <w:autoSpaceDN w:val="0"/>
              <w:spacing w:line="360" w:lineRule="auto"/>
              <w:rPr>
                <w:rFonts w:ascii="宋体" w:hAnsi="宋体" w:cs="仿宋"/>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tcPr>
          <w:p w14:paraId="56CDF49B">
            <w:pPr>
              <w:shd w:val="clear"/>
              <w:autoSpaceDE w:val="0"/>
              <w:autoSpaceDN w:val="0"/>
              <w:spacing w:line="360" w:lineRule="auto"/>
              <w:rPr>
                <w:rFonts w:ascii="宋体" w:hAnsi="宋体"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620E9FB3">
            <w:pPr>
              <w:shd w:val="clear"/>
              <w:autoSpaceDE w:val="0"/>
              <w:autoSpaceDN w:val="0"/>
              <w:spacing w:line="360" w:lineRule="auto"/>
              <w:rPr>
                <w:rFonts w:ascii="宋体" w:hAnsi="宋体" w:cs="仿宋"/>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tcPr>
          <w:p w14:paraId="22E5BCBA">
            <w:pPr>
              <w:shd w:val="clear"/>
              <w:autoSpaceDE w:val="0"/>
              <w:autoSpaceDN w:val="0"/>
              <w:spacing w:line="360" w:lineRule="auto"/>
              <w:rPr>
                <w:rFonts w:ascii="宋体" w:hAnsi="宋体" w:cs="仿宋"/>
                <w:color w:val="auto"/>
                <w:sz w:val="24"/>
                <w:highlight w:val="none"/>
              </w:rPr>
            </w:pPr>
          </w:p>
        </w:tc>
      </w:tr>
      <w:tr w14:paraId="54DFB42C">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tcPr>
          <w:p w14:paraId="04F90C45">
            <w:pPr>
              <w:shd w:val="clear"/>
              <w:autoSpaceDE w:val="0"/>
              <w:autoSpaceDN w:val="0"/>
              <w:spacing w:line="360" w:lineRule="auto"/>
              <w:jc w:val="center"/>
              <w:rPr>
                <w:rFonts w:ascii="宋体" w:hAnsi="宋体" w:cs="仿宋"/>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tcPr>
          <w:p w14:paraId="0F6B918E">
            <w:pPr>
              <w:shd w:val="clear"/>
              <w:autoSpaceDE w:val="0"/>
              <w:autoSpaceDN w:val="0"/>
              <w:spacing w:line="360" w:lineRule="auto"/>
              <w:jc w:val="center"/>
              <w:rPr>
                <w:rFonts w:ascii="宋体" w:hAnsi="宋体" w:cs="仿宋"/>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tcPr>
          <w:p w14:paraId="4C13B2AE">
            <w:pPr>
              <w:shd w:val="clear"/>
              <w:autoSpaceDE w:val="0"/>
              <w:autoSpaceDN w:val="0"/>
              <w:spacing w:line="360" w:lineRule="auto"/>
              <w:rPr>
                <w:rFonts w:ascii="宋体" w:hAnsi="宋体"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3195E1E2">
            <w:pPr>
              <w:shd w:val="clear"/>
              <w:autoSpaceDE w:val="0"/>
              <w:autoSpaceDN w:val="0"/>
              <w:spacing w:line="360" w:lineRule="auto"/>
              <w:rPr>
                <w:rFonts w:ascii="宋体" w:hAnsi="宋体"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25DF2A36">
            <w:pPr>
              <w:shd w:val="clear"/>
              <w:autoSpaceDE w:val="0"/>
              <w:autoSpaceDN w:val="0"/>
              <w:spacing w:line="360" w:lineRule="auto"/>
              <w:rPr>
                <w:rFonts w:ascii="宋体" w:hAnsi="宋体" w:cs="仿宋"/>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tcPr>
          <w:p w14:paraId="350B915E">
            <w:pPr>
              <w:shd w:val="clear"/>
              <w:autoSpaceDE w:val="0"/>
              <w:autoSpaceDN w:val="0"/>
              <w:spacing w:line="360" w:lineRule="auto"/>
              <w:rPr>
                <w:rFonts w:ascii="宋体" w:hAnsi="宋体"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4F3F5C1A">
            <w:pPr>
              <w:shd w:val="clear"/>
              <w:autoSpaceDE w:val="0"/>
              <w:autoSpaceDN w:val="0"/>
              <w:spacing w:line="360" w:lineRule="auto"/>
              <w:rPr>
                <w:rFonts w:ascii="宋体" w:hAnsi="宋体" w:cs="仿宋"/>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tcPr>
          <w:p w14:paraId="3FEBDDD7">
            <w:pPr>
              <w:shd w:val="clear"/>
              <w:autoSpaceDE w:val="0"/>
              <w:autoSpaceDN w:val="0"/>
              <w:spacing w:line="360" w:lineRule="auto"/>
              <w:rPr>
                <w:rFonts w:ascii="宋体" w:hAnsi="宋体" w:cs="仿宋"/>
                <w:color w:val="auto"/>
                <w:sz w:val="24"/>
                <w:highlight w:val="none"/>
              </w:rPr>
            </w:pPr>
          </w:p>
        </w:tc>
      </w:tr>
    </w:tbl>
    <w:p w14:paraId="5D947361">
      <w:pPr>
        <w:shd w:val="clear"/>
        <w:autoSpaceDE w:val="0"/>
        <w:autoSpaceDN w:val="0"/>
        <w:spacing w:line="360" w:lineRule="auto"/>
        <w:ind w:firstLine="4578" w:firstLineChars="1900"/>
        <w:rPr>
          <w:rFonts w:ascii="宋体" w:hAnsi="宋体" w:cs="仿宋"/>
          <w:b/>
          <w:color w:val="auto"/>
          <w:sz w:val="24"/>
          <w:highlight w:val="none"/>
        </w:rPr>
      </w:pPr>
    </w:p>
    <w:p w14:paraId="627DB611">
      <w:pPr>
        <w:shd w:val="clear"/>
        <w:autoSpaceDE w:val="0"/>
        <w:autoSpaceDN w:val="0"/>
        <w:spacing w:line="360" w:lineRule="auto"/>
        <w:ind w:firstLine="4560" w:firstLineChars="1900"/>
        <w:rPr>
          <w:rFonts w:ascii="宋体" w:hAnsi="宋体" w:cs="仿宋"/>
          <w:color w:val="auto"/>
          <w:kern w:val="0"/>
          <w:sz w:val="24"/>
          <w:highlight w:val="none"/>
        </w:rPr>
      </w:pPr>
      <w:r>
        <w:rPr>
          <w:rFonts w:hint="eastAsia" w:ascii="宋体" w:hAnsi="宋体" w:cs="仿宋"/>
          <w:color w:val="auto"/>
          <w:kern w:val="0"/>
          <w:sz w:val="24"/>
          <w:highlight w:val="none"/>
        </w:rPr>
        <w:t>投标人名称（</w:t>
      </w:r>
      <w:r>
        <w:rPr>
          <w:rFonts w:hint="eastAsia" w:ascii="宋体" w:hAnsi="宋体" w:cs="仿宋"/>
          <w:color w:val="auto"/>
          <w:kern w:val="0"/>
          <w:sz w:val="24"/>
          <w:highlight w:val="none"/>
          <w:lang w:val="zh-CN"/>
        </w:rPr>
        <w:t>电子签名</w:t>
      </w:r>
      <w:r>
        <w:rPr>
          <w:rFonts w:hint="eastAsia" w:ascii="宋体" w:hAnsi="宋体" w:cs="仿宋"/>
          <w:color w:val="auto"/>
          <w:kern w:val="0"/>
          <w:sz w:val="24"/>
          <w:highlight w:val="none"/>
        </w:rPr>
        <w:t>）：</w:t>
      </w:r>
    </w:p>
    <w:p w14:paraId="1AB49D3D">
      <w:pPr>
        <w:shd w:val="clear"/>
        <w:snapToGrid w:val="0"/>
        <w:spacing w:before="50" w:after="50"/>
        <w:rPr>
          <w:rFonts w:ascii="宋体" w:hAnsi="宋体" w:cs="仿宋"/>
          <w:color w:val="auto"/>
          <w:kern w:val="0"/>
          <w:sz w:val="24"/>
          <w:highlight w:val="none"/>
        </w:rPr>
      </w:pPr>
      <w:r>
        <w:rPr>
          <w:rFonts w:hint="eastAsia" w:ascii="宋体" w:hAnsi="宋体" w:cs="仿宋"/>
          <w:color w:val="auto"/>
          <w:kern w:val="0"/>
          <w:sz w:val="24"/>
          <w:highlight w:val="none"/>
        </w:rPr>
        <w:t xml:space="preserve">                                       日期：  年  月   日</w:t>
      </w:r>
    </w:p>
    <w:p w14:paraId="30DFAFA5">
      <w:pPr>
        <w:shd w:val="clear"/>
        <w:spacing w:line="360" w:lineRule="auto"/>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br w:type="page"/>
      </w:r>
      <w:r>
        <w:rPr>
          <w:rFonts w:hint="eastAsia" w:ascii="宋体" w:hAnsi="宋体" w:cs="仿宋"/>
          <w:b/>
          <w:bCs/>
          <w:color w:val="auto"/>
          <w:sz w:val="32"/>
          <w:szCs w:val="32"/>
          <w:highlight w:val="none"/>
        </w:rPr>
        <w:t>八、售后服务方案（如有）</w:t>
      </w:r>
    </w:p>
    <w:p w14:paraId="0A08BF50">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（由投标人根据采购需求及征集文件要求编制）</w:t>
      </w:r>
    </w:p>
    <w:p w14:paraId="47D80951">
      <w:pPr>
        <w:shd w:val="clear"/>
        <w:spacing w:line="360" w:lineRule="auto"/>
        <w:rPr>
          <w:rFonts w:ascii="宋体" w:hAnsi="宋体" w:cs="仿宋"/>
          <w:color w:val="auto"/>
          <w:sz w:val="24"/>
          <w:highlight w:val="none"/>
        </w:rPr>
      </w:pPr>
    </w:p>
    <w:p w14:paraId="0B33E3B8">
      <w:pPr>
        <w:shd w:val="clear"/>
        <w:spacing w:line="360" w:lineRule="auto"/>
        <w:rPr>
          <w:rFonts w:ascii="宋体" w:hAnsi="宋体" w:cs="仿宋"/>
          <w:b/>
          <w:bCs/>
          <w:color w:val="auto"/>
          <w:sz w:val="32"/>
          <w:szCs w:val="32"/>
          <w:highlight w:val="none"/>
        </w:rPr>
      </w:pPr>
    </w:p>
    <w:p w14:paraId="5B44780B">
      <w:pPr>
        <w:shd w:val="clear"/>
        <w:spacing w:line="360" w:lineRule="auto"/>
        <w:jc w:val="center"/>
        <w:rPr>
          <w:rFonts w:ascii="宋体" w:hAnsi="宋体" w:cs="仿宋"/>
          <w:b/>
          <w:bCs/>
          <w:color w:val="auto"/>
          <w:sz w:val="32"/>
          <w:szCs w:val="32"/>
          <w:highlight w:val="none"/>
        </w:rPr>
      </w:pPr>
    </w:p>
    <w:p w14:paraId="33CB2C3D">
      <w:pPr>
        <w:shd w:val="clear"/>
        <w:spacing w:line="360" w:lineRule="auto"/>
        <w:jc w:val="center"/>
        <w:rPr>
          <w:rFonts w:ascii="宋体" w:hAnsi="宋体" w:cs="仿宋"/>
          <w:b/>
          <w:color w:val="auto"/>
          <w:kern w:val="0"/>
          <w:sz w:val="32"/>
          <w:szCs w:val="32"/>
          <w:highlight w:val="none"/>
          <w:lang w:val="zh-CN"/>
        </w:rPr>
      </w:pPr>
      <w:r>
        <w:rPr>
          <w:rFonts w:hint="eastAsia" w:ascii="宋体" w:hAnsi="宋体" w:cs="仿宋"/>
          <w:b/>
          <w:bCs/>
          <w:color w:val="auto"/>
          <w:sz w:val="32"/>
          <w:szCs w:val="32"/>
          <w:highlight w:val="none"/>
        </w:rPr>
        <w:t>九、</w:t>
      </w:r>
      <w:r>
        <w:rPr>
          <w:rFonts w:hint="eastAsia" w:ascii="宋体" w:hAnsi="宋体" w:cs="仿宋"/>
          <w:b/>
          <w:color w:val="auto"/>
          <w:kern w:val="0"/>
          <w:sz w:val="32"/>
          <w:szCs w:val="32"/>
          <w:highlight w:val="none"/>
          <w:lang w:val="zh-CN"/>
        </w:rPr>
        <w:t>优惠条件及特殊承诺（如有）</w:t>
      </w:r>
    </w:p>
    <w:p w14:paraId="68D30828">
      <w:pPr>
        <w:shd w:val="clear"/>
        <w:spacing w:line="360" w:lineRule="auto"/>
        <w:jc w:val="center"/>
        <w:rPr>
          <w:rFonts w:ascii="宋体" w:hAnsi="宋体" w:cs="仿宋"/>
          <w:color w:val="auto"/>
          <w:sz w:val="24"/>
          <w:highlight w:val="none"/>
        </w:rPr>
      </w:pPr>
      <w:r>
        <w:rPr>
          <w:rFonts w:hint="eastAsia" w:ascii="宋体" w:hAnsi="宋体" w:cs="仿宋"/>
          <w:color w:val="auto"/>
          <w:sz w:val="24"/>
          <w:highlight w:val="none"/>
        </w:rPr>
        <w:t>（由投标人根据采购需求及征集文件要求编制）</w:t>
      </w:r>
    </w:p>
    <w:p w14:paraId="09DD9072">
      <w:pPr>
        <w:shd w:val="clear"/>
        <w:autoSpaceDE w:val="0"/>
        <w:autoSpaceDN w:val="0"/>
        <w:spacing w:line="360" w:lineRule="auto"/>
        <w:ind w:firstLine="120"/>
        <w:rPr>
          <w:rFonts w:ascii="宋体" w:hAnsi="宋体" w:cs="仿宋"/>
          <w:color w:val="auto"/>
          <w:kern w:val="0"/>
          <w:sz w:val="24"/>
          <w:highlight w:val="none"/>
        </w:rPr>
      </w:pPr>
    </w:p>
    <w:p w14:paraId="35BF5965">
      <w:pPr>
        <w:shd w:val="clear"/>
        <w:autoSpaceDE w:val="0"/>
        <w:autoSpaceDN w:val="0"/>
        <w:spacing w:line="360" w:lineRule="auto"/>
        <w:ind w:firstLine="120"/>
        <w:rPr>
          <w:rFonts w:ascii="宋体" w:hAnsi="宋体" w:cs="仿宋"/>
          <w:color w:val="auto"/>
          <w:sz w:val="24"/>
          <w:highlight w:val="none"/>
        </w:rPr>
      </w:pPr>
    </w:p>
    <w:p w14:paraId="4ACE1A3B">
      <w:pPr>
        <w:shd w:val="clear"/>
        <w:spacing w:line="360" w:lineRule="auto"/>
        <w:jc w:val="center"/>
        <w:rPr>
          <w:rFonts w:ascii="宋体" w:hAnsi="宋体" w:cs="仿宋"/>
          <w:b/>
          <w:bCs/>
          <w:color w:val="auto"/>
          <w:sz w:val="32"/>
          <w:szCs w:val="32"/>
          <w:highlight w:val="none"/>
        </w:rPr>
      </w:pPr>
    </w:p>
    <w:p w14:paraId="6C5DC49C">
      <w:pPr>
        <w:shd w:val="clear"/>
        <w:spacing w:line="360" w:lineRule="auto"/>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十、投标人认为需要的其他商务技术文件或说明</w:t>
      </w:r>
    </w:p>
    <w:p w14:paraId="480D12F8">
      <w:pPr>
        <w:shd w:val="clear"/>
        <w:spacing w:line="360" w:lineRule="auto"/>
        <w:jc w:val="center"/>
        <w:rPr>
          <w:rFonts w:ascii="宋体" w:hAnsi="宋体" w:cs="仿宋"/>
          <w:color w:val="auto"/>
          <w:sz w:val="24"/>
          <w:highlight w:val="none"/>
        </w:rPr>
      </w:pPr>
      <w:r>
        <w:rPr>
          <w:rFonts w:hint="eastAsia" w:ascii="宋体" w:hAnsi="宋体" w:cs="仿宋"/>
          <w:color w:val="auto"/>
          <w:sz w:val="24"/>
          <w:highlight w:val="none"/>
        </w:rPr>
        <w:t>（由投标人根据采购需求及征集文件要求编制）</w:t>
      </w:r>
    </w:p>
    <w:p w14:paraId="2A0E7B04">
      <w:pPr>
        <w:shd w:val="clear"/>
        <w:spacing w:line="360" w:lineRule="auto"/>
        <w:jc w:val="center"/>
        <w:rPr>
          <w:rFonts w:ascii="宋体" w:hAnsi="宋体" w:cs="仿宋"/>
          <w:color w:val="auto"/>
          <w:sz w:val="24"/>
          <w:highlight w:val="none"/>
        </w:rPr>
      </w:pPr>
    </w:p>
    <w:p w14:paraId="26EBBA55">
      <w:pPr>
        <w:shd w:val="clear"/>
        <w:spacing w:line="360" w:lineRule="auto"/>
        <w:rPr>
          <w:rFonts w:ascii="宋体" w:hAnsi="宋体" w:cs="仿宋"/>
          <w:b/>
          <w:bCs/>
          <w:color w:val="auto"/>
          <w:sz w:val="30"/>
          <w:szCs w:val="30"/>
          <w:highlight w:val="none"/>
        </w:rPr>
      </w:pPr>
    </w:p>
    <w:p w14:paraId="09592C88">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7EC799F5">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2714E7D7">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0E48B792">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662D83D2">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76CE8624">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56A18382">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0337DACE">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34C2184C">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0F5D4F0C">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19F53896">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5A6E992B">
      <w:pPr>
        <w:shd w:val="clear"/>
        <w:spacing w:line="360" w:lineRule="auto"/>
        <w:jc w:val="center"/>
        <w:outlineLvl w:val="0"/>
        <w:rPr>
          <w:rFonts w:ascii="宋体" w:hAnsi="宋体" w:cs="仿宋"/>
          <w:b/>
          <w:color w:val="auto"/>
          <w:kern w:val="0"/>
          <w:sz w:val="36"/>
          <w:szCs w:val="36"/>
          <w:highlight w:val="none"/>
        </w:rPr>
      </w:pPr>
    </w:p>
    <w:p w14:paraId="6B29D728">
      <w:pPr>
        <w:shd w:val="clear"/>
        <w:spacing w:line="360" w:lineRule="auto"/>
        <w:jc w:val="center"/>
        <w:outlineLvl w:val="0"/>
        <w:rPr>
          <w:rFonts w:ascii="宋体" w:hAnsi="宋体" w:cs="仿宋"/>
          <w:b/>
          <w:color w:val="auto"/>
          <w:kern w:val="0"/>
          <w:sz w:val="36"/>
          <w:szCs w:val="36"/>
          <w:highlight w:val="none"/>
        </w:rPr>
      </w:pPr>
    </w:p>
    <w:p w14:paraId="69173AC7">
      <w:pPr>
        <w:shd w:val="clear"/>
        <w:spacing w:line="360" w:lineRule="auto"/>
        <w:jc w:val="center"/>
        <w:outlineLvl w:val="0"/>
        <w:rPr>
          <w:rFonts w:ascii="宋体" w:hAnsi="宋体" w:cs="仿宋"/>
          <w:b/>
          <w:color w:val="auto"/>
          <w:kern w:val="0"/>
          <w:sz w:val="36"/>
          <w:szCs w:val="36"/>
          <w:highlight w:val="none"/>
        </w:rPr>
      </w:pPr>
      <w:r>
        <w:rPr>
          <w:rFonts w:hint="eastAsia" w:ascii="宋体" w:hAnsi="宋体" w:cs="仿宋"/>
          <w:b/>
          <w:color w:val="auto"/>
          <w:kern w:val="0"/>
          <w:sz w:val="36"/>
          <w:szCs w:val="36"/>
          <w:highlight w:val="none"/>
        </w:rPr>
        <w:t>报价文件部分</w:t>
      </w:r>
    </w:p>
    <w:p w14:paraId="5E79741E">
      <w:pPr>
        <w:shd w:val="clear"/>
        <w:spacing w:line="360" w:lineRule="auto"/>
        <w:jc w:val="center"/>
        <w:outlineLvl w:val="0"/>
        <w:rPr>
          <w:rFonts w:ascii="宋体" w:hAnsi="宋体" w:cs="仿宋"/>
          <w:b/>
          <w:color w:val="auto"/>
          <w:kern w:val="0"/>
          <w:sz w:val="24"/>
          <w:highlight w:val="none"/>
        </w:rPr>
      </w:pPr>
    </w:p>
    <w:p w14:paraId="562402B6">
      <w:pPr>
        <w:shd w:val="clear"/>
        <w:spacing w:line="360" w:lineRule="auto"/>
        <w:jc w:val="center"/>
        <w:outlineLvl w:val="0"/>
        <w:rPr>
          <w:rFonts w:ascii="宋体" w:hAnsi="宋体" w:cs="仿宋"/>
          <w:b/>
          <w:color w:val="auto"/>
          <w:kern w:val="0"/>
          <w:sz w:val="36"/>
          <w:szCs w:val="36"/>
          <w:highlight w:val="none"/>
        </w:rPr>
      </w:pPr>
      <w:r>
        <w:rPr>
          <w:rFonts w:hint="eastAsia" w:ascii="宋体" w:hAnsi="宋体" w:cs="仿宋"/>
          <w:b/>
          <w:color w:val="auto"/>
          <w:kern w:val="0"/>
          <w:sz w:val="36"/>
          <w:szCs w:val="36"/>
          <w:highlight w:val="none"/>
        </w:rPr>
        <w:t>目录</w:t>
      </w:r>
    </w:p>
    <w:p w14:paraId="01A4BEC6">
      <w:pPr>
        <w:numPr>
          <w:ilvl w:val="0"/>
          <w:numId w:val="8"/>
        </w:numPr>
        <w:shd w:val="clear"/>
        <w:spacing w:line="360" w:lineRule="auto"/>
        <w:outlineLvl w:val="0"/>
        <w:rPr>
          <w:rFonts w:ascii="宋体" w:hAnsi="宋体" w:cs="仿宋"/>
          <w:color w:val="auto"/>
          <w:kern w:val="0"/>
          <w:sz w:val="24"/>
          <w:highlight w:val="none"/>
        </w:rPr>
      </w:pPr>
      <w:r>
        <w:rPr>
          <w:rFonts w:hint="eastAsia" w:ascii="宋体" w:hAnsi="宋体" w:cs="仿宋"/>
          <w:color w:val="auto"/>
          <w:sz w:val="24"/>
          <w:szCs w:val="28"/>
          <w:highlight w:val="none"/>
        </w:rPr>
        <w:t>开标一览表(报价表)</w:t>
      </w:r>
      <w:r>
        <w:rPr>
          <w:rFonts w:hint="eastAsia" w:ascii="宋体" w:hAnsi="宋体" w:cs="仿宋"/>
          <w:color w:val="auto"/>
          <w:kern w:val="0"/>
          <w:sz w:val="24"/>
          <w:highlight w:val="none"/>
        </w:rPr>
        <w:t>……………………………………………………（页码）</w:t>
      </w:r>
    </w:p>
    <w:p w14:paraId="38515055">
      <w:pPr>
        <w:numPr>
          <w:ilvl w:val="0"/>
          <w:numId w:val="8"/>
        </w:numPr>
        <w:shd w:val="clear"/>
        <w:spacing w:line="360" w:lineRule="auto"/>
        <w:outlineLvl w:val="0"/>
        <w:rPr>
          <w:rFonts w:ascii="宋体" w:hAnsi="宋体" w:cs="仿宋"/>
          <w:color w:val="auto"/>
          <w:kern w:val="0"/>
          <w:sz w:val="24"/>
          <w:highlight w:val="none"/>
        </w:rPr>
      </w:pPr>
      <w:r>
        <w:rPr>
          <w:rFonts w:hint="eastAsia" w:ascii="宋体" w:hAnsi="宋体" w:cs="仿宋"/>
          <w:color w:val="auto"/>
          <w:sz w:val="24"/>
          <w:szCs w:val="28"/>
          <w:highlight w:val="none"/>
        </w:rPr>
        <w:t>中小企业声明函………………………………………………</w:t>
      </w:r>
      <w:r>
        <w:rPr>
          <w:rFonts w:ascii="宋体" w:hAnsi="宋体" w:cs="仿宋"/>
          <w:color w:val="auto"/>
          <w:sz w:val="24"/>
          <w:szCs w:val="28"/>
          <w:highlight w:val="none"/>
        </w:rPr>
        <w:t>…………</w:t>
      </w:r>
      <w:r>
        <w:rPr>
          <w:rFonts w:hint="eastAsia" w:ascii="宋体" w:hAnsi="宋体" w:cs="仿宋"/>
          <w:color w:val="auto"/>
          <w:sz w:val="24"/>
          <w:szCs w:val="28"/>
          <w:highlight w:val="none"/>
        </w:rPr>
        <w:t>（页码）</w:t>
      </w:r>
    </w:p>
    <w:p w14:paraId="72A820A0">
      <w:pPr>
        <w:numPr>
          <w:ilvl w:val="0"/>
          <w:numId w:val="8"/>
        </w:numPr>
        <w:shd w:val="clear"/>
        <w:spacing w:line="360" w:lineRule="auto"/>
        <w:outlineLvl w:val="0"/>
        <w:rPr>
          <w:rFonts w:ascii="宋体" w:hAnsi="宋体" w:cs="仿宋"/>
          <w:color w:val="auto"/>
          <w:kern w:val="0"/>
          <w:sz w:val="24"/>
          <w:highlight w:val="none"/>
        </w:rPr>
      </w:pPr>
      <w:r>
        <w:rPr>
          <w:rFonts w:hint="eastAsia" w:ascii="宋体" w:hAnsi="宋体" w:cs="仿宋"/>
          <w:color w:val="auto"/>
          <w:sz w:val="24"/>
          <w:szCs w:val="28"/>
          <w:highlight w:val="none"/>
        </w:rPr>
        <w:t>残疾人福利性单位声明函（如有）……………………………………（页码）</w:t>
      </w:r>
    </w:p>
    <w:p w14:paraId="19385DA9">
      <w:pPr>
        <w:shd w:val="clear"/>
        <w:spacing w:line="360" w:lineRule="auto"/>
        <w:ind w:left="2" w:firstLine="480" w:firstLineChars="200"/>
        <w:rPr>
          <w:rFonts w:ascii="宋体" w:hAnsi="宋体" w:cs="仿宋"/>
          <w:color w:val="auto"/>
          <w:sz w:val="24"/>
          <w:highlight w:val="none"/>
        </w:rPr>
      </w:pPr>
    </w:p>
    <w:p w14:paraId="6197BF7A">
      <w:pPr>
        <w:shd w:val="clear"/>
        <w:spacing w:line="360" w:lineRule="auto"/>
        <w:ind w:left="2" w:firstLine="480" w:firstLineChars="200"/>
        <w:rPr>
          <w:rFonts w:ascii="宋体" w:hAnsi="宋体" w:cs="仿宋"/>
          <w:color w:val="auto"/>
          <w:sz w:val="24"/>
          <w:highlight w:val="none"/>
        </w:rPr>
      </w:pPr>
    </w:p>
    <w:p w14:paraId="68DD1C11">
      <w:pPr>
        <w:shd w:val="clear"/>
        <w:spacing w:line="360" w:lineRule="auto"/>
        <w:ind w:left="2" w:firstLine="480" w:firstLineChars="200"/>
        <w:rPr>
          <w:rFonts w:ascii="宋体" w:hAnsi="宋体" w:cs="仿宋"/>
          <w:color w:val="auto"/>
          <w:sz w:val="24"/>
          <w:highlight w:val="none"/>
        </w:rPr>
      </w:pPr>
    </w:p>
    <w:p w14:paraId="70470219">
      <w:pPr>
        <w:shd w:val="clear"/>
        <w:spacing w:line="360" w:lineRule="auto"/>
        <w:ind w:left="2" w:firstLine="480" w:firstLineChars="200"/>
        <w:rPr>
          <w:rFonts w:ascii="宋体" w:hAnsi="宋体" w:cs="仿宋"/>
          <w:color w:val="auto"/>
          <w:sz w:val="24"/>
          <w:highlight w:val="none"/>
        </w:rPr>
      </w:pPr>
    </w:p>
    <w:p w14:paraId="5861830C">
      <w:pPr>
        <w:shd w:val="clear"/>
        <w:snapToGrid w:val="0"/>
        <w:spacing w:line="360" w:lineRule="auto"/>
        <w:jc w:val="center"/>
        <w:outlineLvl w:val="0"/>
        <w:rPr>
          <w:rFonts w:ascii="宋体" w:hAnsi="宋体" w:cs="仿宋"/>
          <w:b/>
          <w:color w:val="auto"/>
          <w:kern w:val="0"/>
          <w:sz w:val="32"/>
          <w:szCs w:val="32"/>
          <w:highlight w:val="none"/>
        </w:rPr>
      </w:pPr>
    </w:p>
    <w:p w14:paraId="3DCD28F4">
      <w:pPr>
        <w:shd w:val="clear"/>
        <w:snapToGrid w:val="0"/>
        <w:spacing w:line="360" w:lineRule="auto"/>
        <w:jc w:val="center"/>
        <w:outlineLvl w:val="0"/>
        <w:rPr>
          <w:rFonts w:ascii="宋体" w:hAnsi="宋体" w:cs="仿宋"/>
          <w:b/>
          <w:color w:val="auto"/>
          <w:kern w:val="0"/>
          <w:sz w:val="32"/>
          <w:szCs w:val="32"/>
          <w:highlight w:val="none"/>
        </w:rPr>
      </w:pPr>
    </w:p>
    <w:p w14:paraId="562CA726">
      <w:pPr>
        <w:shd w:val="clear"/>
        <w:snapToGrid w:val="0"/>
        <w:spacing w:line="360" w:lineRule="auto"/>
        <w:jc w:val="center"/>
        <w:outlineLvl w:val="0"/>
        <w:rPr>
          <w:rFonts w:ascii="宋体" w:hAnsi="宋体" w:cs="仿宋"/>
          <w:b/>
          <w:color w:val="auto"/>
          <w:kern w:val="0"/>
          <w:sz w:val="32"/>
          <w:szCs w:val="32"/>
          <w:highlight w:val="none"/>
        </w:rPr>
      </w:pPr>
    </w:p>
    <w:p w14:paraId="3B3B515B">
      <w:pPr>
        <w:shd w:val="clear"/>
        <w:snapToGrid w:val="0"/>
        <w:spacing w:line="360" w:lineRule="auto"/>
        <w:jc w:val="center"/>
        <w:outlineLvl w:val="0"/>
        <w:rPr>
          <w:rFonts w:ascii="宋体" w:hAnsi="宋体" w:cs="仿宋"/>
          <w:b/>
          <w:color w:val="auto"/>
          <w:kern w:val="0"/>
          <w:sz w:val="32"/>
          <w:szCs w:val="32"/>
          <w:highlight w:val="none"/>
        </w:rPr>
      </w:pPr>
    </w:p>
    <w:p w14:paraId="6822B952">
      <w:pPr>
        <w:shd w:val="clear"/>
        <w:snapToGrid w:val="0"/>
        <w:spacing w:line="360" w:lineRule="auto"/>
        <w:jc w:val="center"/>
        <w:outlineLvl w:val="0"/>
        <w:rPr>
          <w:rFonts w:ascii="宋体" w:hAnsi="宋体" w:cs="仿宋"/>
          <w:b/>
          <w:color w:val="auto"/>
          <w:kern w:val="0"/>
          <w:sz w:val="32"/>
          <w:szCs w:val="32"/>
          <w:highlight w:val="none"/>
        </w:rPr>
      </w:pPr>
    </w:p>
    <w:p w14:paraId="4BFABAA5">
      <w:pPr>
        <w:shd w:val="clear"/>
        <w:snapToGrid w:val="0"/>
        <w:spacing w:line="360" w:lineRule="auto"/>
        <w:jc w:val="center"/>
        <w:outlineLvl w:val="0"/>
        <w:rPr>
          <w:rFonts w:ascii="宋体" w:hAnsi="宋体" w:cs="仿宋"/>
          <w:b/>
          <w:color w:val="auto"/>
          <w:kern w:val="0"/>
          <w:sz w:val="32"/>
          <w:szCs w:val="32"/>
          <w:highlight w:val="none"/>
        </w:rPr>
      </w:pPr>
    </w:p>
    <w:p w14:paraId="011EA614">
      <w:pPr>
        <w:shd w:val="clear"/>
        <w:snapToGrid w:val="0"/>
        <w:spacing w:line="360" w:lineRule="auto"/>
        <w:jc w:val="center"/>
        <w:outlineLvl w:val="0"/>
        <w:rPr>
          <w:rFonts w:ascii="宋体" w:hAnsi="宋体" w:cs="仿宋"/>
          <w:b/>
          <w:color w:val="auto"/>
          <w:kern w:val="0"/>
          <w:sz w:val="32"/>
          <w:szCs w:val="32"/>
          <w:highlight w:val="none"/>
        </w:rPr>
      </w:pPr>
    </w:p>
    <w:p w14:paraId="1129CC6A">
      <w:pPr>
        <w:shd w:val="clear"/>
        <w:snapToGrid w:val="0"/>
        <w:spacing w:line="360" w:lineRule="auto"/>
        <w:jc w:val="center"/>
        <w:outlineLvl w:val="0"/>
        <w:rPr>
          <w:rFonts w:ascii="宋体" w:hAnsi="宋体" w:cs="仿宋"/>
          <w:b/>
          <w:color w:val="auto"/>
          <w:kern w:val="0"/>
          <w:sz w:val="32"/>
          <w:szCs w:val="32"/>
          <w:highlight w:val="none"/>
        </w:rPr>
      </w:pPr>
    </w:p>
    <w:p w14:paraId="2BC5BA1F">
      <w:pPr>
        <w:shd w:val="clear"/>
        <w:snapToGrid w:val="0"/>
        <w:spacing w:line="360" w:lineRule="auto"/>
        <w:jc w:val="center"/>
        <w:outlineLvl w:val="0"/>
        <w:rPr>
          <w:rFonts w:ascii="宋体" w:hAnsi="宋体" w:cs="仿宋"/>
          <w:b/>
          <w:color w:val="auto"/>
          <w:kern w:val="0"/>
          <w:sz w:val="32"/>
          <w:szCs w:val="32"/>
          <w:highlight w:val="none"/>
        </w:rPr>
      </w:pPr>
    </w:p>
    <w:p w14:paraId="58AB1783">
      <w:pPr>
        <w:shd w:val="clear"/>
        <w:snapToGrid w:val="0"/>
        <w:spacing w:line="360" w:lineRule="auto"/>
        <w:jc w:val="center"/>
        <w:outlineLvl w:val="0"/>
        <w:rPr>
          <w:rFonts w:ascii="宋体" w:hAnsi="宋体" w:cs="仿宋"/>
          <w:b/>
          <w:color w:val="auto"/>
          <w:kern w:val="0"/>
          <w:sz w:val="32"/>
          <w:szCs w:val="32"/>
          <w:highlight w:val="none"/>
        </w:rPr>
      </w:pPr>
    </w:p>
    <w:p w14:paraId="68BF02C1">
      <w:pPr>
        <w:shd w:val="clear"/>
        <w:snapToGrid w:val="0"/>
        <w:spacing w:line="360" w:lineRule="auto"/>
        <w:jc w:val="center"/>
        <w:outlineLvl w:val="0"/>
        <w:rPr>
          <w:rFonts w:ascii="宋体" w:hAnsi="宋体" w:cs="仿宋"/>
          <w:b/>
          <w:color w:val="auto"/>
          <w:kern w:val="0"/>
          <w:sz w:val="32"/>
          <w:szCs w:val="32"/>
          <w:highlight w:val="none"/>
        </w:rPr>
      </w:pPr>
    </w:p>
    <w:p w14:paraId="419CDDDC">
      <w:pPr>
        <w:shd w:val="clear"/>
        <w:snapToGrid w:val="0"/>
        <w:spacing w:line="360" w:lineRule="auto"/>
        <w:jc w:val="center"/>
        <w:outlineLvl w:val="0"/>
        <w:rPr>
          <w:rFonts w:ascii="宋体" w:hAnsi="宋体" w:cs="仿宋"/>
          <w:b/>
          <w:color w:val="auto"/>
          <w:kern w:val="0"/>
          <w:sz w:val="32"/>
          <w:szCs w:val="32"/>
          <w:highlight w:val="none"/>
        </w:rPr>
      </w:pPr>
    </w:p>
    <w:p w14:paraId="20BB0E43">
      <w:pPr>
        <w:shd w:val="clear"/>
        <w:snapToGrid w:val="0"/>
        <w:spacing w:line="360" w:lineRule="auto"/>
        <w:jc w:val="center"/>
        <w:outlineLvl w:val="0"/>
        <w:rPr>
          <w:rFonts w:ascii="宋体" w:hAnsi="宋体" w:cs="仿宋"/>
          <w:b/>
          <w:color w:val="auto"/>
          <w:kern w:val="0"/>
          <w:sz w:val="32"/>
          <w:szCs w:val="32"/>
          <w:highlight w:val="none"/>
        </w:rPr>
      </w:pPr>
    </w:p>
    <w:p w14:paraId="39768FC8">
      <w:pPr>
        <w:pStyle w:val="302"/>
        <w:keepNext w:val="0"/>
        <w:pageBreakBefore w:val="0"/>
        <w:shd w:val="clear"/>
        <w:tabs>
          <w:tab w:val="clear" w:pos="720"/>
        </w:tabs>
        <w:snapToGrid w:val="0"/>
        <w:ind w:firstLine="640"/>
        <w:outlineLvl w:val="9"/>
        <w:rPr>
          <w:rFonts w:ascii="宋体" w:hAnsi="宋体" w:eastAsia="宋体" w:cs="仿宋"/>
          <w:color w:val="auto"/>
          <w:kern w:val="2"/>
          <w:sz w:val="32"/>
          <w:szCs w:val="32"/>
          <w:highlight w:val="none"/>
        </w:rPr>
        <w:sectPr>
          <w:footerReference r:id="rId16" w:type="first"/>
          <w:footerReference r:id="rId14" w:type="default"/>
          <w:headerReference r:id="rId13" w:type="even"/>
          <w:footerReference r:id="rId15" w:type="even"/>
          <w:pgSz w:w="11906" w:h="16838"/>
          <w:pgMar w:top="1247" w:right="1418" w:bottom="1276" w:left="1418" w:header="851" w:footer="992" w:gutter="0"/>
          <w:cols w:space="720" w:num="1"/>
          <w:titlePg/>
          <w:docGrid w:linePitch="312" w:charSpace="0"/>
        </w:sectPr>
      </w:pPr>
    </w:p>
    <w:p w14:paraId="68C15BE7">
      <w:pPr>
        <w:pStyle w:val="302"/>
        <w:keepNext w:val="0"/>
        <w:pageBreakBefore w:val="0"/>
        <w:shd w:val="clear"/>
        <w:tabs>
          <w:tab w:val="clear" w:pos="720"/>
        </w:tabs>
        <w:snapToGrid w:val="0"/>
        <w:ind w:firstLine="640"/>
        <w:outlineLvl w:val="9"/>
        <w:rPr>
          <w:rFonts w:ascii="宋体" w:hAnsi="宋体" w:eastAsia="宋体" w:cs="仿宋"/>
          <w:color w:val="auto"/>
          <w:kern w:val="2"/>
          <w:sz w:val="32"/>
          <w:szCs w:val="32"/>
          <w:highlight w:val="none"/>
        </w:rPr>
      </w:pPr>
    </w:p>
    <w:p w14:paraId="0584D190">
      <w:pPr>
        <w:pStyle w:val="302"/>
        <w:keepNext w:val="0"/>
        <w:pageBreakBefore w:val="0"/>
        <w:shd w:val="clear"/>
        <w:tabs>
          <w:tab w:val="clear" w:pos="720"/>
        </w:tabs>
        <w:snapToGrid w:val="0"/>
        <w:ind w:firstLine="640"/>
        <w:outlineLvl w:val="9"/>
        <w:rPr>
          <w:rFonts w:ascii="宋体" w:hAnsi="宋体" w:eastAsia="宋体" w:cs="仿宋"/>
          <w:color w:val="auto"/>
          <w:kern w:val="2"/>
          <w:sz w:val="32"/>
          <w:szCs w:val="32"/>
          <w:highlight w:val="none"/>
        </w:rPr>
      </w:pPr>
      <w:r>
        <w:rPr>
          <w:rFonts w:hint="eastAsia" w:ascii="宋体" w:hAnsi="宋体" w:eastAsia="宋体" w:cs="仿宋"/>
          <w:color w:val="auto"/>
          <w:kern w:val="2"/>
          <w:sz w:val="32"/>
          <w:szCs w:val="32"/>
          <w:highlight w:val="none"/>
        </w:rPr>
        <w:t>一、开标一览表(报价表)</w:t>
      </w:r>
    </w:p>
    <w:p w14:paraId="4F1492AC">
      <w:pPr>
        <w:shd w:val="clear"/>
        <w:snapToGrid w:val="0"/>
        <w:spacing w:line="360" w:lineRule="auto"/>
        <w:rPr>
          <w:rFonts w:ascii="宋体" w:hAnsi="宋体" w:cs="仿宋"/>
          <w:color w:val="auto"/>
          <w:kern w:val="0"/>
          <w:sz w:val="24"/>
          <w:highlight w:val="none"/>
          <w:lang w:val="zh-CN"/>
        </w:rPr>
      </w:pPr>
      <w:bookmarkStart w:id="473" w:name="_Toc86217005"/>
      <w:r>
        <w:rPr>
          <w:rFonts w:hint="eastAsia" w:ascii="宋体" w:hAnsi="宋体" w:cs="仿宋"/>
          <w:color w:val="auto"/>
          <w:sz w:val="24"/>
          <w:highlight w:val="none"/>
        </w:rPr>
        <w:t>项目名称</w:t>
      </w:r>
      <w:r>
        <w:rPr>
          <w:rFonts w:hint="eastAsia" w:ascii="宋体" w:hAnsi="宋体" w:cs="仿宋"/>
          <w:color w:val="auto"/>
          <w:kern w:val="0"/>
          <w:sz w:val="24"/>
          <w:highlight w:val="none"/>
          <w:lang w:val="zh-CN"/>
        </w:rPr>
        <w:t>：</w:t>
      </w:r>
    </w:p>
    <w:p w14:paraId="7994C825">
      <w:pPr>
        <w:shd w:val="clea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lang w:val="zh-CN"/>
        </w:rPr>
        <w:t>项目编号：                  标项：</w:t>
      </w:r>
    </w:p>
    <w:tbl>
      <w:tblPr>
        <w:tblStyle w:val="60"/>
        <w:tblW w:w="897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600"/>
        <w:gridCol w:w="2160"/>
        <w:gridCol w:w="2537"/>
      </w:tblGrid>
      <w:tr w14:paraId="5F8E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76" w:type="dxa"/>
            <w:gridSpan w:val="4"/>
            <w:vAlign w:val="bottom"/>
          </w:tcPr>
          <w:p w14:paraId="6C3084AE">
            <w:pPr>
              <w:shd w:val="clear"/>
              <w:spacing w:line="360" w:lineRule="auto"/>
              <w:jc w:val="center"/>
              <w:rPr>
                <w:rFonts w:ascii="宋体" w:hAnsi="宋体" w:cs="仿宋"/>
                <w:color w:val="auto"/>
                <w:sz w:val="24"/>
                <w:highlight w:val="none"/>
              </w:rPr>
            </w:pPr>
            <w:r>
              <w:rPr>
                <w:rFonts w:hint="eastAsia" w:ascii="宋体" w:hAnsi="宋体" w:cs="仿宋"/>
                <w:b/>
                <w:color w:val="auto"/>
                <w:sz w:val="24"/>
                <w:highlight w:val="none"/>
              </w:rPr>
              <w:t>服务类</w:t>
            </w:r>
          </w:p>
        </w:tc>
      </w:tr>
      <w:tr w14:paraId="0882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679" w:type="dxa"/>
            <w:tcBorders>
              <w:top w:val="single" w:color="auto" w:sz="6" w:space="0"/>
              <w:left w:val="single" w:color="auto" w:sz="6" w:space="0"/>
              <w:bottom w:val="single" w:color="auto" w:sz="6" w:space="0"/>
              <w:right w:val="single" w:color="auto" w:sz="6" w:space="0"/>
            </w:tcBorders>
            <w:vAlign w:val="center"/>
          </w:tcPr>
          <w:p w14:paraId="4842BF42">
            <w:pPr>
              <w:shd w:val="clear"/>
              <w:autoSpaceDE w:val="0"/>
              <w:autoSpaceDN w:val="0"/>
              <w:spacing w:line="360" w:lineRule="exact"/>
              <w:jc w:val="center"/>
              <w:rPr>
                <w:rFonts w:ascii="宋体" w:hAnsi="宋体" w:cs="仿宋"/>
                <w:b/>
                <w:bCs/>
                <w:strike/>
                <w:color w:val="auto"/>
                <w:sz w:val="24"/>
                <w:highlight w:val="none"/>
              </w:rPr>
            </w:pPr>
            <w:r>
              <w:rPr>
                <w:rFonts w:hint="eastAsia" w:ascii="宋体" w:hAnsi="宋体" w:cs="仿宋"/>
                <w:b/>
                <w:bCs/>
                <w:strike/>
                <w:color w:val="auto"/>
                <w:sz w:val="24"/>
                <w:highlight w:val="none"/>
                <w:lang w:val="zh-CN"/>
              </w:rPr>
              <w:t>序号</w:t>
            </w:r>
          </w:p>
        </w:tc>
        <w:tc>
          <w:tcPr>
            <w:tcW w:w="3600" w:type="dxa"/>
            <w:tcBorders>
              <w:top w:val="single" w:color="auto" w:sz="6" w:space="0"/>
              <w:left w:val="single" w:color="auto" w:sz="6" w:space="0"/>
              <w:bottom w:val="single" w:color="auto" w:sz="6" w:space="0"/>
              <w:right w:val="single" w:color="auto" w:sz="6" w:space="0"/>
            </w:tcBorders>
            <w:vAlign w:val="center"/>
          </w:tcPr>
          <w:p w14:paraId="17E84C3C">
            <w:pPr>
              <w:shd w:val="clear"/>
              <w:autoSpaceDE w:val="0"/>
              <w:autoSpaceDN w:val="0"/>
              <w:spacing w:line="360" w:lineRule="exact"/>
              <w:jc w:val="center"/>
              <w:rPr>
                <w:rFonts w:ascii="宋体" w:hAnsi="宋体" w:cs="仿宋"/>
                <w:b/>
                <w:bCs/>
                <w:color w:val="auto"/>
                <w:sz w:val="24"/>
                <w:highlight w:val="none"/>
              </w:rPr>
            </w:pPr>
            <w:r>
              <w:rPr>
                <w:rFonts w:hint="eastAsia" w:ascii="宋体" w:hAnsi="宋体" w:cs="仿宋"/>
                <w:b/>
                <w:bCs/>
                <w:color w:val="auto"/>
                <w:sz w:val="24"/>
                <w:highlight w:val="none"/>
                <w:lang w:val="zh-CN"/>
              </w:rPr>
              <w:t>项目内容</w:t>
            </w:r>
          </w:p>
        </w:tc>
        <w:tc>
          <w:tcPr>
            <w:tcW w:w="2160" w:type="dxa"/>
            <w:tcBorders>
              <w:top w:val="single" w:color="auto" w:sz="6" w:space="0"/>
              <w:left w:val="single" w:color="auto" w:sz="6" w:space="0"/>
              <w:bottom w:val="single" w:color="auto" w:sz="6" w:space="0"/>
              <w:right w:val="single" w:color="auto" w:sz="6" w:space="0"/>
            </w:tcBorders>
            <w:vAlign w:val="center"/>
          </w:tcPr>
          <w:p w14:paraId="285A11D5">
            <w:pPr>
              <w:shd w:val="clear"/>
              <w:autoSpaceDE w:val="0"/>
              <w:autoSpaceDN w:val="0"/>
              <w:spacing w:line="360" w:lineRule="exact"/>
              <w:jc w:val="center"/>
              <w:rPr>
                <w:rFonts w:ascii="宋体" w:hAnsi="宋体" w:cs="仿宋"/>
                <w:b/>
                <w:bCs/>
                <w:color w:val="auto"/>
                <w:sz w:val="24"/>
                <w:highlight w:val="none"/>
              </w:rPr>
            </w:pPr>
            <w:r>
              <w:rPr>
                <w:rFonts w:hint="eastAsia" w:ascii="宋体" w:hAnsi="宋体" w:cs="仿宋"/>
                <w:b/>
                <w:bCs/>
                <w:color w:val="auto"/>
                <w:sz w:val="24"/>
                <w:highlight w:val="none"/>
              </w:rPr>
              <w:t>折扣率</w:t>
            </w:r>
          </w:p>
        </w:tc>
        <w:tc>
          <w:tcPr>
            <w:tcW w:w="2537" w:type="dxa"/>
            <w:tcBorders>
              <w:top w:val="single" w:color="auto" w:sz="6" w:space="0"/>
              <w:left w:val="single" w:color="auto" w:sz="6" w:space="0"/>
              <w:bottom w:val="single" w:color="auto" w:sz="6" w:space="0"/>
              <w:right w:val="single" w:color="auto" w:sz="6" w:space="0"/>
            </w:tcBorders>
            <w:vAlign w:val="center"/>
          </w:tcPr>
          <w:p w14:paraId="6BEE22D8">
            <w:pPr>
              <w:shd w:val="clear"/>
              <w:autoSpaceDE w:val="0"/>
              <w:autoSpaceDN w:val="0"/>
              <w:spacing w:line="360" w:lineRule="exact"/>
              <w:jc w:val="center"/>
              <w:rPr>
                <w:rFonts w:ascii="宋体" w:hAnsi="宋体" w:cs="仿宋"/>
                <w:b/>
                <w:bCs/>
                <w:color w:val="auto"/>
                <w:sz w:val="24"/>
                <w:highlight w:val="none"/>
              </w:rPr>
            </w:pPr>
            <w:r>
              <w:rPr>
                <w:rFonts w:hint="eastAsia" w:ascii="宋体" w:hAnsi="宋体" w:cs="仿宋"/>
                <w:b/>
                <w:bCs/>
                <w:color w:val="auto"/>
                <w:sz w:val="24"/>
                <w:highlight w:val="none"/>
                <w:lang w:val="zh-CN"/>
              </w:rPr>
              <w:t>备注</w:t>
            </w:r>
          </w:p>
        </w:tc>
      </w:tr>
      <w:tr w14:paraId="5F1BD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679" w:type="dxa"/>
            <w:tcBorders>
              <w:top w:val="single" w:color="auto" w:sz="6" w:space="0"/>
              <w:left w:val="single" w:color="auto" w:sz="6" w:space="0"/>
              <w:bottom w:val="single" w:color="auto" w:sz="6" w:space="0"/>
              <w:right w:val="single" w:color="auto" w:sz="6" w:space="0"/>
            </w:tcBorders>
            <w:vAlign w:val="center"/>
          </w:tcPr>
          <w:p w14:paraId="73501D33">
            <w:pPr>
              <w:shd w:val="clear"/>
              <w:autoSpaceDE w:val="0"/>
              <w:autoSpaceDN w:val="0"/>
              <w:spacing w:line="360" w:lineRule="exact"/>
              <w:jc w:val="center"/>
              <w:rPr>
                <w:rFonts w:ascii="宋体" w:hAnsi="宋体" w:cs="仿宋"/>
                <w:color w:val="auto"/>
                <w:sz w:val="24"/>
                <w:highlight w:val="none"/>
              </w:rPr>
            </w:pPr>
            <w:r>
              <w:rPr>
                <w:rFonts w:hint="eastAsia" w:ascii="宋体" w:hAnsi="宋体" w:cs="仿宋"/>
                <w:color w:val="auto"/>
                <w:sz w:val="24"/>
                <w:highlight w:val="none"/>
              </w:rPr>
              <w:t>1</w:t>
            </w:r>
          </w:p>
        </w:tc>
        <w:tc>
          <w:tcPr>
            <w:tcW w:w="3600" w:type="dxa"/>
            <w:tcBorders>
              <w:top w:val="single" w:color="auto" w:sz="6" w:space="0"/>
              <w:left w:val="single" w:color="auto" w:sz="6" w:space="0"/>
              <w:bottom w:val="single" w:color="auto" w:sz="6" w:space="0"/>
              <w:right w:val="single" w:color="auto" w:sz="6" w:space="0"/>
            </w:tcBorders>
            <w:vAlign w:val="center"/>
          </w:tcPr>
          <w:p w14:paraId="7C620D14">
            <w:pPr>
              <w:shd w:val="clear"/>
              <w:spacing w:line="360" w:lineRule="auto"/>
              <w:jc w:val="left"/>
              <w:rPr>
                <w:rFonts w:ascii="宋体" w:hAnsi="宋体" w:cs="仿宋"/>
                <w:color w:val="auto"/>
                <w:sz w:val="24"/>
                <w:highlight w:val="none"/>
              </w:rPr>
            </w:pPr>
            <w:r>
              <w:rPr>
                <w:rFonts w:hint="eastAsia" w:ascii="宋体" w:hAnsi="宋体" w:cs="仿宋"/>
                <w:color w:val="auto"/>
                <w:sz w:val="24"/>
                <w:highlight w:val="none"/>
              </w:rPr>
              <w:t>2025-2027年嵊州市公共投资建设项目造价咨询服务框架协议采购项目（封闭式）</w:t>
            </w:r>
          </w:p>
        </w:tc>
        <w:tc>
          <w:tcPr>
            <w:tcW w:w="2160" w:type="dxa"/>
            <w:tcBorders>
              <w:top w:val="single" w:color="auto" w:sz="6" w:space="0"/>
              <w:left w:val="single" w:color="auto" w:sz="6" w:space="0"/>
              <w:bottom w:val="single" w:color="auto" w:sz="6" w:space="0"/>
              <w:right w:val="single" w:color="auto" w:sz="6" w:space="0"/>
            </w:tcBorders>
            <w:vAlign w:val="center"/>
          </w:tcPr>
          <w:p w14:paraId="3A35BB0F">
            <w:pPr>
              <w:shd w:val="clear"/>
              <w:autoSpaceDE w:val="0"/>
              <w:autoSpaceDN w:val="0"/>
              <w:spacing w:line="360" w:lineRule="exact"/>
              <w:jc w:val="center"/>
              <w:rPr>
                <w:rFonts w:ascii="宋体" w:hAnsi="宋体" w:cs="仿宋"/>
                <w:color w:val="auto"/>
                <w:sz w:val="24"/>
                <w:highlight w:val="none"/>
              </w:rPr>
            </w:pPr>
            <w:r>
              <w:rPr>
                <w:rFonts w:hint="eastAsia" w:ascii="宋体" w:hAnsi="宋体" w:cs="仿宋"/>
                <w:color w:val="auto"/>
                <w:sz w:val="24"/>
                <w:highlight w:val="none"/>
              </w:rPr>
              <w:t>%</w:t>
            </w:r>
          </w:p>
        </w:tc>
        <w:tc>
          <w:tcPr>
            <w:tcW w:w="2537" w:type="dxa"/>
            <w:tcBorders>
              <w:top w:val="single" w:color="auto" w:sz="6" w:space="0"/>
              <w:left w:val="single" w:color="auto" w:sz="6" w:space="0"/>
              <w:bottom w:val="single" w:color="auto" w:sz="6" w:space="0"/>
              <w:right w:val="single" w:color="auto" w:sz="6" w:space="0"/>
            </w:tcBorders>
            <w:vAlign w:val="center"/>
          </w:tcPr>
          <w:p w14:paraId="734AD5A0">
            <w:pPr>
              <w:shd w:val="clear"/>
              <w:snapToGrid w:val="0"/>
              <w:spacing w:line="340" w:lineRule="exact"/>
              <w:jc w:val="left"/>
              <w:rPr>
                <w:rFonts w:ascii="宋体" w:hAnsi="宋体" w:cs="宋体"/>
                <w:color w:val="auto"/>
                <w:sz w:val="24"/>
                <w:szCs w:val="28"/>
                <w:highlight w:val="none"/>
              </w:rPr>
            </w:pPr>
            <w:r>
              <w:rPr>
                <w:rFonts w:hint="eastAsia" w:ascii="宋体" w:hAnsi="宋体" w:cs="宋体"/>
                <w:color w:val="auto"/>
                <w:sz w:val="24"/>
                <w:szCs w:val="28"/>
                <w:highlight w:val="none"/>
              </w:rPr>
              <w:t>供应商以第三部分采购需求中</w:t>
            </w:r>
            <w:bookmarkStart w:id="474" w:name="OLE_LINK13"/>
            <w:bookmarkStart w:id="475" w:name="OLE_LINK21"/>
            <w:r>
              <w:rPr>
                <w:rFonts w:hint="eastAsia" w:ascii="宋体" w:hAnsi="宋体" w:cs="宋体"/>
                <w:color w:val="auto"/>
                <w:sz w:val="24"/>
                <w:szCs w:val="28"/>
                <w:highlight w:val="none"/>
              </w:rPr>
              <w:t>附件《建设工程造价咨询服务收费标准》中对应咨询项目收费标准</w:t>
            </w:r>
            <w:bookmarkEnd w:id="474"/>
            <w:bookmarkEnd w:id="475"/>
            <w:r>
              <w:rPr>
                <w:rFonts w:hint="eastAsia" w:ascii="宋体" w:hAnsi="宋体" w:cs="宋体"/>
                <w:color w:val="auto"/>
                <w:sz w:val="24"/>
                <w:szCs w:val="28"/>
                <w:highlight w:val="none"/>
              </w:rPr>
              <w:t>的基础上进行折扣率报价。</w:t>
            </w:r>
          </w:p>
        </w:tc>
      </w:tr>
    </w:tbl>
    <w:p w14:paraId="438A48F8">
      <w:pPr>
        <w:shd w:val="clear"/>
        <w:spacing w:line="360" w:lineRule="auto"/>
        <w:jc w:val="right"/>
        <w:rPr>
          <w:rFonts w:ascii="宋体" w:hAnsi="宋体" w:cs="仿宋"/>
          <w:b/>
          <w:color w:val="auto"/>
          <w:kern w:val="0"/>
          <w:sz w:val="24"/>
          <w:highlight w:val="none"/>
          <w:lang w:val="zh-CN"/>
        </w:rPr>
      </w:pPr>
    </w:p>
    <w:p w14:paraId="5BA3D56B">
      <w:pPr>
        <w:shd w:val="clear"/>
        <w:snapToGrid w:val="0"/>
        <w:spacing w:line="360" w:lineRule="auto"/>
        <w:ind w:left="480"/>
        <w:rPr>
          <w:rFonts w:ascii="宋体" w:hAnsi="宋体" w:cs="仿宋_GB2312"/>
          <w:b/>
          <w:color w:val="auto"/>
          <w:kern w:val="0"/>
          <w:sz w:val="24"/>
          <w:highlight w:val="none"/>
          <w:lang w:val="zh-CN"/>
        </w:rPr>
      </w:pPr>
      <w:r>
        <w:rPr>
          <w:rFonts w:hint="eastAsia" w:ascii="宋体" w:hAnsi="宋体" w:cs="仿宋_GB2312"/>
          <w:b/>
          <w:color w:val="auto"/>
          <w:kern w:val="0"/>
          <w:sz w:val="24"/>
          <w:highlight w:val="none"/>
          <w:lang w:val="zh-CN"/>
        </w:rPr>
        <w:t>注：</w:t>
      </w:r>
    </w:p>
    <w:p w14:paraId="1B33E780">
      <w:pPr>
        <w:shd w:val="clear"/>
        <w:spacing w:line="360" w:lineRule="auto"/>
        <w:ind w:left="-2" w:leftChars="-1" w:firstLine="480" w:firstLineChars="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1、投标人需按本表格式填写，不得自行更改。</w:t>
      </w:r>
    </w:p>
    <w:p w14:paraId="14292DE3">
      <w:pPr>
        <w:shd w:val="clear"/>
        <w:spacing w:line="360" w:lineRule="auto"/>
        <w:ind w:left="-2" w:leftChars="-1" w:firstLine="480" w:firstLineChars="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2、有关本项目实施所涉及的一切费用（详见前附表）均计入报价。</w:t>
      </w:r>
    </w:p>
    <w:p w14:paraId="0FCAE5AD">
      <w:pPr>
        <w:shd w:val="clear"/>
        <w:spacing w:line="360" w:lineRule="auto"/>
        <w:ind w:left="-2" w:leftChars="-1" w:firstLine="480" w:firstLineChars="200"/>
        <w:rPr>
          <w:rFonts w:ascii="宋体" w:hAnsi="宋体" w:cs="仿宋_GB2312"/>
          <w:b/>
          <w:color w:val="auto"/>
          <w:kern w:val="0"/>
          <w:sz w:val="24"/>
          <w:highlight w:val="none"/>
          <w:lang w:val="zh-CN"/>
        </w:rPr>
      </w:pPr>
      <w:r>
        <w:rPr>
          <w:rFonts w:hint="eastAsia" w:ascii="宋体" w:hAnsi="宋体" w:cs="仿宋_GB2312"/>
          <w:color w:val="auto"/>
          <w:kern w:val="0"/>
          <w:sz w:val="24"/>
          <w:highlight w:val="none"/>
        </w:rPr>
        <w:t>3</w:t>
      </w:r>
      <w:r>
        <w:rPr>
          <w:rFonts w:hint="eastAsia" w:ascii="宋体" w:hAnsi="宋体" w:cs="仿宋_GB2312"/>
          <w:color w:val="auto"/>
          <w:kern w:val="0"/>
          <w:sz w:val="24"/>
          <w:highlight w:val="none"/>
          <w:lang w:val="zh-CN"/>
        </w:rPr>
        <w:t>、</w:t>
      </w:r>
      <w:r>
        <w:rPr>
          <w:rFonts w:hint="eastAsia" w:ascii="宋体" w:hAnsi="宋体" w:cs="仿宋_GB2312"/>
          <w:b/>
          <w:color w:val="auto"/>
          <w:kern w:val="0"/>
          <w:sz w:val="24"/>
          <w:highlight w:val="none"/>
          <w:lang w:val="zh-CN"/>
        </w:rPr>
        <w:t>供应商的报价折扣</w:t>
      </w:r>
      <w:r>
        <w:rPr>
          <w:rFonts w:hint="eastAsia" w:ascii="宋体" w:hAnsi="宋体" w:cs="仿宋_GB2312"/>
          <w:b/>
          <w:color w:val="auto"/>
          <w:kern w:val="0"/>
          <w:sz w:val="24"/>
          <w:highlight w:val="none"/>
        </w:rPr>
        <w:t>率</w:t>
      </w:r>
      <w:r>
        <w:rPr>
          <w:rFonts w:hint="eastAsia" w:ascii="宋体" w:hAnsi="宋体" w:cs="仿宋_GB2312"/>
          <w:b/>
          <w:color w:val="auto"/>
          <w:kern w:val="0"/>
          <w:sz w:val="24"/>
          <w:highlight w:val="none"/>
          <w:lang w:val="zh-CN"/>
        </w:rPr>
        <w:t>必须等于或者小于</w:t>
      </w:r>
      <w:r>
        <w:rPr>
          <w:rFonts w:hint="eastAsia" w:ascii="宋体" w:hAnsi="宋体" w:cs="仿宋_GB2312"/>
          <w:b/>
          <w:color w:val="auto"/>
          <w:kern w:val="0"/>
          <w:sz w:val="24"/>
          <w:highlight w:val="none"/>
        </w:rPr>
        <w:t>65</w:t>
      </w:r>
      <w:r>
        <w:rPr>
          <w:rFonts w:hint="eastAsia" w:ascii="宋体" w:hAnsi="宋体" w:cs="仿宋_GB2312"/>
          <w:b/>
          <w:color w:val="auto"/>
          <w:kern w:val="0"/>
          <w:sz w:val="24"/>
          <w:highlight w:val="none"/>
          <w:lang w:val="zh-CN"/>
        </w:rPr>
        <w:t>%，超过以上折扣的作无效标处理，价格不列为评审因素。</w:t>
      </w:r>
    </w:p>
    <w:p w14:paraId="0DDEB918">
      <w:pPr>
        <w:shd w:val="clear"/>
        <w:spacing w:line="360" w:lineRule="auto"/>
        <w:ind w:left="-2" w:leftChars="-1" w:firstLine="482" w:firstLineChars="200"/>
        <w:rPr>
          <w:rFonts w:ascii="宋体" w:hAnsi="宋体" w:cs="仿宋_GB2312"/>
          <w:b/>
          <w:color w:val="auto"/>
          <w:kern w:val="0"/>
          <w:sz w:val="24"/>
          <w:highlight w:val="none"/>
          <w:lang w:val="zh-CN"/>
        </w:rPr>
      </w:pPr>
      <w:r>
        <w:rPr>
          <w:rFonts w:hint="eastAsia" w:ascii="宋体" w:hAnsi="宋体" w:cs="仿宋_GB2312"/>
          <w:b/>
          <w:color w:val="auto"/>
          <w:kern w:val="0"/>
          <w:sz w:val="24"/>
          <w:highlight w:val="none"/>
          <w:lang w:val="zh-CN"/>
        </w:rPr>
        <w:t>4、结算费用不高于</w:t>
      </w:r>
      <w:r>
        <w:rPr>
          <w:rFonts w:hint="eastAsia" w:ascii="宋体" w:hAnsi="宋体" w:cs="宋体"/>
          <w:b/>
          <w:color w:val="auto"/>
          <w:sz w:val="24"/>
          <w:szCs w:val="28"/>
          <w:highlight w:val="none"/>
        </w:rPr>
        <w:t>附件《建设工程造价咨询服务收费标准》中对应咨询项目收费标准*中标折扣率，另有说明的除外。</w:t>
      </w:r>
    </w:p>
    <w:p w14:paraId="71F72EBB">
      <w:pPr>
        <w:pStyle w:val="2"/>
        <w:shd w:val="clear"/>
        <w:ind w:left="0" w:firstLine="0"/>
        <w:rPr>
          <w:color w:val="auto"/>
          <w:highlight w:val="none"/>
        </w:rPr>
      </w:pPr>
    </w:p>
    <w:p w14:paraId="72D2CD83">
      <w:pPr>
        <w:shd w:val="clear"/>
        <w:spacing w:line="360" w:lineRule="auto"/>
        <w:jc w:val="right"/>
        <w:rPr>
          <w:rFonts w:ascii="宋体" w:hAnsi="宋体" w:cs="仿宋"/>
          <w:b/>
          <w:color w:val="auto"/>
          <w:kern w:val="0"/>
          <w:sz w:val="24"/>
          <w:highlight w:val="none"/>
          <w:lang w:val="zh-CN"/>
        </w:rPr>
      </w:pPr>
    </w:p>
    <w:p w14:paraId="4C0548DA">
      <w:pPr>
        <w:shd w:val="clear"/>
        <w:spacing w:line="360" w:lineRule="auto"/>
        <w:jc w:val="right"/>
        <w:rPr>
          <w:rFonts w:ascii="宋体" w:hAnsi="宋体" w:cs="仿宋"/>
          <w:color w:val="auto"/>
          <w:sz w:val="24"/>
          <w:highlight w:val="none"/>
        </w:rPr>
      </w:pPr>
      <w:r>
        <w:rPr>
          <w:rFonts w:hint="eastAsia" w:ascii="宋体" w:hAnsi="宋体" w:cs="仿宋"/>
          <w:color w:val="auto"/>
          <w:sz w:val="24"/>
          <w:highlight w:val="none"/>
        </w:rPr>
        <w:t xml:space="preserve">投标人名称（电子签名）：                                                                                 日期：  年   月 </w:t>
      </w:r>
    </w:p>
    <w:p w14:paraId="6F1B4965">
      <w:pPr>
        <w:shd w:val="clear"/>
        <w:spacing w:line="360" w:lineRule="auto"/>
        <w:jc w:val="right"/>
        <w:rPr>
          <w:rFonts w:ascii="宋体" w:hAnsi="宋体" w:cs="仿宋"/>
          <w:color w:val="auto"/>
          <w:sz w:val="24"/>
          <w:highlight w:val="none"/>
        </w:rPr>
      </w:pPr>
    </w:p>
    <w:p w14:paraId="0E89D8AF">
      <w:pPr>
        <w:pStyle w:val="302"/>
        <w:keepNext w:val="0"/>
        <w:pageBreakBefore w:val="0"/>
        <w:shd w:val="clear"/>
        <w:tabs>
          <w:tab w:val="clear" w:pos="720"/>
        </w:tabs>
        <w:snapToGrid w:val="0"/>
        <w:spacing w:before="240"/>
        <w:outlineLvl w:val="9"/>
        <w:rPr>
          <w:rFonts w:ascii="宋体" w:hAnsi="宋体" w:eastAsia="宋体" w:cs="仿宋_GB2312"/>
          <w:color w:val="auto"/>
          <w:kern w:val="2"/>
          <w:sz w:val="32"/>
          <w:szCs w:val="32"/>
          <w:highlight w:val="none"/>
        </w:rPr>
      </w:pPr>
    </w:p>
    <w:p w14:paraId="68BE2F85">
      <w:pPr>
        <w:pStyle w:val="302"/>
        <w:keepNext w:val="0"/>
        <w:pageBreakBefore w:val="0"/>
        <w:shd w:val="clear"/>
        <w:tabs>
          <w:tab w:val="clear" w:pos="720"/>
        </w:tabs>
        <w:snapToGrid w:val="0"/>
        <w:spacing w:before="240"/>
        <w:outlineLvl w:val="9"/>
        <w:rPr>
          <w:rFonts w:ascii="宋体" w:hAnsi="宋体" w:eastAsia="宋体" w:cs="仿宋_GB2312"/>
          <w:color w:val="auto"/>
          <w:kern w:val="2"/>
          <w:sz w:val="32"/>
          <w:szCs w:val="32"/>
          <w:highlight w:val="none"/>
        </w:rPr>
      </w:pPr>
    </w:p>
    <w:p w14:paraId="092982EE">
      <w:pPr>
        <w:pStyle w:val="302"/>
        <w:keepNext w:val="0"/>
        <w:pageBreakBefore w:val="0"/>
        <w:shd w:val="clear"/>
        <w:tabs>
          <w:tab w:val="clear" w:pos="720"/>
        </w:tabs>
        <w:snapToGrid w:val="0"/>
        <w:spacing w:before="240"/>
        <w:outlineLvl w:val="9"/>
        <w:rPr>
          <w:rFonts w:ascii="宋体" w:hAnsi="宋体" w:eastAsia="宋体" w:cs="仿宋_GB2312"/>
          <w:color w:val="auto"/>
          <w:kern w:val="2"/>
          <w:sz w:val="32"/>
          <w:szCs w:val="32"/>
          <w:highlight w:val="none"/>
        </w:rPr>
      </w:pPr>
    </w:p>
    <w:p w14:paraId="55D97ECD">
      <w:pPr>
        <w:pStyle w:val="302"/>
        <w:keepNext w:val="0"/>
        <w:pageBreakBefore w:val="0"/>
        <w:shd w:val="clear"/>
        <w:tabs>
          <w:tab w:val="clear" w:pos="720"/>
        </w:tabs>
        <w:snapToGrid w:val="0"/>
        <w:spacing w:before="240"/>
        <w:outlineLvl w:val="9"/>
        <w:rPr>
          <w:rFonts w:ascii="宋体" w:hAnsi="宋体" w:eastAsia="宋体" w:cs="仿宋_GB2312"/>
          <w:color w:val="auto"/>
          <w:kern w:val="2"/>
          <w:sz w:val="32"/>
          <w:szCs w:val="32"/>
          <w:highlight w:val="none"/>
        </w:rPr>
      </w:pPr>
      <w:r>
        <w:rPr>
          <w:rFonts w:hint="eastAsia" w:ascii="宋体" w:hAnsi="宋体" w:eastAsia="宋体" w:cs="仿宋_GB2312"/>
          <w:color w:val="auto"/>
          <w:kern w:val="2"/>
          <w:sz w:val="32"/>
          <w:szCs w:val="32"/>
          <w:highlight w:val="none"/>
        </w:rPr>
        <w:t>二、</w:t>
      </w:r>
      <w:bookmarkStart w:id="476" w:name="OLE_LINK9"/>
      <w:r>
        <w:rPr>
          <w:rFonts w:hint="eastAsia" w:ascii="宋体" w:hAnsi="宋体" w:eastAsia="宋体" w:cs="仿宋_GB2312"/>
          <w:color w:val="auto"/>
          <w:kern w:val="2"/>
          <w:sz w:val="32"/>
          <w:szCs w:val="32"/>
          <w:highlight w:val="none"/>
        </w:rPr>
        <w:t>中小企业声明函</w:t>
      </w:r>
      <w:bookmarkEnd w:id="476"/>
    </w:p>
    <w:p w14:paraId="6B52E199">
      <w:pPr>
        <w:shd w:val="clear"/>
        <w:spacing w:line="440" w:lineRule="exact"/>
        <w:ind w:firstLine="360" w:firstLineChars="150"/>
        <w:jc w:val="left"/>
        <w:rPr>
          <w:rFonts w:ascii="宋体" w:hAnsi="宋体"/>
          <w:color w:val="auto"/>
          <w:sz w:val="24"/>
          <w:highlight w:val="none"/>
        </w:rPr>
      </w:pPr>
      <w:r>
        <w:rPr>
          <w:rFonts w:hint="eastAsia" w:ascii="宋体" w:hAnsi="宋体"/>
          <w:color w:val="auto"/>
          <w:sz w:val="24"/>
          <w:highlight w:val="none"/>
        </w:rPr>
        <w:t xml:space="preserve">本公司（联合体）郑重声明，根据《政府采购促进中小企业发展管理办法》（财库﹝2020﹞46 号）的规定，本公司（联合体）参加 </w:t>
      </w:r>
      <w:r>
        <w:rPr>
          <w:rFonts w:hint="eastAsia" w:ascii="宋体" w:hAnsi="宋体"/>
          <w:color w:val="auto"/>
          <w:sz w:val="24"/>
          <w:highlight w:val="none"/>
          <w:u w:val="single"/>
        </w:rPr>
        <w:t>（单位名称）</w:t>
      </w:r>
      <w:r>
        <w:rPr>
          <w:rFonts w:hint="eastAsia" w:ascii="宋体" w:hAnsi="宋体"/>
          <w:color w:val="auto"/>
          <w:sz w:val="24"/>
          <w:highlight w:val="none"/>
        </w:rPr>
        <w:t xml:space="preserve"> 的 </w:t>
      </w:r>
      <w:r>
        <w:rPr>
          <w:rFonts w:hint="eastAsia" w:ascii="宋体" w:hAnsi="宋体"/>
          <w:color w:val="auto"/>
          <w:sz w:val="24"/>
          <w:highlight w:val="none"/>
          <w:u w:val="single"/>
        </w:rPr>
        <w:t>（项目名称）</w:t>
      </w:r>
      <w:r>
        <w:rPr>
          <w:rFonts w:hint="eastAsia" w:ascii="宋体" w:hAnsi="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2791B6B">
      <w:pPr>
        <w:shd w:val="clea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（标的名称）</w:t>
      </w:r>
      <w:r>
        <w:rPr>
          <w:rFonts w:hint="eastAsia" w:ascii="宋体" w:hAnsi="宋体"/>
          <w:color w:val="auto"/>
          <w:sz w:val="24"/>
          <w:highlight w:val="none"/>
        </w:rPr>
        <w:t xml:space="preserve"> ，</w:t>
      </w:r>
      <w:bookmarkStart w:id="477" w:name="OLE_LINK11"/>
      <w:r>
        <w:rPr>
          <w:rFonts w:hint="eastAsia" w:ascii="宋体" w:hAnsi="宋体"/>
          <w:color w:val="auto"/>
          <w:sz w:val="24"/>
          <w:highlight w:val="none"/>
        </w:rPr>
        <w:t>属于</w:t>
      </w:r>
      <w:bookmarkEnd w:id="477"/>
      <w:bookmarkStart w:id="478" w:name="OLE_LINK40"/>
      <w:bookmarkStart w:id="479" w:name="OLE_LINK39"/>
      <w:r>
        <w:rPr>
          <w:rFonts w:hint="eastAsia" w:ascii="宋体" w:hAnsi="宋体"/>
          <w:color w:val="auto"/>
          <w:sz w:val="24"/>
          <w:highlight w:val="none"/>
          <w:u w:val="single"/>
        </w:rPr>
        <w:t>租赁或商务服务业</w:t>
      </w:r>
      <w:bookmarkEnd w:id="478"/>
      <w:bookmarkEnd w:id="479"/>
      <w:r>
        <w:rPr>
          <w:rFonts w:hint="eastAsia" w:ascii="宋体" w:hAnsi="宋体"/>
          <w:color w:val="auto"/>
          <w:sz w:val="24"/>
          <w:highlight w:val="none"/>
        </w:rPr>
        <w:t xml:space="preserve"> ；承建（承接）企业为 </w:t>
      </w:r>
      <w:r>
        <w:rPr>
          <w:rFonts w:hint="eastAsia" w:ascii="宋体" w:hAnsi="宋体"/>
          <w:color w:val="auto"/>
          <w:sz w:val="24"/>
          <w:highlight w:val="none"/>
          <w:u w:val="single"/>
        </w:rPr>
        <w:t>（企业名称）</w:t>
      </w:r>
      <w:r>
        <w:rPr>
          <w:rFonts w:hint="eastAsia" w:ascii="宋体" w:hAnsi="宋体"/>
          <w:color w:val="auto"/>
          <w:sz w:val="24"/>
          <w:highlight w:val="none"/>
        </w:rPr>
        <w:t xml:space="preserve"> ，从业人员人，营业收入为万元，资产总额为万元，属于</w:t>
      </w:r>
      <w:r>
        <w:rPr>
          <w:rFonts w:hint="eastAsia" w:ascii="宋体" w:hAnsi="宋体"/>
          <w:color w:val="auto"/>
          <w:sz w:val="24"/>
          <w:highlight w:val="none"/>
          <w:u w:val="single"/>
        </w:rPr>
        <w:t xml:space="preserve"> （中型企业、小型企业、微型企业） </w:t>
      </w:r>
      <w:r>
        <w:rPr>
          <w:rFonts w:hint="eastAsia" w:ascii="宋体" w:hAnsi="宋体"/>
          <w:color w:val="auto"/>
          <w:sz w:val="24"/>
          <w:highlight w:val="none"/>
        </w:rPr>
        <w:t>；</w:t>
      </w:r>
    </w:p>
    <w:p w14:paraId="7B4FEFE6">
      <w:pPr>
        <w:shd w:val="clea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 xml:space="preserve">（标的名称） </w:t>
      </w:r>
      <w:r>
        <w:rPr>
          <w:rFonts w:hint="eastAsia" w:ascii="宋体" w:hAnsi="宋体"/>
          <w:color w:val="auto"/>
          <w:sz w:val="24"/>
          <w:highlight w:val="none"/>
        </w:rPr>
        <w:t>，属于</w:t>
      </w:r>
      <w:r>
        <w:rPr>
          <w:rFonts w:hint="eastAsia" w:ascii="宋体" w:hAnsi="宋体"/>
          <w:color w:val="auto"/>
          <w:sz w:val="24"/>
          <w:highlight w:val="none"/>
          <w:u w:val="single"/>
        </w:rPr>
        <w:t>租赁或商务服务业</w:t>
      </w:r>
      <w:r>
        <w:rPr>
          <w:rFonts w:hint="eastAsia" w:ascii="宋体" w:hAnsi="宋体"/>
          <w:color w:val="auto"/>
          <w:sz w:val="24"/>
          <w:highlight w:val="none"/>
        </w:rPr>
        <w:t xml:space="preserve">；承建（承接）企业为 </w:t>
      </w:r>
      <w:r>
        <w:rPr>
          <w:rFonts w:hint="eastAsia" w:ascii="宋体" w:hAnsi="宋体"/>
          <w:color w:val="auto"/>
          <w:sz w:val="24"/>
          <w:highlight w:val="none"/>
          <w:u w:val="single"/>
        </w:rPr>
        <w:t>（企业名称）</w:t>
      </w:r>
      <w:r>
        <w:rPr>
          <w:rFonts w:hint="eastAsia" w:ascii="宋体" w:hAnsi="宋体"/>
          <w:color w:val="auto"/>
          <w:sz w:val="24"/>
          <w:highlight w:val="none"/>
        </w:rPr>
        <w:t xml:space="preserve"> ，从业人员人，营业收入为万元，资产总额为万元，属于 </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 xml:space="preserve"> ；</w:t>
      </w:r>
    </w:p>
    <w:p w14:paraId="4A80D834">
      <w:pPr>
        <w:shd w:val="clea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p>
    <w:p w14:paraId="4AE7D0C8">
      <w:pPr>
        <w:shd w:val="clea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057816F7">
      <w:pPr>
        <w:shd w:val="clea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0CA7B391">
      <w:pPr>
        <w:shd w:val="clear"/>
        <w:spacing w:line="440" w:lineRule="exact"/>
        <w:ind w:right="1040"/>
        <w:jc w:val="right"/>
        <w:rPr>
          <w:rFonts w:ascii="宋体" w:hAnsi="宋体"/>
          <w:color w:val="auto"/>
          <w:sz w:val="24"/>
          <w:highlight w:val="none"/>
        </w:rPr>
      </w:pPr>
      <w:r>
        <w:rPr>
          <w:rFonts w:hint="eastAsia" w:ascii="宋体" w:hAnsi="宋体" w:cs="仿宋_GB2312"/>
          <w:color w:val="auto"/>
          <w:sz w:val="24"/>
          <w:highlight w:val="none"/>
        </w:rPr>
        <w:t>投标人</w:t>
      </w:r>
      <w:r>
        <w:rPr>
          <w:rFonts w:hint="eastAsia" w:ascii="宋体" w:hAnsi="宋体"/>
          <w:color w:val="auto"/>
          <w:sz w:val="24"/>
          <w:highlight w:val="none"/>
        </w:rPr>
        <w:t xml:space="preserve">名称（ </w:t>
      </w:r>
      <w:r>
        <w:rPr>
          <w:rFonts w:hint="eastAsia" w:ascii="宋体" w:hAnsi="宋体" w:cs="仿宋_GB2312"/>
          <w:color w:val="auto"/>
          <w:sz w:val="24"/>
          <w:highlight w:val="none"/>
        </w:rPr>
        <w:t>电子签名</w:t>
      </w:r>
      <w:r>
        <w:rPr>
          <w:rFonts w:hint="eastAsia" w:ascii="宋体" w:hAnsi="宋体"/>
          <w:color w:val="auto"/>
          <w:sz w:val="24"/>
          <w:highlight w:val="none"/>
        </w:rPr>
        <w:t>）：</w:t>
      </w:r>
    </w:p>
    <w:p w14:paraId="51AACEC0">
      <w:pPr>
        <w:shd w:val="clear"/>
        <w:spacing w:line="440" w:lineRule="exact"/>
        <w:ind w:right="1120" w:firstLine="5040" w:firstLineChars="2100"/>
        <w:rPr>
          <w:rFonts w:ascii="宋体" w:hAnsi="宋体"/>
          <w:color w:val="auto"/>
          <w:sz w:val="24"/>
          <w:highlight w:val="none"/>
        </w:rPr>
      </w:pPr>
      <w:r>
        <w:rPr>
          <w:rFonts w:hint="eastAsia" w:ascii="宋体" w:hAnsi="宋体"/>
          <w:color w:val="auto"/>
          <w:sz w:val="24"/>
          <w:highlight w:val="none"/>
        </w:rPr>
        <w:t>日 期：</w:t>
      </w:r>
    </w:p>
    <w:p w14:paraId="3D0C0DEF">
      <w:pPr>
        <w:shd w:val="clear"/>
        <w:spacing w:line="360" w:lineRule="auto"/>
        <w:ind w:firstLine="354" w:firstLineChars="147"/>
        <w:jc w:val="left"/>
        <w:rPr>
          <w:rFonts w:ascii="宋体" w:hAnsi="宋体" w:cs="仿宋_GB2312"/>
          <w:b/>
          <w:color w:val="auto"/>
          <w:kern w:val="0"/>
          <w:sz w:val="24"/>
          <w:highlight w:val="none"/>
          <w:lang w:val="zh-CN"/>
        </w:rPr>
      </w:pPr>
      <w:r>
        <w:rPr>
          <w:rFonts w:hint="eastAsia" w:ascii="宋体" w:hAnsi="宋体" w:cs="仿宋_GB2312"/>
          <w:b/>
          <w:color w:val="auto"/>
          <w:kern w:val="0"/>
          <w:sz w:val="24"/>
          <w:highlight w:val="none"/>
          <w:lang w:val="zh-CN"/>
        </w:rPr>
        <w:t>从业人员、营业收入、资产总额填报上一年度数据，无上一年度数据的新成立企业可不填报。</w:t>
      </w:r>
    </w:p>
    <w:p w14:paraId="5DD62098">
      <w:pPr>
        <w:shd w:val="clear"/>
        <w:spacing w:line="360" w:lineRule="auto"/>
        <w:ind w:right="420" w:firstLine="482" w:firstLineChars="200"/>
        <w:rPr>
          <w:rFonts w:ascii="宋体" w:hAnsi="宋体" w:cs="宋体"/>
          <w:b/>
          <w:bCs/>
          <w:color w:val="auto"/>
          <w:sz w:val="24"/>
          <w:highlight w:val="none"/>
        </w:rPr>
      </w:pPr>
      <w:r>
        <w:rPr>
          <w:rFonts w:hint="eastAsia" w:ascii="宋体" w:hAnsi="宋体" w:cs="仿宋_GB2312"/>
          <w:b/>
          <w:color w:val="auto"/>
          <w:sz w:val="24"/>
          <w:highlight w:val="none"/>
        </w:rPr>
        <w:t>注：1、投标人应根据企业实际情况及采购文件中明确的所属行业，对照《关于印发中小企业划型标准规定的通知》（工信部联企业[2011]300号）所对应的划型标准作出声明，</w:t>
      </w:r>
      <w:r>
        <w:rPr>
          <w:rFonts w:hint="eastAsia" w:ascii="宋体" w:hAnsi="宋体" w:cs="宋体"/>
          <w:b/>
          <w:bCs/>
          <w:color w:val="auto"/>
          <w:sz w:val="24"/>
          <w:highlight w:val="none"/>
        </w:rPr>
        <w:t>投标人提供的《中小企业声明函》与实际情况不符的或者未按以上要求填写的，</w:t>
      </w:r>
      <w:bookmarkStart w:id="480" w:name="OLE_LINK12"/>
      <w:r>
        <w:rPr>
          <w:rFonts w:hint="eastAsia" w:ascii="宋体" w:hAnsi="宋体" w:cs="宋体"/>
          <w:b/>
          <w:bCs/>
          <w:color w:val="auto"/>
          <w:sz w:val="24"/>
          <w:highlight w:val="none"/>
        </w:rPr>
        <w:t>中小企业声明函无效，不享受中小企业扶持政策。</w:t>
      </w:r>
      <w:bookmarkEnd w:id="480"/>
      <w:r>
        <w:rPr>
          <w:rFonts w:hint="eastAsia" w:ascii="宋体" w:hAnsi="宋体" w:cs="宋体"/>
          <w:b/>
          <w:bCs/>
          <w:color w:val="auto"/>
          <w:sz w:val="24"/>
          <w:highlight w:val="none"/>
        </w:rPr>
        <w:t>声明内容不实的，属于提供虚假材料谋取中标、成交的，依法承担法律责任。</w:t>
      </w:r>
    </w:p>
    <w:p w14:paraId="0CD026F7">
      <w:pPr>
        <w:shd w:val="clear"/>
        <w:spacing w:line="360" w:lineRule="auto"/>
        <w:ind w:right="420"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2、根据《政府采购促进中小企业发展管理办法》的通知（财库〔2020〕46号）规定，中标、成交供应商享受中小企业扶持政策的，采购代理机构将随中标、成交结果公开中标、成交供应商的</w:t>
      </w:r>
      <w:bookmarkStart w:id="481" w:name="OLE_LINK10"/>
      <w:r>
        <w:rPr>
          <w:rFonts w:hint="eastAsia" w:ascii="宋体" w:hAnsi="宋体" w:cs="仿宋_GB2312"/>
          <w:b/>
          <w:color w:val="auto"/>
          <w:sz w:val="24"/>
          <w:highlight w:val="none"/>
        </w:rPr>
        <w:t>《中小企业声明函》</w:t>
      </w:r>
      <w:bookmarkEnd w:id="481"/>
      <w:r>
        <w:rPr>
          <w:rFonts w:hint="eastAsia" w:ascii="宋体" w:hAnsi="宋体" w:cs="仿宋_GB2312"/>
          <w:b/>
          <w:color w:val="auto"/>
          <w:sz w:val="24"/>
          <w:highlight w:val="none"/>
        </w:rPr>
        <w:t>。</w:t>
      </w:r>
    </w:p>
    <w:p w14:paraId="14237B04">
      <w:pPr>
        <w:shd w:val="clear"/>
        <w:spacing w:line="360" w:lineRule="auto"/>
        <w:ind w:right="420" w:firstLine="480" w:firstLineChars="200"/>
        <w:rPr>
          <w:rFonts w:ascii="宋体" w:hAnsi="宋体" w:cs="仿宋_GB2312"/>
          <w:color w:val="auto"/>
          <w:sz w:val="24"/>
          <w:highlight w:val="none"/>
        </w:rPr>
      </w:pPr>
      <w:r>
        <w:rPr>
          <w:rFonts w:hint="eastAsia" w:ascii="宋体" w:hAnsi="宋体" w:cs="仿宋_GB2312"/>
          <w:color w:val="auto"/>
          <w:sz w:val="24"/>
          <w:highlight w:val="none"/>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44036E76">
      <w:pPr>
        <w:pStyle w:val="2"/>
        <w:shd w:val="clear"/>
        <w:ind w:left="0" w:firstLine="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  4、本</w:t>
      </w:r>
      <w:r>
        <w:rPr>
          <w:rFonts w:hint="eastAsia" w:ascii="宋体" w:hAnsi="宋体" w:eastAsia="宋体" w:cs="宋体"/>
          <w:color w:val="auto"/>
          <w:sz w:val="24"/>
          <w:szCs w:val="24"/>
          <w:highlight w:val="none"/>
        </w:rPr>
        <w:t>《中小企业声明函》</w:t>
      </w:r>
      <w:r>
        <w:rPr>
          <w:rFonts w:hint="eastAsia" w:ascii="宋体" w:hAnsi="宋体" w:eastAsia="宋体" w:cs="宋体"/>
          <w:color w:val="auto"/>
          <w:sz w:val="24"/>
          <w:szCs w:val="24"/>
          <w:highlight w:val="none"/>
          <w:lang w:val="en-US"/>
        </w:rPr>
        <w:t>中第1点和第2点中的“</w:t>
      </w:r>
      <w:r>
        <w:rPr>
          <w:rFonts w:hint="eastAsia" w:ascii="宋体" w:hAnsi="宋体" w:eastAsia="宋体" w:cs="宋体"/>
          <w:color w:val="auto"/>
          <w:sz w:val="24"/>
          <w:szCs w:val="24"/>
          <w:highlight w:val="none"/>
        </w:rPr>
        <w:t xml:space="preserve">属于 </w:t>
      </w:r>
      <w:r>
        <w:rPr>
          <w:rFonts w:hint="eastAsia" w:ascii="宋体" w:hAnsi="宋体" w:eastAsia="宋体" w:cs="宋体"/>
          <w:color w:val="auto"/>
          <w:sz w:val="24"/>
          <w:szCs w:val="24"/>
          <w:highlight w:val="none"/>
          <w:u w:val="single"/>
        </w:rPr>
        <w:t>租赁和商务服务业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此句话内容不得更改，否则</w:t>
      </w:r>
      <w:r>
        <w:rPr>
          <w:rFonts w:hint="eastAsia" w:ascii="宋体" w:hAnsi="宋体" w:eastAsia="宋体" w:cs="宋体"/>
          <w:color w:val="auto"/>
          <w:sz w:val="24"/>
          <w:szCs w:val="24"/>
          <w:highlight w:val="none"/>
        </w:rPr>
        <w:t>中小企业声明函无效，不享受中小企业扶持政策。</w:t>
      </w:r>
    </w:p>
    <w:p w14:paraId="024A321D">
      <w:pPr>
        <w:shd w:val="clear"/>
        <w:rPr>
          <w:rFonts w:ascii="宋体" w:hAnsi="宋体" w:cs="宋体"/>
          <w:color w:val="auto"/>
          <w:sz w:val="24"/>
          <w:highlight w:val="none"/>
        </w:rPr>
      </w:pPr>
    </w:p>
    <w:p w14:paraId="000AFB4F">
      <w:pPr>
        <w:shd w:val="clear"/>
        <w:rPr>
          <w:color w:val="auto"/>
          <w:highlight w:val="none"/>
        </w:rPr>
      </w:pPr>
    </w:p>
    <w:p w14:paraId="0161D76F">
      <w:pPr>
        <w:shd w:val="clear"/>
        <w:spacing w:line="360" w:lineRule="auto"/>
        <w:jc w:val="center"/>
        <w:outlineLvl w:val="0"/>
        <w:rPr>
          <w:rFonts w:ascii="宋体" w:hAnsi="宋体"/>
          <w:b/>
          <w:color w:val="auto"/>
          <w:spacing w:val="6"/>
          <w:sz w:val="32"/>
          <w:szCs w:val="32"/>
          <w:highlight w:val="none"/>
        </w:rPr>
      </w:pPr>
      <w:r>
        <w:rPr>
          <w:rFonts w:hint="eastAsia" w:ascii="宋体" w:hAnsi="宋体"/>
          <w:b/>
          <w:color w:val="auto"/>
          <w:spacing w:val="6"/>
          <w:sz w:val="32"/>
          <w:szCs w:val="32"/>
          <w:highlight w:val="none"/>
        </w:rPr>
        <w:br w:type="page"/>
      </w:r>
      <w:r>
        <w:rPr>
          <w:rFonts w:hint="eastAsia" w:ascii="宋体" w:hAnsi="宋体"/>
          <w:b/>
          <w:color w:val="auto"/>
          <w:spacing w:val="6"/>
          <w:sz w:val="32"/>
          <w:szCs w:val="32"/>
          <w:highlight w:val="none"/>
        </w:rPr>
        <w:t>三、残疾人福利性单位声明函（如有）</w:t>
      </w:r>
    </w:p>
    <w:p w14:paraId="1BD741EE">
      <w:pPr>
        <w:shd w:val="clear"/>
        <w:spacing w:line="360" w:lineRule="auto"/>
        <w:rPr>
          <w:rFonts w:ascii="宋体" w:hAnsi="宋体"/>
          <w:b/>
          <w:color w:val="auto"/>
          <w:spacing w:val="6"/>
          <w:sz w:val="30"/>
          <w:szCs w:val="30"/>
          <w:highlight w:val="none"/>
        </w:rPr>
      </w:pPr>
    </w:p>
    <w:p w14:paraId="5469EBFA">
      <w:pPr>
        <w:shd w:val="clea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B5CC50">
      <w:pPr>
        <w:shd w:val="clea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5B92264A">
      <w:pPr>
        <w:shd w:val="clear"/>
        <w:spacing w:line="360" w:lineRule="auto"/>
        <w:ind w:firstLine="480" w:firstLineChars="200"/>
        <w:rPr>
          <w:rFonts w:ascii="宋体" w:hAnsi="宋体" w:cs="仿宋_GB2312"/>
          <w:color w:val="auto"/>
          <w:sz w:val="24"/>
          <w:highlight w:val="none"/>
        </w:rPr>
      </w:pPr>
    </w:p>
    <w:p w14:paraId="582EEAD6">
      <w:pPr>
        <w:shd w:val="clear"/>
        <w:spacing w:line="360" w:lineRule="auto"/>
        <w:ind w:firstLine="480" w:firstLineChars="200"/>
        <w:rPr>
          <w:rFonts w:ascii="宋体" w:hAnsi="宋体" w:cs="仿宋_GB2312"/>
          <w:color w:val="auto"/>
          <w:sz w:val="24"/>
          <w:highlight w:val="none"/>
        </w:rPr>
      </w:pPr>
    </w:p>
    <w:p w14:paraId="3207899D">
      <w:pPr>
        <w:shd w:val="clear"/>
        <w:tabs>
          <w:tab w:val="left" w:pos="4860"/>
        </w:tabs>
        <w:spacing w:line="360" w:lineRule="auto"/>
        <w:ind w:right="1560" w:firstLine="480" w:firstLineChars="200"/>
        <w:jc w:val="center"/>
        <w:rPr>
          <w:rFonts w:ascii="宋体" w:hAnsi="宋体" w:cs="仿宋_GB2312"/>
          <w:color w:val="auto"/>
          <w:sz w:val="24"/>
          <w:highlight w:val="none"/>
        </w:rPr>
      </w:pPr>
      <w:r>
        <w:rPr>
          <w:rFonts w:hint="eastAsia" w:ascii="宋体" w:hAnsi="宋体" w:cs="仿宋_GB2312"/>
          <w:color w:val="auto"/>
          <w:sz w:val="24"/>
          <w:highlight w:val="none"/>
        </w:rPr>
        <w:t xml:space="preserve">                    单位名称（</w:t>
      </w:r>
      <w:r>
        <w:rPr>
          <w:rFonts w:hint="eastAsia" w:ascii="宋体" w:hAnsi="宋体" w:cs="仿宋_GB2312"/>
          <w:color w:val="auto"/>
          <w:kern w:val="0"/>
          <w:sz w:val="24"/>
          <w:highlight w:val="none"/>
          <w:lang w:val="zh-CN"/>
        </w:rPr>
        <w:t>电子签名</w:t>
      </w:r>
      <w:r>
        <w:rPr>
          <w:rFonts w:hint="eastAsia" w:ascii="宋体" w:hAnsi="宋体" w:cs="仿宋_GB2312"/>
          <w:color w:val="auto"/>
          <w:sz w:val="24"/>
          <w:highlight w:val="none"/>
        </w:rPr>
        <w:t>）：</w:t>
      </w:r>
    </w:p>
    <w:bookmarkEnd w:id="473"/>
    <w:p w14:paraId="171E6CAF">
      <w:pPr>
        <w:shd w:val="clear"/>
        <w:spacing w:line="360" w:lineRule="auto"/>
        <w:jc w:val="right"/>
        <w:rPr>
          <w:rFonts w:ascii="宋体" w:hAnsi="宋体" w:cs="仿宋"/>
          <w:color w:val="auto"/>
          <w:sz w:val="24"/>
          <w:szCs w:val="36"/>
          <w:highlight w:val="none"/>
          <w:lang w:val="zh-CN"/>
        </w:rPr>
        <w:sectPr>
          <w:pgSz w:w="11906" w:h="16838"/>
          <w:pgMar w:top="1276" w:right="1418" w:bottom="1247" w:left="1418" w:header="851" w:footer="992" w:gutter="0"/>
          <w:cols w:space="720" w:num="1"/>
          <w:titlePg/>
          <w:docGrid w:linePitch="312" w:charSpace="0"/>
        </w:sectPr>
      </w:pPr>
    </w:p>
    <w:p w14:paraId="1B92760E">
      <w:pPr>
        <w:shd w:val="clear"/>
        <w:spacing w:line="360" w:lineRule="auto"/>
        <w:rPr>
          <w:rFonts w:ascii="宋体" w:hAnsi="宋体" w:cs="仿宋"/>
          <w:b/>
          <w:color w:val="auto"/>
          <w:sz w:val="24"/>
          <w:highlight w:val="none"/>
        </w:rPr>
      </w:pPr>
    </w:p>
    <w:p w14:paraId="0FD41BAC">
      <w:pPr>
        <w:shd w:val="clear"/>
        <w:spacing w:line="360" w:lineRule="auto"/>
        <w:jc w:val="left"/>
        <w:rPr>
          <w:rFonts w:ascii="宋体" w:hAnsi="宋体" w:cs="仿宋"/>
          <w:b/>
          <w:color w:val="auto"/>
          <w:spacing w:val="6"/>
          <w:sz w:val="32"/>
          <w:szCs w:val="32"/>
          <w:highlight w:val="none"/>
        </w:rPr>
      </w:pPr>
      <w:r>
        <w:rPr>
          <w:rFonts w:hint="eastAsia" w:ascii="宋体" w:hAnsi="宋体" w:cs="仿宋"/>
          <w:b/>
          <w:color w:val="auto"/>
          <w:spacing w:val="6"/>
          <w:sz w:val="32"/>
          <w:szCs w:val="32"/>
          <w:highlight w:val="none"/>
        </w:rPr>
        <w:t>附件1：质疑函范本及制作说明</w:t>
      </w:r>
    </w:p>
    <w:p w14:paraId="5D967646">
      <w:pPr>
        <w:shd w:val="clear"/>
        <w:spacing w:line="360" w:lineRule="auto"/>
        <w:jc w:val="center"/>
        <w:rPr>
          <w:rFonts w:ascii="宋体" w:hAnsi="宋体" w:cs="仿宋"/>
          <w:b/>
          <w:color w:val="auto"/>
          <w:spacing w:val="6"/>
          <w:sz w:val="32"/>
          <w:szCs w:val="32"/>
          <w:highlight w:val="none"/>
        </w:rPr>
      </w:pPr>
      <w:r>
        <w:rPr>
          <w:rFonts w:hint="eastAsia" w:ascii="宋体" w:hAnsi="宋体" w:cs="仿宋"/>
          <w:b/>
          <w:color w:val="auto"/>
          <w:spacing w:val="6"/>
          <w:sz w:val="32"/>
          <w:szCs w:val="32"/>
          <w:highlight w:val="none"/>
        </w:rPr>
        <w:t>质疑函范本</w:t>
      </w:r>
    </w:p>
    <w:p w14:paraId="687AE649">
      <w:pPr>
        <w:shd w:val="clear"/>
        <w:snapToGrid w:val="0"/>
        <w:spacing w:beforeLines="100" w:line="360" w:lineRule="auto"/>
        <w:rPr>
          <w:rFonts w:ascii="宋体" w:hAnsi="宋体" w:cs="仿宋"/>
          <w:bCs/>
          <w:color w:val="auto"/>
          <w:sz w:val="24"/>
          <w:highlight w:val="none"/>
        </w:rPr>
      </w:pPr>
      <w:r>
        <w:rPr>
          <w:rFonts w:hint="eastAsia" w:ascii="宋体" w:hAnsi="宋体" w:cs="仿宋"/>
          <w:bCs/>
          <w:color w:val="auto"/>
          <w:sz w:val="24"/>
          <w:highlight w:val="none"/>
        </w:rPr>
        <w:t>一、质疑供应商基本信息</w:t>
      </w:r>
    </w:p>
    <w:p w14:paraId="4F48B4F1">
      <w:pPr>
        <w:shd w:val="clear"/>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质疑供应商：</w:t>
      </w:r>
      <w:r>
        <w:rPr>
          <w:rFonts w:hint="eastAsia" w:ascii="宋体" w:hAnsi="宋体" w:cs="仿宋"/>
          <w:color w:val="auto"/>
          <w:sz w:val="24"/>
          <w:highlight w:val="none"/>
          <w:u w:val="single"/>
        </w:rPr>
        <w:t>_________________________</w:t>
      </w:r>
    </w:p>
    <w:p w14:paraId="04B692FC">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地址：</w:t>
      </w:r>
      <w:r>
        <w:rPr>
          <w:rFonts w:hint="eastAsia" w:ascii="宋体" w:hAnsi="宋体" w:cs="仿宋"/>
          <w:color w:val="auto"/>
          <w:sz w:val="24"/>
          <w:highlight w:val="none"/>
          <w:u w:val="single"/>
        </w:rPr>
        <w:t>____________________________</w:t>
      </w:r>
      <w:r>
        <w:rPr>
          <w:rFonts w:hint="eastAsia" w:ascii="宋体" w:hAnsi="宋体" w:cs="仿宋"/>
          <w:color w:val="auto"/>
          <w:sz w:val="24"/>
          <w:highlight w:val="none"/>
        </w:rPr>
        <w:t>邮编：</w:t>
      </w:r>
      <w:r>
        <w:rPr>
          <w:rFonts w:hint="eastAsia" w:ascii="宋体" w:hAnsi="宋体" w:cs="仿宋"/>
          <w:color w:val="auto"/>
          <w:sz w:val="24"/>
          <w:highlight w:val="none"/>
          <w:u w:val="single"/>
        </w:rPr>
        <w:t>___________</w:t>
      </w:r>
    </w:p>
    <w:p w14:paraId="2E8EF465">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联系人：</w:t>
      </w:r>
      <w:r>
        <w:rPr>
          <w:rFonts w:hint="eastAsia" w:ascii="宋体" w:hAnsi="宋体" w:cs="仿宋"/>
          <w:color w:val="auto"/>
          <w:sz w:val="24"/>
          <w:highlight w:val="none"/>
          <w:u w:val="single"/>
        </w:rPr>
        <w:t xml:space="preserve">_____________________ </w:t>
      </w:r>
      <w:r>
        <w:rPr>
          <w:rFonts w:hint="eastAsia" w:ascii="宋体" w:hAnsi="宋体" w:cs="仿宋"/>
          <w:color w:val="auto"/>
          <w:sz w:val="24"/>
          <w:highlight w:val="none"/>
        </w:rPr>
        <w:t>联系电话：</w:t>
      </w:r>
      <w:r>
        <w:rPr>
          <w:rFonts w:hint="eastAsia" w:ascii="宋体" w:hAnsi="宋体" w:cs="仿宋"/>
          <w:color w:val="auto"/>
          <w:sz w:val="24"/>
          <w:highlight w:val="none"/>
          <w:u w:val="single"/>
        </w:rPr>
        <w:t>__________</w:t>
      </w:r>
    </w:p>
    <w:p w14:paraId="546E7F2A">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授权代表：</w:t>
      </w:r>
      <w:r>
        <w:rPr>
          <w:rFonts w:hint="eastAsia" w:ascii="宋体" w:hAnsi="宋体" w:cs="仿宋"/>
          <w:color w:val="auto"/>
          <w:sz w:val="24"/>
          <w:highlight w:val="none"/>
          <w:u w:val="single"/>
        </w:rPr>
        <w:t>____________________</w:t>
      </w:r>
      <w:r>
        <w:rPr>
          <w:rFonts w:hint="eastAsia" w:ascii="宋体" w:hAnsi="宋体" w:cs="仿宋"/>
          <w:color w:val="auto"/>
          <w:sz w:val="24"/>
          <w:highlight w:val="none"/>
        </w:rPr>
        <w:t>联系电话：</w:t>
      </w:r>
      <w:r>
        <w:rPr>
          <w:rFonts w:hint="eastAsia" w:ascii="宋体" w:hAnsi="宋体" w:cs="仿宋"/>
          <w:color w:val="auto"/>
          <w:sz w:val="24"/>
          <w:highlight w:val="none"/>
          <w:u w:val="single"/>
        </w:rPr>
        <w:t>__________</w:t>
      </w:r>
    </w:p>
    <w:p w14:paraId="058BFFD6">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地址：</w:t>
      </w:r>
      <w:r>
        <w:rPr>
          <w:rFonts w:hint="eastAsia" w:ascii="宋体" w:hAnsi="宋体" w:cs="仿宋"/>
          <w:color w:val="auto"/>
          <w:sz w:val="24"/>
          <w:highlight w:val="none"/>
          <w:u w:val="single"/>
        </w:rPr>
        <w:t>____________________________</w:t>
      </w:r>
      <w:r>
        <w:rPr>
          <w:rFonts w:hint="eastAsia" w:ascii="宋体" w:hAnsi="宋体" w:cs="仿宋"/>
          <w:color w:val="auto"/>
          <w:sz w:val="24"/>
          <w:highlight w:val="none"/>
        </w:rPr>
        <w:t>邮编：</w:t>
      </w:r>
      <w:r>
        <w:rPr>
          <w:rFonts w:hint="eastAsia" w:ascii="宋体" w:hAnsi="宋体" w:cs="仿宋"/>
          <w:color w:val="auto"/>
          <w:sz w:val="24"/>
          <w:highlight w:val="none"/>
          <w:u w:val="single"/>
        </w:rPr>
        <w:t>___________</w:t>
      </w:r>
    </w:p>
    <w:p w14:paraId="15B7239E">
      <w:pPr>
        <w:shd w:val="clear"/>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二、质疑项目基本情况</w:t>
      </w:r>
    </w:p>
    <w:p w14:paraId="790FE671">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质疑项目的名称：</w:t>
      </w:r>
      <w:r>
        <w:rPr>
          <w:rFonts w:hint="eastAsia" w:ascii="宋体" w:hAnsi="宋体" w:cs="仿宋"/>
          <w:color w:val="auto"/>
          <w:sz w:val="24"/>
          <w:highlight w:val="none"/>
          <w:u w:val="single"/>
        </w:rPr>
        <w:t>_________________________________________</w:t>
      </w:r>
    </w:p>
    <w:p w14:paraId="0D22BAE8">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质疑项目的编号：</w:t>
      </w:r>
      <w:r>
        <w:rPr>
          <w:rFonts w:hint="eastAsia" w:ascii="宋体" w:hAnsi="宋体" w:cs="仿宋"/>
          <w:color w:val="auto"/>
          <w:sz w:val="24"/>
          <w:highlight w:val="none"/>
          <w:u w:val="single"/>
        </w:rPr>
        <w:t>__________________</w:t>
      </w:r>
      <w:r>
        <w:rPr>
          <w:rFonts w:hint="eastAsia" w:ascii="宋体" w:hAnsi="宋体" w:cs="仿宋"/>
          <w:color w:val="auto"/>
          <w:sz w:val="24"/>
          <w:highlight w:val="none"/>
        </w:rPr>
        <w:t>包号：</w:t>
      </w:r>
      <w:r>
        <w:rPr>
          <w:rFonts w:hint="eastAsia" w:ascii="宋体" w:hAnsi="宋体" w:cs="仿宋"/>
          <w:color w:val="auto"/>
          <w:sz w:val="24"/>
          <w:highlight w:val="none"/>
          <w:u w:val="single"/>
        </w:rPr>
        <w:t>_____________</w:t>
      </w:r>
    </w:p>
    <w:p w14:paraId="36FCEF60">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征集人名称：</w:t>
      </w:r>
      <w:r>
        <w:rPr>
          <w:rFonts w:hint="eastAsia" w:ascii="宋体" w:hAnsi="宋体" w:cs="仿宋"/>
          <w:color w:val="auto"/>
          <w:sz w:val="24"/>
          <w:highlight w:val="none"/>
          <w:u w:val="single"/>
        </w:rPr>
        <w:t>____________________________________________</w:t>
      </w:r>
    </w:p>
    <w:p w14:paraId="3AAA0503">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征集文件获取日期：</w:t>
      </w:r>
      <w:r>
        <w:rPr>
          <w:rFonts w:hint="eastAsia" w:ascii="宋体" w:hAnsi="宋体" w:cs="仿宋"/>
          <w:color w:val="auto"/>
          <w:sz w:val="24"/>
          <w:highlight w:val="none"/>
          <w:u w:val="single"/>
        </w:rPr>
        <w:t>_______________</w:t>
      </w:r>
    </w:p>
    <w:p w14:paraId="1B48A1C9">
      <w:pPr>
        <w:shd w:val="clear"/>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三、质疑事项具体内容</w:t>
      </w:r>
    </w:p>
    <w:p w14:paraId="208AD022">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质疑事项1：</w:t>
      </w:r>
      <w:r>
        <w:rPr>
          <w:rFonts w:hint="eastAsia" w:ascii="宋体" w:hAnsi="宋体" w:cs="仿宋"/>
          <w:color w:val="auto"/>
          <w:sz w:val="24"/>
          <w:highlight w:val="none"/>
          <w:u w:val="single"/>
        </w:rPr>
        <w:t>_________________________________________________________________</w:t>
      </w:r>
    </w:p>
    <w:p w14:paraId="58FAB996">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事实依据：</w:t>
      </w:r>
      <w:r>
        <w:rPr>
          <w:rFonts w:hint="eastAsia" w:ascii="宋体" w:hAnsi="宋体" w:cs="仿宋"/>
          <w:color w:val="auto"/>
          <w:sz w:val="24"/>
          <w:highlight w:val="none"/>
          <w:u w:val="single"/>
        </w:rPr>
        <w:t>__________________________________________________________________</w:t>
      </w:r>
    </w:p>
    <w:p w14:paraId="1DFEBC2A">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u w:val="single"/>
        </w:rPr>
        <w:t>___________________________________________________________________________</w:t>
      </w:r>
    </w:p>
    <w:p w14:paraId="2170FE0B">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法律依据：</w:t>
      </w:r>
      <w:r>
        <w:rPr>
          <w:rFonts w:hint="eastAsia" w:ascii="宋体" w:hAnsi="宋体" w:cs="仿宋"/>
          <w:color w:val="auto"/>
          <w:sz w:val="24"/>
          <w:highlight w:val="none"/>
          <w:u w:val="single"/>
        </w:rPr>
        <w:t>__________________________________________________________________</w:t>
      </w:r>
    </w:p>
    <w:p w14:paraId="7F9B13BA">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u w:val="single"/>
        </w:rPr>
        <w:t>___________________________________________________________________________</w:t>
      </w:r>
    </w:p>
    <w:p w14:paraId="10B9A820">
      <w:pPr>
        <w:shd w:val="clear"/>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质疑事项2</w:t>
      </w:r>
    </w:p>
    <w:p w14:paraId="0009B513">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w:t>
      </w:r>
    </w:p>
    <w:p w14:paraId="70D2B2D1">
      <w:pPr>
        <w:shd w:val="clear"/>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四、与质疑事项相关的质疑请求</w:t>
      </w:r>
    </w:p>
    <w:p w14:paraId="26FD1A93">
      <w:pPr>
        <w:shd w:val="clear"/>
        <w:snapToGrid w:val="0"/>
        <w:spacing w:line="360" w:lineRule="auto"/>
        <w:rPr>
          <w:rFonts w:ascii="宋体" w:hAnsi="宋体" w:cs="仿宋"/>
          <w:color w:val="auto"/>
          <w:sz w:val="24"/>
          <w:highlight w:val="none"/>
          <w:u w:val="words"/>
        </w:rPr>
      </w:pPr>
      <w:r>
        <w:rPr>
          <w:rFonts w:hint="eastAsia" w:ascii="宋体" w:hAnsi="宋体" w:cs="仿宋"/>
          <w:color w:val="auto"/>
          <w:sz w:val="24"/>
          <w:highlight w:val="none"/>
        </w:rPr>
        <w:t>请求：</w:t>
      </w:r>
      <w:r>
        <w:rPr>
          <w:rFonts w:hint="eastAsia" w:ascii="宋体" w:hAnsi="宋体" w:cs="仿宋"/>
          <w:bCs/>
          <w:color w:val="auto"/>
          <w:sz w:val="24"/>
          <w:highlight w:val="none"/>
          <w:u w:val="words"/>
        </w:rPr>
        <w:t>______________________________________________________________________</w:t>
      </w:r>
    </w:p>
    <w:p w14:paraId="20CF9D3F">
      <w:pPr>
        <w:shd w:val="clear"/>
        <w:spacing w:line="360" w:lineRule="auto"/>
        <w:rPr>
          <w:rFonts w:ascii="宋体" w:hAnsi="宋体" w:cs="仿宋"/>
          <w:color w:val="auto"/>
          <w:sz w:val="24"/>
          <w:highlight w:val="none"/>
        </w:rPr>
      </w:pPr>
    </w:p>
    <w:p w14:paraId="3C04E87D">
      <w:pPr>
        <w:shd w:val="clear"/>
        <w:spacing w:line="360" w:lineRule="auto"/>
        <w:rPr>
          <w:rFonts w:ascii="宋体" w:hAnsi="宋体" w:cs="仿宋"/>
          <w:color w:val="auto"/>
          <w:sz w:val="24"/>
          <w:highlight w:val="none"/>
        </w:rPr>
      </w:pPr>
    </w:p>
    <w:p w14:paraId="4DB7D5D4">
      <w:pPr>
        <w:shd w:val="clear"/>
        <w:spacing w:line="360" w:lineRule="auto"/>
        <w:rPr>
          <w:rFonts w:ascii="宋体" w:hAnsi="宋体" w:cs="仿宋"/>
          <w:color w:val="auto"/>
          <w:sz w:val="24"/>
          <w:highlight w:val="none"/>
        </w:rPr>
      </w:pPr>
    </w:p>
    <w:p w14:paraId="7120F9A0">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签字(签章)：                   公章：                      </w:t>
      </w:r>
    </w:p>
    <w:p w14:paraId="4D8BF40C">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日期：    </w:t>
      </w:r>
    </w:p>
    <w:p w14:paraId="6F79550C">
      <w:pPr>
        <w:shd w:val="clear"/>
        <w:spacing w:line="360" w:lineRule="auto"/>
        <w:rPr>
          <w:rFonts w:ascii="宋体" w:hAnsi="宋体" w:cs="仿宋"/>
          <w:b/>
          <w:color w:val="auto"/>
          <w:sz w:val="24"/>
          <w:highlight w:val="none"/>
        </w:rPr>
      </w:pPr>
    </w:p>
    <w:p w14:paraId="75FB5F2A">
      <w:pPr>
        <w:shd w:val="clear"/>
        <w:spacing w:line="360" w:lineRule="auto"/>
        <w:rPr>
          <w:rFonts w:ascii="宋体" w:hAnsi="宋体" w:cs="仿宋"/>
          <w:b/>
          <w:color w:val="auto"/>
          <w:sz w:val="24"/>
          <w:highlight w:val="none"/>
        </w:rPr>
      </w:pPr>
      <w:r>
        <w:rPr>
          <w:rFonts w:hint="eastAsia" w:ascii="宋体" w:hAnsi="宋体" w:cs="仿宋"/>
          <w:b/>
          <w:color w:val="auto"/>
          <w:sz w:val="24"/>
          <w:highlight w:val="none"/>
        </w:rPr>
        <w:t>质疑函制作说明：</w:t>
      </w:r>
    </w:p>
    <w:p w14:paraId="2AB85056">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1.供应商提出质疑时，应提交质疑函和必要的证明材料。</w:t>
      </w:r>
    </w:p>
    <w:p w14:paraId="21B8D60D">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2.质疑供应商若委托代理人进行质疑的，质疑函应按要求列明“授权代表”的有关内容，并在附件中提交由质疑</w:t>
      </w:r>
      <w:r>
        <w:rPr>
          <w:rFonts w:hint="eastAsia" w:ascii="宋体" w:hAnsi="宋体" w:cs="仿宋"/>
          <w:color w:val="auto"/>
          <w:kern w:val="0"/>
          <w:sz w:val="24"/>
          <w:highlight w:val="none"/>
        </w:rPr>
        <w:t>供应商签署的授权委托书。授权委托书应载明代理人的姓名或者名称、代理事项、具体权限、期限和相关事项。</w:t>
      </w:r>
    </w:p>
    <w:p w14:paraId="6BBD5541">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3.质疑供应商若对项目的某一分包进行质疑，质疑函中应列明具体分包号。</w:t>
      </w:r>
    </w:p>
    <w:p w14:paraId="07674529">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4.质疑函的质疑事项应具体、明确，并有必要的事实依据和法律依据。</w:t>
      </w:r>
    </w:p>
    <w:p w14:paraId="0448D09C">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5.质疑函的质疑请求应与质疑事项相关。</w:t>
      </w:r>
    </w:p>
    <w:p w14:paraId="4F682EA6">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117F157">
      <w:pPr>
        <w:widowControl/>
        <w:shd w:val="clear"/>
        <w:spacing w:line="360" w:lineRule="auto"/>
        <w:ind w:firstLine="600" w:firstLineChars="200"/>
        <w:jc w:val="left"/>
        <w:rPr>
          <w:rFonts w:ascii="宋体" w:hAnsi="宋体" w:cs="仿宋"/>
          <w:color w:val="auto"/>
          <w:sz w:val="30"/>
          <w:szCs w:val="30"/>
          <w:highlight w:val="none"/>
        </w:rPr>
      </w:pPr>
    </w:p>
    <w:p w14:paraId="49B532E5">
      <w:pPr>
        <w:shd w:val="clear"/>
        <w:spacing w:line="360" w:lineRule="auto"/>
        <w:jc w:val="center"/>
        <w:rPr>
          <w:rFonts w:ascii="宋体" w:hAnsi="宋体" w:cs="仿宋"/>
          <w:b/>
          <w:color w:val="auto"/>
          <w:spacing w:val="6"/>
          <w:sz w:val="32"/>
          <w:szCs w:val="32"/>
          <w:highlight w:val="none"/>
        </w:rPr>
      </w:pPr>
    </w:p>
    <w:p w14:paraId="6330AC33">
      <w:pPr>
        <w:shd w:val="clear"/>
        <w:spacing w:line="360" w:lineRule="auto"/>
        <w:jc w:val="center"/>
        <w:rPr>
          <w:rFonts w:ascii="宋体" w:hAnsi="宋体" w:cs="仿宋"/>
          <w:b/>
          <w:color w:val="auto"/>
          <w:spacing w:val="6"/>
          <w:sz w:val="32"/>
          <w:szCs w:val="32"/>
          <w:highlight w:val="none"/>
        </w:rPr>
      </w:pPr>
    </w:p>
    <w:p w14:paraId="2F73D25C">
      <w:pPr>
        <w:shd w:val="clear"/>
        <w:spacing w:line="360" w:lineRule="auto"/>
        <w:jc w:val="center"/>
        <w:rPr>
          <w:rFonts w:ascii="宋体" w:hAnsi="宋体" w:cs="仿宋"/>
          <w:b/>
          <w:color w:val="auto"/>
          <w:spacing w:val="6"/>
          <w:sz w:val="32"/>
          <w:szCs w:val="32"/>
          <w:highlight w:val="none"/>
        </w:rPr>
      </w:pPr>
    </w:p>
    <w:p w14:paraId="36A9AEBB">
      <w:pPr>
        <w:shd w:val="clear"/>
        <w:spacing w:line="360" w:lineRule="auto"/>
        <w:jc w:val="center"/>
        <w:rPr>
          <w:rFonts w:ascii="宋体" w:hAnsi="宋体" w:cs="仿宋"/>
          <w:b/>
          <w:color w:val="auto"/>
          <w:spacing w:val="6"/>
          <w:sz w:val="32"/>
          <w:szCs w:val="32"/>
          <w:highlight w:val="none"/>
        </w:rPr>
      </w:pPr>
    </w:p>
    <w:p w14:paraId="20CDD55A">
      <w:pPr>
        <w:shd w:val="clear"/>
        <w:spacing w:line="360" w:lineRule="auto"/>
        <w:jc w:val="center"/>
        <w:rPr>
          <w:rFonts w:ascii="宋体" w:hAnsi="宋体" w:cs="仿宋"/>
          <w:b/>
          <w:color w:val="auto"/>
          <w:spacing w:val="6"/>
          <w:sz w:val="32"/>
          <w:szCs w:val="32"/>
          <w:highlight w:val="none"/>
        </w:rPr>
      </w:pPr>
    </w:p>
    <w:p w14:paraId="33E43FD7">
      <w:pPr>
        <w:shd w:val="clear"/>
        <w:spacing w:line="360" w:lineRule="auto"/>
        <w:jc w:val="center"/>
        <w:rPr>
          <w:rFonts w:ascii="宋体" w:hAnsi="宋体" w:cs="仿宋"/>
          <w:b/>
          <w:color w:val="auto"/>
          <w:spacing w:val="6"/>
          <w:sz w:val="32"/>
          <w:szCs w:val="32"/>
          <w:highlight w:val="none"/>
        </w:rPr>
      </w:pPr>
    </w:p>
    <w:p w14:paraId="52CEB445">
      <w:pPr>
        <w:shd w:val="clear"/>
        <w:spacing w:line="360" w:lineRule="auto"/>
        <w:jc w:val="center"/>
        <w:rPr>
          <w:rFonts w:ascii="宋体" w:hAnsi="宋体" w:cs="仿宋"/>
          <w:b/>
          <w:color w:val="auto"/>
          <w:spacing w:val="6"/>
          <w:sz w:val="32"/>
          <w:szCs w:val="32"/>
          <w:highlight w:val="none"/>
        </w:rPr>
      </w:pPr>
    </w:p>
    <w:p w14:paraId="63834D86">
      <w:pPr>
        <w:shd w:val="clear"/>
        <w:spacing w:line="360" w:lineRule="auto"/>
        <w:jc w:val="center"/>
        <w:rPr>
          <w:rFonts w:ascii="宋体" w:hAnsi="宋体" w:cs="仿宋"/>
          <w:b/>
          <w:color w:val="auto"/>
          <w:spacing w:val="6"/>
          <w:sz w:val="32"/>
          <w:szCs w:val="32"/>
          <w:highlight w:val="none"/>
        </w:rPr>
      </w:pPr>
    </w:p>
    <w:p w14:paraId="02C81059">
      <w:pPr>
        <w:shd w:val="clear"/>
        <w:spacing w:line="360" w:lineRule="auto"/>
        <w:jc w:val="center"/>
        <w:rPr>
          <w:rFonts w:ascii="宋体" w:hAnsi="宋体" w:cs="仿宋"/>
          <w:b/>
          <w:color w:val="auto"/>
          <w:spacing w:val="6"/>
          <w:sz w:val="32"/>
          <w:szCs w:val="32"/>
          <w:highlight w:val="none"/>
        </w:rPr>
      </w:pPr>
    </w:p>
    <w:p w14:paraId="2E040124">
      <w:pPr>
        <w:shd w:val="clear"/>
        <w:spacing w:line="360" w:lineRule="auto"/>
        <w:jc w:val="center"/>
        <w:rPr>
          <w:rFonts w:ascii="宋体" w:hAnsi="宋体" w:cs="仿宋"/>
          <w:b/>
          <w:color w:val="auto"/>
          <w:spacing w:val="6"/>
          <w:sz w:val="32"/>
          <w:szCs w:val="32"/>
          <w:highlight w:val="none"/>
        </w:rPr>
      </w:pPr>
    </w:p>
    <w:p w14:paraId="74B87FB3">
      <w:pPr>
        <w:shd w:val="clear"/>
        <w:spacing w:line="360" w:lineRule="auto"/>
        <w:jc w:val="center"/>
        <w:rPr>
          <w:rFonts w:ascii="宋体" w:hAnsi="宋体" w:cs="仿宋"/>
          <w:b/>
          <w:color w:val="auto"/>
          <w:spacing w:val="6"/>
          <w:sz w:val="32"/>
          <w:szCs w:val="32"/>
          <w:highlight w:val="none"/>
        </w:rPr>
      </w:pPr>
    </w:p>
    <w:p w14:paraId="0E5AED7D">
      <w:pPr>
        <w:shd w:val="clear"/>
        <w:spacing w:line="360" w:lineRule="auto"/>
        <w:jc w:val="left"/>
        <w:rPr>
          <w:rFonts w:ascii="宋体" w:hAnsi="宋体" w:cs="仿宋"/>
          <w:b/>
          <w:color w:val="auto"/>
          <w:spacing w:val="6"/>
          <w:sz w:val="32"/>
          <w:szCs w:val="32"/>
          <w:highlight w:val="none"/>
        </w:rPr>
      </w:pPr>
    </w:p>
    <w:p w14:paraId="03960C94">
      <w:pPr>
        <w:shd w:val="clear"/>
        <w:spacing w:line="360" w:lineRule="auto"/>
        <w:jc w:val="left"/>
        <w:rPr>
          <w:rFonts w:ascii="宋体" w:hAnsi="宋体" w:cs="仿宋"/>
          <w:b/>
          <w:color w:val="auto"/>
          <w:spacing w:val="6"/>
          <w:sz w:val="32"/>
          <w:szCs w:val="32"/>
          <w:highlight w:val="none"/>
        </w:rPr>
      </w:pPr>
    </w:p>
    <w:p w14:paraId="1C4DD8D7">
      <w:pPr>
        <w:shd w:val="clear"/>
        <w:spacing w:line="360" w:lineRule="auto"/>
        <w:jc w:val="left"/>
        <w:rPr>
          <w:rFonts w:ascii="宋体" w:hAnsi="宋体" w:cs="仿宋"/>
          <w:b/>
          <w:color w:val="auto"/>
          <w:spacing w:val="6"/>
          <w:sz w:val="32"/>
          <w:szCs w:val="32"/>
          <w:highlight w:val="none"/>
        </w:rPr>
      </w:pPr>
    </w:p>
    <w:p w14:paraId="71648ECC">
      <w:pPr>
        <w:shd w:val="clear"/>
        <w:spacing w:line="360" w:lineRule="auto"/>
        <w:jc w:val="left"/>
        <w:rPr>
          <w:rFonts w:ascii="宋体" w:hAnsi="宋体" w:cs="仿宋"/>
          <w:b/>
          <w:color w:val="auto"/>
          <w:spacing w:val="6"/>
          <w:sz w:val="32"/>
          <w:szCs w:val="32"/>
          <w:highlight w:val="none"/>
        </w:rPr>
      </w:pPr>
      <w:r>
        <w:rPr>
          <w:rFonts w:hint="eastAsia" w:ascii="宋体" w:hAnsi="宋体" w:cs="仿宋"/>
          <w:b/>
          <w:color w:val="auto"/>
          <w:spacing w:val="6"/>
          <w:sz w:val="32"/>
          <w:szCs w:val="32"/>
          <w:highlight w:val="none"/>
        </w:rPr>
        <w:t>附件2：投诉书范本及制作说明</w:t>
      </w:r>
    </w:p>
    <w:p w14:paraId="191B6BBE">
      <w:pPr>
        <w:shd w:val="clear"/>
        <w:spacing w:line="360" w:lineRule="auto"/>
        <w:jc w:val="center"/>
        <w:rPr>
          <w:rFonts w:ascii="宋体" w:hAnsi="宋体" w:cs="仿宋"/>
          <w:b/>
          <w:color w:val="auto"/>
          <w:sz w:val="24"/>
          <w:highlight w:val="none"/>
        </w:rPr>
      </w:pPr>
    </w:p>
    <w:p w14:paraId="648F1A81">
      <w:pPr>
        <w:shd w:val="clear"/>
        <w:spacing w:line="360" w:lineRule="auto"/>
        <w:jc w:val="center"/>
        <w:rPr>
          <w:rFonts w:ascii="宋体" w:hAnsi="宋体" w:cs="仿宋"/>
          <w:b/>
          <w:color w:val="auto"/>
          <w:spacing w:val="6"/>
          <w:sz w:val="32"/>
          <w:szCs w:val="32"/>
          <w:highlight w:val="none"/>
        </w:rPr>
      </w:pPr>
      <w:r>
        <w:rPr>
          <w:rFonts w:hint="eastAsia" w:ascii="宋体" w:hAnsi="宋体" w:cs="仿宋"/>
          <w:b/>
          <w:color w:val="auto"/>
          <w:spacing w:val="6"/>
          <w:sz w:val="32"/>
          <w:szCs w:val="32"/>
          <w:highlight w:val="none"/>
        </w:rPr>
        <w:t>投诉书范本</w:t>
      </w:r>
    </w:p>
    <w:p w14:paraId="52972749">
      <w:pPr>
        <w:shd w:val="clear"/>
        <w:spacing w:line="360" w:lineRule="auto"/>
        <w:rPr>
          <w:rFonts w:ascii="宋体" w:hAnsi="宋体" w:cs="仿宋"/>
          <w:color w:val="auto"/>
          <w:sz w:val="24"/>
          <w:highlight w:val="none"/>
        </w:rPr>
      </w:pPr>
      <w:r>
        <w:rPr>
          <w:rFonts w:hint="eastAsia" w:ascii="宋体" w:hAnsi="宋体" w:cs="仿宋"/>
          <w:color w:val="auto"/>
          <w:sz w:val="24"/>
          <w:highlight w:val="none"/>
        </w:rPr>
        <w:t>一、投诉相关主体基本情况</w:t>
      </w:r>
    </w:p>
    <w:p w14:paraId="0D56349E">
      <w:pPr>
        <w:shd w:val="clear"/>
        <w:spacing w:line="360" w:lineRule="auto"/>
        <w:rPr>
          <w:rFonts w:ascii="宋体" w:hAnsi="宋体" w:cs="仿宋"/>
          <w:color w:val="auto"/>
          <w:sz w:val="24"/>
          <w:highlight w:val="none"/>
          <w:u w:val="dotted"/>
        </w:rPr>
      </w:pPr>
      <w:r>
        <w:rPr>
          <w:rFonts w:hint="eastAsia" w:ascii="宋体" w:hAnsi="宋体" w:cs="仿宋"/>
          <w:color w:val="auto"/>
          <w:sz w:val="24"/>
          <w:highlight w:val="none"/>
        </w:rPr>
        <w:t>投诉人：</w:t>
      </w:r>
      <w:r>
        <w:rPr>
          <w:rFonts w:hint="eastAsia" w:ascii="宋体" w:hAnsi="宋体" w:cs="仿宋"/>
          <w:color w:val="auto"/>
          <w:sz w:val="24"/>
          <w:highlight w:val="none"/>
          <w:u w:val="words"/>
        </w:rPr>
        <w:t>__________________________________</w:t>
      </w:r>
    </w:p>
    <w:p w14:paraId="7ACDF369">
      <w:pPr>
        <w:shd w:val="clear"/>
        <w:spacing w:line="360" w:lineRule="auto"/>
        <w:rPr>
          <w:rFonts w:ascii="宋体" w:hAnsi="宋体" w:cs="仿宋"/>
          <w:color w:val="auto"/>
          <w:sz w:val="24"/>
          <w:highlight w:val="none"/>
          <w:u w:val="single"/>
        </w:rPr>
      </w:pPr>
      <w:r>
        <w:rPr>
          <w:rFonts w:hint="eastAsia" w:ascii="宋体" w:hAnsi="宋体" w:cs="仿宋"/>
          <w:color w:val="auto"/>
          <w:sz w:val="24"/>
          <w:highlight w:val="none"/>
        </w:rPr>
        <w:t>地址：</w:t>
      </w:r>
      <w:r>
        <w:rPr>
          <w:rFonts w:hint="eastAsia" w:ascii="宋体" w:hAnsi="宋体" w:cs="仿宋"/>
          <w:color w:val="auto"/>
          <w:sz w:val="24"/>
          <w:highlight w:val="none"/>
          <w:u w:val="words"/>
        </w:rPr>
        <w:t>___________________________</w:t>
      </w:r>
      <w:r>
        <w:rPr>
          <w:rFonts w:hint="eastAsia" w:ascii="宋体" w:hAnsi="宋体" w:cs="仿宋"/>
          <w:color w:val="auto"/>
          <w:sz w:val="24"/>
          <w:highlight w:val="none"/>
        </w:rPr>
        <w:t>邮编：</w:t>
      </w:r>
      <w:r>
        <w:rPr>
          <w:rFonts w:hint="eastAsia" w:ascii="宋体" w:hAnsi="宋体" w:cs="仿宋"/>
          <w:color w:val="auto"/>
          <w:sz w:val="24"/>
          <w:highlight w:val="none"/>
          <w:u w:val="words"/>
        </w:rPr>
        <w:t>_________</w:t>
      </w:r>
    </w:p>
    <w:p w14:paraId="7C5C6F00">
      <w:pPr>
        <w:shd w:val="clear"/>
        <w:tabs>
          <w:tab w:val="left" w:pos="6510"/>
        </w:tabs>
        <w:spacing w:line="360" w:lineRule="auto"/>
        <w:jc w:val="left"/>
        <w:rPr>
          <w:rFonts w:ascii="宋体" w:hAnsi="宋体" w:cs="仿宋"/>
          <w:color w:val="auto"/>
          <w:sz w:val="24"/>
          <w:highlight w:val="none"/>
        </w:rPr>
      </w:pPr>
      <w:r>
        <w:rPr>
          <w:rFonts w:hint="eastAsia" w:ascii="宋体" w:hAnsi="宋体" w:cs="仿宋"/>
          <w:color w:val="auto"/>
          <w:sz w:val="24"/>
          <w:highlight w:val="none"/>
        </w:rPr>
        <w:t>法定代表人/主要负责人：</w:t>
      </w:r>
      <w:r>
        <w:rPr>
          <w:rFonts w:hint="eastAsia" w:ascii="宋体" w:hAnsi="宋体" w:cs="仿宋"/>
          <w:color w:val="auto"/>
          <w:sz w:val="24"/>
          <w:highlight w:val="none"/>
          <w:u w:val="words"/>
        </w:rPr>
        <w:t>_______________</w:t>
      </w:r>
      <w:r>
        <w:rPr>
          <w:rFonts w:hint="eastAsia" w:ascii="宋体" w:hAnsi="宋体" w:cs="仿宋"/>
          <w:color w:val="auto"/>
          <w:sz w:val="24"/>
          <w:highlight w:val="none"/>
        </w:rPr>
        <w:t>联系电话：</w:t>
      </w:r>
      <w:r>
        <w:rPr>
          <w:rFonts w:hint="eastAsia" w:ascii="宋体" w:hAnsi="宋体" w:cs="仿宋"/>
          <w:color w:val="auto"/>
          <w:sz w:val="24"/>
          <w:highlight w:val="none"/>
          <w:u w:val="words"/>
        </w:rPr>
        <w:t>___________</w:t>
      </w:r>
    </w:p>
    <w:p w14:paraId="2C7D9706">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授权代表：</w:t>
      </w:r>
      <w:r>
        <w:rPr>
          <w:rFonts w:hint="eastAsia" w:ascii="宋体" w:hAnsi="宋体" w:cs="仿宋"/>
          <w:color w:val="auto"/>
          <w:sz w:val="24"/>
          <w:highlight w:val="none"/>
          <w:u w:val="words"/>
        </w:rPr>
        <w:t>_______________</w:t>
      </w:r>
      <w:r>
        <w:rPr>
          <w:rFonts w:hint="eastAsia" w:ascii="宋体" w:hAnsi="宋体" w:cs="仿宋"/>
          <w:color w:val="auto"/>
          <w:sz w:val="24"/>
          <w:highlight w:val="none"/>
        </w:rPr>
        <w:t>联系电话:</w:t>
      </w:r>
      <w:r>
        <w:rPr>
          <w:rFonts w:hint="eastAsia" w:ascii="宋体" w:hAnsi="宋体" w:cs="仿宋"/>
          <w:color w:val="auto"/>
          <w:sz w:val="24"/>
          <w:highlight w:val="none"/>
          <w:u w:val="words"/>
        </w:rPr>
        <w:t>____________</w:t>
      </w:r>
    </w:p>
    <w:p w14:paraId="6A86BA28">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地址：</w:t>
      </w:r>
      <w:r>
        <w:rPr>
          <w:rFonts w:hint="eastAsia" w:ascii="宋体" w:hAnsi="宋体" w:cs="仿宋"/>
          <w:color w:val="auto"/>
          <w:sz w:val="24"/>
          <w:highlight w:val="none"/>
          <w:u w:val="words"/>
        </w:rPr>
        <w:t>___________________________</w:t>
      </w:r>
      <w:r>
        <w:rPr>
          <w:rFonts w:hint="eastAsia" w:ascii="宋体" w:hAnsi="宋体" w:cs="仿宋"/>
          <w:color w:val="auto"/>
          <w:sz w:val="24"/>
          <w:highlight w:val="none"/>
        </w:rPr>
        <w:t>邮编：</w:t>
      </w:r>
      <w:r>
        <w:rPr>
          <w:rFonts w:hint="eastAsia" w:ascii="宋体" w:hAnsi="宋体" w:cs="仿宋"/>
          <w:color w:val="auto"/>
          <w:sz w:val="24"/>
          <w:highlight w:val="none"/>
          <w:u w:val="words"/>
        </w:rPr>
        <w:t>_________</w:t>
      </w:r>
    </w:p>
    <w:p w14:paraId="3E585D63">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被投诉人1：</w:t>
      </w:r>
      <w:r>
        <w:rPr>
          <w:rFonts w:hint="eastAsia" w:ascii="宋体" w:hAnsi="宋体" w:cs="仿宋"/>
          <w:color w:val="auto"/>
          <w:sz w:val="24"/>
          <w:highlight w:val="none"/>
          <w:u w:val="words"/>
        </w:rPr>
        <w:t>_______________________________</w:t>
      </w:r>
    </w:p>
    <w:p w14:paraId="4D68AE0B">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地址：</w:t>
      </w:r>
      <w:r>
        <w:rPr>
          <w:rFonts w:hint="eastAsia" w:ascii="宋体" w:hAnsi="宋体" w:cs="仿宋"/>
          <w:color w:val="auto"/>
          <w:sz w:val="24"/>
          <w:highlight w:val="none"/>
          <w:u w:val="words"/>
        </w:rPr>
        <w:t>___________________________</w:t>
      </w:r>
      <w:r>
        <w:rPr>
          <w:rFonts w:hint="eastAsia" w:ascii="宋体" w:hAnsi="宋体" w:cs="仿宋"/>
          <w:color w:val="auto"/>
          <w:sz w:val="24"/>
          <w:highlight w:val="none"/>
        </w:rPr>
        <w:t>邮编：</w:t>
      </w:r>
      <w:r>
        <w:rPr>
          <w:rFonts w:hint="eastAsia" w:ascii="宋体" w:hAnsi="宋体" w:cs="仿宋"/>
          <w:color w:val="auto"/>
          <w:sz w:val="24"/>
          <w:highlight w:val="none"/>
          <w:u w:val="words"/>
        </w:rPr>
        <w:t>_________</w:t>
      </w:r>
    </w:p>
    <w:p w14:paraId="3C781AA1">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联系人：</w:t>
      </w:r>
      <w:r>
        <w:rPr>
          <w:rFonts w:hint="eastAsia" w:ascii="宋体" w:hAnsi="宋体" w:cs="仿宋"/>
          <w:color w:val="auto"/>
          <w:sz w:val="24"/>
          <w:highlight w:val="none"/>
          <w:u w:val="words"/>
        </w:rPr>
        <w:t>_______________</w:t>
      </w:r>
      <w:r>
        <w:rPr>
          <w:rFonts w:hint="eastAsia" w:ascii="宋体" w:hAnsi="宋体" w:cs="仿宋"/>
          <w:color w:val="auto"/>
          <w:sz w:val="24"/>
          <w:highlight w:val="none"/>
        </w:rPr>
        <w:t>联系电话：</w:t>
      </w:r>
      <w:r>
        <w:rPr>
          <w:rFonts w:hint="eastAsia" w:ascii="宋体" w:hAnsi="宋体" w:cs="仿宋"/>
          <w:color w:val="auto"/>
          <w:sz w:val="24"/>
          <w:highlight w:val="none"/>
          <w:u w:val="words"/>
        </w:rPr>
        <w:t>____________</w:t>
      </w:r>
    </w:p>
    <w:p w14:paraId="476877B4">
      <w:pPr>
        <w:shd w:val="clear"/>
        <w:spacing w:line="360" w:lineRule="auto"/>
        <w:rPr>
          <w:rFonts w:ascii="宋体" w:hAnsi="宋体" w:cs="仿宋"/>
          <w:color w:val="auto"/>
          <w:sz w:val="24"/>
          <w:highlight w:val="none"/>
        </w:rPr>
      </w:pPr>
      <w:r>
        <w:rPr>
          <w:rFonts w:hint="eastAsia" w:ascii="宋体" w:hAnsi="宋体" w:cs="仿宋"/>
          <w:color w:val="auto"/>
          <w:sz w:val="24"/>
          <w:highlight w:val="none"/>
        </w:rPr>
        <w:t>被投诉人2</w:t>
      </w:r>
    </w:p>
    <w:p w14:paraId="549DCE39">
      <w:pPr>
        <w:shd w:val="clear"/>
        <w:spacing w:line="360" w:lineRule="auto"/>
        <w:rPr>
          <w:rFonts w:ascii="宋体" w:hAnsi="宋体" w:cs="仿宋"/>
          <w:color w:val="auto"/>
          <w:sz w:val="24"/>
          <w:highlight w:val="none"/>
          <w:u w:val="dotted"/>
        </w:rPr>
      </w:pPr>
      <w:r>
        <w:rPr>
          <w:rFonts w:hint="eastAsia" w:ascii="宋体" w:hAnsi="宋体" w:cs="仿宋"/>
          <w:color w:val="auto"/>
          <w:sz w:val="24"/>
          <w:highlight w:val="none"/>
        </w:rPr>
        <w:t>……</w:t>
      </w:r>
    </w:p>
    <w:p w14:paraId="317B9B42">
      <w:pPr>
        <w:shd w:val="clear"/>
        <w:spacing w:line="360" w:lineRule="auto"/>
        <w:rPr>
          <w:rFonts w:ascii="宋体" w:hAnsi="宋体" w:cs="仿宋"/>
          <w:color w:val="auto"/>
          <w:sz w:val="24"/>
          <w:highlight w:val="none"/>
        </w:rPr>
      </w:pPr>
      <w:r>
        <w:rPr>
          <w:rFonts w:hint="eastAsia" w:ascii="宋体" w:hAnsi="宋体" w:cs="仿宋"/>
          <w:color w:val="auto"/>
          <w:sz w:val="24"/>
          <w:highlight w:val="none"/>
        </w:rPr>
        <w:t>相关供应商：</w:t>
      </w:r>
      <w:r>
        <w:rPr>
          <w:rFonts w:hint="eastAsia" w:ascii="宋体" w:hAnsi="宋体" w:cs="仿宋"/>
          <w:color w:val="auto"/>
          <w:sz w:val="24"/>
          <w:highlight w:val="none"/>
          <w:u w:val="words"/>
        </w:rPr>
        <w:t>__________________________________</w:t>
      </w:r>
    </w:p>
    <w:p w14:paraId="1250752C">
      <w:pPr>
        <w:shd w:val="clear"/>
        <w:spacing w:line="360" w:lineRule="auto"/>
        <w:rPr>
          <w:rFonts w:ascii="宋体" w:hAnsi="宋体" w:cs="仿宋"/>
          <w:color w:val="auto"/>
          <w:sz w:val="24"/>
          <w:highlight w:val="none"/>
          <w:u w:val="single"/>
        </w:rPr>
      </w:pPr>
      <w:r>
        <w:rPr>
          <w:rFonts w:hint="eastAsia" w:ascii="宋体" w:hAnsi="宋体" w:cs="仿宋"/>
          <w:color w:val="auto"/>
          <w:sz w:val="24"/>
          <w:highlight w:val="none"/>
        </w:rPr>
        <w:t>地址：</w:t>
      </w:r>
      <w:r>
        <w:rPr>
          <w:rFonts w:hint="eastAsia" w:ascii="宋体" w:hAnsi="宋体" w:cs="仿宋"/>
          <w:color w:val="auto"/>
          <w:sz w:val="24"/>
          <w:highlight w:val="none"/>
          <w:u w:val="words"/>
        </w:rPr>
        <w:t>___________________________</w:t>
      </w:r>
      <w:r>
        <w:rPr>
          <w:rFonts w:hint="eastAsia" w:ascii="宋体" w:hAnsi="宋体" w:cs="仿宋"/>
          <w:color w:val="auto"/>
          <w:sz w:val="24"/>
          <w:highlight w:val="none"/>
        </w:rPr>
        <w:t>邮编：</w:t>
      </w:r>
      <w:r>
        <w:rPr>
          <w:rFonts w:hint="eastAsia" w:ascii="宋体" w:hAnsi="宋体" w:cs="仿宋"/>
          <w:color w:val="auto"/>
          <w:sz w:val="24"/>
          <w:highlight w:val="none"/>
          <w:u w:val="words"/>
        </w:rPr>
        <w:t>_________</w:t>
      </w:r>
    </w:p>
    <w:p w14:paraId="73BBCA1C">
      <w:pPr>
        <w:shd w:val="clear"/>
        <w:spacing w:line="360" w:lineRule="auto"/>
        <w:rPr>
          <w:rFonts w:ascii="宋体" w:hAnsi="宋体" w:cs="仿宋"/>
          <w:color w:val="auto"/>
          <w:sz w:val="24"/>
          <w:highlight w:val="none"/>
          <w:u w:val="dotted"/>
        </w:rPr>
      </w:pPr>
      <w:r>
        <w:rPr>
          <w:rFonts w:hint="eastAsia" w:ascii="宋体" w:hAnsi="宋体" w:cs="仿宋"/>
          <w:color w:val="auto"/>
          <w:sz w:val="24"/>
          <w:highlight w:val="none"/>
        </w:rPr>
        <w:t>联系人：</w:t>
      </w:r>
      <w:r>
        <w:rPr>
          <w:rFonts w:hint="eastAsia" w:ascii="宋体" w:hAnsi="宋体" w:cs="仿宋"/>
          <w:color w:val="auto"/>
          <w:sz w:val="24"/>
          <w:highlight w:val="none"/>
          <w:u w:val="words"/>
        </w:rPr>
        <w:t>_______________</w:t>
      </w:r>
      <w:r>
        <w:rPr>
          <w:rFonts w:hint="eastAsia" w:ascii="宋体" w:hAnsi="宋体" w:cs="仿宋"/>
          <w:color w:val="auto"/>
          <w:sz w:val="24"/>
          <w:highlight w:val="none"/>
        </w:rPr>
        <w:t>联系电话：</w:t>
      </w:r>
      <w:r>
        <w:rPr>
          <w:rFonts w:hint="eastAsia" w:ascii="宋体" w:hAnsi="宋体" w:cs="仿宋"/>
          <w:color w:val="auto"/>
          <w:sz w:val="24"/>
          <w:highlight w:val="none"/>
          <w:u w:val="single"/>
        </w:rPr>
        <w:t>____________</w:t>
      </w:r>
    </w:p>
    <w:p w14:paraId="51642164">
      <w:pPr>
        <w:shd w:val="clear"/>
        <w:spacing w:line="360" w:lineRule="auto"/>
        <w:rPr>
          <w:rFonts w:ascii="宋体" w:hAnsi="宋体" w:cs="仿宋"/>
          <w:color w:val="auto"/>
          <w:sz w:val="24"/>
          <w:highlight w:val="none"/>
        </w:rPr>
      </w:pPr>
      <w:r>
        <w:rPr>
          <w:rFonts w:hint="eastAsia" w:ascii="宋体" w:hAnsi="宋体" w:cs="仿宋"/>
          <w:color w:val="auto"/>
          <w:sz w:val="24"/>
          <w:highlight w:val="none"/>
        </w:rPr>
        <w:t>二、投诉项目基本情况</w:t>
      </w:r>
    </w:p>
    <w:p w14:paraId="64EC0532">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采购项目名称：</w:t>
      </w:r>
      <w:r>
        <w:rPr>
          <w:rFonts w:hint="eastAsia" w:ascii="宋体" w:hAnsi="宋体" w:cs="仿宋"/>
          <w:color w:val="auto"/>
          <w:sz w:val="24"/>
          <w:highlight w:val="none"/>
          <w:u w:val="words"/>
        </w:rPr>
        <w:t>__________________________________</w:t>
      </w:r>
    </w:p>
    <w:p w14:paraId="7CF75AE4">
      <w:pPr>
        <w:shd w:val="clear"/>
        <w:spacing w:line="360" w:lineRule="auto"/>
        <w:rPr>
          <w:rFonts w:ascii="宋体" w:hAnsi="宋体" w:cs="仿宋"/>
          <w:color w:val="auto"/>
          <w:sz w:val="24"/>
          <w:highlight w:val="none"/>
          <w:u w:val="single"/>
        </w:rPr>
      </w:pPr>
      <w:r>
        <w:rPr>
          <w:rFonts w:hint="eastAsia" w:ascii="宋体" w:hAnsi="宋体" w:cs="仿宋"/>
          <w:color w:val="auto"/>
          <w:sz w:val="24"/>
          <w:highlight w:val="none"/>
        </w:rPr>
        <w:t>采购项目编号：</w:t>
      </w:r>
      <w:r>
        <w:rPr>
          <w:rFonts w:hint="eastAsia" w:ascii="宋体" w:hAnsi="宋体" w:cs="仿宋"/>
          <w:color w:val="auto"/>
          <w:sz w:val="24"/>
          <w:highlight w:val="none"/>
          <w:u w:val="words"/>
        </w:rPr>
        <w:t>_____________________</w:t>
      </w:r>
      <w:r>
        <w:rPr>
          <w:rFonts w:hint="eastAsia" w:ascii="宋体" w:hAnsi="宋体" w:cs="仿宋"/>
          <w:color w:val="auto"/>
          <w:sz w:val="24"/>
          <w:highlight w:val="none"/>
        </w:rPr>
        <w:t>包号：</w:t>
      </w:r>
      <w:r>
        <w:rPr>
          <w:rFonts w:hint="eastAsia" w:ascii="宋体" w:hAnsi="宋体" w:cs="仿宋"/>
          <w:color w:val="auto"/>
          <w:sz w:val="24"/>
          <w:highlight w:val="none"/>
          <w:u w:val="words"/>
        </w:rPr>
        <w:t>______________</w:t>
      </w:r>
    </w:p>
    <w:p w14:paraId="59E0AB16">
      <w:pPr>
        <w:shd w:val="clear"/>
        <w:spacing w:line="360" w:lineRule="auto"/>
        <w:rPr>
          <w:rFonts w:ascii="宋体" w:hAnsi="宋体" w:cs="仿宋"/>
          <w:color w:val="auto"/>
          <w:sz w:val="24"/>
          <w:highlight w:val="none"/>
        </w:rPr>
      </w:pPr>
      <w:r>
        <w:rPr>
          <w:rFonts w:hint="eastAsia" w:ascii="宋体" w:hAnsi="宋体" w:cs="仿宋"/>
          <w:color w:val="auto"/>
          <w:sz w:val="24"/>
          <w:highlight w:val="none"/>
        </w:rPr>
        <w:t>征集人名称：</w:t>
      </w:r>
      <w:r>
        <w:rPr>
          <w:rFonts w:hint="eastAsia" w:ascii="宋体" w:hAnsi="宋体" w:cs="仿宋"/>
          <w:color w:val="auto"/>
          <w:sz w:val="24"/>
          <w:highlight w:val="none"/>
          <w:u w:val="words"/>
        </w:rPr>
        <w:t>__________________________________</w:t>
      </w:r>
    </w:p>
    <w:p w14:paraId="5E3FEC4B">
      <w:pPr>
        <w:shd w:val="clear"/>
        <w:spacing w:line="360" w:lineRule="auto"/>
        <w:rPr>
          <w:rFonts w:ascii="宋体" w:hAnsi="宋体" w:cs="仿宋"/>
          <w:color w:val="auto"/>
          <w:sz w:val="24"/>
          <w:highlight w:val="none"/>
          <w:u w:val="single"/>
        </w:rPr>
      </w:pPr>
      <w:r>
        <w:rPr>
          <w:rFonts w:hint="eastAsia" w:ascii="宋体" w:hAnsi="宋体" w:cs="仿宋"/>
          <w:color w:val="auto"/>
          <w:sz w:val="24"/>
          <w:highlight w:val="none"/>
        </w:rPr>
        <w:t>代理机构名称：</w:t>
      </w:r>
      <w:r>
        <w:rPr>
          <w:rFonts w:hint="eastAsia" w:ascii="宋体" w:hAnsi="宋体" w:cs="仿宋"/>
          <w:color w:val="auto"/>
          <w:sz w:val="24"/>
          <w:highlight w:val="none"/>
          <w:u w:val="words"/>
        </w:rPr>
        <w:t>__________________________________</w:t>
      </w:r>
    </w:p>
    <w:p w14:paraId="60EA2EDE">
      <w:pPr>
        <w:shd w:val="clear"/>
        <w:spacing w:line="360" w:lineRule="auto"/>
        <w:rPr>
          <w:rFonts w:ascii="宋体" w:hAnsi="宋体" w:cs="仿宋"/>
          <w:color w:val="auto"/>
          <w:sz w:val="24"/>
          <w:highlight w:val="none"/>
          <w:u w:val="single"/>
        </w:rPr>
      </w:pPr>
      <w:r>
        <w:rPr>
          <w:rFonts w:hint="eastAsia" w:ascii="宋体" w:hAnsi="宋体" w:cs="仿宋"/>
          <w:color w:val="auto"/>
          <w:sz w:val="24"/>
          <w:highlight w:val="none"/>
        </w:rPr>
        <w:t>征集文件公告:是/否    公告期限：</w:t>
      </w:r>
      <w:r>
        <w:rPr>
          <w:rFonts w:hint="eastAsia" w:ascii="宋体" w:hAnsi="宋体" w:cs="仿宋"/>
          <w:color w:val="auto"/>
          <w:sz w:val="24"/>
          <w:highlight w:val="none"/>
          <w:u w:val="words"/>
        </w:rPr>
        <w:t>_________________</w:t>
      </w:r>
    </w:p>
    <w:p w14:paraId="05721C38">
      <w:pPr>
        <w:shd w:val="clear"/>
        <w:spacing w:line="360" w:lineRule="auto"/>
        <w:rPr>
          <w:rFonts w:ascii="宋体" w:hAnsi="宋体" w:cs="仿宋"/>
          <w:color w:val="auto"/>
          <w:sz w:val="24"/>
          <w:highlight w:val="none"/>
          <w:u w:val="single"/>
        </w:rPr>
      </w:pPr>
      <w:r>
        <w:rPr>
          <w:rFonts w:hint="eastAsia" w:ascii="宋体" w:hAnsi="宋体" w:cs="仿宋"/>
          <w:color w:val="auto"/>
          <w:sz w:val="24"/>
          <w:highlight w:val="none"/>
        </w:rPr>
        <w:t>采购结果公告:是/否    公告期限：</w:t>
      </w:r>
      <w:r>
        <w:rPr>
          <w:rFonts w:hint="eastAsia" w:ascii="宋体" w:hAnsi="宋体" w:cs="仿宋"/>
          <w:color w:val="auto"/>
          <w:sz w:val="24"/>
          <w:highlight w:val="none"/>
          <w:u w:val="words"/>
        </w:rPr>
        <w:t>_________________</w:t>
      </w:r>
    </w:p>
    <w:p w14:paraId="1D944F18">
      <w:pPr>
        <w:shd w:val="clear"/>
        <w:spacing w:line="360" w:lineRule="auto"/>
        <w:rPr>
          <w:rFonts w:ascii="宋体" w:hAnsi="宋体" w:cs="仿宋"/>
          <w:color w:val="auto"/>
          <w:sz w:val="24"/>
          <w:highlight w:val="none"/>
        </w:rPr>
      </w:pPr>
      <w:r>
        <w:rPr>
          <w:rFonts w:hint="eastAsia" w:ascii="宋体" w:hAnsi="宋体" w:cs="仿宋"/>
          <w:color w:val="auto"/>
          <w:sz w:val="24"/>
          <w:highlight w:val="none"/>
        </w:rPr>
        <w:t>三、质疑基本情况</w:t>
      </w:r>
    </w:p>
    <w:p w14:paraId="1B50D07D">
      <w:pPr>
        <w:shd w:val="clear"/>
        <w:spacing w:line="360" w:lineRule="auto"/>
        <w:ind w:firstLine="480" w:firstLineChars="200"/>
        <w:rPr>
          <w:rFonts w:ascii="宋体" w:hAnsi="宋体" w:cs="仿宋"/>
          <w:color w:val="auto"/>
          <w:sz w:val="24"/>
          <w:highlight w:val="none"/>
          <w:u w:val="words"/>
        </w:rPr>
      </w:pPr>
      <w:r>
        <w:rPr>
          <w:rFonts w:hint="eastAsia" w:ascii="宋体" w:hAnsi="宋体" w:cs="仿宋"/>
          <w:color w:val="auto"/>
          <w:sz w:val="24"/>
          <w:highlight w:val="none"/>
        </w:rPr>
        <w:t>投诉人于</w:t>
      </w:r>
      <w:r>
        <w:rPr>
          <w:rFonts w:hint="eastAsia" w:ascii="宋体" w:hAnsi="宋体" w:cs="仿宋"/>
          <w:color w:val="auto"/>
          <w:sz w:val="24"/>
          <w:highlight w:val="none"/>
          <w:u w:val="words"/>
        </w:rPr>
        <w:t>_____</w:t>
      </w:r>
      <w:r>
        <w:rPr>
          <w:rFonts w:hint="eastAsia" w:ascii="宋体" w:hAnsi="宋体" w:cs="仿宋"/>
          <w:color w:val="auto"/>
          <w:sz w:val="24"/>
          <w:highlight w:val="none"/>
        </w:rPr>
        <w:t>年</w:t>
      </w:r>
      <w:r>
        <w:rPr>
          <w:rFonts w:hint="eastAsia" w:ascii="宋体" w:hAnsi="宋体" w:cs="仿宋"/>
          <w:color w:val="auto"/>
          <w:sz w:val="24"/>
          <w:highlight w:val="none"/>
          <w:u w:val="words"/>
        </w:rPr>
        <w:t>__</w:t>
      </w:r>
      <w:r>
        <w:rPr>
          <w:rFonts w:hint="eastAsia" w:ascii="宋体" w:hAnsi="宋体" w:cs="仿宋"/>
          <w:color w:val="auto"/>
          <w:sz w:val="24"/>
          <w:highlight w:val="none"/>
        </w:rPr>
        <w:t>月</w:t>
      </w:r>
      <w:r>
        <w:rPr>
          <w:rFonts w:hint="eastAsia" w:ascii="宋体" w:hAnsi="宋体" w:cs="仿宋"/>
          <w:color w:val="auto"/>
          <w:sz w:val="24"/>
          <w:highlight w:val="none"/>
          <w:u w:val="words"/>
        </w:rPr>
        <w:t>__</w:t>
      </w:r>
      <w:r>
        <w:rPr>
          <w:rFonts w:hint="eastAsia" w:ascii="宋体" w:hAnsi="宋体" w:cs="仿宋"/>
          <w:color w:val="auto"/>
          <w:sz w:val="24"/>
          <w:highlight w:val="none"/>
        </w:rPr>
        <w:t>日,向</w:t>
      </w:r>
      <w:r>
        <w:rPr>
          <w:rFonts w:hint="eastAsia" w:ascii="宋体" w:hAnsi="宋体" w:cs="仿宋"/>
          <w:color w:val="auto"/>
          <w:sz w:val="24"/>
          <w:highlight w:val="none"/>
          <w:u w:val="words"/>
        </w:rPr>
        <w:t>__________________</w:t>
      </w:r>
      <w:r>
        <w:rPr>
          <w:rFonts w:hint="eastAsia" w:ascii="宋体" w:hAnsi="宋体" w:cs="仿宋"/>
          <w:color w:val="auto"/>
          <w:sz w:val="24"/>
          <w:highlight w:val="none"/>
        </w:rPr>
        <w:t>提出质疑，质疑事项为：</w:t>
      </w:r>
      <w:r>
        <w:rPr>
          <w:rFonts w:hint="eastAsia" w:ascii="宋体" w:hAnsi="宋体" w:cs="仿宋"/>
          <w:color w:val="auto"/>
          <w:sz w:val="24"/>
          <w:highlight w:val="none"/>
          <w:u w:val="words"/>
        </w:rPr>
        <w:t>__________________________________________________________________________</w:t>
      </w:r>
    </w:p>
    <w:p w14:paraId="7A683950">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征集人/代理机构于</w:t>
      </w:r>
      <w:r>
        <w:rPr>
          <w:rFonts w:hint="eastAsia" w:ascii="宋体" w:hAnsi="宋体" w:cs="仿宋"/>
          <w:color w:val="auto"/>
          <w:sz w:val="24"/>
          <w:highlight w:val="none"/>
          <w:u w:val="words"/>
        </w:rPr>
        <w:t>____</w:t>
      </w:r>
      <w:r>
        <w:rPr>
          <w:rFonts w:hint="eastAsia" w:ascii="宋体" w:hAnsi="宋体" w:cs="仿宋"/>
          <w:color w:val="auto"/>
          <w:sz w:val="24"/>
          <w:highlight w:val="none"/>
        </w:rPr>
        <w:t>年</w:t>
      </w:r>
      <w:r>
        <w:rPr>
          <w:rFonts w:hint="eastAsia" w:ascii="宋体" w:hAnsi="宋体" w:cs="仿宋"/>
          <w:color w:val="auto"/>
          <w:sz w:val="24"/>
          <w:highlight w:val="none"/>
          <w:u w:val="words"/>
        </w:rPr>
        <w:t>__</w:t>
      </w:r>
      <w:r>
        <w:rPr>
          <w:rFonts w:hint="eastAsia" w:ascii="宋体" w:hAnsi="宋体" w:cs="仿宋"/>
          <w:color w:val="auto"/>
          <w:sz w:val="24"/>
          <w:highlight w:val="none"/>
        </w:rPr>
        <w:t>月</w:t>
      </w:r>
      <w:r>
        <w:rPr>
          <w:rFonts w:hint="eastAsia" w:ascii="宋体" w:hAnsi="宋体" w:cs="仿宋"/>
          <w:color w:val="auto"/>
          <w:sz w:val="24"/>
          <w:highlight w:val="none"/>
          <w:u w:val="words"/>
        </w:rPr>
        <w:t>__</w:t>
      </w:r>
      <w:r>
        <w:rPr>
          <w:rFonts w:hint="eastAsia" w:ascii="宋体" w:hAnsi="宋体" w:cs="仿宋"/>
          <w:color w:val="auto"/>
          <w:sz w:val="24"/>
          <w:highlight w:val="none"/>
        </w:rPr>
        <w:t>日,就质疑事项作出了答复/没有在法定期限内作出答复。</w:t>
      </w:r>
    </w:p>
    <w:p w14:paraId="45D24AF9">
      <w:pPr>
        <w:shd w:val="clear"/>
        <w:spacing w:line="360" w:lineRule="auto"/>
        <w:rPr>
          <w:rFonts w:ascii="宋体" w:hAnsi="宋体" w:cs="仿宋"/>
          <w:color w:val="auto"/>
          <w:sz w:val="24"/>
          <w:highlight w:val="none"/>
        </w:rPr>
      </w:pPr>
      <w:r>
        <w:rPr>
          <w:rFonts w:hint="eastAsia" w:ascii="宋体" w:hAnsi="宋体" w:cs="仿宋"/>
          <w:color w:val="auto"/>
          <w:sz w:val="24"/>
          <w:highlight w:val="none"/>
        </w:rPr>
        <w:t>四、投诉事项具体内容</w:t>
      </w:r>
    </w:p>
    <w:p w14:paraId="63B15F75">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投诉事项 1：</w:t>
      </w:r>
      <w:r>
        <w:rPr>
          <w:rFonts w:hint="eastAsia" w:ascii="宋体" w:hAnsi="宋体" w:cs="仿宋"/>
          <w:color w:val="auto"/>
          <w:sz w:val="24"/>
          <w:highlight w:val="none"/>
          <w:u w:val="words"/>
        </w:rPr>
        <w:t>________________________________________________________________</w:t>
      </w:r>
    </w:p>
    <w:p w14:paraId="2FC3CEAD">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事实依据：</w:t>
      </w:r>
      <w:r>
        <w:rPr>
          <w:rFonts w:hint="eastAsia" w:ascii="宋体" w:hAnsi="宋体" w:cs="仿宋"/>
          <w:color w:val="auto"/>
          <w:sz w:val="24"/>
          <w:highlight w:val="none"/>
          <w:u w:val="words"/>
        </w:rPr>
        <w:t>__________________________________________________________________</w:t>
      </w:r>
    </w:p>
    <w:p w14:paraId="23F443B6">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u w:val="words"/>
        </w:rPr>
        <w:t>___________________________________________________________________________</w:t>
      </w:r>
    </w:p>
    <w:p w14:paraId="25416764">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法律依据：</w:t>
      </w:r>
      <w:r>
        <w:rPr>
          <w:rFonts w:hint="eastAsia" w:ascii="宋体" w:hAnsi="宋体" w:cs="仿宋"/>
          <w:color w:val="auto"/>
          <w:sz w:val="24"/>
          <w:highlight w:val="none"/>
          <w:u w:val="words"/>
        </w:rPr>
        <w:t>__________________________________________________________________</w:t>
      </w:r>
    </w:p>
    <w:p w14:paraId="457D2CA0">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u w:val="words"/>
        </w:rPr>
        <w:t>___________________________________________________________________________</w:t>
      </w:r>
    </w:p>
    <w:p w14:paraId="15587090">
      <w:pPr>
        <w:shd w:val="clear"/>
        <w:spacing w:line="360" w:lineRule="auto"/>
        <w:rPr>
          <w:rFonts w:ascii="宋体" w:hAnsi="宋体" w:cs="仿宋"/>
          <w:color w:val="auto"/>
          <w:sz w:val="24"/>
          <w:highlight w:val="none"/>
        </w:rPr>
      </w:pPr>
      <w:r>
        <w:rPr>
          <w:rFonts w:hint="eastAsia" w:ascii="宋体" w:hAnsi="宋体" w:cs="仿宋"/>
          <w:color w:val="auto"/>
          <w:sz w:val="24"/>
          <w:highlight w:val="none"/>
        </w:rPr>
        <w:t>投诉事项2</w:t>
      </w:r>
    </w:p>
    <w:p w14:paraId="1D8A5873">
      <w:pPr>
        <w:shd w:val="clear"/>
        <w:spacing w:line="360" w:lineRule="auto"/>
        <w:rPr>
          <w:rFonts w:ascii="宋体" w:hAnsi="宋体" w:cs="仿宋"/>
          <w:color w:val="auto"/>
          <w:sz w:val="24"/>
          <w:highlight w:val="none"/>
          <w:u w:val="dotted"/>
        </w:rPr>
      </w:pPr>
      <w:r>
        <w:rPr>
          <w:rFonts w:hint="eastAsia" w:ascii="宋体" w:hAnsi="宋体" w:cs="仿宋"/>
          <w:color w:val="auto"/>
          <w:sz w:val="24"/>
          <w:highlight w:val="none"/>
        </w:rPr>
        <w:t>……</w:t>
      </w:r>
    </w:p>
    <w:p w14:paraId="51403F52">
      <w:pPr>
        <w:shd w:val="clear"/>
        <w:spacing w:line="360" w:lineRule="auto"/>
        <w:rPr>
          <w:rFonts w:ascii="宋体" w:hAnsi="宋体" w:cs="仿宋"/>
          <w:color w:val="auto"/>
          <w:sz w:val="24"/>
          <w:highlight w:val="none"/>
        </w:rPr>
      </w:pPr>
      <w:r>
        <w:rPr>
          <w:rFonts w:hint="eastAsia" w:ascii="宋体" w:hAnsi="宋体" w:cs="仿宋"/>
          <w:color w:val="auto"/>
          <w:sz w:val="24"/>
          <w:highlight w:val="none"/>
        </w:rPr>
        <w:t>五、与投诉事项相关的投诉请求</w:t>
      </w:r>
    </w:p>
    <w:p w14:paraId="0E8931C0">
      <w:pPr>
        <w:shd w:val="clear"/>
        <w:spacing w:line="360" w:lineRule="auto"/>
        <w:rPr>
          <w:rFonts w:ascii="宋体" w:hAnsi="宋体" w:cs="仿宋"/>
          <w:color w:val="auto"/>
          <w:sz w:val="24"/>
          <w:highlight w:val="none"/>
        </w:rPr>
      </w:pPr>
      <w:r>
        <w:rPr>
          <w:rFonts w:hint="eastAsia" w:ascii="宋体" w:hAnsi="宋体" w:cs="仿宋"/>
          <w:color w:val="auto"/>
          <w:sz w:val="24"/>
          <w:highlight w:val="none"/>
        </w:rPr>
        <w:t>请求：</w:t>
      </w:r>
      <w:r>
        <w:rPr>
          <w:rFonts w:hint="eastAsia" w:ascii="宋体" w:hAnsi="宋体" w:cs="仿宋"/>
          <w:color w:val="auto"/>
          <w:sz w:val="24"/>
          <w:highlight w:val="none"/>
          <w:u w:val="words"/>
        </w:rPr>
        <w:t>______________________________________________________________________</w:t>
      </w:r>
    </w:p>
    <w:p w14:paraId="07DF5CCB">
      <w:pPr>
        <w:shd w:val="clear"/>
        <w:spacing w:line="360" w:lineRule="auto"/>
        <w:rPr>
          <w:rFonts w:ascii="宋体" w:hAnsi="宋体" w:cs="仿宋"/>
          <w:color w:val="auto"/>
          <w:sz w:val="24"/>
          <w:highlight w:val="none"/>
          <w:u w:val="single"/>
        </w:rPr>
      </w:pPr>
    </w:p>
    <w:p w14:paraId="624897C7">
      <w:pPr>
        <w:shd w:val="clear"/>
        <w:spacing w:line="360" w:lineRule="auto"/>
        <w:rPr>
          <w:rFonts w:ascii="宋体" w:hAnsi="宋体" w:cs="仿宋"/>
          <w:color w:val="auto"/>
          <w:sz w:val="24"/>
          <w:highlight w:val="none"/>
        </w:rPr>
      </w:pPr>
    </w:p>
    <w:p w14:paraId="01E56033">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签字(签章)：                   公章：                      </w:t>
      </w:r>
    </w:p>
    <w:p w14:paraId="7E80E022">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日期：    </w:t>
      </w:r>
    </w:p>
    <w:p w14:paraId="39B270BE">
      <w:pPr>
        <w:shd w:val="clear"/>
        <w:spacing w:line="360" w:lineRule="auto"/>
        <w:rPr>
          <w:rFonts w:ascii="宋体" w:hAnsi="宋体" w:cs="仿宋"/>
          <w:b/>
          <w:color w:val="auto"/>
          <w:sz w:val="24"/>
          <w:highlight w:val="none"/>
        </w:rPr>
      </w:pPr>
    </w:p>
    <w:p w14:paraId="0ED76940">
      <w:pPr>
        <w:shd w:val="clear"/>
        <w:spacing w:line="360" w:lineRule="auto"/>
        <w:rPr>
          <w:rFonts w:ascii="宋体" w:hAnsi="宋体" w:cs="仿宋"/>
          <w:b/>
          <w:color w:val="auto"/>
          <w:sz w:val="24"/>
          <w:highlight w:val="none"/>
        </w:rPr>
      </w:pPr>
    </w:p>
    <w:p w14:paraId="5F77C5B2">
      <w:pPr>
        <w:shd w:val="clear"/>
        <w:spacing w:line="360" w:lineRule="auto"/>
        <w:rPr>
          <w:rFonts w:ascii="宋体" w:hAnsi="宋体" w:cs="仿宋"/>
          <w:b/>
          <w:color w:val="auto"/>
          <w:sz w:val="24"/>
          <w:highlight w:val="none"/>
        </w:rPr>
      </w:pPr>
      <w:r>
        <w:rPr>
          <w:rFonts w:hint="eastAsia" w:ascii="宋体" w:hAnsi="宋体" w:cs="仿宋"/>
          <w:b/>
          <w:color w:val="auto"/>
          <w:sz w:val="24"/>
          <w:highlight w:val="none"/>
        </w:rPr>
        <w:t>投诉书制作说明：</w:t>
      </w:r>
    </w:p>
    <w:p w14:paraId="4B799130">
      <w:pPr>
        <w:widowControl/>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1.投诉人提起投诉时，应当提交投诉书和必要的证明材料，并按照被投诉人和与投诉事项有关的供应商数量提供投诉书副本。</w:t>
      </w:r>
    </w:p>
    <w:p w14:paraId="113DA492">
      <w:pPr>
        <w:widowControl/>
        <w:shd w:val="clear"/>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sz w:val="24"/>
          <w:highlight w:val="none"/>
        </w:rPr>
        <w:t>2.投诉人若委托代理人进行投诉的，投诉书应按照要求列明“授权代表”的有关内容，并在附件中提交由</w:t>
      </w:r>
      <w:r>
        <w:rPr>
          <w:rFonts w:hint="eastAsia" w:ascii="宋体" w:hAnsi="宋体" w:cs="仿宋"/>
          <w:color w:val="auto"/>
          <w:kern w:val="0"/>
          <w:sz w:val="24"/>
          <w:highlight w:val="none"/>
        </w:rPr>
        <w:t>投诉人签署的授权委托书。授权委托书应当载明代理人的姓名或者名称、代理事项、具体权限、期限和相关事项。</w:t>
      </w:r>
    </w:p>
    <w:p w14:paraId="047D573D">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3.投诉人若对项目的某一分包进行投诉，投诉书应列明具体分包号。</w:t>
      </w:r>
    </w:p>
    <w:p w14:paraId="0EB7AB5A">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4.投诉书应简要列明质疑事项，质疑函、质疑答复等作为附件材料提供。</w:t>
      </w:r>
    </w:p>
    <w:p w14:paraId="1C74DDAF">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5.投诉书的投诉事项应具体、明确，并有必要的事实依据和法律依据。</w:t>
      </w:r>
    </w:p>
    <w:p w14:paraId="49A8D204">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6.投诉书的投诉请求应与投诉事项相关。</w:t>
      </w:r>
    </w:p>
    <w:p w14:paraId="0C735EAB">
      <w:pPr>
        <w:widowControl/>
        <w:shd w:val="clear"/>
        <w:spacing w:line="360" w:lineRule="auto"/>
        <w:ind w:firstLine="480" w:firstLineChars="200"/>
        <w:jc w:val="left"/>
        <w:rPr>
          <w:rFonts w:ascii="宋体" w:hAnsi="宋体"/>
          <w:color w:val="auto"/>
          <w:highlight w:val="none"/>
        </w:rPr>
      </w:pPr>
      <w:r>
        <w:rPr>
          <w:rFonts w:hint="eastAsia" w:ascii="宋体" w:hAnsi="宋体" w:cs="仿宋"/>
          <w:color w:val="auto"/>
          <w:sz w:val="24"/>
          <w:highlight w:val="none"/>
        </w:rPr>
        <w:t>7.投诉人为自然人的，投诉书应当由本人签字；投诉人为法人或者其他组织的，投诉书应当由法定代表人、主要负责人，或者其授权代表签字或者盖章，并加盖公章。</w:t>
      </w:r>
    </w:p>
    <w:bookmarkEnd w:id="486"/>
    <w:sectPr>
      <w:footerReference r:id="rId18" w:type="first"/>
      <w:footerReference r:id="rId17" w:type="default"/>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Futura Hv">
    <w:altName w:val="Segoe Print"/>
    <w:panose1 w:val="00000000000000000000"/>
    <w:charset w:val="00"/>
    <w:family w:val="swiss"/>
    <w:pitch w:val="default"/>
    <w:sig w:usb0="00000000" w:usb1="00000000" w:usb2="00000000" w:usb3="00000000" w:csb0="000001FB" w:csb1="00000000"/>
  </w:font>
  <w:font w:name="Futura Bk">
    <w:altName w:val="Segoe Print"/>
    <w:panose1 w:val="00000000000000000000"/>
    <w:charset w:val="00"/>
    <w:family w:val="swiss"/>
    <w:pitch w:val="default"/>
    <w:sig w:usb0="00000000" w:usb1="00000000" w:usb2="00000000" w:usb3="00000000" w:csb0="0000001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8E561">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09D37">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C77EC">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82" w:name="_Toc36110187"/>
    <w:bookmarkStart w:id="483" w:name="_Toc164085800"/>
    <w:bookmarkStart w:id="484" w:name="_Toc131845147"/>
    <w:bookmarkStart w:id="485" w:name="_Toc91899912"/>
    <w:r>
      <w:rPr>
        <w:rFonts w:hint="eastAsia" w:ascii="仿宋_GB2312" w:eastAsia="仿宋_GB2312"/>
        <w:kern w:val="0"/>
        <w:szCs w:val="21"/>
      </w:rPr>
      <w:t xml:space="preserve"> 页</w:t>
    </w:r>
    <w:bookmarkEnd w:id="482"/>
    <w:bookmarkEnd w:id="483"/>
    <w:bookmarkEnd w:id="484"/>
    <w:bookmarkEnd w:id="48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C3DFE">
    <w:pPr>
      <w:pStyle w:val="37"/>
      <w:framePr w:wrap="around" w:vAnchor="text" w:hAnchor="margin" w:xAlign="right" w:y="1"/>
      <w:rPr>
        <w:rStyle w:val="64"/>
      </w:rPr>
    </w:pPr>
    <w:r>
      <w:fldChar w:fldCharType="begin"/>
    </w:r>
    <w:r>
      <w:rPr>
        <w:rStyle w:val="64"/>
      </w:rPr>
      <w:instrText xml:space="preserve">PAGE  </w:instrText>
    </w:r>
    <w:r>
      <w:fldChar w:fldCharType="end"/>
    </w:r>
  </w:p>
  <w:p w14:paraId="7850D085">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4F72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C2637">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32FE52A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B034F">
    <w:pPr>
      <w:pStyle w:val="37"/>
      <w:framePr w:wrap="around" w:vAnchor="text" w:hAnchor="margin" w:xAlign="right" w:y="1"/>
      <w:rPr>
        <w:rStyle w:val="64"/>
      </w:rPr>
    </w:pPr>
    <w:r>
      <w:fldChar w:fldCharType="begin"/>
    </w:r>
    <w:r>
      <w:rPr>
        <w:rStyle w:val="64"/>
      </w:rPr>
      <w:instrText xml:space="preserve">PAGE  </w:instrText>
    </w:r>
    <w:r>
      <w:fldChar w:fldCharType="end"/>
    </w:r>
  </w:p>
  <w:p w14:paraId="3150C290">
    <w:pPr>
      <w:pStyle w:val="37"/>
      <w:ind w:right="360"/>
    </w:pPr>
  </w:p>
  <w:p w14:paraId="78AB66B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658BC">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74B6C18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7ACA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1D2C0E1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39D4">
    <w:pPr>
      <w:pStyle w:val="37"/>
      <w:framePr w:wrap="around" w:vAnchor="text" w:hAnchor="margin" w:xAlign="right" w:y="1"/>
      <w:rPr>
        <w:rStyle w:val="64"/>
      </w:rPr>
    </w:pPr>
    <w:r>
      <w:fldChar w:fldCharType="begin"/>
    </w:r>
    <w:r>
      <w:rPr>
        <w:rStyle w:val="64"/>
      </w:rPr>
      <w:instrText xml:space="preserve">PAGE  </w:instrText>
    </w:r>
    <w:r>
      <w:fldChar w:fldCharType="end"/>
    </w:r>
  </w:p>
  <w:p w14:paraId="1FEDC7AE">
    <w:pPr>
      <w:pStyle w:val="37"/>
      <w:ind w:right="360"/>
    </w:pPr>
  </w:p>
  <w:p w14:paraId="0860C72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89947">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0D1844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A51F8">
    <w:pPr>
      <w:pStyle w:val="38"/>
      <w:jc w:val="right"/>
      <w:rPr>
        <w:rFonts w:ascii="仿宋_GB2312" w:eastAsia="仿宋_GB2312"/>
        <w:b/>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C270">
    <w:pPr>
      <w:pStyle w:val="38"/>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B44BA">
    <w:pPr>
      <w:pStyle w:val="38"/>
    </w:pPr>
  </w:p>
  <w:p w14:paraId="6BA970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1FB9F">
    <w:pPr>
      <w:pStyle w:val="38"/>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0EA26">
    <w:pPr>
      <w:pStyle w:val="38"/>
    </w:pPr>
  </w:p>
  <w:p w14:paraId="7CCE94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807AE"/>
    <w:multiLevelType w:val="singleLevel"/>
    <w:tmpl w:val="8B7807AE"/>
    <w:lvl w:ilvl="0" w:tentative="0">
      <w:start w:val="1"/>
      <w:numFmt w:val="decimal"/>
      <w:lvlText w:val="%1."/>
      <w:lvlJc w:val="left"/>
      <w:pPr>
        <w:tabs>
          <w:tab w:val="left" w:pos="312"/>
        </w:tabs>
      </w:pPr>
    </w:lvl>
  </w:abstractNum>
  <w:abstractNum w:abstractNumId="1">
    <w:nsid w:val="C58CA693"/>
    <w:multiLevelType w:val="singleLevel"/>
    <w:tmpl w:val="C58CA693"/>
    <w:lvl w:ilvl="0" w:tentative="0">
      <w:start w:val="1"/>
      <w:numFmt w:val="decimal"/>
      <w:suff w:val="nothing"/>
      <w:lvlText w:val="%1、"/>
      <w:lvlJc w:val="left"/>
      <w:pPr>
        <w:ind w:left="480" w:firstLine="0"/>
      </w:pPr>
    </w:lvl>
  </w:abstractNum>
  <w:abstractNum w:abstractNumId="2">
    <w:nsid w:val="CC8B3878"/>
    <w:multiLevelType w:val="singleLevel"/>
    <w:tmpl w:val="CC8B3878"/>
    <w:lvl w:ilvl="0" w:tentative="0">
      <w:start w:val="6"/>
      <w:numFmt w:val="chineseCounting"/>
      <w:suff w:val="nothing"/>
      <w:lvlText w:val="%1、"/>
      <w:lvlJc w:val="left"/>
      <w:rPr>
        <w:rFonts w:hint="eastAsia"/>
      </w:rPr>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1F8BAEE"/>
    <w:multiLevelType w:val="singleLevel"/>
    <w:tmpl w:val="01F8BAEE"/>
    <w:lvl w:ilvl="0" w:tentative="0">
      <w:start w:val="1"/>
      <w:numFmt w:val="chineseCounting"/>
      <w:suff w:val="nothing"/>
      <w:lvlText w:val="%1、"/>
      <w:lvlJc w:val="left"/>
      <w:pPr>
        <w:ind w:left="0" w:firstLine="0"/>
      </w:pPr>
    </w:lvl>
  </w:abstractNum>
  <w:abstractNum w:abstractNumId="5">
    <w:nsid w:val="02453AF2"/>
    <w:multiLevelType w:val="singleLevel"/>
    <w:tmpl w:val="02453AF2"/>
    <w:lvl w:ilvl="0" w:tentative="0">
      <w:start w:val="1"/>
      <w:numFmt w:val="decimal"/>
      <w:suff w:val="nothing"/>
      <w:lvlText w:val="（%1）"/>
      <w:lvlJc w:val="left"/>
    </w:lvl>
  </w:abstractNum>
  <w:abstractNum w:abstractNumId="6">
    <w:nsid w:val="0CB74405"/>
    <w:multiLevelType w:val="singleLevel"/>
    <w:tmpl w:val="0CB74405"/>
    <w:lvl w:ilvl="0" w:tentative="0">
      <w:start w:val="1"/>
      <w:numFmt w:val="decimal"/>
      <w:suff w:val="nothing"/>
      <w:lvlText w:val="%1、"/>
      <w:lvlJc w:val="left"/>
    </w:lvl>
  </w:abstractNum>
  <w:abstractNum w:abstractNumId="7">
    <w:nsid w:val="1876C6BA"/>
    <w:multiLevelType w:val="singleLevel"/>
    <w:tmpl w:val="1876C6BA"/>
    <w:lvl w:ilvl="0" w:tentative="0">
      <w:start w:val="1"/>
      <w:numFmt w:val="chineseCounting"/>
      <w:suff w:val="nothing"/>
      <w:lvlText w:val="%1、"/>
      <w:lvlJc w:val="left"/>
      <w:rPr>
        <w:rFonts w:hint="eastAsia"/>
      </w:rPr>
    </w:lvl>
  </w:abstractNum>
  <w:num w:numId="1">
    <w:abstractNumId w:val="3"/>
  </w:num>
  <w:num w:numId="2">
    <w:abstractNumId w:val="7"/>
  </w:num>
  <w:num w:numId="3">
    <w:abstractNumId w:val="0"/>
  </w:num>
  <w:num w:numId="4">
    <w:abstractNumId w:val="6"/>
  </w:num>
  <w:num w:numId="5">
    <w:abstractNumId w:val="1"/>
  </w:num>
  <w:num w:numId="6">
    <w:abstractNumId w:val="4"/>
    <w:lvlOverride w:ilvl="0">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ZDIwN2UxZTY4OGYxOTE1M2IxYjliMjA5OTFlMjcifQ=="/>
    <w:docVar w:name="KSO_WPS_MARK_KEY" w:val="70e1000a-e059-4a89-8904-2c20c157de51"/>
  </w:docVars>
  <w:rsids>
    <w:rsidRoot w:val="00172A27"/>
    <w:rsid w:val="00000278"/>
    <w:rsid w:val="00000451"/>
    <w:rsid w:val="000004B6"/>
    <w:rsid w:val="0000133D"/>
    <w:rsid w:val="00002075"/>
    <w:rsid w:val="00003693"/>
    <w:rsid w:val="00003EFB"/>
    <w:rsid w:val="00005728"/>
    <w:rsid w:val="000058BD"/>
    <w:rsid w:val="00006109"/>
    <w:rsid w:val="00006725"/>
    <w:rsid w:val="0000675E"/>
    <w:rsid w:val="00006851"/>
    <w:rsid w:val="00006ED1"/>
    <w:rsid w:val="00007151"/>
    <w:rsid w:val="00007CAA"/>
    <w:rsid w:val="00010FE9"/>
    <w:rsid w:val="0001122F"/>
    <w:rsid w:val="0001337C"/>
    <w:rsid w:val="000138C4"/>
    <w:rsid w:val="00013F31"/>
    <w:rsid w:val="000140D8"/>
    <w:rsid w:val="00014530"/>
    <w:rsid w:val="00014BBC"/>
    <w:rsid w:val="0001524C"/>
    <w:rsid w:val="00015456"/>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652B"/>
    <w:rsid w:val="000267E7"/>
    <w:rsid w:val="000270F2"/>
    <w:rsid w:val="000274CD"/>
    <w:rsid w:val="00027540"/>
    <w:rsid w:val="00030572"/>
    <w:rsid w:val="00030CB3"/>
    <w:rsid w:val="000315B4"/>
    <w:rsid w:val="0003206A"/>
    <w:rsid w:val="000326A7"/>
    <w:rsid w:val="00032EA0"/>
    <w:rsid w:val="000336D4"/>
    <w:rsid w:val="00034FA7"/>
    <w:rsid w:val="000353C5"/>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6C34"/>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694D"/>
    <w:rsid w:val="000574B4"/>
    <w:rsid w:val="000578A3"/>
    <w:rsid w:val="00057D4C"/>
    <w:rsid w:val="00060EFD"/>
    <w:rsid w:val="00061A3C"/>
    <w:rsid w:val="00061C48"/>
    <w:rsid w:val="00064278"/>
    <w:rsid w:val="000646CA"/>
    <w:rsid w:val="000665C4"/>
    <w:rsid w:val="00066DB0"/>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919"/>
    <w:rsid w:val="00086EEB"/>
    <w:rsid w:val="00086F8A"/>
    <w:rsid w:val="00090243"/>
    <w:rsid w:val="000904F6"/>
    <w:rsid w:val="00090D1B"/>
    <w:rsid w:val="00090ED8"/>
    <w:rsid w:val="000912CD"/>
    <w:rsid w:val="0009145F"/>
    <w:rsid w:val="00091A40"/>
    <w:rsid w:val="00091B4E"/>
    <w:rsid w:val="00092FE9"/>
    <w:rsid w:val="00093BC1"/>
    <w:rsid w:val="00094342"/>
    <w:rsid w:val="000949AF"/>
    <w:rsid w:val="00094F0E"/>
    <w:rsid w:val="00095954"/>
    <w:rsid w:val="000960BA"/>
    <w:rsid w:val="0009662A"/>
    <w:rsid w:val="00096DFF"/>
    <w:rsid w:val="000974A2"/>
    <w:rsid w:val="000A0E69"/>
    <w:rsid w:val="000A0FEB"/>
    <w:rsid w:val="000A15F3"/>
    <w:rsid w:val="000A1A52"/>
    <w:rsid w:val="000A1F98"/>
    <w:rsid w:val="000A2338"/>
    <w:rsid w:val="000A3D58"/>
    <w:rsid w:val="000A47B0"/>
    <w:rsid w:val="000A4808"/>
    <w:rsid w:val="000A49BB"/>
    <w:rsid w:val="000A4F22"/>
    <w:rsid w:val="000A5674"/>
    <w:rsid w:val="000A5A46"/>
    <w:rsid w:val="000A5F83"/>
    <w:rsid w:val="000A7005"/>
    <w:rsid w:val="000A7299"/>
    <w:rsid w:val="000A7CBC"/>
    <w:rsid w:val="000B0262"/>
    <w:rsid w:val="000B0E04"/>
    <w:rsid w:val="000B291B"/>
    <w:rsid w:val="000B2C6D"/>
    <w:rsid w:val="000B456C"/>
    <w:rsid w:val="000B4B56"/>
    <w:rsid w:val="000B4C62"/>
    <w:rsid w:val="000B525C"/>
    <w:rsid w:val="000B54C1"/>
    <w:rsid w:val="000B59B5"/>
    <w:rsid w:val="000B6815"/>
    <w:rsid w:val="000B721A"/>
    <w:rsid w:val="000C0A43"/>
    <w:rsid w:val="000C1411"/>
    <w:rsid w:val="000C1A68"/>
    <w:rsid w:val="000C1ADE"/>
    <w:rsid w:val="000C1BFA"/>
    <w:rsid w:val="000C1C38"/>
    <w:rsid w:val="000C2264"/>
    <w:rsid w:val="000C256B"/>
    <w:rsid w:val="000C3970"/>
    <w:rsid w:val="000C3B1A"/>
    <w:rsid w:val="000C4322"/>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11E5"/>
    <w:rsid w:val="000D19E8"/>
    <w:rsid w:val="000D22F4"/>
    <w:rsid w:val="000D2834"/>
    <w:rsid w:val="000D34C8"/>
    <w:rsid w:val="000D34FD"/>
    <w:rsid w:val="000D3BE5"/>
    <w:rsid w:val="000D3C37"/>
    <w:rsid w:val="000D453A"/>
    <w:rsid w:val="000D467F"/>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0E58"/>
    <w:rsid w:val="000F1619"/>
    <w:rsid w:val="000F218D"/>
    <w:rsid w:val="000F2530"/>
    <w:rsid w:val="000F2940"/>
    <w:rsid w:val="000F3D08"/>
    <w:rsid w:val="000F4495"/>
    <w:rsid w:val="000F4A05"/>
    <w:rsid w:val="000F505B"/>
    <w:rsid w:val="000F6366"/>
    <w:rsid w:val="000F68A0"/>
    <w:rsid w:val="000F6CC2"/>
    <w:rsid w:val="000F702E"/>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28"/>
    <w:rsid w:val="001102B5"/>
    <w:rsid w:val="00111C7D"/>
    <w:rsid w:val="00112038"/>
    <w:rsid w:val="001127FF"/>
    <w:rsid w:val="00112B0B"/>
    <w:rsid w:val="00112B5C"/>
    <w:rsid w:val="00113123"/>
    <w:rsid w:val="0011383E"/>
    <w:rsid w:val="00114847"/>
    <w:rsid w:val="00114D6A"/>
    <w:rsid w:val="0011560B"/>
    <w:rsid w:val="0011585B"/>
    <w:rsid w:val="00115B1A"/>
    <w:rsid w:val="00115C71"/>
    <w:rsid w:val="001160FF"/>
    <w:rsid w:val="001168F8"/>
    <w:rsid w:val="001176FF"/>
    <w:rsid w:val="00120F18"/>
    <w:rsid w:val="0012159D"/>
    <w:rsid w:val="00122D54"/>
    <w:rsid w:val="001231D3"/>
    <w:rsid w:val="001232A7"/>
    <w:rsid w:val="0012419E"/>
    <w:rsid w:val="001248EF"/>
    <w:rsid w:val="00124FC4"/>
    <w:rsid w:val="001253AB"/>
    <w:rsid w:val="0012574C"/>
    <w:rsid w:val="001259B8"/>
    <w:rsid w:val="00126679"/>
    <w:rsid w:val="0012687C"/>
    <w:rsid w:val="0012693E"/>
    <w:rsid w:val="00130464"/>
    <w:rsid w:val="00130B94"/>
    <w:rsid w:val="00131762"/>
    <w:rsid w:val="00131C2D"/>
    <w:rsid w:val="0013202C"/>
    <w:rsid w:val="00132CBF"/>
    <w:rsid w:val="00133742"/>
    <w:rsid w:val="00133CA1"/>
    <w:rsid w:val="001350F7"/>
    <w:rsid w:val="00135562"/>
    <w:rsid w:val="00135769"/>
    <w:rsid w:val="00135BE9"/>
    <w:rsid w:val="00136762"/>
    <w:rsid w:val="00136E33"/>
    <w:rsid w:val="0013773D"/>
    <w:rsid w:val="00137A63"/>
    <w:rsid w:val="00140693"/>
    <w:rsid w:val="00140D7A"/>
    <w:rsid w:val="00141DFE"/>
    <w:rsid w:val="00142A51"/>
    <w:rsid w:val="00142BBD"/>
    <w:rsid w:val="001433BC"/>
    <w:rsid w:val="00144649"/>
    <w:rsid w:val="00144B52"/>
    <w:rsid w:val="00145022"/>
    <w:rsid w:val="00145662"/>
    <w:rsid w:val="00145C6D"/>
    <w:rsid w:val="00146151"/>
    <w:rsid w:val="00147032"/>
    <w:rsid w:val="00147EA7"/>
    <w:rsid w:val="001505E6"/>
    <w:rsid w:val="00150A5F"/>
    <w:rsid w:val="00151B2F"/>
    <w:rsid w:val="001524DC"/>
    <w:rsid w:val="001525E5"/>
    <w:rsid w:val="0015338F"/>
    <w:rsid w:val="00153859"/>
    <w:rsid w:val="00153915"/>
    <w:rsid w:val="00153C4B"/>
    <w:rsid w:val="00155B95"/>
    <w:rsid w:val="00156853"/>
    <w:rsid w:val="00157432"/>
    <w:rsid w:val="0016035E"/>
    <w:rsid w:val="0016109B"/>
    <w:rsid w:val="00161185"/>
    <w:rsid w:val="001623AC"/>
    <w:rsid w:val="00162BAA"/>
    <w:rsid w:val="0016488B"/>
    <w:rsid w:val="00165758"/>
    <w:rsid w:val="00165A65"/>
    <w:rsid w:val="00165E74"/>
    <w:rsid w:val="00167478"/>
    <w:rsid w:val="00167594"/>
    <w:rsid w:val="001702BE"/>
    <w:rsid w:val="001704B3"/>
    <w:rsid w:val="001704DA"/>
    <w:rsid w:val="0017105C"/>
    <w:rsid w:val="00171622"/>
    <w:rsid w:val="00171699"/>
    <w:rsid w:val="00171C81"/>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512"/>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2FCB"/>
    <w:rsid w:val="001B3E6D"/>
    <w:rsid w:val="001B46B2"/>
    <w:rsid w:val="001B4725"/>
    <w:rsid w:val="001B48B2"/>
    <w:rsid w:val="001B49DA"/>
    <w:rsid w:val="001B4CA8"/>
    <w:rsid w:val="001B567A"/>
    <w:rsid w:val="001B572D"/>
    <w:rsid w:val="001B5B10"/>
    <w:rsid w:val="001B5E9A"/>
    <w:rsid w:val="001B6E4E"/>
    <w:rsid w:val="001B7A15"/>
    <w:rsid w:val="001B7B69"/>
    <w:rsid w:val="001C08DB"/>
    <w:rsid w:val="001C10BD"/>
    <w:rsid w:val="001C1F01"/>
    <w:rsid w:val="001C232F"/>
    <w:rsid w:val="001C2544"/>
    <w:rsid w:val="001C2A17"/>
    <w:rsid w:val="001C31F5"/>
    <w:rsid w:val="001C3223"/>
    <w:rsid w:val="001C3EAA"/>
    <w:rsid w:val="001C457B"/>
    <w:rsid w:val="001C6047"/>
    <w:rsid w:val="001C6698"/>
    <w:rsid w:val="001C68F2"/>
    <w:rsid w:val="001C7CE0"/>
    <w:rsid w:val="001D005B"/>
    <w:rsid w:val="001D0947"/>
    <w:rsid w:val="001D16F5"/>
    <w:rsid w:val="001D1970"/>
    <w:rsid w:val="001D1D1E"/>
    <w:rsid w:val="001D1D55"/>
    <w:rsid w:val="001D21EF"/>
    <w:rsid w:val="001D27AA"/>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817"/>
    <w:rsid w:val="001F5DBF"/>
    <w:rsid w:val="001F612E"/>
    <w:rsid w:val="001F79D1"/>
    <w:rsid w:val="00200451"/>
    <w:rsid w:val="0020198E"/>
    <w:rsid w:val="00201B0F"/>
    <w:rsid w:val="00201EC9"/>
    <w:rsid w:val="00202800"/>
    <w:rsid w:val="00202D33"/>
    <w:rsid w:val="00202E58"/>
    <w:rsid w:val="00202F99"/>
    <w:rsid w:val="00203C85"/>
    <w:rsid w:val="00204C93"/>
    <w:rsid w:val="00205112"/>
    <w:rsid w:val="00205298"/>
    <w:rsid w:val="002052DD"/>
    <w:rsid w:val="00205939"/>
    <w:rsid w:val="00205B39"/>
    <w:rsid w:val="00205D1C"/>
    <w:rsid w:val="002062B8"/>
    <w:rsid w:val="0020632A"/>
    <w:rsid w:val="00206698"/>
    <w:rsid w:val="00206736"/>
    <w:rsid w:val="00206C88"/>
    <w:rsid w:val="00207526"/>
    <w:rsid w:val="002078A3"/>
    <w:rsid w:val="00210744"/>
    <w:rsid w:val="00210B9C"/>
    <w:rsid w:val="00211714"/>
    <w:rsid w:val="00211F79"/>
    <w:rsid w:val="00213D15"/>
    <w:rsid w:val="00213FCE"/>
    <w:rsid w:val="00214028"/>
    <w:rsid w:val="002141C3"/>
    <w:rsid w:val="002141DC"/>
    <w:rsid w:val="00214479"/>
    <w:rsid w:val="002144F3"/>
    <w:rsid w:val="002146C3"/>
    <w:rsid w:val="00214B0E"/>
    <w:rsid w:val="00214E91"/>
    <w:rsid w:val="00215A2A"/>
    <w:rsid w:val="00215D21"/>
    <w:rsid w:val="00215DF8"/>
    <w:rsid w:val="00216387"/>
    <w:rsid w:val="00216860"/>
    <w:rsid w:val="002204BC"/>
    <w:rsid w:val="00220F7B"/>
    <w:rsid w:val="00220FA3"/>
    <w:rsid w:val="002213CE"/>
    <w:rsid w:val="0022168C"/>
    <w:rsid w:val="00221AF7"/>
    <w:rsid w:val="00221F13"/>
    <w:rsid w:val="00221FFA"/>
    <w:rsid w:val="00222494"/>
    <w:rsid w:val="00222775"/>
    <w:rsid w:val="00222A31"/>
    <w:rsid w:val="00222CF6"/>
    <w:rsid w:val="00222F44"/>
    <w:rsid w:val="002244E4"/>
    <w:rsid w:val="00224D2A"/>
    <w:rsid w:val="00224D8D"/>
    <w:rsid w:val="0022555A"/>
    <w:rsid w:val="0023079F"/>
    <w:rsid w:val="00231135"/>
    <w:rsid w:val="00231523"/>
    <w:rsid w:val="00232656"/>
    <w:rsid w:val="0023337A"/>
    <w:rsid w:val="00233538"/>
    <w:rsid w:val="0023449F"/>
    <w:rsid w:val="002344F5"/>
    <w:rsid w:val="0023454D"/>
    <w:rsid w:val="00234679"/>
    <w:rsid w:val="00236690"/>
    <w:rsid w:val="0023669D"/>
    <w:rsid w:val="00237FA2"/>
    <w:rsid w:val="002403D5"/>
    <w:rsid w:val="00240F56"/>
    <w:rsid w:val="00240F67"/>
    <w:rsid w:val="00241144"/>
    <w:rsid w:val="00241606"/>
    <w:rsid w:val="00242510"/>
    <w:rsid w:val="00242F79"/>
    <w:rsid w:val="002440E7"/>
    <w:rsid w:val="0024411C"/>
    <w:rsid w:val="0024415B"/>
    <w:rsid w:val="00245565"/>
    <w:rsid w:val="002458C1"/>
    <w:rsid w:val="00245C13"/>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DF0"/>
    <w:rsid w:val="00267E43"/>
    <w:rsid w:val="00270282"/>
    <w:rsid w:val="002711EF"/>
    <w:rsid w:val="00271932"/>
    <w:rsid w:val="00272193"/>
    <w:rsid w:val="0027244F"/>
    <w:rsid w:val="0027393E"/>
    <w:rsid w:val="002739CE"/>
    <w:rsid w:val="00273C5F"/>
    <w:rsid w:val="002751CA"/>
    <w:rsid w:val="0027544D"/>
    <w:rsid w:val="002775ED"/>
    <w:rsid w:val="002778AB"/>
    <w:rsid w:val="00277D86"/>
    <w:rsid w:val="002802A5"/>
    <w:rsid w:val="00280CFB"/>
    <w:rsid w:val="002815C4"/>
    <w:rsid w:val="002818AB"/>
    <w:rsid w:val="00281BCB"/>
    <w:rsid w:val="002821D5"/>
    <w:rsid w:val="00283296"/>
    <w:rsid w:val="002845A1"/>
    <w:rsid w:val="0028461E"/>
    <w:rsid w:val="0028583E"/>
    <w:rsid w:val="00285853"/>
    <w:rsid w:val="00285B1A"/>
    <w:rsid w:val="00285FF3"/>
    <w:rsid w:val="002866EC"/>
    <w:rsid w:val="0028744E"/>
    <w:rsid w:val="00287936"/>
    <w:rsid w:val="00287DDE"/>
    <w:rsid w:val="00290002"/>
    <w:rsid w:val="002903C5"/>
    <w:rsid w:val="00290A99"/>
    <w:rsid w:val="00290EAF"/>
    <w:rsid w:val="0029129B"/>
    <w:rsid w:val="0029159A"/>
    <w:rsid w:val="0029199A"/>
    <w:rsid w:val="00291E17"/>
    <w:rsid w:val="00292AA1"/>
    <w:rsid w:val="00293472"/>
    <w:rsid w:val="00293B2A"/>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887"/>
    <w:rsid w:val="002A2001"/>
    <w:rsid w:val="002A21E3"/>
    <w:rsid w:val="002A4060"/>
    <w:rsid w:val="002A4A05"/>
    <w:rsid w:val="002A4B03"/>
    <w:rsid w:val="002A4EB3"/>
    <w:rsid w:val="002A51D9"/>
    <w:rsid w:val="002A572D"/>
    <w:rsid w:val="002A5CAB"/>
    <w:rsid w:val="002A5D1C"/>
    <w:rsid w:val="002A5D40"/>
    <w:rsid w:val="002A6116"/>
    <w:rsid w:val="002A64E7"/>
    <w:rsid w:val="002A7ED3"/>
    <w:rsid w:val="002A7FC9"/>
    <w:rsid w:val="002B06C1"/>
    <w:rsid w:val="002B139C"/>
    <w:rsid w:val="002B1881"/>
    <w:rsid w:val="002B1E9C"/>
    <w:rsid w:val="002B1F61"/>
    <w:rsid w:val="002B257E"/>
    <w:rsid w:val="002B2906"/>
    <w:rsid w:val="002B2A00"/>
    <w:rsid w:val="002B322B"/>
    <w:rsid w:val="002B34E3"/>
    <w:rsid w:val="002B394C"/>
    <w:rsid w:val="002B5AEE"/>
    <w:rsid w:val="002B6084"/>
    <w:rsid w:val="002B6177"/>
    <w:rsid w:val="002B6494"/>
    <w:rsid w:val="002B650C"/>
    <w:rsid w:val="002B68E6"/>
    <w:rsid w:val="002B6985"/>
    <w:rsid w:val="002C0301"/>
    <w:rsid w:val="002C0326"/>
    <w:rsid w:val="002C059D"/>
    <w:rsid w:val="002C0A9F"/>
    <w:rsid w:val="002C13D4"/>
    <w:rsid w:val="002C1AB3"/>
    <w:rsid w:val="002C1BB7"/>
    <w:rsid w:val="002C2665"/>
    <w:rsid w:val="002C289E"/>
    <w:rsid w:val="002C28E1"/>
    <w:rsid w:val="002C327D"/>
    <w:rsid w:val="002C3890"/>
    <w:rsid w:val="002C3AD9"/>
    <w:rsid w:val="002C3F0B"/>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292"/>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3D91"/>
    <w:rsid w:val="002F43E5"/>
    <w:rsid w:val="002F4BA9"/>
    <w:rsid w:val="002F541B"/>
    <w:rsid w:val="002F590C"/>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6CE6"/>
    <w:rsid w:val="00307DC7"/>
    <w:rsid w:val="00310EDB"/>
    <w:rsid w:val="00312CAA"/>
    <w:rsid w:val="00312DFC"/>
    <w:rsid w:val="0031318C"/>
    <w:rsid w:val="00313C9D"/>
    <w:rsid w:val="00313E7B"/>
    <w:rsid w:val="0031430C"/>
    <w:rsid w:val="00314C5A"/>
    <w:rsid w:val="0031531A"/>
    <w:rsid w:val="00315394"/>
    <w:rsid w:val="00315602"/>
    <w:rsid w:val="003156D4"/>
    <w:rsid w:val="00315D77"/>
    <w:rsid w:val="003165B1"/>
    <w:rsid w:val="00316A70"/>
    <w:rsid w:val="00316CDE"/>
    <w:rsid w:val="0031752D"/>
    <w:rsid w:val="00320642"/>
    <w:rsid w:val="00320688"/>
    <w:rsid w:val="0032089D"/>
    <w:rsid w:val="00320B52"/>
    <w:rsid w:val="00321AAD"/>
    <w:rsid w:val="0032226D"/>
    <w:rsid w:val="00322469"/>
    <w:rsid w:val="003249F6"/>
    <w:rsid w:val="00324B2F"/>
    <w:rsid w:val="003251B3"/>
    <w:rsid w:val="003251F3"/>
    <w:rsid w:val="003254A3"/>
    <w:rsid w:val="0032576A"/>
    <w:rsid w:val="00325FCC"/>
    <w:rsid w:val="00326106"/>
    <w:rsid w:val="00326144"/>
    <w:rsid w:val="00326805"/>
    <w:rsid w:val="003269B7"/>
    <w:rsid w:val="00326C0E"/>
    <w:rsid w:val="003270B3"/>
    <w:rsid w:val="003272A3"/>
    <w:rsid w:val="003272E4"/>
    <w:rsid w:val="003278D0"/>
    <w:rsid w:val="00327B71"/>
    <w:rsid w:val="0033081D"/>
    <w:rsid w:val="00331461"/>
    <w:rsid w:val="003316A8"/>
    <w:rsid w:val="00331CC9"/>
    <w:rsid w:val="003320D7"/>
    <w:rsid w:val="00332433"/>
    <w:rsid w:val="00332D52"/>
    <w:rsid w:val="00333337"/>
    <w:rsid w:val="003338A0"/>
    <w:rsid w:val="00333A28"/>
    <w:rsid w:val="003346F4"/>
    <w:rsid w:val="003360AD"/>
    <w:rsid w:val="0033617A"/>
    <w:rsid w:val="0033631D"/>
    <w:rsid w:val="0033725A"/>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9BF"/>
    <w:rsid w:val="00345D7A"/>
    <w:rsid w:val="0034607E"/>
    <w:rsid w:val="00346B6D"/>
    <w:rsid w:val="00346BA3"/>
    <w:rsid w:val="00347356"/>
    <w:rsid w:val="00350896"/>
    <w:rsid w:val="00350C31"/>
    <w:rsid w:val="00351063"/>
    <w:rsid w:val="00351457"/>
    <w:rsid w:val="003519CD"/>
    <w:rsid w:val="00351A3A"/>
    <w:rsid w:val="003538B1"/>
    <w:rsid w:val="0035455F"/>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32F"/>
    <w:rsid w:val="00377B26"/>
    <w:rsid w:val="00377B46"/>
    <w:rsid w:val="003804C0"/>
    <w:rsid w:val="00381014"/>
    <w:rsid w:val="003811A8"/>
    <w:rsid w:val="00381604"/>
    <w:rsid w:val="00381C68"/>
    <w:rsid w:val="00381F60"/>
    <w:rsid w:val="00383430"/>
    <w:rsid w:val="00383AB0"/>
    <w:rsid w:val="00384290"/>
    <w:rsid w:val="0038437A"/>
    <w:rsid w:val="003847BB"/>
    <w:rsid w:val="00384814"/>
    <w:rsid w:val="00384C0A"/>
    <w:rsid w:val="00384F29"/>
    <w:rsid w:val="00385B16"/>
    <w:rsid w:val="00385B96"/>
    <w:rsid w:val="00385DA2"/>
    <w:rsid w:val="00386274"/>
    <w:rsid w:val="0038637D"/>
    <w:rsid w:val="00386C07"/>
    <w:rsid w:val="00386F58"/>
    <w:rsid w:val="0038700D"/>
    <w:rsid w:val="003874E2"/>
    <w:rsid w:val="003877BE"/>
    <w:rsid w:val="003879DA"/>
    <w:rsid w:val="00390B8F"/>
    <w:rsid w:val="00390C0D"/>
    <w:rsid w:val="00391447"/>
    <w:rsid w:val="003919D9"/>
    <w:rsid w:val="00391BDD"/>
    <w:rsid w:val="003922DE"/>
    <w:rsid w:val="00392E35"/>
    <w:rsid w:val="00393551"/>
    <w:rsid w:val="00393FCD"/>
    <w:rsid w:val="003944EA"/>
    <w:rsid w:val="00394639"/>
    <w:rsid w:val="00394C5F"/>
    <w:rsid w:val="00394C62"/>
    <w:rsid w:val="00394DF6"/>
    <w:rsid w:val="003962E6"/>
    <w:rsid w:val="00396831"/>
    <w:rsid w:val="00396972"/>
    <w:rsid w:val="003971A1"/>
    <w:rsid w:val="003A03FD"/>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3C2A"/>
    <w:rsid w:val="003C4134"/>
    <w:rsid w:val="003C435B"/>
    <w:rsid w:val="003C48B4"/>
    <w:rsid w:val="003C4B2C"/>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D76E2"/>
    <w:rsid w:val="003E006E"/>
    <w:rsid w:val="003E0E96"/>
    <w:rsid w:val="003E20F7"/>
    <w:rsid w:val="003E336A"/>
    <w:rsid w:val="003E4048"/>
    <w:rsid w:val="003E455D"/>
    <w:rsid w:val="003E60DA"/>
    <w:rsid w:val="003E616A"/>
    <w:rsid w:val="003E6E00"/>
    <w:rsid w:val="003E7111"/>
    <w:rsid w:val="003E786C"/>
    <w:rsid w:val="003E7940"/>
    <w:rsid w:val="003E7F7A"/>
    <w:rsid w:val="003F01BD"/>
    <w:rsid w:val="003F0486"/>
    <w:rsid w:val="003F048E"/>
    <w:rsid w:val="003F0AFF"/>
    <w:rsid w:val="003F171F"/>
    <w:rsid w:val="003F26DC"/>
    <w:rsid w:val="003F3EFD"/>
    <w:rsid w:val="003F42FF"/>
    <w:rsid w:val="003F44CE"/>
    <w:rsid w:val="003F45C2"/>
    <w:rsid w:val="003F4B48"/>
    <w:rsid w:val="003F4DDC"/>
    <w:rsid w:val="003F56B8"/>
    <w:rsid w:val="003F6327"/>
    <w:rsid w:val="003F6614"/>
    <w:rsid w:val="003F72E9"/>
    <w:rsid w:val="003F765B"/>
    <w:rsid w:val="003F7CB8"/>
    <w:rsid w:val="004001F0"/>
    <w:rsid w:val="00400CB4"/>
    <w:rsid w:val="00401386"/>
    <w:rsid w:val="004013E6"/>
    <w:rsid w:val="004016F6"/>
    <w:rsid w:val="0040188F"/>
    <w:rsid w:val="00401E31"/>
    <w:rsid w:val="0040271E"/>
    <w:rsid w:val="00402BBA"/>
    <w:rsid w:val="0040344F"/>
    <w:rsid w:val="004035D0"/>
    <w:rsid w:val="00403795"/>
    <w:rsid w:val="004041FB"/>
    <w:rsid w:val="00404FA1"/>
    <w:rsid w:val="004056B6"/>
    <w:rsid w:val="00405764"/>
    <w:rsid w:val="00405918"/>
    <w:rsid w:val="00405D4E"/>
    <w:rsid w:val="00406745"/>
    <w:rsid w:val="0040674B"/>
    <w:rsid w:val="00406B32"/>
    <w:rsid w:val="004074FA"/>
    <w:rsid w:val="00407A56"/>
    <w:rsid w:val="00407FCC"/>
    <w:rsid w:val="00410105"/>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17AF4"/>
    <w:rsid w:val="004210C0"/>
    <w:rsid w:val="004211DD"/>
    <w:rsid w:val="00421762"/>
    <w:rsid w:val="00421D4B"/>
    <w:rsid w:val="00421ED8"/>
    <w:rsid w:val="00422907"/>
    <w:rsid w:val="00422AA1"/>
    <w:rsid w:val="00423125"/>
    <w:rsid w:val="00423309"/>
    <w:rsid w:val="004233AD"/>
    <w:rsid w:val="00423F64"/>
    <w:rsid w:val="00424446"/>
    <w:rsid w:val="00424D18"/>
    <w:rsid w:val="00425341"/>
    <w:rsid w:val="00425D8C"/>
    <w:rsid w:val="00426B2C"/>
    <w:rsid w:val="0042784A"/>
    <w:rsid w:val="00427FA8"/>
    <w:rsid w:val="0043026B"/>
    <w:rsid w:val="004306D4"/>
    <w:rsid w:val="004312D3"/>
    <w:rsid w:val="00432ECA"/>
    <w:rsid w:val="00433D2E"/>
    <w:rsid w:val="00433D5E"/>
    <w:rsid w:val="0043554E"/>
    <w:rsid w:val="004355D4"/>
    <w:rsid w:val="004357B1"/>
    <w:rsid w:val="00435821"/>
    <w:rsid w:val="0043583E"/>
    <w:rsid w:val="00436521"/>
    <w:rsid w:val="00436CCE"/>
    <w:rsid w:val="00436D1D"/>
    <w:rsid w:val="00436EAD"/>
    <w:rsid w:val="004375E1"/>
    <w:rsid w:val="00437A2F"/>
    <w:rsid w:val="00440262"/>
    <w:rsid w:val="004402E4"/>
    <w:rsid w:val="0044068D"/>
    <w:rsid w:val="004406BF"/>
    <w:rsid w:val="00440814"/>
    <w:rsid w:val="004423B7"/>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3E1"/>
    <w:rsid w:val="0045273A"/>
    <w:rsid w:val="0045277C"/>
    <w:rsid w:val="004543AB"/>
    <w:rsid w:val="0045484C"/>
    <w:rsid w:val="00455967"/>
    <w:rsid w:val="00455ED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2D6"/>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5E58"/>
    <w:rsid w:val="0049669E"/>
    <w:rsid w:val="00496CCE"/>
    <w:rsid w:val="00497934"/>
    <w:rsid w:val="00497AAD"/>
    <w:rsid w:val="00497BD7"/>
    <w:rsid w:val="00497D1A"/>
    <w:rsid w:val="004A0B03"/>
    <w:rsid w:val="004A0C50"/>
    <w:rsid w:val="004A0C9F"/>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42F"/>
    <w:rsid w:val="004B0BE8"/>
    <w:rsid w:val="004B0E4A"/>
    <w:rsid w:val="004B18F4"/>
    <w:rsid w:val="004B1A98"/>
    <w:rsid w:val="004B2463"/>
    <w:rsid w:val="004B2869"/>
    <w:rsid w:val="004B305F"/>
    <w:rsid w:val="004B34C4"/>
    <w:rsid w:val="004B34E8"/>
    <w:rsid w:val="004B3981"/>
    <w:rsid w:val="004B3A03"/>
    <w:rsid w:val="004B419F"/>
    <w:rsid w:val="004B437B"/>
    <w:rsid w:val="004B4EA9"/>
    <w:rsid w:val="004B673A"/>
    <w:rsid w:val="004B676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46C"/>
    <w:rsid w:val="004C45C8"/>
    <w:rsid w:val="004C4C81"/>
    <w:rsid w:val="004C4D2C"/>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03E"/>
    <w:rsid w:val="004D7BF5"/>
    <w:rsid w:val="004D7F9C"/>
    <w:rsid w:val="004E0378"/>
    <w:rsid w:val="004E03F4"/>
    <w:rsid w:val="004E0449"/>
    <w:rsid w:val="004E068F"/>
    <w:rsid w:val="004E09CD"/>
    <w:rsid w:val="004E09CF"/>
    <w:rsid w:val="004E0B75"/>
    <w:rsid w:val="004E0DA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209"/>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3A92"/>
    <w:rsid w:val="00505033"/>
    <w:rsid w:val="0050537D"/>
    <w:rsid w:val="005060AE"/>
    <w:rsid w:val="005068C4"/>
    <w:rsid w:val="00506E42"/>
    <w:rsid w:val="0050790B"/>
    <w:rsid w:val="0051037C"/>
    <w:rsid w:val="0051050F"/>
    <w:rsid w:val="00510DDC"/>
    <w:rsid w:val="00511F64"/>
    <w:rsid w:val="005131A2"/>
    <w:rsid w:val="005137E6"/>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683"/>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88E"/>
    <w:rsid w:val="00557C4C"/>
    <w:rsid w:val="00560FCB"/>
    <w:rsid w:val="00561055"/>
    <w:rsid w:val="0056111C"/>
    <w:rsid w:val="00561140"/>
    <w:rsid w:val="00561412"/>
    <w:rsid w:val="00561903"/>
    <w:rsid w:val="00561A9B"/>
    <w:rsid w:val="00561E54"/>
    <w:rsid w:val="0056215A"/>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2E6"/>
    <w:rsid w:val="00566329"/>
    <w:rsid w:val="00567623"/>
    <w:rsid w:val="00567700"/>
    <w:rsid w:val="00567F59"/>
    <w:rsid w:val="005701C2"/>
    <w:rsid w:val="00573560"/>
    <w:rsid w:val="00574E7B"/>
    <w:rsid w:val="00575164"/>
    <w:rsid w:val="00576B5C"/>
    <w:rsid w:val="005772CE"/>
    <w:rsid w:val="00577540"/>
    <w:rsid w:val="005802F9"/>
    <w:rsid w:val="00580DFC"/>
    <w:rsid w:val="0058258D"/>
    <w:rsid w:val="005827A7"/>
    <w:rsid w:val="00583D43"/>
    <w:rsid w:val="005846C3"/>
    <w:rsid w:val="00584F04"/>
    <w:rsid w:val="00585623"/>
    <w:rsid w:val="005857F7"/>
    <w:rsid w:val="0058635A"/>
    <w:rsid w:val="00587214"/>
    <w:rsid w:val="005877B9"/>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2D1E"/>
    <w:rsid w:val="005A361D"/>
    <w:rsid w:val="005A36C2"/>
    <w:rsid w:val="005A3719"/>
    <w:rsid w:val="005A3A2F"/>
    <w:rsid w:val="005A3D7F"/>
    <w:rsid w:val="005A3DD7"/>
    <w:rsid w:val="005A4C20"/>
    <w:rsid w:val="005A4F48"/>
    <w:rsid w:val="005A54F1"/>
    <w:rsid w:val="005A58BB"/>
    <w:rsid w:val="005A5A74"/>
    <w:rsid w:val="005A5DDE"/>
    <w:rsid w:val="005A5E74"/>
    <w:rsid w:val="005A64A8"/>
    <w:rsid w:val="005A65C5"/>
    <w:rsid w:val="005A6720"/>
    <w:rsid w:val="005A6875"/>
    <w:rsid w:val="005A6C51"/>
    <w:rsid w:val="005A7A32"/>
    <w:rsid w:val="005A7F85"/>
    <w:rsid w:val="005B00DD"/>
    <w:rsid w:val="005B07D5"/>
    <w:rsid w:val="005B0C7D"/>
    <w:rsid w:val="005B1A91"/>
    <w:rsid w:val="005B1AAB"/>
    <w:rsid w:val="005B2930"/>
    <w:rsid w:val="005B2A03"/>
    <w:rsid w:val="005B2B87"/>
    <w:rsid w:val="005B33BE"/>
    <w:rsid w:val="005B33C8"/>
    <w:rsid w:val="005B387B"/>
    <w:rsid w:val="005B3B01"/>
    <w:rsid w:val="005B40EA"/>
    <w:rsid w:val="005B4333"/>
    <w:rsid w:val="005B48BE"/>
    <w:rsid w:val="005B58F7"/>
    <w:rsid w:val="005B5994"/>
    <w:rsid w:val="005B6474"/>
    <w:rsid w:val="005B6545"/>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D01C3"/>
    <w:rsid w:val="005D05D7"/>
    <w:rsid w:val="005D05FF"/>
    <w:rsid w:val="005D0958"/>
    <w:rsid w:val="005D0FB4"/>
    <w:rsid w:val="005D1176"/>
    <w:rsid w:val="005D1747"/>
    <w:rsid w:val="005D266D"/>
    <w:rsid w:val="005D2A72"/>
    <w:rsid w:val="005D2AD3"/>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6B1D"/>
    <w:rsid w:val="005E721E"/>
    <w:rsid w:val="005E72E7"/>
    <w:rsid w:val="005F034A"/>
    <w:rsid w:val="005F0857"/>
    <w:rsid w:val="005F15A9"/>
    <w:rsid w:val="005F1C2F"/>
    <w:rsid w:val="005F2CD5"/>
    <w:rsid w:val="005F2CDD"/>
    <w:rsid w:val="005F31FE"/>
    <w:rsid w:val="005F3720"/>
    <w:rsid w:val="005F5506"/>
    <w:rsid w:val="005F5A0D"/>
    <w:rsid w:val="005F60DF"/>
    <w:rsid w:val="005F61DF"/>
    <w:rsid w:val="005F680A"/>
    <w:rsid w:val="005F6DC6"/>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86"/>
    <w:rsid w:val="00606EDF"/>
    <w:rsid w:val="006103AA"/>
    <w:rsid w:val="0061098D"/>
    <w:rsid w:val="00611068"/>
    <w:rsid w:val="0061112F"/>
    <w:rsid w:val="00611B59"/>
    <w:rsid w:val="00611FBA"/>
    <w:rsid w:val="0061272A"/>
    <w:rsid w:val="00613508"/>
    <w:rsid w:val="00613AA2"/>
    <w:rsid w:val="00613E58"/>
    <w:rsid w:val="006155F1"/>
    <w:rsid w:val="00615846"/>
    <w:rsid w:val="006160F0"/>
    <w:rsid w:val="0061623D"/>
    <w:rsid w:val="0061624B"/>
    <w:rsid w:val="00616C1E"/>
    <w:rsid w:val="006172C8"/>
    <w:rsid w:val="00617EFC"/>
    <w:rsid w:val="00620055"/>
    <w:rsid w:val="006204B3"/>
    <w:rsid w:val="00620714"/>
    <w:rsid w:val="00620AC8"/>
    <w:rsid w:val="006212D3"/>
    <w:rsid w:val="00623571"/>
    <w:rsid w:val="00623A5E"/>
    <w:rsid w:val="00623CA9"/>
    <w:rsid w:val="00624A86"/>
    <w:rsid w:val="00625008"/>
    <w:rsid w:val="00625833"/>
    <w:rsid w:val="0062626B"/>
    <w:rsid w:val="00626890"/>
    <w:rsid w:val="00626930"/>
    <w:rsid w:val="00626BAC"/>
    <w:rsid w:val="006271C3"/>
    <w:rsid w:val="00627B14"/>
    <w:rsid w:val="0063001E"/>
    <w:rsid w:val="00630023"/>
    <w:rsid w:val="00630224"/>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6E15"/>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1F21"/>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74"/>
    <w:rsid w:val="00665670"/>
    <w:rsid w:val="006659EA"/>
    <w:rsid w:val="006661E8"/>
    <w:rsid w:val="0066635A"/>
    <w:rsid w:val="00666424"/>
    <w:rsid w:val="006671A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87D0D"/>
    <w:rsid w:val="006901AC"/>
    <w:rsid w:val="00690C8D"/>
    <w:rsid w:val="00691890"/>
    <w:rsid w:val="00691AAD"/>
    <w:rsid w:val="00692416"/>
    <w:rsid w:val="00692AFF"/>
    <w:rsid w:val="00693B73"/>
    <w:rsid w:val="006945A1"/>
    <w:rsid w:val="006945DD"/>
    <w:rsid w:val="006946F5"/>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66C"/>
    <w:rsid w:val="006B6749"/>
    <w:rsid w:val="006B6ED2"/>
    <w:rsid w:val="006B6F30"/>
    <w:rsid w:val="006C0230"/>
    <w:rsid w:val="006C0309"/>
    <w:rsid w:val="006C060F"/>
    <w:rsid w:val="006C1114"/>
    <w:rsid w:val="006C25AB"/>
    <w:rsid w:val="006C2DA6"/>
    <w:rsid w:val="006C3581"/>
    <w:rsid w:val="006C3EFE"/>
    <w:rsid w:val="006C46C7"/>
    <w:rsid w:val="006C53A4"/>
    <w:rsid w:val="006C54DF"/>
    <w:rsid w:val="006C5D5D"/>
    <w:rsid w:val="006C6303"/>
    <w:rsid w:val="006C651D"/>
    <w:rsid w:val="006C6EBD"/>
    <w:rsid w:val="006C77DE"/>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1F4"/>
    <w:rsid w:val="006E17AC"/>
    <w:rsid w:val="006E189B"/>
    <w:rsid w:val="006E1D26"/>
    <w:rsid w:val="006E2558"/>
    <w:rsid w:val="006E2902"/>
    <w:rsid w:val="006E2DC4"/>
    <w:rsid w:val="006E2EAB"/>
    <w:rsid w:val="006E2F9D"/>
    <w:rsid w:val="006E37C6"/>
    <w:rsid w:val="006E3CF3"/>
    <w:rsid w:val="006E41ED"/>
    <w:rsid w:val="006E4667"/>
    <w:rsid w:val="006E486D"/>
    <w:rsid w:val="006E48BB"/>
    <w:rsid w:val="006E4A16"/>
    <w:rsid w:val="006E591A"/>
    <w:rsid w:val="006E6996"/>
    <w:rsid w:val="006F01FF"/>
    <w:rsid w:val="006F0CB2"/>
    <w:rsid w:val="006F153C"/>
    <w:rsid w:val="006F1DE9"/>
    <w:rsid w:val="006F2046"/>
    <w:rsid w:val="006F2F59"/>
    <w:rsid w:val="006F311E"/>
    <w:rsid w:val="006F3442"/>
    <w:rsid w:val="006F36A5"/>
    <w:rsid w:val="006F41F4"/>
    <w:rsid w:val="006F4576"/>
    <w:rsid w:val="006F4B20"/>
    <w:rsid w:val="006F5813"/>
    <w:rsid w:val="006F59A8"/>
    <w:rsid w:val="006F5A1D"/>
    <w:rsid w:val="006F5AA6"/>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AB9"/>
    <w:rsid w:val="00722BC6"/>
    <w:rsid w:val="00722C69"/>
    <w:rsid w:val="0072388C"/>
    <w:rsid w:val="00723E8D"/>
    <w:rsid w:val="00724FE4"/>
    <w:rsid w:val="00725447"/>
    <w:rsid w:val="007263A2"/>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38F"/>
    <w:rsid w:val="007364A3"/>
    <w:rsid w:val="00736DF3"/>
    <w:rsid w:val="007378FD"/>
    <w:rsid w:val="007403FE"/>
    <w:rsid w:val="007413EB"/>
    <w:rsid w:val="00741E41"/>
    <w:rsid w:val="00741E6E"/>
    <w:rsid w:val="00742D32"/>
    <w:rsid w:val="00742E9B"/>
    <w:rsid w:val="007444E6"/>
    <w:rsid w:val="00745230"/>
    <w:rsid w:val="00745262"/>
    <w:rsid w:val="007457D2"/>
    <w:rsid w:val="0074592C"/>
    <w:rsid w:val="00745DB5"/>
    <w:rsid w:val="00746098"/>
    <w:rsid w:val="00746D58"/>
    <w:rsid w:val="00746E66"/>
    <w:rsid w:val="00747578"/>
    <w:rsid w:val="00751073"/>
    <w:rsid w:val="00751AF2"/>
    <w:rsid w:val="00751BD2"/>
    <w:rsid w:val="00751F23"/>
    <w:rsid w:val="00751FAA"/>
    <w:rsid w:val="00752188"/>
    <w:rsid w:val="00752CC6"/>
    <w:rsid w:val="00753938"/>
    <w:rsid w:val="007543CE"/>
    <w:rsid w:val="0075497E"/>
    <w:rsid w:val="00754A29"/>
    <w:rsid w:val="00754A87"/>
    <w:rsid w:val="007552A0"/>
    <w:rsid w:val="00755646"/>
    <w:rsid w:val="00755861"/>
    <w:rsid w:val="00755989"/>
    <w:rsid w:val="00755BCF"/>
    <w:rsid w:val="00756100"/>
    <w:rsid w:val="00756C5F"/>
    <w:rsid w:val="00756D69"/>
    <w:rsid w:val="00756E20"/>
    <w:rsid w:val="00757029"/>
    <w:rsid w:val="0075787C"/>
    <w:rsid w:val="007602D4"/>
    <w:rsid w:val="007607D0"/>
    <w:rsid w:val="00760D96"/>
    <w:rsid w:val="0076124A"/>
    <w:rsid w:val="0076161B"/>
    <w:rsid w:val="00761CB5"/>
    <w:rsid w:val="0076216B"/>
    <w:rsid w:val="00762547"/>
    <w:rsid w:val="00763137"/>
    <w:rsid w:val="00763F8B"/>
    <w:rsid w:val="0076417E"/>
    <w:rsid w:val="007646F7"/>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77851"/>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54A"/>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100"/>
    <w:rsid w:val="007A0789"/>
    <w:rsid w:val="007A130E"/>
    <w:rsid w:val="007A18B1"/>
    <w:rsid w:val="007A1BBD"/>
    <w:rsid w:val="007A1F08"/>
    <w:rsid w:val="007A25FA"/>
    <w:rsid w:val="007A317F"/>
    <w:rsid w:val="007A3520"/>
    <w:rsid w:val="007A3604"/>
    <w:rsid w:val="007A3878"/>
    <w:rsid w:val="007A3D85"/>
    <w:rsid w:val="007A3E0D"/>
    <w:rsid w:val="007A436D"/>
    <w:rsid w:val="007A4D24"/>
    <w:rsid w:val="007A54F6"/>
    <w:rsid w:val="007A572A"/>
    <w:rsid w:val="007A5950"/>
    <w:rsid w:val="007A633F"/>
    <w:rsid w:val="007A6D91"/>
    <w:rsid w:val="007A7618"/>
    <w:rsid w:val="007A7823"/>
    <w:rsid w:val="007A7F61"/>
    <w:rsid w:val="007B02C7"/>
    <w:rsid w:val="007B0306"/>
    <w:rsid w:val="007B08E4"/>
    <w:rsid w:val="007B0D86"/>
    <w:rsid w:val="007B1476"/>
    <w:rsid w:val="007B28C3"/>
    <w:rsid w:val="007B3A8E"/>
    <w:rsid w:val="007B3C9B"/>
    <w:rsid w:val="007B3EA0"/>
    <w:rsid w:val="007B4271"/>
    <w:rsid w:val="007B497D"/>
    <w:rsid w:val="007B4EE9"/>
    <w:rsid w:val="007B54C7"/>
    <w:rsid w:val="007B5DC5"/>
    <w:rsid w:val="007B5F32"/>
    <w:rsid w:val="007B63FC"/>
    <w:rsid w:val="007B6708"/>
    <w:rsid w:val="007B6E8D"/>
    <w:rsid w:val="007B78A3"/>
    <w:rsid w:val="007C0076"/>
    <w:rsid w:val="007C029E"/>
    <w:rsid w:val="007C0636"/>
    <w:rsid w:val="007C10E4"/>
    <w:rsid w:val="007C17B4"/>
    <w:rsid w:val="007C21C5"/>
    <w:rsid w:val="007C2229"/>
    <w:rsid w:val="007C3572"/>
    <w:rsid w:val="007C3590"/>
    <w:rsid w:val="007C387A"/>
    <w:rsid w:val="007C43D6"/>
    <w:rsid w:val="007C47FF"/>
    <w:rsid w:val="007C57D9"/>
    <w:rsid w:val="007C59F3"/>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0DF"/>
    <w:rsid w:val="007E1242"/>
    <w:rsid w:val="007E23A1"/>
    <w:rsid w:val="007E259F"/>
    <w:rsid w:val="007E2C23"/>
    <w:rsid w:val="007E5306"/>
    <w:rsid w:val="007E54B8"/>
    <w:rsid w:val="007E5D12"/>
    <w:rsid w:val="007E677F"/>
    <w:rsid w:val="007E6B25"/>
    <w:rsid w:val="007F0811"/>
    <w:rsid w:val="007F152D"/>
    <w:rsid w:val="007F20EE"/>
    <w:rsid w:val="007F2821"/>
    <w:rsid w:val="007F30C6"/>
    <w:rsid w:val="007F4318"/>
    <w:rsid w:val="007F4709"/>
    <w:rsid w:val="007F47DA"/>
    <w:rsid w:val="007F4B43"/>
    <w:rsid w:val="007F4E52"/>
    <w:rsid w:val="007F4F84"/>
    <w:rsid w:val="007F55A4"/>
    <w:rsid w:val="007F5A48"/>
    <w:rsid w:val="007F5F4D"/>
    <w:rsid w:val="007F6260"/>
    <w:rsid w:val="007F6343"/>
    <w:rsid w:val="007F682B"/>
    <w:rsid w:val="007F6EE5"/>
    <w:rsid w:val="007F7D4F"/>
    <w:rsid w:val="00800509"/>
    <w:rsid w:val="00800725"/>
    <w:rsid w:val="00800B7F"/>
    <w:rsid w:val="00800C77"/>
    <w:rsid w:val="0080348B"/>
    <w:rsid w:val="00803D82"/>
    <w:rsid w:val="00803D98"/>
    <w:rsid w:val="008052CE"/>
    <w:rsid w:val="0080694A"/>
    <w:rsid w:val="00806CD6"/>
    <w:rsid w:val="0080705B"/>
    <w:rsid w:val="0080723C"/>
    <w:rsid w:val="00807F71"/>
    <w:rsid w:val="0081000F"/>
    <w:rsid w:val="008121A0"/>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1D6"/>
    <w:rsid w:val="0083257C"/>
    <w:rsid w:val="0083261B"/>
    <w:rsid w:val="00832B44"/>
    <w:rsid w:val="00832EC9"/>
    <w:rsid w:val="00833307"/>
    <w:rsid w:val="00833583"/>
    <w:rsid w:val="00833B5B"/>
    <w:rsid w:val="00833E9A"/>
    <w:rsid w:val="008346CA"/>
    <w:rsid w:val="00834FEF"/>
    <w:rsid w:val="00836323"/>
    <w:rsid w:val="00837E9B"/>
    <w:rsid w:val="00840002"/>
    <w:rsid w:val="008404AA"/>
    <w:rsid w:val="008406D7"/>
    <w:rsid w:val="0084074F"/>
    <w:rsid w:val="00840AAC"/>
    <w:rsid w:val="0084181B"/>
    <w:rsid w:val="00841F29"/>
    <w:rsid w:val="008425CC"/>
    <w:rsid w:val="00842D99"/>
    <w:rsid w:val="00843BE2"/>
    <w:rsid w:val="008440C9"/>
    <w:rsid w:val="00844B4F"/>
    <w:rsid w:val="008451EB"/>
    <w:rsid w:val="00845EC1"/>
    <w:rsid w:val="008465B4"/>
    <w:rsid w:val="00846D22"/>
    <w:rsid w:val="00846D25"/>
    <w:rsid w:val="00846F14"/>
    <w:rsid w:val="0084759C"/>
    <w:rsid w:val="00850013"/>
    <w:rsid w:val="008500DD"/>
    <w:rsid w:val="00850191"/>
    <w:rsid w:val="00851773"/>
    <w:rsid w:val="00851E96"/>
    <w:rsid w:val="00852FA5"/>
    <w:rsid w:val="00853F7D"/>
    <w:rsid w:val="0085517F"/>
    <w:rsid w:val="0085562D"/>
    <w:rsid w:val="00855A78"/>
    <w:rsid w:val="00855C7B"/>
    <w:rsid w:val="00856154"/>
    <w:rsid w:val="00856286"/>
    <w:rsid w:val="0085657E"/>
    <w:rsid w:val="008576B0"/>
    <w:rsid w:val="0086003A"/>
    <w:rsid w:val="00860086"/>
    <w:rsid w:val="00860296"/>
    <w:rsid w:val="00860DA4"/>
    <w:rsid w:val="00860E97"/>
    <w:rsid w:val="00861390"/>
    <w:rsid w:val="0086192E"/>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D8E"/>
    <w:rsid w:val="008700C0"/>
    <w:rsid w:val="0087099A"/>
    <w:rsid w:val="00870D79"/>
    <w:rsid w:val="00871333"/>
    <w:rsid w:val="008716BA"/>
    <w:rsid w:val="00872386"/>
    <w:rsid w:val="008726D7"/>
    <w:rsid w:val="00872E9D"/>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2650"/>
    <w:rsid w:val="00883BF9"/>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6EF4"/>
    <w:rsid w:val="008972B6"/>
    <w:rsid w:val="00897339"/>
    <w:rsid w:val="00897697"/>
    <w:rsid w:val="008977E1"/>
    <w:rsid w:val="008979B5"/>
    <w:rsid w:val="008A0044"/>
    <w:rsid w:val="008A0BFE"/>
    <w:rsid w:val="008A1932"/>
    <w:rsid w:val="008A2020"/>
    <w:rsid w:val="008A21D9"/>
    <w:rsid w:val="008A26A5"/>
    <w:rsid w:val="008A2A95"/>
    <w:rsid w:val="008A3182"/>
    <w:rsid w:val="008A34CD"/>
    <w:rsid w:val="008A3710"/>
    <w:rsid w:val="008A3D54"/>
    <w:rsid w:val="008A411C"/>
    <w:rsid w:val="008A47CE"/>
    <w:rsid w:val="008A4D74"/>
    <w:rsid w:val="008A5933"/>
    <w:rsid w:val="008A5F2F"/>
    <w:rsid w:val="008A668F"/>
    <w:rsid w:val="008A67E5"/>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D789C"/>
    <w:rsid w:val="008E0E86"/>
    <w:rsid w:val="008E0EE4"/>
    <w:rsid w:val="008E1C24"/>
    <w:rsid w:val="008E2626"/>
    <w:rsid w:val="008E27A9"/>
    <w:rsid w:val="008E323C"/>
    <w:rsid w:val="008E35A6"/>
    <w:rsid w:val="008E36D9"/>
    <w:rsid w:val="008E3A5C"/>
    <w:rsid w:val="008E3A9A"/>
    <w:rsid w:val="008E429E"/>
    <w:rsid w:val="008E4412"/>
    <w:rsid w:val="008E4436"/>
    <w:rsid w:val="008E5938"/>
    <w:rsid w:val="008E5D2F"/>
    <w:rsid w:val="008E78A4"/>
    <w:rsid w:val="008F1D99"/>
    <w:rsid w:val="008F1E3D"/>
    <w:rsid w:val="008F2F11"/>
    <w:rsid w:val="008F32AD"/>
    <w:rsid w:val="008F33A6"/>
    <w:rsid w:val="008F35EC"/>
    <w:rsid w:val="008F3D7D"/>
    <w:rsid w:val="008F4FE8"/>
    <w:rsid w:val="008F4FED"/>
    <w:rsid w:val="008F5AAB"/>
    <w:rsid w:val="008F6200"/>
    <w:rsid w:val="008F62F8"/>
    <w:rsid w:val="008F6893"/>
    <w:rsid w:val="008F7292"/>
    <w:rsid w:val="009000F2"/>
    <w:rsid w:val="009000F6"/>
    <w:rsid w:val="0090079D"/>
    <w:rsid w:val="0090086A"/>
    <w:rsid w:val="00900D2C"/>
    <w:rsid w:val="00900FB2"/>
    <w:rsid w:val="00901807"/>
    <w:rsid w:val="00901945"/>
    <w:rsid w:val="00901F0E"/>
    <w:rsid w:val="0090274F"/>
    <w:rsid w:val="0090408F"/>
    <w:rsid w:val="009043B7"/>
    <w:rsid w:val="0090446A"/>
    <w:rsid w:val="00904A14"/>
    <w:rsid w:val="00904DC3"/>
    <w:rsid w:val="00905469"/>
    <w:rsid w:val="00905B0C"/>
    <w:rsid w:val="0090629C"/>
    <w:rsid w:val="009069FD"/>
    <w:rsid w:val="00906EA2"/>
    <w:rsid w:val="00907278"/>
    <w:rsid w:val="009077DC"/>
    <w:rsid w:val="00907BFD"/>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64F"/>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9BA"/>
    <w:rsid w:val="00936EA5"/>
    <w:rsid w:val="00937114"/>
    <w:rsid w:val="00937379"/>
    <w:rsid w:val="00937FD4"/>
    <w:rsid w:val="0094015D"/>
    <w:rsid w:val="009418D4"/>
    <w:rsid w:val="00941B13"/>
    <w:rsid w:val="009441DB"/>
    <w:rsid w:val="00944834"/>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6BF6"/>
    <w:rsid w:val="0095702E"/>
    <w:rsid w:val="00957409"/>
    <w:rsid w:val="00957499"/>
    <w:rsid w:val="009577C2"/>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404"/>
    <w:rsid w:val="0097262E"/>
    <w:rsid w:val="0097293F"/>
    <w:rsid w:val="009734C2"/>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56A4"/>
    <w:rsid w:val="0098764E"/>
    <w:rsid w:val="00987826"/>
    <w:rsid w:val="00987B4F"/>
    <w:rsid w:val="00987D58"/>
    <w:rsid w:val="009906D4"/>
    <w:rsid w:val="00990EB7"/>
    <w:rsid w:val="00990F5F"/>
    <w:rsid w:val="009911A7"/>
    <w:rsid w:val="009912AF"/>
    <w:rsid w:val="009913B8"/>
    <w:rsid w:val="009914E4"/>
    <w:rsid w:val="00991C92"/>
    <w:rsid w:val="00991EE0"/>
    <w:rsid w:val="00992141"/>
    <w:rsid w:val="00992DC6"/>
    <w:rsid w:val="00993135"/>
    <w:rsid w:val="00993AC7"/>
    <w:rsid w:val="00993BAD"/>
    <w:rsid w:val="00993E49"/>
    <w:rsid w:val="009942F5"/>
    <w:rsid w:val="0099461F"/>
    <w:rsid w:val="00994819"/>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362"/>
    <w:rsid w:val="009B152B"/>
    <w:rsid w:val="009B1DAD"/>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DF6"/>
    <w:rsid w:val="009D4E4A"/>
    <w:rsid w:val="009D5130"/>
    <w:rsid w:val="009D53D1"/>
    <w:rsid w:val="009D53FB"/>
    <w:rsid w:val="009D5B2B"/>
    <w:rsid w:val="009D5D6E"/>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451"/>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F6F"/>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6C3"/>
    <w:rsid w:val="00A06FB9"/>
    <w:rsid w:val="00A07829"/>
    <w:rsid w:val="00A07C42"/>
    <w:rsid w:val="00A07F53"/>
    <w:rsid w:val="00A102F8"/>
    <w:rsid w:val="00A10A20"/>
    <w:rsid w:val="00A10FDE"/>
    <w:rsid w:val="00A117D5"/>
    <w:rsid w:val="00A11984"/>
    <w:rsid w:val="00A11FB1"/>
    <w:rsid w:val="00A131F5"/>
    <w:rsid w:val="00A133C1"/>
    <w:rsid w:val="00A13414"/>
    <w:rsid w:val="00A13F2D"/>
    <w:rsid w:val="00A1475E"/>
    <w:rsid w:val="00A14F81"/>
    <w:rsid w:val="00A1535F"/>
    <w:rsid w:val="00A15A98"/>
    <w:rsid w:val="00A15CB1"/>
    <w:rsid w:val="00A15E84"/>
    <w:rsid w:val="00A16021"/>
    <w:rsid w:val="00A176DD"/>
    <w:rsid w:val="00A20FAD"/>
    <w:rsid w:val="00A2252B"/>
    <w:rsid w:val="00A22C3E"/>
    <w:rsid w:val="00A22C4D"/>
    <w:rsid w:val="00A23442"/>
    <w:rsid w:val="00A236A2"/>
    <w:rsid w:val="00A249D2"/>
    <w:rsid w:val="00A254AB"/>
    <w:rsid w:val="00A25674"/>
    <w:rsid w:val="00A266CC"/>
    <w:rsid w:val="00A26DB4"/>
    <w:rsid w:val="00A27425"/>
    <w:rsid w:val="00A27478"/>
    <w:rsid w:val="00A3023E"/>
    <w:rsid w:val="00A305C5"/>
    <w:rsid w:val="00A30919"/>
    <w:rsid w:val="00A31F05"/>
    <w:rsid w:val="00A31FD2"/>
    <w:rsid w:val="00A3404D"/>
    <w:rsid w:val="00A341AB"/>
    <w:rsid w:val="00A34290"/>
    <w:rsid w:val="00A355F9"/>
    <w:rsid w:val="00A35AA9"/>
    <w:rsid w:val="00A35FBC"/>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79"/>
    <w:rsid w:val="00A504F4"/>
    <w:rsid w:val="00A508AA"/>
    <w:rsid w:val="00A50E79"/>
    <w:rsid w:val="00A526CE"/>
    <w:rsid w:val="00A52A11"/>
    <w:rsid w:val="00A53B6E"/>
    <w:rsid w:val="00A5416E"/>
    <w:rsid w:val="00A54DC0"/>
    <w:rsid w:val="00A550C9"/>
    <w:rsid w:val="00A55228"/>
    <w:rsid w:val="00A55A04"/>
    <w:rsid w:val="00A55B20"/>
    <w:rsid w:val="00A564DE"/>
    <w:rsid w:val="00A604EC"/>
    <w:rsid w:val="00A6054E"/>
    <w:rsid w:val="00A60799"/>
    <w:rsid w:val="00A61B7F"/>
    <w:rsid w:val="00A61B91"/>
    <w:rsid w:val="00A62666"/>
    <w:rsid w:val="00A629CA"/>
    <w:rsid w:val="00A63016"/>
    <w:rsid w:val="00A63335"/>
    <w:rsid w:val="00A63685"/>
    <w:rsid w:val="00A639D2"/>
    <w:rsid w:val="00A642E7"/>
    <w:rsid w:val="00A645AC"/>
    <w:rsid w:val="00A64CC1"/>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002"/>
    <w:rsid w:val="00A765B1"/>
    <w:rsid w:val="00A772F2"/>
    <w:rsid w:val="00A77828"/>
    <w:rsid w:val="00A77C72"/>
    <w:rsid w:val="00A80089"/>
    <w:rsid w:val="00A800F9"/>
    <w:rsid w:val="00A8073D"/>
    <w:rsid w:val="00A80D02"/>
    <w:rsid w:val="00A8257F"/>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1712"/>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2C75"/>
    <w:rsid w:val="00B038F1"/>
    <w:rsid w:val="00B03C1B"/>
    <w:rsid w:val="00B04678"/>
    <w:rsid w:val="00B04A04"/>
    <w:rsid w:val="00B04C37"/>
    <w:rsid w:val="00B04F00"/>
    <w:rsid w:val="00B05BA6"/>
    <w:rsid w:val="00B062FE"/>
    <w:rsid w:val="00B066FE"/>
    <w:rsid w:val="00B06912"/>
    <w:rsid w:val="00B10B04"/>
    <w:rsid w:val="00B10CC6"/>
    <w:rsid w:val="00B11A61"/>
    <w:rsid w:val="00B12082"/>
    <w:rsid w:val="00B1219A"/>
    <w:rsid w:val="00B1278A"/>
    <w:rsid w:val="00B13389"/>
    <w:rsid w:val="00B1364C"/>
    <w:rsid w:val="00B13BB7"/>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590"/>
    <w:rsid w:val="00B236D3"/>
    <w:rsid w:val="00B239CD"/>
    <w:rsid w:val="00B241D5"/>
    <w:rsid w:val="00B24BE9"/>
    <w:rsid w:val="00B25956"/>
    <w:rsid w:val="00B25F8C"/>
    <w:rsid w:val="00B260BE"/>
    <w:rsid w:val="00B26677"/>
    <w:rsid w:val="00B269D0"/>
    <w:rsid w:val="00B26A96"/>
    <w:rsid w:val="00B274E3"/>
    <w:rsid w:val="00B27542"/>
    <w:rsid w:val="00B2765C"/>
    <w:rsid w:val="00B27C4B"/>
    <w:rsid w:val="00B30563"/>
    <w:rsid w:val="00B3062A"/>
    <w:rsid w:val="00B30A76"/>
    <w:rsid w:val="00B310C3"/>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382A"/>
    <w:rsid w:val="00B448BF"/>
    <w:rsid w:val="00B44FB8"/>
    <w:rsid w:val="00B452BF"/>
    <w:rsid w:val="00B45A59"/>
    <w:rsid w:val="00B45F9F"/>
    <w:rsid w:val="00B4627C"/>
    <w:rsid w:val="00B46793"/>
    <w:rsid w:val="00B46953"/>
    <w:rsid w:val="00B47455"/>
    <w:rsid w:val="00B47979"/>
    <w:rsid w:val="00B47A59"/>
    <w:rsid w:val="00B5029E"/>
    <w:rsid w:val="00B503D6"/>
    <w:rsid w:val="00B50CDB"/>
    <w:rsid w:val="00B51520"/>
    <w:rsid w:val="00B515C3"/>
    <w:rsid w:val="00B517C2"/>
    <w:rsid w:val="00B518CE"/>
    <w:rsid w:val="00B51F56"/>
    <w:rsid w:val="00B52234"/>
    <w:rsid w:val="00B523D8"/>
    <w:rsid w:val="00B53623"/>
    <w:rsid w:val="00B53D1D"/>
    <w:rsid w:val="00B53E7A"/>
    <w:rsid w:val="00B53E98"/>
    <w:rsid w:val="00B53F9B"/>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679D4"/>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52"/>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0E1D"/>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1E26"/>
    <w:rsid w:val="00BC2293"/>
    <w:rsid w:val="00BC25D1"/>
    <w:rsid w:val="00BC335E"/>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1F01"/>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988"/>
    <w:rsid w:val="00BE3B14"/>
    <w:rsid w:val="00BE3C65"/>
    <w:rsid w:val="00BE400D"/>
    <w:rsid w:val="00BE472D"/>
    <w:rsid w:val="00BE49A7"/>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14D"/>
    <w:rsid w:val="00C0661C"/>
    <w:rsid w:val="00C0675F"/>
    <w:rsid w:val="00C06B14"/>
    <w:rsid w:val="00C0702A"/>
    <w:rsid w:val="00C0724C"/>
    <w:rsid w:val="00C07C11"/>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22D2"/>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274FD"/>
    <w:rsid w:val="00C30B0B"/>
    <w:rsid w:val="00C316B4"/>
    <w:rsid w:val="00C31F3A"/>
    <w:rsid w:val="00C332D4"/>
    <w:rsid w:val="00C33E51"/>
    <w:rsid w:val="00C33EF8"/>
    <w:rsid w:val="00C34A50"/>
    <w:rsid w:val="00C34C45"/>
    <w:rsid w:val="00C34C47"/>
    <w:rsid w:val="00C36272"/>
    <w:rsid w:val="00C3701A"/>
    <w:rsid w:val="00C373A1"/>
    <w:rsid w:val="00C40589"/>
    <w:rsid w:val="00C405C8"/>
    <w:rsid w:val="00C40B47"/>
    <w:rsid w:val="00C40C2F"/>
    <w:rsid w:val="00C4115B"/>
    <w:rsid w:val="00C415AC"/>
    <w:rsid w:val="00C41BD4"/>
    <w:rsid w:val="00C4297A"/>
    <w:rsid w:val="00C42B6A"/>
    <w:rsid w:val="00C4360C"/>
    <w:rsid w:val="00C43A0B"/>
    <w:rsid w:val="00C43EDA"/>
    <w:rsid w:val="00C4414C"/>
    <w:rsid w:val="00C443F7"/>
    <w:rsid w:val="00C44606"/>
    <w:rsid w:val="00C45512"/>
    <w:rsid w:val="00C4557C"/>
    <w:rsid w:val="00C4602B"/>
    <w:rsid w:val="00C46564"/>
    <w:rsid w:val="00C46639"/>
    <w:rsid w:val="00C46762"/>
    <w:rsid w:val="00C47203"/>
    <w:rsid w:val="00C5060B"/>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5779D"/>
    <w:rsid w:val="00C6029A"/>
    <w:rsid w:val="00C6044C"/>
    <w:rsid w:val="00C61223"/>
    <w:rsid w:val="00C61246"/>
    <w:rsid w:val="00C61460"/>
    <w:rsid w:val="00C618A8"/>
    <w:rsid w:val="00C61A78"/>
    <w:rsid w:val="00C61B5F"/>
    <w:rsid w:val="00C62056"/>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48"/>
    <w:rsid w:val="00C72588"/>
    <w:rsid w:val="00C727B9"/>
    <w:rsid w:val="00C73670"/>
    <w:rsid w:val="00C737D1"/>
    <w:rsid w:val="00C739F6"/>
    <w:rsid w:val="00C73DE0"/>
    <w:rsid w:val="00C74609"/>
    <w:rsid w:val="00C749AB"/>
    <w:rsid w:val="00C75302"/>
    <w:rsid w:val="00C7563F"/>
    <w:rsid w:val="00C75A8F"/>
    <w:rsid w:val="00C75E18"/>
    <w:rsid w:val="00C76C0C"/>
    <w:rsid w:val="00C776BA"/>
    <w:rsid w:val="00C776CE"/>
    <w:rsid w:val="00C77E23"/>
    <w:rsid w:val="00C81716"/>
    <w:rsid w:val="00C81FE1"/>
    <w:rsid w:val="00C832CB"/>
    <w:rsid w:val="00C84085"/>
    <w:rsid w:val="00C840E0"/>
    <w:rsid w:val="00C85E17"/>
    <w:rsid w:val="00C868A7"/>
    <w:rsid w:val="00C87070"/>
    <w:rsid w:val="00C87164"/>
    <w:rsid w:val="00C87BD0"/>
    <w:rsid w:val="00C905E5"/>
    <w:rsid w:val="00C90754"/>
    <w:rsid w:val="00C90B95"/>
    <w:rsid w:val="00C90BC4"/>
    <w:rsid w:val="00C90CA9"/>
    <w:rsid w:val="00C90E2C"/>
    <w:rsid w:val="00C92E41"/>
    <w:rsid w:val="00C92E89"/>
    <w:rsid w:val="00C92F62"/>
    <w:rsid w:val="00C93097"/>
    <w:rsid w:val="00C93B40"/>
    <w:rsid w:val="00C93DB5"/>
    <w:rsid w:val="00C94CB9"/>
    <w:rsid w:val="00C94F2B"/>
    <w:rsid w:val="00C95C2F"/>
    <w:rsid w:val="00C95E6E"/>
    <w:rsid w:val="00C95F87"/>
    <w:rsid w:val="00C968EF"/>
    <w:rsid w:val="00CA0492"/>
    <w:rsid w:val="00CA0A04"/>
    <w:rsid w:val="00CA1CE1"/>
    <w:rsid w:val="00CA2528"/>
    <w:rsid w:val="00CA288E"/>
    <w:rsid w:val="00CA3232"/>
    <w:rsid w:val="00CA3A65"/>
    <w:rsid w:val="00CA3CAB"/>
    <w:rsid w:val="00CA3FC0"/>
    <w:rsid w:val="00CA46E9"/>
    <w:rsid w:val="00CA6A2E"/>
    <w:rsid w:val="00CA7809"/>
    <w:rsid w:val="00CA7D3E"/>
    <w:rsid w:val="00CB0317"/>
    <w:rsid w:val="00CB0662"/>
    <w:rsid w:val="00CB0A82"/>
    <w:rsid w:val="00CB0EE4"/>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64E"/>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D7DFC"/>
    <w:rsid w:val="00CE0697"/>
    <w:rsid w:val="00CE0ECB"/>
    <w:rsid w:val="00CE2E2E"/>
    <w:rsid w:val="00CE3A51"/>
    <w:rsid w:val="00CE41F9"/>
    <w:rsid w:val="00CE4ED0"/>
    <w:rsid w:val="00CE5553"/>
    <w:rsid w:val="00CE56B8"/>
    <w:rsid w:val="00CE59F6"/>
    <w:rsid w:val="00CE66CD"/>
    <w:rsid w:val="00CE6BA9"/>
    <w:rsid w:val="00CE71C3"/>
    <w:rsid w:val="00CE7453"/>
    <w:rsid w:val="00CF0AF0"/>
    <w:rsid w:val="00CF157E"/>
    <w:rsid w:val="00CF1834"/>
    <w:rsid w:val="00CF1AAA"/>
    <w:rsid w:val="00CF1CE0"/>
    <w:rsid w:val="00CF1EC2"/>
    <w:rsid w:val="00CF2ACF"/>
    <w:rsid w:val="00CF345B"/>
    <w:rsid w:val="00CF46B9"/>
    <w:rsid w:val="00CF475F"/>
    <w:rsid w:val="00CF5008"/>
    <w:rsid w:val="00CF5069"/>
    <w:rsid w:val="00CF56B1"/>
    <w:rsid w:val="00CF5E34"/>
    <w:rsid w:val="00CF667E"/>
    <w:rsid w:val="00CF7385"/>
    <w:rsid w:val="00CF7B77"/>
    <w:rsid w:val="00CF7DF5"/>
    <w:rsid w:val="00D01897"/>
    <w:rsid w:val="00D01C22"/>
    <w:rsid w:val="00D0352D"/>
    <w:rsid w:val="00D03F7C"/>
    <w:rsid w:val="00D04406"/>
    <w:rsid w:val="00D0454D"/>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B4B"/>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FD1"/>
    <w:rsid w:val="00D210EE"/>
    <w:rsid w:val="00D21E6F"/>
    <w:rsid w:val="00D230DE"/>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95"/>
    <w:rsid w:val="00D331CB"/>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490A"/>
    <w:rsid w:val="00D45DDC"/>
    <w:rsid w:val="00D4752E"/>
    <w:rsid w:val="00D5064C"/>
    <w:rsid w:val="00D50C94"/>
    <w:rsid w:val="00D5251C"/>
    <w:rsid w:val="00D525B8"/>
    <w:rsid w:val="00D52F56"/>
    <w:rsid w:val="00D539DA"/>
    <w:rsid w:val="00D54040"/>
    <w:rsid w:val="00D54A50"/>
    <w:rsid w:val="00D5538D"/>
    <w:rsid w:val="00D5556D"/>
    <w:rsid w:val="00D55C81"/>
    <w:rsid w:val="00D5674B"/>
    <w:rsid w:val="00D56AA2"/>
    <w:rsid w:val="00D56B56"/>
    <w:rsid w:val="00D56BF5"/>
    <w:rsid w:val="00D56CC3"/>
    <w:rsid w:val="00D56F99"/>
    <w:rsid w:val="00D5714C"/>
    <w:rsid w:val="00D5743F"/>
    <w:rsid w:val="00D57CB2"/>
    <w:rsid w:val="00D605C2"/>
    <w:rsid w:val="00D60733"/>
    <w:rsid w:val="00D61E1D"/>
    <w:rsid w:val="00D626FA"/>
    <w:rsid w:val="00D629A4"/>
    <w:rsid w:val="00D62BDF"/>
    <w:rsid w:val="00D6312D"/>
    <w:rsid w:val="00D6384A"/>
    <w:rsid w:val="00D64F1C"/>
    <w:rsid w:val="00D651CE"/>
    <w:rsid w:val="00D6570C"/>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77D96"/>
    <w:rsid w:val="00D804C5"/>
    <w:rsid w:val="00D806C2"/>
    <w:rsid w:val="00D80FDE"/>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803"/>
    <w:rsid w:val="00D92A87"/>
    <w:rsid w:val="00D9384E"/>
    <w:rsid w:val="00D93862"/>
    <w:rsid w:val="00D93AEE"/>
    <w:rsid w:val="00D9413E"/>
    <w:rsid w:val="00D94C8D"/>
    <w:rsid w:val="00D96698"/>
    <w:rsid w:val="00D96876"/>
    <w:rsid w:val="00D968D6"/>
    <w:rsid w:val="00D96940"/>
    <w:rsid w:val="00D969AD"/>
    <w:rsid w:val="00D96B12"/>
    <w:rsid w:val="00D96F59"/>
    <w:rsid w:val="00D971FC"/>
    <w:rsid w:val="00DA01DC"/>
    <w:rsid w:val="00DA099C"/>
    <w:rsid w:val="00DA0A93"/>
    <w:rsid w:val="00DA0F18"/>
    <w:rsid w:val="00DA1BCC"/>
    <w:rsid w:val="00DA2125"/>
    <w:rsid w:val="00DA21EC"/>
    <w:rsid w:val="00DA24DE"/>
    <w:rsid w:val="00DA270C"/>
    <w:rsid w:val="00DA281F"/>
    <w:rsid w:val="00DA4A61"/>
    <w:rsid w:val="00DA5EAC"/>
    <w:rsid w:val="00DA61AB"/>
    <w:rsid w:val="00DA61CD"/>
    <w:rsid w:val="00DA65F4"/>
    <w:rsid w:val="00DA6BCE"/>
    <w:rsid w:val="00DA6EE2"/>
    <w:rsid w:val="00DA78CF"/>
    <w:rsid w:val="00DA78D5"/>
    <w:rsid w:val="00DA7A89"/>
    <w:rsid w:val="00DA7BF4"/>
    <w:rsid w:val="00DA7D1E"/>
    <w:rsid w:val="00DB00F7"/>
    <w:rsid w:val="00DB0208"/>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2A8D"/>
    <w:rsid w:val="00DD42DE"/>
    <w:rsid w:val="00DD4309"/>
    <w:rsid w:val="00DD4344"/>
    <w:rsid w:val="00DD573B"/>
    <w:rsid w:val="00DD5A1E"/>
    <w:rsid w:val="00DD5B8C"/>
    <w:rsid w:val="00DD5BEE"/>
    <w:rsid w:val="00DD5DFA"/>
    <w:rsid w:val="00DD5F50"/>
    <w:rsid w:val="00DE0229"/>
    <w:rsid w:val="00DE08D3"/>
    <w:rsid w:val="00DE1326"/>
    <w:rsid w:val="00DE148C"/>
    <w:rsid w:val="00DE1A9D"/>
    <w:rsid w:val="00DE1CB1"/>
    <w:rsid w:val="00DE2073"/>
    <w:rsid w:val="00DE29A6"/>
    <w:rsid w:val="00DE2B27"/>
    <w:rsid w:val="00DE30AC"/>
    <w:rsid w:val="00DE4106"/>
    <w:rsid w:val="00DE466B"/>
    <w:rsid w:val="00DE48F4"/>
    <w:rsid w:val="00DE5563"/>
    <w:rsid w:val="00DE5C78"/>
    <w:rsid w:val="00DE5D48"/>
    <w:rsid w:val="00DE6A47"/>
    <w:rsid w:val="00DE6E4D"/>
    <w:rsid w:val="00DE7371"/>
    <w:rsid w:val="00DE7498"/>
    <w:rsid w:val="00DE75EF"/>
    <w:rsid w:val="00DE7611"/>
    <w:rsid w:val="00DE78C1"/>
    <w:rsid w:val="00DF05A0"/>
    <w:rsid w:val="00DF1509"/>
    <w:rsid w:val="00DF1BA8"/>
    <w:rsid w:val="00DF1F63"/>
    <w:rsid w:val="00DF28F2"/>
    <w:rsid w:val="00DF28FD"/>
    <w:rsid w:val="00DF2BFF"/>
    <w:rsid w:val="00DF3798"/>
    <w:rsid w:val="00DF4FF1"/>
    <w:rsid w:val="00DF6FD2"/>
    <w:rsid w:val="00DF72EF"/>
    <w:rsid w:val="00DF7724"/>
    <w:rsid w:val="00DF790F"/>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1E30"/>
    <w:rsid w:val="00E31F0B"/>
    <w:rsid w:val="00E333D5"/>
    <w:rsid w:val="00E3394F"/>
    <w:rsid w:val="00E34478"/>
    <w:rsid w:val="00E35A45"/>
    <w:rsid w:val="00E37A6F"/>
    <w:rsid w:val="00E37DFC"/>
    <w:rsid w:val="00E401A6"/>
    <w:rsid w:val="00E40222"/>
    <w:rsid w:val="00E40406"/>
    <w:rsid w:val="00E40BCB"/>
    <w:rsid w:val="00E41DD2"/>
    <w:rsid w:val="00E41F44"/>
    <w:rsid w:val="00E4208F"/>
    <w:rsid w:val="00E43006"/>
    <w:rsid w:val="00E43551"/>
    <w:rsid w:val="00E437FA"/>
    <w:rsid w:val="00E45A2C"/>
    <w:rsid w:val="00E46A9C"/>
    <w:rsid w:val="00E47010"/>
    <w:rsid w:val="00E47480"/>
    <w:rsid w:val="00E50BDD"/>
    <w:rsid w:val="00E50C25"/>
    <w:rsid w:val="00E50DF3"/>
    <w:rsid w:val="00E510CF"/>
    <w:rsid w:val="00E513D7"/>
    <w:rsid w:val="00E5206C"/>
    <w:rsid w:val="00E52897"/>
    <w:rsid w:val="00E52AAB"/>
    <w:rsid w:val="00E52DF4"/>
    <w:rsid w:val="00E5448E"/>
    <w:rsid w:val="00E54B46"/>
    <w:rsid w:val="00E54E0D"/>
    <w:rsid w:val="00E558E5"/>
    <w:rsid w:val="00E56144"/>
    <w:rsid w:val="00E56769"/>
    <w:rsid w:val="00E56795"/>
    <w:rsid w:val="00E57932"/>
    <w:rsid w:val="00E606C4"/>
    <w:rsid w:val="00E60811"/>
    <w:rsid w:val="00E60AB8"/>
    <w:rsid w:val="00E63C60"/>
    <w:rsid w:val="00E64050"/>
    <w:rsid w:val="00E6514D"/>
    <w:rsid w:val="00E65161"/>
    <w:rsid w:val="00E652C9"/>
    <w:rsid w:val="00E6593B"/>
    <w:rsid w:val="00E672C6"/>
    <w:rsid w:val="00E70192"/>
    <w:rsid w:val="00E703F9"/>
    <w:rsid w:val="00E70669"/>
    <w:rsid w:val="00E71809"/>
    <w:rsid w:val="00E718D0"/>
    <w:rsid w:val="00E71D1E"/>
    <w:rsid w:val="00E728E2"/>
    <w:rsid w:val="00E7353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5CB8"/>
    <w:rsid w:val="00E874BB"/>
    <w:rsid w:val="00E8763F"/>
    <w:rsid w:val="00E879A8"/>
    <w:rsid w:val="00E87AE5"/>
    <w:rsid w:val="00E87CF7"/>
    <w:rsid w:val="00E87E4D"/>
    <w:rsid w:val="00E9026F"/>
    <w:rsid w:val="00E9036E"/>
    <w:rsid w:val="00E9078A"/>
    <w:rsid w:val="00E912FD"/>
    <w:rsid w:val="00E92C6E"/>
    <w:rsid w:val="00E92D0B"/>
    <w:rsid w:val="00E93195"/>
    <w:rsid w:val="00E93F4C"/>
    <w:rsid w:val="00E9519E"/>
    <w:rsid w:val="00E951D8"/>
    <w:rsid w:val="00E95C2A"/>
    <w:rsid w:val="00E961CB"/>
    <w:rsid w:val="00E963BC"/>
    <w:rsid w:val="00E96C02"/>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1F"/>
    <w:rsid w:val="00EB54AB"/>
    <w:rsid w:val="00EB6257"/>
    <w:rsid w:val="00EB68E6"/>
    <w:rsid w:val="00EB71C9"/>
    <w:rsid w:val="00EB76BE"/>
    <w:rsid w:val="00EB7B67"/>
    <w:rsid w:val="00EC07F1"/>
    <w:rsid w:val="00EC1E8A"/>
    <w:rsid w:val="00EC2D53"/>
    <w:rsid w:val="00EC328C"/>
    <w:rsid w:val="00EC5241"/>
    <w:rsid w:val="00EC56E1"/>
    <w:rsid w:val="00EC594C"/>
    <w:rsid w:val="00EC5C7B"/>
    <w:rsid w:val="00EC66AA"/>
    <w:rsid w:val="00EC681C"/>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D4B"/>
    <w:rsid w:val="00EF0FE6"/>
    <w:rsid w:val="00EF10A9"/>
    <w:rsid w:val="00EF12A2"/>
    <w:rsid w:val="00EF1432"/>
    <w:rsid w:val="00EF1511"/>
    <w:rsid w:val="00EF2C5F"/>
    <w:rsid w:val="00EF3AC4"/>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222B"/>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79"/>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49CF"/>
    <w:rsid w:val="00F35208"/>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6DE2"/>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396"/>
    <w:rsid w:val="00F559BE"/>
    <w:rsid w:val="00F561DD"/>
    <w:rsid w:val="00F56FEF"/>
    <w:rsid w:val="00F57521"/>
    <w:rsid w:val="00F60938"/>
    <w:rsid w:val="00F60C7E"/>
    <w:rsid w:val="00F60E0A"/>
    <w:rsid w:val="00F61606"/>
    <w:rsid w:val="00F61918"/>
    <w:rsid w:val="00F61C45"/>
    <w:rsid w:val="00F62066"/>
    <w:rsid w:val="00F62151"/>
    <w:rsid w:val="00F628E2"/>
    <w:rsid w:val="00F62CA8"/>
    <w:rsid w:val="00F630B4"/>
    <w:rsid w:val="00F635EF"/>
    <w:rsid w:val="00F63BF4"/>
    <w:rsid w:val="00F63C55"/>
    <w:rsid w:val="00F63C60"/>
    <w:rsid w:val="00F64991"/>
    <w:rsid w:val="00F65BA9"/>
    <w:rsid w:val="00F65BC8"/>
    <w:rsid w:val="00F66205"/>
    <w:rsid w:val="00F6630F"/>
    <w:rsid w:val="00F66419"/>
    <w:rsid w:val="00F66CEC"/>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5EF8"/>
    <w:rsid w:val="00F86079"/>
    <w:rsid w:val="00F87282"/>
    <w:rsid w:val="00F878CD"/>
    <w:rsid w:val="00F87905"/>
    <w:rsid w:val="00F90C1F"/>
    <w:rsid w:val="00F910AF"/>
    <w:rsid w:val="00F91A44"/>
    <w:rsid w:val="00F9217B"/>
    <w:rsid w:val="00F921AA"/>
    <w:rsid w:val="00F92C56"/>
    <w:rsid w:val="00F941E2"/>
    <w:rsid w:val="00F94745"/>
    <w:rsid w:val="00F94A11"/>
    <w:rsid w:val="00F951DF"/>
    <w:rsid w:val="00F96048"/>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1CF2"/>
    <w:rsid w:val="00FB1FCB"/>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0136"/>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311"/>
    <w:rsid w:val="00FE09BE"/>
    <w:rsid w:val="00FE0AD1"/>
    <w:rsid w:val="00FE1852"/>
    <w:rsid w:val="00FE2532"/>
    <w:rsid w:val="00FE289B"/>
    <w:rsid w:val="00FE32B7"/>
    <w:rsid w:val="00FE33DB"/>
    <w:rsid w:val="00FE33F5"/>
    <w:rsid w:val="00FE37DD"/>
    <w:rsid w:val="00FE3C00"/>
    <w:rsid w:val="00FE3C31"/>
    <w:rsid w:val="00FE4015"/>
    <w:rsid w:val="00FE44F5"/>
    <w:rsid w:val="00FE4783"/>
    <w:rsid w:val="00FE480D"/>
    <w:rsid w:val="00FE4ACC"/>
    <w:rsid w:val="00FE4E63"/>
    <w:rsid w:val="00FE7DD1"/>
    <w:rsid w:val="00FF012A"/>
    <w:rsid w:val="00FF0B4F"/>
    <w:rsid w:val="00FF0B70"/>
    <w:rsid w:val="00FF1814"/>
    <w:rsid w:val="00FF1A06"/>
    <w:rsid w:val="00FF1AD3"/>
    <w:rsid w:val="00FF1B46"/>
    <w:rsid w:val="00FF219D"/>
    <w:rsid w:val="00FF2BB3"/>
    <w:rsid w:val="00FF2C3A"/>
    <w:rsid w:val="00FF43EB"/>
    <w:rsid w:val="00FF48D2"/>
    <w:rsid w:val="00FF49B4"/>
    <w:rsid w:val="00FF49F4"/>
    <w:rsid w:val="00FF651D"/>
    <w:rsid w:val="00FF6843"/>
    <w:rsid w:val="00FF7724"/>
    <w:rsid w:val="00FF78E2"/>
    <w:rsid w:val="010651D9"/>
    <w:rsid w:val="01757986"/>
    <w:rsid w:val="018F1606"/>
    <w:rsid w:val="01CA0D76"/>
    <w:rsid w:val="01CE5568"/>
    <w:rsid w:val="01D873DE"/>
    <w:rsid w:val="01F82835"/>
    <w:rsid w:val="020531A4"/>
    <w:rsid w:val="020A1024"/>
    <w:rsid w:val="0245327B"/>
    <w:rsid w:val="02734065"/>
    <w:rsid w:val="02747891"/>
    <w:rsid w:val="02D37C23"/>
    <w:rsid w:val="02E82F91"/>
    <w:rsid w:val="031B6A3D"/>
    <w:rsid w:val="03861B5F"/>
    <w:rsid w:val="03D1766E"/>
    <w:rsid w:val="03DD35E4"/>
    <w:rsid w:val="041D6583"/>
    <w:rsid w:val="04637D0E"/>
    <w:rsid w:val="0468229D"/>
    <w:rsid w:val="046C4A2C"/>
    <w:rsid w:val="04785FE3"/>
    <w:rsid w:val="047F6D26"/>
    <w:rsid w:val="04BC5D9C"/>
    <w:rsid w:val="04BC79D1"/>
    <w:rsid w:val="04D72AAE"/>
    <w:rsid w:val="04EC5FA1"/>
    <w:rsid w:val="04EE5E3B"/>
    <w:rsid w:val="055E50A5"/>
    <w:rsid w:val="056736ED"/>
    <w:rsid w:val="059B4776"/>
    <w:rsid w:val="05B97C74"/>
    <w:rsid w:val="05CC241F"/>
    <w:rsid w:val="06241E9B"/>
    <w:rsid w:val="06585F98"/>
    <w:rsid w:val="065A6178"/>
    <w:rsid w:val="066C1A43"/>
    <w:rsid w:val="067A0837"/>
    <w:rsid w:val="06876F48"/>
    <w:rsid w:val="068D56CD"/>
    <w:rsid w:val="06B337F4"/>
    <w:rsid w:val="06B50E10"/>
    <w:rsid w:val="06D34AB0"/>
    <w:rsid w:val="06FE6C86"/>
    <w:rsid w:val="07255A03"/>
    <w:rsid w:val="07592BEF"/>
    <w:rsid w:val="07A0475C"/>
    <w:rsid w:val="07E14CFA"/>
    <w:rsid w:val="08245C99"/>
    <w:rsid w:val="087245E9"/>
    <w:rsid w:val="08A76D63"/>
    <w:rsid w:val="08B64998"/>
    <w:rsid w:val="08D571DB"/>
    <w:rsid w:val="08D86C93"/>
    <w:rsid w:val="091268D2"/>
    <w:rsid w:val="09191A01"/>
    <w:rsid w:val="09616470"/>
    <w:rsid w:val="098B2B38"/>
    <w:rsid w:val="09A54146"/>
    <w:rsid w:val="0A3208AE"/>
    <w:rsid w:val="0A492337"/>
    <w:rsid w:val="0A5B7E63"/>
    <w:rsid w:val="0A915073"/>
    <w:rsid w:val="0AF56886"/>
    <w:rsid w:val="0B3166EB"/>
    <w:rsid w:val="0BAF0CE5"/>
    <w:rsid w:val="0BBB6EA8"/>
    <w:rsid w:val="0BD24560"/>
    <w:rsid w:val="0C0070A1"/>
    <w:rsid w:val="0C28576C"/>
    <w:rsid w:val="0C6F1945"/>
    <w:rsid w:val="0C6F38A5"/>
    <w:rsid w:val="0C87121B"/>
    <w:rsid w:val="0C923886"/>
    <w:rsid w:val="0CCE1990"/>
    <w:rsid w:val="0D111AD5"/>
    <w:rsid w:val="0D2E2B7F"/>
    <w:rsid w:val="0DA13AEB"/>
    <w:rsid w:val="0DB242FF"/>
    <w:rsid w:val="0DF702FE"/>
    <w:rsid w:val="0E205EC4"/>
    <w:rsid w:val="0E5460AC"/>
    <w:rsid w:val="0E7B0A75"/>
    <w:rsid w:val="0F1F0356"/>
    <w:rsid w:val="0F3A6255"/>
    <w:rsid w:val="0F816ACD"/>
    <w:rsid w:val="1003245B"/>
    <w:rsid w:val="102A2753"/>
    <w:rsid w:val="10555DD7"/>
    <w:rsid w:val="10910FDF"/>
    <w:rsid w:val="10927681"/>
    <w:rsid w:val="10C74160"/>
    <w:rsid w:val="10D95821"/>
    <w:rsid w:val="10DD2C28"/>
    <w:rsid w:val="10FC16EA"/>
    <w:rsid w:val="11152303"/>
    <w:rsid w:val="114315DF"/>
    <w:rsid w:val="116A161A"/>
    <w:rsid w:val="118963A1"/>
    <w:rsid w:val="11D419EE"/>
    <w:rsid w:val="11D74A5F"/>
    <w:rsid w:val="12132ADB"/>
    <w:rsid w:val="123A3009"/>
    <w:rsid w:val="12492C39"/>
    <w:rsid w:val="127723A9"/>
    <w:rsid w:val="12872147"/>
    <w:rsid w:val="129634CF"/>
    <w:rsid w:val="12973FA2"/>
    <w:rsid w:val="12B53876"/>
    <w:rsid w:val="12BA6819"/>
    <w:rsid w:val="12CE6DE6"/>
    <w:rsid w:val="12D66CD1"/>
    <w:rsid w:val="12EA442A"/>
    <w:rsid w:val="1300779B"/>
    <w:rsid w:val="13072A44"/>
    <w:rsid w:val="13251CB3"/>
    <w:rsid w:val="132D60B6"/>
    <w:rsid w:val="13914897"/>
    <w:rsid w:val="13B74DE6"/>
    <w:rsid w:val="13D26C95"/>
    <w:rsid w:val="142379E6"/>
    <w:rsid w:val="14771054"/>
    <w:rsid w:val="147C5E29"/>
    <w:rsid w:val="147D163D"/>
    <w:rsid w:val="14922675"/>
    <w:rsid w:val="14AE3227"/>
    <w:rsid w:val="14D013EF"/>
    <w:rsid w:val="15174C9B"/>
    <w:rsid w:val="1518152A"/>
    <w:rsid w:val="151C7F6C"/>
    <w:rsid w:val="15273BD9"/>
    <w:rsid w:val="152E483E"/>
    <w:rsid w:val="15624FB9"/>
    <w:rsid w:val="1587582F"/>
    <w:rsid w:val="15A84CC8"/>
    <w:rsid w:val="15C70A44"/>
    <w:rsid w:val="15CF5AE0"/>
    <w:rsid w:val="16467FE8"/>
    <w:rsid w:val="16C942DD"/>
    <w:rsid w:val="16FE3B3C"/>
    <w:rsid w:val="17D426A8"/>
    <w:rsid w:val="17DA0D2E"/>
    <w:rsid w:val="17E96DCA"/>
    <w:rsid w:val="184A00E8"/>
    <w:rsid w:val="186646AD"/>
    <w:rsid w:val="18923D5F"/>
    <w:rsid w:val="18B50765"/>
    <w:rsid w:val="18BD4F9A"/>
    <w:rsid w:val="18E84F59"/>
    <w:rsid w:val="18F040F9"/>
    <w:rsid w:val="19E219A9"/>
    <w:rsid w:val="1A087EA7"/>
    <w:rsid w:val="1A5B7115"/>
    <w:rsid w:val="1A8D224A"/>
    <w:rsid w:val="1A8F5E9B"/>
    <w:rsid w:val="1A97729A"/>
    <w:rsid w:val="1AFB5453"/>
    <w:rsid w:val="1B0B72D0"/>
    <w:rsid w:val="1B2A271F"/>
    <w:rsid w:val="1B2A4AA1"/>
    <w:rsid w:val="1B6805D3"/>
    <w:rsid w:val="1B7927E1"/>
    <w:rsid w:val="1B812AA5"/>
    <w:rsid w:val="1B92329D"/>
    <w:rsid w:val="1BB07615"/>
    <w:rsid w:val="1BCD96E0"/>
    <w:rsid w:val="1BE017D5"/>
    <w:rsid w:val="1BF260EF"/>
    <w:rsid w:val="1BFB476B"/>
    <w:rsid w:val="1C2900C3"/>
    <w:rsid w:val="1C640FBB"/>
    <w:rsid w:val="1CDE534D"/>
    <w:rsid w:val="1D0600A4"/>
    <w:rsid w:val="1D266CE1"/>
    <w:rsid w:val="1D3963AF"/>
    <w:rsid w:val="1D4734ED"/>
    <w:rsid w:val="1D617848"/>
    <w:rsid w:val="1D9105CD"/>
    <w:rsid w:val="1D9E2160"/>
    <w:rsid w:val="1DE44D90"/>
    <w:rsid w:val="1DF83726"/>
    <w:rsid w:val="1E022140"/>
    <w:rsid w:val="1E042993"/>
    <w:rsid w:val="1E217115"/>
    <w:rsid w:val="1E2312EC"/>
    <w:rsid w:val="1E5E47E0"/>
    <w:rsid w:val="1E5F23BD"/>
    <w:rsid w:val="1E714A66"/>
    <w:rsid w:val="1EAC7C05"/>
    <w:rsid w:val="1EB7510C"/>
    <w:rsid w:val="1EFB5826"/>
    <w:rsid w:val="1F0152EE"/>
    <w:rsid w:val="1F0820BD"/>
    <w:rsid w:val="1F0A1FFC"/>
    <w:rsid w:val="1F2E72C1"/>
    <w:rsid w:val="1F455F33"/>
    <w:rsid w:val="1F8F5329"/>
    <w:rsid w:val="1FA34E03"/>
    <w:rsid w:val="1FE868A9"/>
    <w:rsid w:val="1FE939D3"/>
    <w:rsid w:val="1FFE6508"/>
    <w:rsid w:val="203D3FD4"/>
    <w:rsid w:val="20512691"/>
    <w:rsid w:val="20692E24"/>
    <w:rsid w:val="20947494"/>
    <w:rsid w:val="20EF7097"/>
    <w:rsid w:val="20F04D98"/>
    <w:rsid w:val="21863D2A"/>
    <w:rsid w:val="21D63B12"/>
    <w:rsid w:val="22553F99"/>
    <w:rsid w:val="233F05A2"/>
    <w:rsid w:val="23C672E7"/>
    <w:rsid w:val="23FC3FAF"/>
    <w:rsid w:val="242106E2"/>
    <w:rsid w:val="252C160A"/>
    <w:rsid w:val="25556F4C"/>
    <w:rsid w:val="25611CFE"/>
    <w:rsid w:val="25696750"/>
    <w:rsid w:val="257C559E"/>
    <w:rsid w:val="258A4248"/>
    <w:rsid w:val="25B43F1A"/>
    <w:rsid w:val="262025D5"/>
    <w:rsid w:val="262B2D33"/>
    <w:rsid w:val="266F0A68"/>
    <w:rsid w:val="26727723"/>
    <w:rsid w:val="2673365A"/>
    <w:rsid w:val="27027051"/>
    <w:rsid w:val="270F438E"/>
    <w:rsid w:val="272F09D6"/>
    <w:rsid w:val="27420CF5"/>
    <w:rsid w:val="276C388A"/>
    <w:rsid w:val="27B457B1"/>
    <w:rsid w:val="282C1998"/>
    <w:rsid w:val="284067EC"/>
    <w:rsid w:val="287C7E3C"/>
    <w:rsid w:val="28821682"/>
    <w:rsid w:val="288E6378"/>
    <w:rsid w:val="28B906C0"/>
    <w:rsid w:val="28C80594"/>
    <w:rsid w:val="2913197F"/>
    <w:rsid w:val="29224F76"/>
    <w:rsid w:val="297C1BE2"/>
    <w:rsid w:val="298569A0"/>
    <w:rsid w:val="2989752D"/>
    <w:rsid w:val="299019AB"/>
    <w:rsid w:val="29934A6D"/>
    <w:rsid w:val="29D90C54"/>
    <w:rsid w:val="29FA346D"/>
    <w:rsid w:val="2A05379E"/>
    <w:rsid w:val="2AB37103"/>
    <w:rsid w:val="2AE10319"/>
    <w:rsid w:val="2AFC0390"/>
    <w:rsid w:val="2B1343D9"/>
    <w:rsid w:val="2BB2732A"/>
    <w:rsid w:val="2BB56C7D"/>
    <w:rsid w:val="2BBB0ECF"/>
    <w:rsid w:val="2BFC2BFA"/>
    <w:rsid w:val="2C3E23A2"/>
    <w:rsid w:val="2C69584B"/>
    <w:rsid w:val="2C945BCD"/>
    <w:rsid w:val="2CD56A65"/>
    <w:rsid w:val="2CF52C10"/>
    <w:rsid w:val="2D3E57C8"/>
    <w:rsid w:val="2D570793"/>
    <w:rsid w:val="2DA61CF4"/>
    <w:rsid w:val="2DD15014"/>
    <w:rsid w:val="2DDE404C"/>
    <w:rsid w:val="2E711DB4"/>
    <w:rsid w:val="2EA17C2D"/>
    <w:rsid w:val="2EDD77F3"/>
    <w:rsid w:val="2F0518B0"/>
    <w:rsid w:val="2F4B7E14"/>
    <w:rsid w:val="2F631C4A"/>
    <w:rsid w:val="2F6915D5"/>
    <w:rsid w:val="2F780082"/>
    <w:rsid w:val="2F7E2B15"/>
    <w:rsid w:val="2FC94E71"/>
    <w:rsid w:val="2FD25781"/>
    <w:rsid w:val="2FE029D7"/>
    <w:rsid w:val="301700C8"/>
    <w:rsid w:val="30446AC1"/>
    <w:rsid w:val="31291E9E"/>
    <w:rsid w:val="314511FA"/>
    <w:rsid w:val="318146C8"/>
    <w:rsid w:val="319C6071"/>
    <w:rsid w:val="31A11A50"/>
    <w:rsid w:val="31ED3189"/>
    <w:rsid w:val="323022D5"/>
    <w:rsid w:val="323A5BC3"/>
    <w:rsid w:val="325B0B85"/>
    <w:rsid w:val="327241A7"/>
    <w:rsid w:val="32B83D05"/>
    <w:rsid w:val="32B91FDF"/>
    <w:rsid w:val="32C37159"/>
    <w:rsid w:val="32E00748"/>
    <w:rsid w:val="32EB3B96"/>
    <w:rsid w:val="32F0392B"/>
    <w:rsid w:val="32FA1831"/>
    <w:rsid w:val="3375684E"/>
    <w:rsid w:val="337638F0"/>
    <w:rsid w:val="337C40A8"/>
    <w:rsid w:val="33E153CC"/>
    <w:rsid w:val="33FD5447"/>
    <w:rsid w:val="34034EE6"/>
    <w:rsid w:val="34203024"/>
    <w:rsid w:val="342C7F98"/>
    <w:rsid w:val="342E63AB"/>
    <w:rsid w:val="342E6E48"/>
    <w:rsid w:val="34774B3F"/>
    <w:rsid w:val="34B44085"/>
    <w:rsid w:val="34BB3D03"/>
    <w:rsid w:val="34E22D4D"/>
    <w:rsid w:val="359336CA"/>
    <w:rsid w:val="35BE0868"/>
    <w:rsid w:val="362C25ED"/>
    <w:rsid w:val="365302AE"/>
    <w:rsid w:val="36D24400"/>
    <w:rsid w:val="36D52B69"/>
    <w:rsid w:val="370E76BE"/>
    <w:rsid w:val="3729447F"/>
    <w:rsid w:val="373D1531"/>
    <w:rsid w:val="378A30F2"/>
    <w:rsid w:val="37981C17"/>
    <w:rsid w:val="379E284F"/>
    <w:rsid w:val="37BD53AB"/>
    <w:rsid w:val="37DE3B35"/>
    <w:rsid w:val="382A49D0"/>
    <w:rsid w:val="38601D19"/>
    <w:rsid w:val="38753166"/>
    <w:rsid w:val="389B3710"/>
    <w:rsid w:val="38A76CF6"/>
    <w:rsid w:val="38B13611"/>
    <w:rsid w:val="38D4004F"/>
    <w:rsid w:val="38D5369C"/>
    <w:rsid w:val="38E66069"/>
    <w:rsid w:val="38F310B6"/>
    <w:rsid w:val="3914572B"/>
    <w:rsid w:val="393B6DB9"/>
    <w:rsid w:val="395D3184"/>
    <w:rsid w:val="39A95F20"/>
    <w:rsid w:val="39D2513E"/>
    <w:rsid w:val="39D70EB4"/>
    <w:rsid w:val="39F16179"/>
    <w:rsid w:val="3A057B71"/>
    <w:rsid w:val="3A156A93"/>
    <w:rsid w:val="3A294E89"/>
    <w:rsid w:val="3A301503"/>
    <w:rsid w:val="3A787563"/>
    <w:rsid w:val="3A7A3147"/>
    <w:rsid w:val="3AE911CB"/>
    <w:rsid w:val="3AEA31FD"/>
    <w:rsid w:val="3B5876E1"/>
    <w:rsid w:val="3B6F40AA"/>
    <w:rsid w:val="3B9E4F5D"/>
    <w:rsid w:val="3BA548E8"/>
    <w:rsid w:val="3BDB0C41"/>
    <w:rsid w:val="3C1E7DFF"/>
    <w:rsid w:val="3C323F78"/>
    <w:rsid w:val="3C39780E"/>
    <w:rsid w:val="3C522DF7"/>
    <w:rsid w:val="3C5F759A"/>
    <w:rsid w:val="3D0422A6"/>
    <w:rsid w:val="3D0870C9"/>
    <w:rsid w:val="3D1A6329"/>
    <w:rsid w:val="3D2405DC"/>
    <w:rsid w:val="3D3440FA"/>
    <w:rsid w:val="3D486B76"/>
    <w:rsid w:val="3D5F713C"/>
    <w:rsid w:val="3D7E738B"/>
    <w:rsid w:val="3D90570D"/>
    <w:rsid w:val="3D9C2824"/>
    <w:rsid w:val="3DB3244A"/>
    <w:rsid w:val="3DC73137"/>
    <w:rsid w:val="3DCD3FB6"/>
    <w:rsid w:val="3E433F34"/>
    <w:rsid w:val="3E740EBA"/>
    <w:rsid w:val="3E864749"/>
    <w:rsid w:val="3EB31C33"/>
    <w:rsid w:val="3EDF42A6"/>
    <w:rsid w:val="3EF1250A"/>
    <w:rsid w:val="3F3B53F7"/>
    <w:rsid w:val="3F4305D7"/>
    <w:rsid w:val="3F510CCD"/>
    <w:rsid w:val="3F843E6E"/>
    <w:rsid w:val="3FDD4327"/>
    <w:rsid w:val="3FE40160"/>
    <w:rsid w:val="3FF82684"/>
    <w:rsid w:val="400E4F46"/>
    <w:rsid w:val="40345961"/>
    <w:rsid w:val="4048415B"/>
    <w:rsid w:val="405820CE"/>
    <w:rsid w:val="40AC7938"/>
    <w:rsid w:val="40AF0B2D"/>
    <w:rsid w:val="40BA27C5"/>
    <w:rsid w:val="41023152"/>
    <w:rsid w:val="413A6B01"/>
    <w:rsid w:val="4145253A"/>
    <w:rsid w:val="415512BB"/>
    <w:rsid w:val="416E7E42"/>
    <w:rsid w:val="41723C5B"/>
    <w:rsid w:val="417C6135"/>
    <w:rsid w:val="4184552D"/>
    <w:rsid w:val="4188050D"/>
    <w:rsid w:val="41CE09BE"/>
    <w:rsid w:val="41E929C0"/>
    <w:rsid w:val="420A0008"/>
    <w:rsid w:val="42122973"/>
    <w:rsid w:val="422328A6"/>
    <w:rsid w:val="426E019E"/>
    <w:rsid w:val="429057C0"/>
    <w:rsid w:val="42AC04F6"/>
    <w:rsid w:val="42BA5315"/>
    <w:rsid w:val="42E1381E"/>
    <w:rsid w:val="42EB5CCE"/>
    <w:rsid w:val="43420BD8"/>
    <w:rsid w:val="4360022C"/>
    <w:rsid w:val="43941521"/>
    <w:rsid w:val="44025290"/>
    <w:rsid w:val="441F4FD2"/>
    <w:rsid w:val="44C5418D"/>
    <w:rsid w:val="450E48D2"/>
    <w:rsid w:val="45161CE6"/>
    <w:rsid w:val="458B096E"/>
    <w:rsid w:val="45A76A08"/>
    <w:rsid w:val="45A837D4"/>
    <w:rsid w:val="45C61326"/>
    <w:rsid w:val="46476EB4"/>
    <w:rsid w:val="465515D1"/>
    <w:rsid w:val="465E7A7F"/>
    <w:rsid w:val="469B30F4"/>
    <w:rsid w:val="46B06AA8"/>
    <w:rsid w:val="4723347D"/>
    <w:rsid w:val="47387247"/>
    <w:rsid w:val="476F491E"/>
    <w:rsid w:val="47A11EBC"/>
    <w:rsid w:val="4815159F"/>
    <w:rsid w:val="48CB3DCC"/>
    <w:rsid w:val="48F872A1"/>
    <w:rsid w:val="491E5A9F"/>
    <w:rsid w:val="49260292"/>
    <w:rsid w:val="49417BEA"/>
    <w:rsid w:val="495A0CAC"/>
    <w:rsid w:val="49963DC9"/>
    <w:rsid w:val="49A91765"/>
    <w:rsid w:val="49FD091E"/>
    <w:rsid w:val="49FF6583"/>
    <w:rsid w:val="4A070E34"/>
    <w:rsid w:val="4A1D1724"/>
    <w:rsid w:val="4A417F44"/>
    <w:rsid w:val="4ACB2B41"/>
    <w:rsid w:val="4AE65249"/>
    <w:rsid w:val="4B046E85"/>
    <w:rsid w:val="4B491B07"/>
    <w:rsid w:val="4B4D4862"/>
    <w:rsid w:val="4B52789F"/>
    <w:rsid w:val="4B6D014C"/>
    <w:rsid w:val="4BB36742"/>
    <w:rsid w:val="4BB435D4"/>
    <w:rsid w:val="4BBD64C3"/>
    <w:rsid w:val="4BF05321"/>
    <w:rsid w:val="4C1910FC"/>
    <w:rsid w:val="4C4F073F"/>
    <w:rsid w:val="4C7F28BB"/>
    <w:rsid w:val="4CCF0C74"/>
    <w:rsid w:val="4D071C36"/>
    <w:rsid w:val="4D3B1641"/>
    <w:rsid w:val="4D892A45"/>
    <w:rsid w:val="4DD935A0"/>
    <w:rsid w:val="4DDA5CC7"/>
    <w:rsid w:val="4DE10F49"/>
    <w:rsid w:val="4DE2183F"/>
    <w:rsid w:val="4E141A1F"/>
    <w:rsid w:val="4E347D1E"/>
    <w:rsid w:val="4E656CFC"/>
    <w:rsid w:val="4E7258EB"/>
    <w:rsid w:val="4E850579"/>
    <w:rsid w:val="4E9E15C3"/>
    <w:rsid w:val="4EAC6020"/>
    <w:rsid w:val="4EE5376D"/>
    <w:rsid w:val="4EE80403"/>
    <w:rsid w:val="4F0460E0"/>
    <w:rsid w:val="4F152AAD"/>
    <w:rsid w:val="4F2560C4"/>
    <w:rsid w:val="4F4E3CE1"/>
    <w:rsid w:val="4F5E28F5"/>
    <w:rsid w:val="4F6109AC"/>
    <w:rsid w:val="502618E8"/>
    <w:rsid w:val="507C5C1C"/>
    <w:rsid w:val="50962F12"/>
    <w:rsid w:val="50997485"/>
    <w:rsid w:val="50BC7257"/>
    <w:rsid w:val="50C57353"/>
    <w:rsid w:val="50FE07FB"/>
    <w:rsid w:val="512A6CE2"/>
    <w:rsid w:val="518241E6"/>
    <w:rsid w:val="519A31F0"/>
    <w:rsid w:val="51A0432A"/>
    <w:rsid w:val="51A45510"/>
    <w:rsid w:val="51B4181B"/>
    <w:rsid w:val="51CA5F3D"/>
    <w:rsid w:val="51CF035C"/>
    <w:rsid w:val="526E44CD"/>
    <w:rsid w:val="52A96B6F"/>
    <w:rsid w:val="52B20439"/>
    <w:rsid w:val="52F429A4"/>
    <w:rsid w:val="530A31E5"/>
    <w:rsid w:val="53116EE5"/>
    <w:rsid w:val="531526DC"/>
    <w:rsid w:val="531E7C14"/>
    <w:rsid w:val="53514ABF"/>
    <w:rsid w:val="5363326F"/>
    <w:rsid w:val="543368D9"/>
    <w:rsid w:val="543E18F6"/>
    <w:rsid w:val="544E58B1"/>
    <w:rsid w:val="5477163A"/>
    <w:rsid w:val="54943675"/>
    <w:rsid w:val="54DF0CD3"/>
    <w:rsid w:val="54EB741D"/>
    <w:rsid w:val="54EC671B"/>
    <w:rsid w:val="550764A4"/>
    <w:rsid w:val="550F1330"/>
    <w:rsid w:val="55512DB6"/>
    <w:rsid w:val="55594DB6"/>
    <w:rsid w:val="55914FEE"/>
    <w:rsid w:val="55B33C1E"/>
    <w:rsid w:val="55D87B28"/>
    <w:rsid w:val="55FF40C8"/>
    <w:rsid w:val="566D02A0"/>
    <w:rsid w:val="56B72852"/>
    <w:rsid w:val="574A6AB5"/>
    <w:rsid w:val="578471B6"/>
    <w:rsid w:val="57AA165B"/>
    <w:rsid w:val="57BD6FD6"/>
    <w:rsid w:val="57BE7B82"/>
    <w:rsid w:val="57E532C4"/>
    <w:rsid w:val="57F2799F"/>
    <w:rsid w:val="57F80C60"/>
    <w:rsid w:val="58017371"/>
    <w:rsid w:val="583F79EB"/>
    <w:rsid w:val="58774DB2"/>
    <w:rsid w:val="58787E6C"/>
    <w:rsid w:val="589110F9"/>
    <w:rsid w:val="58987DF4"/>
    <w:rsid w:val="58AE4F0C"/>
    <w:rsid w:val="58B70A27"/>
    <w:rsid w:val="58EE31BF"/>
    <w:rsid w:val="5924213E"/>
    <w:rsid w:val="59376914"/>
    <w:rsid w:val="59807DAF"/>
    <w:rsid w:val="599C0B29"/>
    <w:rsid w:val="59DF39C3"/>
    <w:rsid w:val="59F20C4F"/>
    <w:rsid w:val="5A1C2EE4"/>
    <w:rsid w:val="5A2A7C7B"/>
    <w:rsid w:val="5A506D7C"/>
    <w:rsid w:val="5AB50364"/>
    <w:rsid w:val="5B05586D"/>
    <w:rsid w:val="5B3630C5"/>
    <w:rsid w:val="5B96311A"/>
    <w:rsid w:val="5BB45078"/>
    <w:rsid w:val="5BC1423F"/>
    <w:rsid w:val="5BED775E"/>
    <w:rsid w:val="5BF47D89"/>
    <w:rsid w:val="5C272C70"/>
    <w:rsid w:val="5C6C0FCA"/>
    <w:rsid w:val="5C80234E"/>
    <w:rsid w:val="5CBE533E"/>
    <w:rsid w:val="5CCC1072"/>
    <w:rsid w:val="5CEB57C5"/>
    <w:rsid w:val="5D1A27D4"/>
    <w:rsid w:val="5D6879E4"/>
    <w:rsid w:val="5D7537D6"/>
    <w:rsid w:val="5DE43EBA"/>
    <w:rsid w:val="5DFD0882"/>
    <w:rsid w:val="5E194CD9"/>
    <w:rsid w:val="5E2002BE"/>
    <w:rsid w:val="5E261785"/>
    <w:rsid w:val="5E677FF0"/>
    <w:rsid w:val="5E7E710C"/>
    <w:rsid w:val="5EAC442C"/>
    <w:rsid w:val="5EBE1403"/>
    <w:rsid w:val="5EFF767D"/>
    <w:rsid w:val="5F155949"/>
    <w:rsid w:val="5F3A609F"/>
    <w:rsid w:val="5FCC5339"/>
    <w:rsid w:val="5FE40D58"/>
    <w:rsid w:val="60511E26"/>
    <w:rsid w:val="605E50CE"/>
    <w:rsid w:val="60AD274C"/>
    <w:rsid w:val="61054A27"/>
    <w:rsid w:val="611D2366"/>
    <w:rsid w:val="6131251D"/>
    <w:rsid w:val="613B6814"/>
    <w:rsid w:val="6160574F"/>
    <w:rsid w:val="618A1E17"/>
    <w:rsid w:val="61A35B4E"/>
    <w:rsid w:val="61A44D79"/>
    <w:rsid w:val="62444AC8"/>
    <w:rsid w:val="62502AD9"/>
    <w:rsid w:val="62885958"/>
    <w:rsid w:val="62DD422B"/>
    <w:rsid w:val="62FB4E56"/>
    <w:rsid w:val="630A417E"/>
    <w:rsid w:val="63180324"/>
    <w:rsid w:val="63200942"/>
    <w:rsid w:val="63685B24"/>
    <w:rsid w:val="636B720F"/>
    <w:rsid w:val="639D3C37"/>
    <w:rsid w:val="63C416EC"/>
    <w:rsid w:val="64376CDF"/>
    <w:rsid w:val="6472185A"/>
    <w:rsid w:val="647D566C"/>
    <w:rsid w:val="64B74775"/>
    <w:rsid w:val="64CE2EAA"/>
    <w:rsid w:val="653B3C30"/>
    <w:rsid w:val="654A0AA5"/>
    <w:rsid w:val="654B3E73"/>
    <w:rsid w:val="65842EE1"/>
    <w:rsid w:val="65AE61B0"/>
    <w:rsid w:val="65C864B9"/>
    <w:rsid w:val="65EE569D"/>
    <w:rsid w:val="661E3CED"/>
    <w:rsid w:val="662E75B1"/>
    <w:rsid w:val="66342C2E"/>
    <w:rsid w:val="663E784C"/>
    <w:rsid w:val="6651686C"/>
    <w:rsid w:val="669C3D53"/>
    <w:rsid w:val="66B3780A"/>
    <w:rsid w:val="66FA4FFA"/>
    <w:rsid w:val="672837F9"/>
    <w:rsid w:val="67477D98"/>
    <w:rsid w:val="67C9107F"/>
    <w:rsid w:val="67DC5805"/>
    <w:rsid w:val="680622D3"/>
    <w:rsid w:val="680B78E9"/>
    <w:rsid w:val="68183DB4"/>
    <w:rsid w:val="68225A09"/>
    <w:rsid w:val="68B27335"/>
    <w:rsid w:val="68F57607"/>
    <w:rsid w:val="691D2203"/>
    <w:rsid w:val="69A433E0"/>
    <w:rsid w:val="69E50839"/>
    <w:rsid w:val="6A711673"/>
    <w:rsid w:val="6AA54025"/>
    <w:rsid w:val="6AB209EF"/>
    <w:rsid w:val="6AD05622"/>
    <w:rsid w:val="6AF428B7"/>
    <w:rsid w:val="6B007E19"/>
    <w:rsid w:val="6B214C99"/>
    <w:rsid w:val="6B2A0C5E"/>
    <w:rsid w:val="6B2F0ABB"/>
    <w:rsid w:val="6B3063EA"/>
    <w:rsid w:val="6B6F5ECF"/>
    <w:rsid w:val="6B7D1BE5"/>
    <w:rsid w:val="6B950FB3"/>
    <w:rsid w:val="6BD97063"/>
    <w:rsid w:val="6C171EC2"/>
    <w:rsid w:val="6C4E4EBC"/>
    <w:rsid w:val="6CDC7AA6"/>
    <w:rsid w:val="6D530CD4"/>
    <w:rsid w:val="6DB72CAD"/>
    <w:rsid w:val="6DE9247B"/>
    <w:rsid w:val="6E23716A"/>
    <w:rsid w:val="6E8052C2"/>
    <w:rsid w:val="6E8E12EF"/>
    <w:rsid w:val="6EAD16FA"/>
    <w:rsid w:val="6F283A6C"/>
    <w:rsid w:val="6F6322D5"/>
    <w:rsid w:val="6F6D0E8A"/>
    <w:rsid w:val="6F7C2064"/>
    <w:rsid w:val="6FAF14A2"/>
    <w:rsid w:val="6FB25BCF"/>
    <w:rsid w:val="700C41FF"/>
    <w:rsid w:val="70686472"/>
    <w:rsid w:val="70756248"/>
    <w:rsid w:val="70875F7B"/>
    <w:rsid w:val="7091303E"/>
    <w:rsid w:val="70A94E62"/>
    <w:rsid w:val="70E92792"/>
    <w:rsid w:val="70F07552"/>
    <w:rsid w:val="71784706"/>
    <w:rsid w:val="71800B94"/>
    <w:rsid w:val="71924BD7"/>
    <w:rsid w:val="71995F66"/>
    <w:rsid w:val="71D15BC9"/>
    <w:rsid w:val="71D43752"/>
    <w:rsid w:val="71D61AE7"/>
    <w:rsid w:val="71EB1AA8"/>
    <w:rsid w:val="720D425E"/>
    <w:rsid w:val="7234165D"/>
    <w:rsid w:val="724E2921"/>
    <w:rsid w:val="726A6D73"/>
    <w:rsid w:val="727229AE"/>
    <w:rsid w:val="727367B7"/>
    <w:rsid w:val="72A910EF"/>
    <w:rsid w:val="72DF0305"/>
    <w:rsid w:val="72F61CDA"/>
    <w:rsid w:val="73092B20"/>
    <w:rsid w:val="73817F9C"/>
    <w:rsid w:val="73841FD9"/>
    <w:rsid w:val="73966C01"/>
    <w:rsid w:val="73FA42D5"/>
    <w:rsid w:val="74812690"/>
    <w:rsid w:val="749C4185"/>
    <w:rsid w:val="74E03EAC"/>
    <w:rsid w:val="74F53273"/>
    <w:rsid w:val="75024914"/>
    <w:rsid w:val="75070EA6"/>
    <w:rsid w:val="75676A2A"/>
    <w:rsid w:val="756E7D31"/>
    <w:rsid w:val="757D0BCD"/>
    <w:rsid w:val="757E664F"/>
    <w:rsid w:val="758F1B5A"/>
    <w:rsid w:val="75DA2C18"/>
    <w:rsid w:val="75EB5374"/>
    <w:rsid w:val="76300543"/>
    <w:rsid w:val="763D320A"/>
    <w:rsid w:val="763E0C8B"/>
    <w:rsid w:val="764D35CD"/>
    <w:rsid w:val="768F16E6"/>
    <w:rsid w:val="76AF7FDA"/>
    <w:rsid w:val="76D07977"/>
    <w:rsid w:val="770B4B5C"/>
    <w:rsid w:val="773C532B"/>
    <w:rsid w:val="778A7C8B"/>
    <w:rsid w:val="77D87278"/>
    <w:rsid w:val="77EC1837"/>
    <w:rsid w:val="77FD7B39"/>
    <w:rsid w:val="782204D0"/>
    <w:rsid w:val="78395DAD"/>
    <w:rsid w:val="79053854"/>
    <w:rsid w:val="79181D1C"/>
    <w:rsid w:val="79323C14"/>
    <w:rsid w:val="79646E59"/>
    <w:rsid w:val="797861D7"/>
    <w:rsid w:val="79815C5D"/>
    <w:rsid w:val="79935991"/>
    <w:rsid w:val="79A60578"/>
    <w:rsid w:val="79B7D709"/>
    <w:rsid w:val="7A1721BB"/>
    <w:rsid w:val="7A404FB1"/>
    <w:rsid w:val="7A433C60"/>
    <w:rsid w:val="7A4E3666"/>
    <w:rsid w:val="7A5C49D9"/>
    <w:rsid w:val="7A671C00"/>
    <w:rsid w:val="7A67303B"/>
    <w:rsid w:val="7A8F1833"/>
    <w:rsid w:val="7AAB1D04"/>
    <w:rsid w:val="7AB94F83"/>
    <w:rsid w:val="7ABA4368"/>
    <w:rsid w:val="7AC34054"/>
    <w:rsid w:val="7AF30FEA"/>
    <w:rsid w:val="7B257FFD"/>
    <w:rsid w:val="7B6029A5"/>
    <w:rsid w:val="7B607F7C"/>
    <w:rsid w:val="7B711D02"/>
    <w:rsid w:val="7B784E3E"/>
    <w:rsid w:val="7B817667"/>
    <w:rsid w:val="7B851309"/>
    <w:rsid w:val="7BC10311"/>
    <w:rsid w:val="7BC41E31"/>
    <w:rsid w:val="7BFC15CB"/>
    <w:rsid w:val="7C105077"/>
    <w:rsid w:val="7C321491"/>
    <w:rsid w:val="7C8B67E2"/>
    <w:rsid w:val="7C99137B"/>
    <w:rsid w:val="7D01767F"/>
    <w:rsid w:val="7D106A3B"/>
    <w:rsid w:val="7D1661B6"/>
    <w:rsid w:val="7D5D4690"/>
    <w:rsid w:val="7D974F61"/>
    <w:rsid w:val="7E0712BA"/>
    <w:rsid w:val="7E211ED6"/>
    <w:rsid w:val="7E2E3EDA"/>
    <w:rsid w:val="7E301A00"/>
    <w:rsid w:val="7E4250A2"/>
    <w:rsid w:val="7E435B33"/>
    <w:rsid w:val="7E525023"/>
    <w:rsid w:val="7E565D16"/>
    <w:rsid w:val="7E905C32"/>
    <w:rsid w:val="7E9D1FA8"/>
    <w:rsid w:val="7EC63B45"/>
    <w:rsid w:val="7ED16169"/>
    <w:rsid w:val="7F162B9E"/>
    <w:rsid w:val="7F7818B1"/>
    <w:rsid w:val="7FB3DB2F"/>
    <w:rsid w:val="7FDA6602"/>
    <w:rsid w:val="7FF97800"/>
    <w:rsid w:val="7FFECD68"/>
    <w:rsid w:val="F4FE4EC8"/>
    <w:rsid w:val="F77B59CA"/>
    <w:rsid w:val="F8BB9D38"/>
    <w:rsid w:val="FD6B7A26"/>
    <w:rsid w:val="FFE4D7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7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7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7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7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7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80"/>
    <w:qFormat/>
    <w:uiPriority w:val="0"/>
    <w:pPr>
      <w:jc w:val="left"/>
    </w:pPr>
  </w:style>
  <w:style w:type="paragraph" w:styleId="20">
    <w:name w:val="Salutation"/>
    <w:basedOn w:val="1"/>
    <w:next w:val="1"/>
    <w:link w:val="81"/>
    <w:qFormat/>
    <w:uiPriority w:val="0"/>
    <w:rPr>
      <w:rFonts w:ascii="仿宋_GB2312" w:eastAsia="仿宋_GB2312"/>
      <w:sz w:val="28"/>
      <w:szCs w:val="20"/>
    </w:rPr>
  </w:style>
  <w:style w:type="paragraph" w:styleId="21">
    <w:name w:val="Body Text 3"/>
    <w:basedOn w:val="1"/>
    <w:link w:val="82"/>
    <w:qFormat/>
    <w:uiPriority w:val="0"/>
    <w:pPr>
      <w:jc w:val="center"/>
    </w:pPr>
    <w:rPr>
      <w:szCs w:val="20"/>
    </w:rPr>
  </w:style>
  <w:style w:type="paragraph" w:styleId="22">
    <w:name w:val="Body Text"/>
    <w:basedOn w:val="1"/>
    <w:link w:val="83"/>
    <w:qFormat/>
    <w:uiPriority w:val="0"/>
    <w:pPr>
      <w:autoSpaceDE w:val="0"/>
      <w:autoSpaceDN w:val="0"/>
      <w:spacing w:line="360" w:lineRule="auto"/>
    </w:pPr>
    <w:rPr>
      <w:rFonts w:ascii="宋体" w:hAnsi="Arial" w:cs="Arial"/>
      <w:snapToGrid w:val="0"/>
      <w:sz w:val="24"/>
      <w:szCs w:val="21"/>
      <w:lang w:val="zh-CN"/>
    </w:rPr>
  </w:style>
  <w:style w:type="paragraph" w:styleId="23">
    <w:name w:val="Body Text Indent"/>
    <w:basedOn w:val="1"/>
    <w:link w:val="8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5"/>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86"/>
    <w:qFormat/>
    <w:uiPriority w:val="0"/>
    <w:rPr>
      <w:rFonts w:ascii="宋体" w:hAnsi="Courier New" w:cs="Arial"/>
      <w:snapToGrid w:val="0"/>
      <w:szCs w:val="21"/>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87"/>
    <w:qFormat/>
    <w:uiPriority w:val="0"/>
    <w:pPr>
      <w:ind w:left="100" w:leftChars="2500"/>
    </w:pPr>
    <w:rPr>
      <w:rFonts w:ascii="宋体"/>
      <w:sz w:val="24"/>
      <w:szCs w:val="21"/>
      <w:lang w:val="zh-CN"/>
    </w:rPr>
  </w:style>
  <w:style w:type="paragraph" w:styleId="35">
    <w:name w:val="Body Text Indent 2"/>
    <w:basedOn w:val="1"/>
    <w:link w:val="88"/>
    <w:qFormat/>
    <w:uiPriority w:val="0"/>
    <w:pPr>
      <w:spacing w:line="360" w:lineRule="auto"/>
      <w:ind w:firstLine="601"/>
      <w:textAlignment w:val="baseline"/>
    </w:pPr>
    <w:rPr>
      <w:rFonts w:ascii="宋体"/>
      <w:kern w:val="0"/>
      <w:sz w:val="28"/>
      <w:szCs w:val="20"/>
    </w:rPr>
  </w:style>
  <w:style w:type="paragraph" w:styleId="36">
    <w:name w:val="Balloon Text"/>
    <w:basedOn w:val="1"/>
    <w:link w:val="89"/>
    <w:semiHidden/>
    <w:qFormat/>
    <w:uiPriority w:val="0"/>
    <w:rPr>
      <w:sz w:val="18"/>
      <w:szCs w:val="18"/>
    </w:rPr>
  </w:style>
  <w:style w:type="paragraph" w:styleId="37">
    <w:name w:val="footer"/>
    <w:basedOn w:val="1"/>
    <w:qFormat/>
    <w:uiPriority w:val="99"/>
    <w:pPr>
      <w:tabs>
        <w:tab w:val="center" w:pos="4153"/>
        <w:tab w:val="right" w:pos="8306"/>
      </w:tabs>
      <w:snapToGrid w:val="0"/>
      <w:jc w:val="left"/>
    </w:pPr>
    <w:rPr>
      <w:sz w:val="18"/>
      <w:szCs w:val="18"/>
    </w:rPr>
  </w:style>
  <w:style w:type="paragraph" w:styleId="3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90"/>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9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93"/>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95"/>
    <w:qFormat/>
    <w:uiPriority w:val="0"/>
    <w:pPr>
      <w:ind w:firstLine="420"/>
    </w:pPr>
    <w:rPr>
      <w:rFonts w:hAnsi="Times New Roman" w:cs="Times New Roman"/>
      <w:snapToGrid/>
      <w:szCs w:val="20"/>
    </w:rPr>
  </w:style>
  <w:style w:type="paragraph" w:styleId="59">
    <w:name w:val="Body Text First Indent 2"/>
    <w:basedOn w:val="23"/>
    <w:link w:val="96"/>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2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1 Char"/>
    <w:link w:val="3"/>
    <w:qFormat/>
    <w:uiPriority w:val="0"/>
    <w:rPr>
      <w:b/>
      <w:bCs/>
      <w:kern w:val="44"/>
      <w:sz w:val="44"/>
      <w:szCs w:val="44"/>
    </w:rPr>
  </w:style>
  <w:style w:type="character" w:customStyle="1" w:styleId="72">
    <w:name w:val="标题 4 Char"/>
    <w:link w:val="5"/>
    <w:qFormat/>
    <w:uiPriority w:val="0"/>
    <w:rPr>
      <w:rFonts w:ascii="Arial" w:hAnsi="Arial" w:eastAsia="黑体"/>
      <w:b/>
      <w:bCs/>
      <w:kern w:val="2"/>
      <w:sz w:val="28"/>
      <w:szCs w:val="28"/>
      <w:lang w:val="zh-CN"/>
    </w:rPr>
  </w:style>
  <w:style w:type="character" w:customStyle="1" w:styleId="73">
    <w:name w:val="标题 5 Char"/>
    <w:link w:val="6"/>
    <w:qFormat/>
    <w:uiPriority w:val="0"/>
    <w:rPr>
      <w:b/>
      <w:bCs/>
      <w:kern w:val="2"/>
      <w:sz w:val="28"/>
      <w:szCs w:val="28"/>
    </w:rPr>
  </w:style>
  <w:style w:type="character" w:customStyle="1" w:styleId="74">
    <w:name w:val="标题 6 Char"/>
    <w:link w:val="7"/>
    <w:qFormat/>
    <w:uiPriority w:val="0"/>
    <w:rPr>
      <w:rFonts w:ascii="Arial" w:hAnsi="Arial" w:eastAsia="黑体"/>
      <w:b/>
      <w:bCs/>
      <w:kern w:val="2"/>
      <w:sz w:val="24"/>
      <w:szCs w:val="24"/>
    </w:rPr>
  </w:style>
  <w:style w:type="character" w:customStyle="1" w:styleId="75">
    <w:name w:val="标题 7 Char"/>
    <w:link w:val="8"/>
    <w:qFormat/>
    <w:uiPriority w:val="0"/>
    <w:rPr>
      <w:b/>
      <w:bCs/>
      <w:kern w:val="2"/>
      <w:sz w:val="24"/>
      <w:szCs w:val="24"/>
    </w:rPr>
  </w:style>
  <w:style w:type="character" w:customStyle="1" w:styleId="76">
    <w:name w:val="标题 8 Char"/>
    <w:link w:val="9"/>
    <w:qFormat/>
    <w:uiPriority w:val="0"/>
    <w:rPr>
      <w:rFonts w:ascii="Arial" w:hAnsi="Arial" w:eastAsia="黑体"/>
      <w:kern w:val="2"/>
      <w:sz w:val="24"/>
      <w:szCs w:val="24"/>
    </w:rPr>
  </w:style>
  <w:style w:type="character" w:customStyle="1" w:styleId="77">
    <w:name w:val="标题 9 Char"/>
    <w:link w:val="10"/>
    <w:qFormat/>
    <w:uiPriority w:val="0"/>
    <w:rPr>
      <w:rFonts w:ascii="Arial" w:hAnsi="Arial" w:eastAsia="黑体"/>
      <w:kern w:val="2"/>
      <w:sz w:val="21"/>
      <w:szCs w:val="21"/>
    </w:rPr>
  </w:style>
  <w:style w:type="character" w:customStyle="1" w:styleId="78">
    <w:name w:val="正文缩进 Char2"/>
    <w:link w:val="15"/>
    <w:qFormat/>
    <w:uiPriority w:val="0"/>
    <w:rPr>
      <w:rFonts w:ascii="宋体" w:eastAsia="宋体"/>
      <w:snapToGrid w:val="0"/>
      <w:color w:val="000000"/>
      <w:kern w:val="28"/>
      <w:sz w:val="28"/>
      <w:lang w:val="en-US" w:eastAsia="zh-CN" w:bidi="ar-SA"/>
    </w:rPr>
  </w:style>
  <w:style w:type="character" w:customStyle="1" w:styleId="79">
    <w:name w:val="题注 Char"/>
    <w:link w:val="16"/>
    <w:qFormat/>
    <w:uiPriority w:val="0"/>
    <w:rPr>
      <w:b/>
      <w:kern w:val="2"/>
      <w:sz w:val="28"/>
    </w:rPr>
  </w:style>
  <w:style w:type="character" w:customStyle="1" w:styleId="80">
    <w:name w:val="批注文字 Char1"/>
    <w:link w:val="19"/>
    <w:qFormat/>
    <w:uiPriority w:val="0"/>
    <w:rPr>
      <w:kern w:val="2"/>
      <w:sz w:val="21"/>
      <w:szCs w:val="24"/>
    </w:rPr>
  </w:style>
  <w:style w:type="character" w:customStyle="1" w:styleId="81">
    <w:name w:val="称呼 Char"/>
    <w:link w:val="20"/>
    <w:qFormat/>
    <w:uiPriority w:val="0"/>
    <w:rPr>
      <w:rFonts w:ascii="仿宋_GB2312" w:eastAsia="仿宋_GB2312"/>
      <w:kern w:val="2"/>
      <w:sz w:val="28"/>
    </w:rPr>
  </w:style>
  <w:style w:type="character" w:customStyle="1" w:styleId="82">
    <w:name w:val="正文文本 3 Char"/>
    <w:link w:val="21"/>
    <w:qFormat/>
    <w:uiPriority w:val="0"/>
    <w:rPr>
      <w:kern w:val="2"/>
      <w:sz w:val="21"/>
    </w:rPr>
  </w:style>
  <w:style w:type="character" w:customStyle="1" w:styleId="83">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84">
    <w:name w:val="正文文本缩进 Char1"/>
    <w:link w:val="23"/>
    <w:qFormat/>
    <w:uiPriority w:val="0"/>
    <w:rPr>
      <w:rFonts w:ascii="宋体" w:hAnsi="宋体"/>
      <w:kern w:val="2"/>
      <w:sz w:val="24"/>
      <w:szCs w:val="24"/>
    </w:rPr>
  </w:style>
  <w:style w:type="character" w:customStyle="1" w:styleId="85">
    <w:name w:val="HTML 地址 Char"/>
    <w:link w:val="28"/>
    <w:qFormat/>
    <w:uiPriority w:val="0"/>
    <w:rPr>
      <w:rFonts w:ascii="宋体" w:hAnsi="宋体"/>
      <w:i/>
      <w:iCs/>
      <w:sz w:val="24"/>
      <w:szCs w:val="24"/>
    </w:rPr>
  </w:style>
  <w:style w:type="character" w:customStyle="1" w:styleId="86">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87">
    <w:name w:val="日期 Char"/>
    <w:link w:val="34"/>
    <w:qFormat/>
    <w:uiPriority w:val="0"/>
    <w:rPr>
      <w:rFonts w:ascii="宋体"/>
      <w:kern w:val="2"/>
      <w:sz w:val="24"/>
      <w:szCs w:val="21"/>
      <w:lang w:val="zh-CN"/>
    </w:rPr>
  </w:style>
  <w:style w:type="character" w:customStyle="1" w:styleId="88">
    <w:name w:val="正文文本缩进 2 Char"/>
    <w:link w:val="35"/>
    <w:qFormat/>
    <w:uiPriority w:val="0"/>
    <w:rPr>
      <w:rFonts w:ascii="宋体"/>
      <w:sz w:val="28"/>
    </w:rPr>
  </w:style>
  <w:style w:type="character" w:customStyle="1" w:styleId="89">
    <w:name w:val="批注框文本 Char"/>
    <w:link w:val="36"/>
    <w:semiHidden/>
    <w:qFormat/>
    <w:uiPriority w:val="0"/>
    <w:rPr>
      <w:kern w:val="2"/>
      <w:sz w:val="18"/>
      <w:szCs w:val="18"/>
    </w:rPr>
  </w:style>
  <w:style w:type="character" w:customStyle="1" w:styleId="90">
    <w:name w:val="签名 Char"/>
    <w:link w:val="39"/>
    <w:qFormat/>
    <w:uiPriority w:val="0"/>
    <w:rPr>
      <w:rFonts w:eastAsia="仿宋_GB2312"/>
      <w:sz w:val="24"/>
    </w:rPr>
  </w:style>
  <w:style w:type="character" w:customStyle="1" w:styleId="91">
    <w:name w:val="副标题 Char"/>
    <w:link w:val="44"/>
    <w:qFormat/>
    <w:uiPriority w:val="0"/>
    <w:rPr>
      <w:rFonts w:ascii="Arial" w:hAnsi="Arial" w:eastAsia="隶书"/>
      <w:b/>
      <w:bCs/>
      <w:kern w:val="28"/>
      <w:sz w:val="44"/>
      <w:szCs w:val="32"/>
      <w:lang w:val="en-US" w:eastAsia="zh-CN" w:bidi="ar-SA"/>
    </w:rPr>
  </w:style>
  <w:style w:type="character" w:customStyle="1" w:styleId="92">
    <w:name w:val="脚注文本 Char"/>
    <w:link w:val="47"/>
    <w:qFormat/>
    <w:uiPriority w:val="0"/>
    <w:rPr>
      <w:color w:val="0000FF"/>
      <w:sz w:val="21"/>
    </w:rPr>
  </w:style>
  <w:style w:type="character" w:customStyle="1" w:styleId="93">
    <w:name w:val="正文文本缩进 3 Char"/>
    <w:link w:val="50"/>
    <w:qFormat/>
    <w:uiPriority w:val="0"/>
    <w:rPr>
      <w:kern w:val="2"/>
      <w:sz w:val="24"/>
    </w:rPr>
  </w:style>
  <w:style w:type="character" w:customStyle="1" w:styleId="94">
    <w:name w:val="HTML 预设格式 Char"/>
    <w:link w:val="54"/>
    <w:qFormat/>
    <w:uiPriority w:val="0"/>
    <w:rPr>
      <w:rFonts w:ascii="黑体" w:hAnsi="Courier New" w:eastAsia="黑体"/>
    </w:rPr>
  </w:style>
  <w:style w:type="character" w:customStyle="1" w:styleId="95">
    <w:name w:val="正文首行缩进 Char"/>
    <w:link w:val="58"/>
    <w:qFormat/>
    <w:uiPriority w:val="0"/>
    <w:rPr>
      <w:rFonts w:ascii="宋体"/>
      <w:kern w:val="2"/>
      <w:sz w:val="24"/>
      <w:lang w:val="zh-CN"/>
    </w:rPr>
  </w:style>
  <w:style w:type="character" w:customStyle="1" w:styleId="96">
    <w:name w:val="正文首行缩进 2 Char"/>
    <w:link w:val="59"/>
    <w:qFormat/>
    <w:uiPriority w:val="0"/>
    <w:rPr>
      <w:rFonts w:ascii="宋体" w:hAnsi="宋体"/>
      <w:kern w:val="2"/>
      <w:sz w:val="21"/>
      <w:szCs w:val="24"/>
    </w:rPr>
  </w:style>
  <w:style w:type="character" w:customStyle="1" w:styleId="97">
    <w:name w:val="纯文本 Char_0"/>
    <w:link w:val="98"/>
    <w:qFormat/>
    <w:uiPriority w:val="0"/>
    <w:rPr>
      <w:rFonts w:ascii="宋体" w:hAnsi="Courier New"/>
      <w:kern w:val="2"/>
      <w:sz w:val="21"/>
      <w:szCs w:val="21"/>
      <w:lang w:val="en-US" w:eastAsia="zh-CN"/>
    </w:rPr>
  </w:style>
  <w:style w:type="paragraph" w:customStyle="1" w:styleId="98">
    <w:name w:val="纯文本_0_0"/>
    <w:basedOn w:val="99"/>
    <w:link w:val="97"/>
    <w:qFormat/>
    <w:uiPriority w:val="0"/>
    <w:rPr>
      <w:rFonts w:ascii="宋体" w:hAnsi="Courier New"/>
      <w:szCs w:val="21"/>
    </w:rPr>
  </w:style>
  <w:style w:type="paragraph" w:customStyle="1" w:styleId="9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tw4winJump"/>
    <w:qFormat/>
    <w:uiPriority w:val="0"/>
    <w:rPr>
      <w:rFonts w:ascii="Courier New" w:hAnsi="Courier New" w:cs="Courier New"/>
      <w:color w:val="008080"/>
      <w:lang w:val="en-US" w:eastAsia="zh-CN"/>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表格 Char Char"/>
    <w:qFormat/>
    <w:uiPriority w:val="0"/>
    <w:rPr>
      <w:rFonts w:ascii="宋体" w:hAnsi="宋体" w:eastAsia="宋体"/>
      <w:lang w:bidi="ar-SA"/>
    </w:rPr>
  </w:style>
  <w:style w:type="character" w:customStyle="1" w:styleId="103">
    <w:name w:val="style36"/>
    <w:basedOn w:val="62"/>
    <w:qFormat/>
    <w:uiPriority w:val="0"/>
  </w:style>
  <w:style w:type="character" w:customStyle="1" w:styleId="104">
    <w:name w:val="标书表格字体格式 Char"/>
    <w:qFormat/>
    <w:uiPriority w:val="0"/>
    <w:rPr>
      <w:kern w:val="2"/>
      <w:sz w:val="21"/>
      <w:szCs w:val="24"/>
      <w:lang w:bidi="ar-SA"/>
    </w:rPr>
  </w:style>
  <w:style w:type="character" w:customStyle="1" w:styleId="105">
    <w:name w:val="正文缩进 Char1"/>
    <w:qFormat/>
    <w:uiPriority w:val="0"/>
    <w:rPr>
      <w:rFonts w:ascii="宋体" w:eastAsia="宋体"/>
      <w:snapToGrid w:val="0"/>
      <w:color w:val="000000"/>
      <w:kern w:val="28"/>
      <w:sz w:val="28"/>
      <w:lang w:val="en-US" w:eastAsia="zh-CN" w:bidi="ar-SA"/>
    </w:rPr>
  </w:style>
  <w:style w:type="character" w:customStyle="1" w:styleId="106">
    <w:name w:val="Char Char4"/>
    <w:qFormat/>
    <w:uiPriority w:val="0"/>
    <w:rPr>
      <w:rFonts w:eastAsia="宋体"/>
      <w:b/>
      <w:sz w:val="24"/>
      <w:lang w:val="en-GB" w:eastAsia="zh-CN" w:bidi="ar-SA"/>
    </w:rPr>
  </w:style>
  <w:style w:type="character" w:customStyle="1" w:styleId="107">
    <w:name w:val="Footer Char"/>
    <w:qFormat/>
    <w:locked/>
    <w:uiPriority w:val="0"/>
    <w:rPr>
      <w:rFonts w:eastAsia="宋体"/>
      <w:kern w:val="2"/>
      <w:sz w:val="18"/>
      <w:lang w:val="en-US" w:eastAsia="zh-CN" w:bidi="ar-SA"/>
    </w:rPr>
  </w:style>
  <w:style w:type="character" w:customStyle="1" w:styleId="108">
    <w:name w:val="tw4winInternal"/>
    <w:qFormat/>
    <w:uiPriority w:val="0"/>
    <w:rPr>
      <w:rFonts w:ascii="Courier New" w:hAnsi="Courier New" w:cs="Courier New"/>
      <w:color w:val="FF0000"/>
      <w:lang w:val="en-US" w:eastAsia="zh-CN"/>
    </w:rPr>
  </w:style>
  <w:style w:type="character" w:customStyle="1" w:styleId="109">
    <w:name w:val="FA正文 Char Char"/>
    <w:qFormat/>
    <w:uiPriority w:val="0"/>
    <w:rPr>
      <w:rFonts w:hAnsi="宋体"/>
      <w:kern w:val="2"/>
      <w:sz w:val="24"/>
      <w:lang w:bidi="ar-SA"/>
    </w:rPr>
  </w:style>
  <w:style w:type="character" w:customStyle="1" w:styleId="110">
    <w:name w:val="样式 样式 标题 4h4H4Fab-4T5Ref Heading 1rh1Heading sqlsect 1.2.3.... +... Char"/>
    <w:link w:val="111"/>
    <w:qFormat/>
    <w:uiPriority w:val="0"/>
    <w:rPr>
      <w:rFonts w:ascii="微软雅黑" w:hAnsi="微软雅黑" w:eastAsia="微软雅黑"/>
      <w:b/>
      <w:bCs/>
      <w:kern w:val="2"/>
      <w:sz w:val="24"/>
      <w:szCs w:val="28"/>
    </w:rPr>
  </w:style>
  <w:style w:type="paragraph" w:customStyle="1" w:styleId="111">
    <w:name w:val="样式 样式 标题 4h4H4Fab-4T5Ref Heading 1rh1Heading sqlsect 1.2.3.... +..."/>
    <w:basedOn w:val="112"/>
    <w:link w:val="110"/>
    <w:qFormat/>
    <w:uiPriority w:val="0"/>
    <w:pPr>
      <w:tabs>
        <w:tab w:val="left" w:pos="2356"/>
      </w:tabs>
    </w:pPr>
  </w:style>
  <w:style w:type="paragraph" w:customStyle="1" w:styleId="112">
    <w:name w:val="样式 标题 4h4H4Fab-4T5Ref Heading 1rh1Heading sqlsect 1.2.3...."/>
    <w:basedOn w:val="5"/>
    <w:link w:val="1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13">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114">
    <w:name w:val="表正文 Char1"/>
    <w:qFormat/>
    <w:uiPriority w:val="0"/>
    <w:rPr>
      <w:rFonts w:ascii="宋体" w:eastAsia="宋体"/>
      <w:snapToGrid w:val="0"/>
      <w:color w:val="000000"/>
      <w:kern w:val="28"/>
      <w:sz w:val="28"/>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文本正文 Char Char"/>
    <w:qFormat/>
    <w:locked/>
    <w:uiPriority w:val="0"/>
    <w:rPr>
      <w:sz w:val="24"/>
      <w:lang w:bidi="ar-SA"/>
    </w:rPr>
  </w:style>
  <w:style w:type="character" w:customStyle="1" w:styleId="117">
    <w:name w:val="Used by Word for text of Help footnotes Char Char"/>
    <w:semiHidden/>
    <w:qFormat/>
    <w:uiPriority w:val="0"/>
    <w:rPr>
      <w:rFonts w:ascii="Times New Roman" w:hAnsi="Times New Roman" w:eastAsia="宋体" w:cs="Times New Roman"/>
      <w:sz w:val="20"/>
      <w:szCs w:val="20"/>
    </w:rPr>
  </w:style>
  <w:style w:type="character" w:customStyle="1" w:styleId="118">
    <w:name w:val="批注主题 Char"/>
    <w:qFormat/>
    <w:uiPriority w:val="0"/>
    <w:rPr>
      <w:rFonts w:eastAsia="宋体"/>
      <w:b/>
      <w:bCs/>
      <w:kern w:val="2"/>
      <w:sz w:val="21"/>
      <w:szCs w:val="24"/>
      <w:lang w:val="en-US" w:eastAsia="zh-CN" w:bidi="ar-SA"/>
    </w:rPr>
  </w:style>
  <w:style w:type="character" w:customStyle="1" w:styleId="119">
    <w:name w:val="Char Char8"/>
    <w:qFormat/>
    <w:uiPriority w:val="0"/>
    <w:rPr>
      <w:rFonts w:eastAsia="宋体"/>
      <w:b/>
      <w:sz w:val="24"/>
      <w:lang w:val="en-GB" w:eastAsia="zh-CN"/>
    </w:rPr>
  </w:style>
  <w:style w:type="character" w:customStyle="1" w:styleId="120">
    <w:name w:val="mdeck"/>
    <w:qFormat/>
    <w:uiPriority w:val="0"/>
    <w:rPr>
      <w:rFonts w:ascii="仿宋_GB2312" w:eastAsia="微软雅黑"/>
      <w:b/>
      <w:kern w:val="2"/>
      <w:sz w:val="32"/>
      <w:szCs w:val="32"/>
      <w:lang w:val="en-US" w:eastAsia="zh-CN" w:bidi="ar-SA"/>
    </w:rPr>
  </w:style>
  <w:style w:type="character" w:customStyle="1" w:styleId="121">
    <w:name w:val="正文文本 2 Char"/>
    <w:qFormat/>
    <w:uiPriority w:val="0"/>
    <w:rPr>
      <w:rFonts w:eastAsia="宋体"/>
      <w:kern w:val="2"/>
      <w:sz w:val="21"/>
      <w:szCs w:val="24"/>
      <w:lang w:val="en-US" w:eastAsia="zh-CN" w:bidi="ar-SA"/>
    </w:rPr>
  </w:style>
  <w:style w:type="character" w:customStyle="1" w:styleId="122">
    <w:name w:val="style91"/>
    <w:qFormat/>
    <w:uiPriority w:val="0"/>
    <w:rPr>
      <w:color w:val="333333"/>
    </w:rPr>
  </w:style>
  <w:style w:type="character" w:customStyle="1" w:styleId="123">
    <w:name w:val="h3 Char"/>
    <w:qFormat/>
    <w:uiPriority w:val="0"/>
    <w:rPr>
      <w:rFonts w:eastAsia="宋体"/>
      <w:b/>
      <w:kern w:val="2"/>
      <w:sz w:val="32"/>
      <w:lang w:val="en-US" w:eastAsia="zh-CN" w:bidi="ar-SA"/>
    </w:rPr>
  </w:style>
  <w:style w:type="character" w:customStyle="1" w:styleId="124">
    <w:name w:val="h Char Char"/>
    <w:qFormat/>
    <w:uiPriority w:val="0"/>
    <w:rPr>
      <w:rFonts w:eastAsia="宋体"/>
      <w:kern w:val="2"/>
      <w:sz w:val="18"/>
      <w:lang w:val="en-US" w:eastAsia="zh-CN" w:bidi="ar-SA"/>
    </w:rPr>
  </w:style>
  <w:style w:type="character" w:customStyle="1" w:styleId="125">
    <w:name w:val="javascript"/>
    <w:qFormat/>
    <w:uiPriority w:val="0"/>
  </w:style>
  <w:style w:type="character" w:customStyle="1" w:styleId="126">
    <w:name w:val="页脚 Char1"/>
    <w:qFormat/>
    <w:uiPriority w:val="0"/>
    <w:rPr>
      <w:rFonts w:eastAsia="宋体"/>
      <w:kern w:val="2"/>
      <w:sz w:val="18"/>
      <w:szCs w:val="18"/>
      <w:lang w:val="en-US" w:eastAsia="zh-CN" w:bidi="ar-SA"/>
    </w:rPr>
  </w:style>
  <w:style w:type="character" w:customStyle="1" w:styleId="127">
    <w:name w:val="ca-131"/>
    <w:qFormat/>
    <w:uiPriority w:val="0"/>
    <w:rPr>
      <w:rFonts w:hint="eastAsia" w:ascii="仿宋_GB2312" w:eastAsia="仿宋_GB2312"/>
      <w:b/>
      <w:bCs/>
      <w:color w:val="000000"/>
      <w:spacing w:val="-20"/>
      <w:sz w:val="24"/>
      <w:szCs w:val="24"/>
    </w:rPr>
  </w:style>
  <w:style w:type="character" w:customStyle="1" w:styleId="128">
    <w:name w:val="Char Char6"/>
    <w:qFormat/>
    <w:uiPriority w:val="0"/>
    <w:rPr>
      <w:rFonts w:eastAsia="宋体"/>
      <w:kern w:val="2"/>
      <w:sz w:val="21"/>
      <w:szCs w:val="24"/>
      <w:lang w:val="en-US" w:eastAsia="zh-CN" w:bidi="ar-SA"/>
    </w:rPr>
  </w:style>
  <w:style w:type="character" w:customStyle="1" w:styleId="129">
    <w:name w:val="带编号样式 Char"/>
    <w:qFormat/>
    <w:uiPriority w:val="0"/>
    <w:rPr>
      <w:rFonts w:ascii="仿宋_GB2312" w:eastAsia="仿宋_GB2312"/>
      <w:color w:val="000000"/>
      <w:sz w:val="24"/>
      <w:lang w:bidi="ar-SA"/>
    </w:rPr>
  </w:style>
  <w:style w:type="character" w:customStyle="1" w:styleId="130">
    <w:name w:val="标书正文格式 Char"/>
    <w:qFormat/>
    <w:uiPriority w:val="0"/>
    <w:rPr>
      <w:rFonts w:eastAsia="楷体_GB2312"/>
      <w:kern w:val="2"/>
      <w:sz w:val="24"/>
      <w:szCs w:val="24"/>
      <w:lang w:bidi="ar-SA"/>
    </w:rPr>
  </w:style>
  <w:style w:type="character" w:customStyle="1" w:styleId="131">
    <w:name w:val="普通文字 Char3"/>
    <w:qFormat/>
    <w:uiPriority w:val="0"/>
    <w:rPr>
      <w:rFonts w:ascii="宋体" w:hAnsi="Courier New" w:eastAsia="宋体"/>
      <w:kern w:val="2"/>
      <w:sz w:val="21"/>
      <w:lang w:val="en-US" w:eastAsia="zh-CN" w:bidi="ar-SA"/>
    </w:rPr>
  </w:style>
  <w:style w:type="character" w:customStyle="1" w:styleId="132">
    <w:name w:val="Char Char2"/>
    <w:qFormat/>
    <w:uiPriority w:val="0"/>
    <w:rPr>
      <w:rFonts w:eastAsia="宋体"/>
      <w:b/>
      <w:bCs/>
      <w:kern w:val="2"/>
      <w:sz w:val="21"/>
      <w:szCs w:val="24"/>
      <w:lang w:val="en-US" w:eastAsia="zh-CN" w:bidi="ar-SA"/>
    </w:rPr>
  </w:style>
  <w:style w:type="character" w:customStyle="1" w:styleId="133">
    <w:name w:val="Heading 7 Char"/>
    <w:qFormat/>
    <w:locked/>
    <w:uiPriority w:val="0"/>
    <w:rPr>
      <w:rFonts w:ascii="宋体" w:hAnsi="宋体" w:eastAsia="宋体"/>
      <w:b/>
      <w:bCs/>
      <w:kern w:val="2"/>
      <w:sz w:val="24"/>
      <w:szCs w:val="24"/>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myp1111"/>
    <w:qFormat/>
    <w:uiPriority w:val="0"/>
    <w:rPr>
      <w:rFonts w:hint="default" w:ascii="ˎ̥" w:hAnsi="ˎ̥"/>
      <w:color w:val="000000"/>
      <w:sz w:val="20"/>
      <w:szCs w:val="20"/>
      <w:u w:val="none"/>
    </w:rPr>
  </w:style>
  <w:style w:type="character" w:customStyle="1" w:styleId="136">
    <w:name w:val="正文缩进 Char"/>
    <w:qFormat/>
    <w:uiPriority w:val="0"/>
    <w:rPr>
      <w:rFonts w:eastAsia="宋体"/>
      <w:kern w:val="2"/>
      <w:sz w:val="21"/>
      <w:lang w:val="en-US" w:eastAsia="zh-CN"/>
    </w:rPr>
  </w:style>
  <w:style w:type="character" w:customStyle="1" w:styleId="137">
    <w:name w:val="纯文本 Char1"/>
    <w:link w:val="138"/>
    <w:qFormat/>
    <w:uiPriority w:val="0"/>
    <w:rPr>
      <w:rFonts w:ascii="宋体" w:hAnsi="Courier New"/>
    </w:rPr>
  </w:style>
  <w:style w:type="paragraph" w:customStyle="1" w:styleId="138">
    <w:name w:val="纯文本1"/>
    <w:basedOn w:val="1"/>
    <w:link w:val="137"/>
    <w:qFormat/>
    <w:uiPriority w:val="0"/>
    <w:pPr>
      <w:adjustRightInd/>
    </w:pPr>
    <w:rPr>
      <w:rFonts w:ascii="宋体" w:hAnsi="Courier New"/>
      <w:kern w:val="0"/>
      <w:sz w:val="20"/>
      <w:szCs w:val="20"/>
    </w:rPr>
  </w:style>
  <w:style w:type="character" w:customStyle="1" w:styleId="139">
    <w:name w:val="冯广丽 Char"/>
    <w:link w:val="140"/>
    <w:qFormat/>
    <w:uiPriority w:val="0"/>
    <w:rPr>
      <w:rFonts w:ascii="宋体" w:hAnsi="宋体"/>
      <w:kern w:val="2"/>
      <w:sz w:val="24"/>
      <w:szCs w:val="22"/>
    </w:rPr>
  </w:style>
  <w:style w:type="paragraph" w:customStyle="1" w:styleId="140">
    <w:name w:val="冯广丽"/>
    <w:basedOn w:val="1"/>
    <w:link w:val="139"/>
    <w:qFormat/>
    <w:uiPriority w:val="0"/>
    <w:pPr>
      <w:adjustRightInd/>
      <w:spacing w:line="360" w:lineRule="auto"/>
      <w:ind w:firstLine="480" w:firstLineChars="200"/>
    </w:pPr>
    <w:rPr>
      <w:rFonts w:ascii="宋体" w:hAnsi="宋体"/>
      <w:sz w:val="24"/>
      <w:szCs w:val="22"/>
    </w:rPr>
  </w:style>
  <w:style w:type="character" w:customStyle="1" w:styleId="141">
    <w:name w:val="dandyren_title1"/>
    <w:qFormat/>
    <w:uiPriority w:val="0"/>
    <w:rPr>
      <w:b/>
      <w:bCs/>
      <w:color w:val="FF6633"/>
      <w:sz w:val="18"/>
      <w:szCs w:val="18"/>
    </w:rPr>
  </w:style>
  <w:style w:type="character" w:customStyle="1" w:styleId="142">
    <w:name w:val="页眉 Char1"/>
    <w:qFormat/>
    <w:uiPriority w:val="0"/>
    <w:rPr>
      <w:rFonts w:eastAsia="宋体"/>
      <w:kern w:val="2"/>
      <w:sz w:val="18"/>
      <w:szCs w:val="18"/>
      <w:lang w:val="en-US" w:eastAsia="zh-CN" w:bidi="ar-SA"/>
    </w:rPr>
  </w:style>
  <w:style w:type="character" w:customStyle="1" w:styleId="143">
    <w:name w:val="Char Char10"/>
    <w:semiHidden/>
    <w:qFormat/>
    <w:uiPriority w:val="0"/>
    <w:rPr>
      <w:rFonts w:ascii="宋体" w:hAnsi="宋体"/>
      <w:kern w:val="2"/>
      <w:sz w:val="21"/>
      <w:szCs w:val="24"/>
      <w:lang w:val="en-US" w:eastAsia="zh-CN"/>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冯 Char"/>
    <w:link w:val="146"/>
    <w:qFormat/>
    <w:uiPriority w:val="0"/>
    <w:rPr>
      <w:rFonts w:ascii="宋体" w:hAnsi="宋体"/>
      <w:color w:val="000000"/>
      <w:sz w:val="24"/>
      <w:szCs w:val="24"/>
    </w:rPr>
  </w:style>
  <w:style w:type="paragraph" w:customStyle="1" w:styleId="146">
    <w:name w:val="冯"/>
    <w:basedOn w:val="1"/>
    <w:link w:val="145"/>
    <w:qFormat/>
    <w:uiPriority w:val="0"/>
    <w:pPr>
      <w:widowControl/>
      <w:adjustRightInd/>
      <w:spacing w:line="360" w:lineRule="auto"/>
      <w:ind w:firstLine="480" w:firstLineChars="200"/>
    </w:pPr>
    <w:rPr>
      <w:rFonts w:ascii="宋体" w:hAnsi="宋体"/>
      <w:color w:val="000000"/>
      <w:kern w:val="0"/>
      <w:sz w:val="24"/>
    </w:rPr>
  </w:style>
  <w:style w:type="character" w:customStyle="1" w:styleId="147">
    <w:name w:val="此正文 Char"/>
    <w:link w:val="148"/>
    <w:qFormat/>
    <w:uiPriority w:val="0"/>
    <w:rPr>
      <w:kern w:val="2"/>
      <w:sz w:val="24"/>
      <w:szCs w:val="24"/>
    </w:rPr>
  </w:style>
  <w:style w:type="paragraph" w:customStyle="1" w:styleId="148">
    <w:name w:val="此正文"/>
    <w:basedOn w:val="1"/>
    <w:link w:val="147"/>
    <w:qFormat/>
    <w:uiPriority w:val="0"/>
    <w:pPr>
      <w:adjustRightInd/>
      <w:spacing w:line="360" w:lineRule="auto"/>
      <w:ind w:firstLine="200" w:firstLineChars="200"/>
    </w:pPr>
    <w:rPr>
      <w:sz w:val="24"/>
    </w:rPr>
  </w:style>
  <w:style w:type="character" w:customStyle="1" w:styleId="149">
    <w:name w:val="Item List Char"/>
    <w:link w:val="150"/>
    <w:qFormat/>
    <w:uiPriority w:val="0"/>
    <w:rPr>
      <w:rFonts w:ascii="Arial"/>
      <w:bCs/>
      <w:sz w:val="21"/>
      <w:szCs w:val="21"/>
      <w:lang w:val="en-US" w:eastAsia="zh-CN" w:bidi="ar-SA"/>
    </w:rPr>
  </w:style>
  <w:style w:type="paragraph" w:customStyle="1" w:styleId="150">
    <w:name w:val="Item List"/>
    <w:link w:val="14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51">
    <w:name w:val="标题 1 Char Char"/>
    <w:qFormat/>
    <w:uiPriority w:val="0"/>
    <w:rPr>
      <w:rFonts w:hint="eastAsia" w:ascii="宋体" w:hAnsi="宋体" w:eastAsia="宋体"/>
      <w:b/>
      <w:spacing w:val="-2"/>
      <w:sz w:val="24"/>
      <w:lang w:val="en-US" w:eastAsia="zh-CN" w:bidi="ar-SA"/>
    </w:rPr>
  </w:style>
  <w:style w:type="character" w:customStyle="1" w:styleId="152">
    <w:name w:val="标题 2 Char Char"/>
    <w:qFormat/>
    <w:uiPriority w:val="0"/>
    <w:rPr>
      <w:rFonts w:ascii="楷体_GB2312" w:hAnsi="Arial" w:eastAsia="楷体_GB2312"/>
      <w:b/>
      <w:bCs/>
      <w:kern w:val="2"/>
      <w:sz w:val="24"/>
      <w:szCs w:val="32"/>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标题 2 Char"/>
    <w:qFormat/>
    <w:uiPriority w:val="0"/>
    <w:rPr>
      <w:rFonts w:ascii="Arial" w:hAnsi="Arial" w:eastAsia="黑体"/>
      <w:b/>
      <w:kern w:val="2"/>
      <w:sz w:val="32"/>
      <w:lang w:val="en-US" w:eastAsia="zh-CN"/>
    </w:rPr>
  </w:style>
  <w:style w:type="character" w:customStyle="1" w:styleId="155">
    <w:name w:val="正文 编号 Char"/>
    <w:qFormat/>
    <w:uiPriority w:val="0"/>
    <w:rPr>
      <w:rFonts w:ascii="仿宋_GB2312" w:hAnsi="仿宋_GB2312" w:eastAsia="仿宋_GB2312"/>
      <w:kern w:val="2"/>
      <w:sz w:val="24"/>
      <w:lang w:bidi="ar-SA"/>
    </w:rPr>
  </w:style>
  <w:style w:type="character" w:customStyle="1" w:styleId="156">
    <w:name w:val="Footer-Even Char"/>
    <w:qFormat/>
    <w:uiPriority w:val="0"/>
    <w:rPr>
      <w:rFonts w:eastAsia="宋体"/>
      <w:kern w:val="2"/>
      <w:sz w:val="18"/>
      <w:lang w:val="en-US" w:eastAsia="zh-CN" w:bidi="ar-SA"/>
    </w:rPr>
  </w:style>
  <w:style w:type="character" w:customStyle="1" w:styleId="157">
    <w:name w:val="tw4winExternal"/>
    <w:qFormat/>
    <w:uiPriority w:val="0"/>
    <w:rPr>
      <w:rFonts w:ascii="Courier New" w:hAnsi="Courier New" w:cs="Courier New"/>
      <w:color w:val="808080"/>
      <w:lang w:val="en-US" w:eastAsia="zh-CN"/>
    </w:rPr>
  </w:style>
  <w:style w:type="character" w:customStyle="1" w:styleId="158">
    <w:name w:val="Normal Indent Char Char"/>
    <w:qFormat/>
    <w:uiPriority w:val="0"/>
    <w:rPr>
      <w:rFonts w:eastAsia="宋体"/>
      <w:kern w:val="2"/>
      <w:sz w:val="21"/>
      <w:lang w:val="en-US" w:eastAsia="zh-CN" w:bidi="ar-SA"/>
    </w:rPr>
  </w:style>
  <w:style w:type="character" w:customStyle="1" w:styleId="159">
    <w:name w:val="纯文本 Char Char Char"/>
    <w:qFormat/>
    <w:uiPriority w:val="0"/>
    <w:rPr>
      <w:rFonts w:ascii="宋体" w:hAnsi="Courier New" w:eastAsia="宋体"/>
      <w:kern w:val="2"/>
      <w:sz w:val="21"/>
      <w:lang w:val="en-US" w:eastAsia="zh-CN" w:bidi="ar-SA"/>
    </w:rPr>
  </w:style>
  <w:style w:type="character" w:customStyle="1" w:styleId="160">
    <w:name w:val="正文文本缩进 Char3"/>
    <w:qFormat/>
    <w:uiPriority w:val="0"/>
    <w:rPr>
      <w:rFonts w:ascii="宋体" w:hAnsi="宋体"/>
      <w:kern w:val="2"/>
      <w:sz w:val="24"/>
      <w:szCs w:val="24"/>
    </w:rPr>
  </w:style>
  <w:style w:type="character" w:customStyle="1" w:styleId="161">
    <w:name w:val="shadow11"/>
    <w:qFormat/>
    <w:uiPriority w:val="0"/>
    <w:rPr>
      <w:color w:val="000000"/>
      <w:sz w:val="21"/>
    </w:rPr>
  </w:style>
  <w:style w:type="character" w:customStyle="1" w:styleId="162">
    <w:name w:val="Document Map Char"/>
    <w:semiHidden/>
    <w:qFormat/>
    <w:locked/>
    <w:uiPriority w:val="0"/>
    <w:rPr>
      <w:rFonts w:eastAsia="宋体"/>
      <w:kern w:val="2"/>
      <w:sz w:val="21"/>
      <w:szCs w:val="24"/>
      <w:lang w:val="en-US" w:eastAsia="zh-CN" w:bidi="ar-SA"/>
    </w:rPr>
  </w:style>
  <w:style w:type="character" w:customStyle="1" w:styleId="163">
    <w:name w:val="font21"/>
    <w:qFormat/>
    <w:uiPriority w:val="0"/>
    <w:rPr>
      <w:rFonts w:hint="eastAsia" w:ascii="宋体" w:hAnsi="宋体" w:eastAsia="宋体"/>
      <w:kern w:val="2"/>
      <w:sz w:val="28"/>
      <w:szCs w:val="28"/>
      <w:lang w:val="en-US" w:eastAsia="zh-CN" w:bidi="ar-SA"/>
    </w:rPr>
  </w:style>
  <w:style w:type="character" w:customStyle="1" w:styleId="164">
    <w:name w:val="Char Char12"/>
    <w:qFormat/>
    <w:uiPriority w:val="0"/>
    <w:rPr>
      <w:rFonts w:ascii="仿宋_GB2312" w:eastAsia="仿宋_GB2312"/>
      <w:b/>
      <w:bCs/>
      <w:kern w:val="2"/>
      <w:sz w:val="24"/>
      <w:szCs w:val="24"/>
      <w:lang w:val="zh-CN" w:eastAsia="zh-CN" w:bidi="ar-SA"/>
    </w:rPr>
  </w:style>
  <w:style w:type="character" w:customStyle="1" w:styleId="165">
    <w:name w:val="标题 Char"/>
    <w:qFormat/>
    <w:uiPriority w:val="0"/>
    <w:rPr>
      <w:rFonts w:eastAsia="宋体"/>
      <w:b/>
      <w:sz w:val="24"/>
      <w:lang w:val="en-GB" w:eastAsia="zh-CN" w:bidi="ar-SA"/>
    </w:rPr>
  </w:style>
  <w:style w:type="character" w:customStyle="1" w:styleId="166">
    <w:name w:val="样式6 Char"/>
    <w:qFormat/>
    <w:uiPriority w:val="0"/>
    <w:rPr>
      <w:rFonts w:ascii="仿宋_GB2312" w:hAnsi="宋体" w:eastAsia="仿宋_GB2312"/>
      <w:b/>
      <w:bCs/>
      <w:kern w:val="2"/>
      <w:sz w:val="24"/>
      <w:szCs w:val="24"/>
      <w:lang w:val="en-US" w:eastAsia="zh-CN" w:bidi="ar-SA"/>
    </w:rPr>
  </w:style>
  <w:style w:type="character" w:customStyle="1" w:styleId="167">
    <w:name w:val="正文首行缩进 Char Char Char Char Char Char"/>
    <w:qFormat/>
    <w:uiPriority w:val="0"/>
    <w:rPr>
      <w:rFonts w:ascii="宋体" w:eastAsia="宋体"/>
      <w:kern w:val="2"/>
      <w:sz w:val="24"/>
      <w:lang w:val="zh-CN" w:bidi="ar-SA"/>
    </w:rPr>
  </w:style>
  <w:style w:type="character" w:customStyle="1" w:styleId="168">
    <w:name w:val="Char Char21"/>
    <w:qFormat/>
    <w:uiPriority w:val="0"/>
    <w:rPr>
      <w:rFonts w:eastAsia="宋体"/>
      <w:b/>
      <w:bCs/>
      <w:kern w:val="2"/>
      <w:sz w:val="21"/>
      <w:szCs w:val="24"/>
      <w:lang w:val="en-US" w:eastAsia="zh-CN" w:bidi="ar-SA"/>
    </w:rPr>
  </w:style>
  <w:style w:type="character" w:customStyle="1" w:styleId="169">
    <w:name w:val="tw4winMark"/>
    <w:qFormat/>
    <w:uiPriority w:val="0"/>
    <w:rPr>
      <w:rFonts w:ascii="Courier New" w:hAnsi="Courier New" w:cs="Courier New"/>
      <w:vanish/>
      <w:color w:val="800080"/>
      <w:sz w:val="24"/>
      <w:szCs w:val="24"/>
      <w:vertAlign w:val="subscript"/>
    </w:rPr>
  </w:style>
  <w:style w:type="character" w:customStyle="1" w:styleId="170">
    <w:name w:val="big1"/>
    <w:qFormat/>
    <w:uiPriority w:val="0"/>
    <w:rPr>
      <w:rFonts w:hint="eastAsia" w:ascii="宋体" w:hAnsi="宋体" w:eastAsia="宋体"/>
      <w:color w:val="333333"/>
      <w:sz w:val="22"/>
      <w:szCs w:val="22"/>
    </w:rPr>
  </w:style>
  <w:style w:type="character" w:customStyle="1" w:styleId="171">
    <w:name w:val="unnamed11"/>
    <w:qFormat/>
    <w:uiPriority w:val="0"/>
    <w:rPr>
      <w:sz w:val="20"/>
      <w:szCs w:val="20"/>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普通文字 Char1 Char"/>
    <w:qFormat/>
    <w:uiPriority w:val="0"/>
    <w:rPr>
      <w:rFonts w:ascii="宋体" w:hAnsi="Courier New" w:eastAsia="宋体"/>
      <w:kern w:val="2"/>
      <w:sz w:val="21"/>
      <w:szCs w:val="24"/>
      <w:lang w:val="en-US" w:eastAsia="zh-CN" w:bidi="ar-SA"/>
    </w:rPr>
  </w:style>
  <w:style w:type="character" w:customStyle="1" w:styleId="174">
    <w:name w:val="纯文本 字符"/>
    <w:qFormat/>
    <w:uiPriority w:val="0"/>
    <w:rPr>
      <w:rFonts w:ascii="宋体" w:hAnsi="Courier New" w:eastAsia="宋体" w:cs="Arial"/>
      <w:snapToGrid/>
      <w:kern w:val="2"/>
      <w:sz w:val="21"/>
      <w:szCs w:val="21"/>
      <w:lang w:val="en-US" w:eastAsia="zh-CN" w:bidi="ar-SA"/>
    </w:rPr>
  </w:style>
  <w:style w:type="character" w:customStyle="1" w:styleId="175">
    <w:name w:val="f141"/>
    <w:qFormat/>
    <w:uiPriority w:val="0"/>
    <w:rPr>
      <w:rFonts w:ascii="Tahoma" w:hAnsi="Tahoma" w:eastAsia="宋体"/>
      <w:b/>
      <w:kern w:val="2"/>
      <w:sz w:val="21"/>
      <w:szCs w:val="21"/>
      <w:lang w:val="en-US" w:eastAsia="zh-CN" w:bidi="ar-SA"/>
    </w:rPr>
  </w:style>
  <w:style w:type="character" w:customStyle="1" w:styleId="176">
    <w:name w:val="普通文字 Char Char1"/>
    <w:qFormat/>
    <w:uiPriority w:val="0"/>
    <w:rPr>
      <w:rFonts w:ascii="宋体" w:hAnsi="Courier New"/>
      <w:kern w:val="2"/>
      <w:sz w:val="21"/>
    </w:rPr>
  </w:style>
  <w:style w:type="character" w:customStyle="1" w:styleId="177">
    <w:name w:val="样式8 Char"/>
    <w:qFormat/>
    <w:uiPriority w:val="0"/>
    <w:rPr>
      <w:rFonts w:ascii="仿宋_GB2312" w:hAnsi="宋体" w:eastAsia="仿宋_GB2312"/>
      <w:b/>
      <w:bCs/>
      <w:kern w:val="2"/>
      <w:sz w:val="24"/>
      <w:szCs w:val="24"/>
    </w:rPr>
  </w:style>
  <w:style w:type="character" w:customStyle="1" w:styleId="178">
    <w:name w:val="DO_NOT_TRANSLATE"/>
    <w:qFormat/>
    <w:uiPriority w:val="0"/>
    <w:rPr>
      <w:rFonts w:ascii="Courier New" w:hAnsi="Courier New" w:cs="Courier New"/>
      <w:color w:val="800000"/>
      <w:lang w:val="en-US" w:eastAsia="zh-CN"/>
    </w:rPr>
  </w:style>
  <w:style w:type="character" w:customStyle="1" w:styleId="179">
    <w:name w:val="哈哈正文 Char"/>
    <w:link w:val="180"/>
    <w:qFormat/>
    <w:uiPriority w:val="0"/>
    <w:rPr>
      <w:rFonts w:ascii="宋体" w:hAnsi="宋体" w:eastAsia="宋体"/>
      <w:kern w:val="2"/>
      <w:sz w:val="24"/>
      <w:lang w:bidi="ar-SA"/>
    </w:rPr>
  </w:style>
  <w:style w:type="paragraph" w:customStyle="1" w:styleId="180">
    <w:name w:val="哈哈正文"/>
    <w:basedOn w:val="1"/>
    <w:link w:val="179"/>
    <w:qFormat/>
    <w:uiPriority w:val="0"/>
    <w:pPr>
      <w:adjustRightInd/>
      <w:spacing w:line="360" w:lineRule="auto"/>
      <w:ind w:firstLine="200" w:firstLineChars="200"/>
    </w:pPr>
    <w:rPr>
      <w:rFonts w:ascii="宋体" w:hAnsi="宋体"/>
      <w:sz w:val="24"/>
      <w:szCs w:val="20"/>
    </w:rPr>
  </w:style>
  <w:style w:type="character" w:customStyle="1" w:styleId="181">
    <w:name w:val="message1"/>
    <w:qFormat/>
    <w:uiPriority w:val="0"/>
    <w:rPr>
      <w:rFonts w:hint="default" w:ascii="Tahoma" w:hAnsi="Tahoma" w:cs="Tahoma"/>
      <w:sz w:val="18"/>
      <w:szCs w:val="18"/>
    </w:rPr>
  </w:style>
  <w:style w:type="character" w:customStyle="1" w:styleId="182">
    <w:name w:val="hui3"/>
    <w:qFormat/>
    <w:uiPriority w:val="0"/>
    <w:rPr>
      <w:color w:val="333333"/>
    </w:rPr>
  </w:style>
  <w:style w:type="character" w:customStyle="1" w:styleId="183">
    <w:name w:val="Char Char5"/>
    <w:qFormat/>
    <w:uiPriority w:val="0"/>
    <w:rPr>
      <w:rFonts w:ascii="宋体" w:hAnsi="Courier New" w:eastAsia="宋体"/>
      <w:kern w:val="2"/>
      <w:sz w:val="21"/>
      <w:lang w:val="en-US" w:eastAsia="zh-CN"/>
    </w:rPr>
  </w:style>
  <w:style w:type="character" w:customStyle="1" w:styleId="184">
    <w:name w:val="dectext1"/>
    <w:qFormat/>
    <w:uiPriority w:val="0"/>
    <w:rPr>
      <w:rFonts w:ascii="宋体" w:hAnsi="宋体" w:eastAsia="宋体"/>
      <w:color w:val="333333"/>
      <w:sz w:val="21"/>
      <w:szCs w:val="21"/>
      <w:u w:val="none"/>
    </w:rPr>
  </w:style>
  <w:style w:type="character" w:customStyle="1" w:styleId="185">
    <w:name w:val="Footer-Even Char1"/>
    <w:qFormat/>
    <w:uiPriority w:val="0"/>
    <w:rPr>
      <w:rFonts w:eastAsia="宋体"/>
      <w:kern w:val="2"/>
      <w:sz w:val="18"/>
      <w:szCs w:val="18"/>
      <w:lang w:val="en-US" w:eastAsia="zh-CN" w:bidi="ar-SA"/>
    </w:rPr>
  </w:style>
  <w:style w:type="character" w:customStyle="1" w:styleId="186">
    <w:name w:val="tw4winError"/>
    <w:qFormat/>
    <w:uiPriority w:val="0"/>
    <w:rPr>
      <w:rFonts w:ascii="Courier New" w:hAnsi="Courier New" w:cs="Courier New"/>
      <w:color w:val="00FF00"/>
      <w:sz w:val="40"/>
      <w:szCs w:val="40"/>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hui"/>
    <w:basedOn w:val="62"/>
    <w:qFormat/>
    <w:uiPriority w:val="0"/>
  </w:style>
  <w:style w:type="character" w:customStyle="1" w:styleId="189">
    <w:name w:val="标题 3 Char2"/>
    <w:qFormat/>
    <w:uiPriority w:val="0"/>
    <w:rPr>
      <w:rFonts w:eastAsia="宋体"/>
      <w:b/>
      <w:bCs/>
      <w:kern w:val="2"/>
      <w:sz w:val="32"/>
      <w:szCs w:val="32"/>
      <w:lang w:val="en-US" w:eastAsia="zh-CN" w:bidi="ar-SA"/>
    </w:rPr>
  </w:style>
  <w:style w:type="character" w:customStyle="1" w:styleId="190">
    <w:name w:val="正文缩进 字符"/>
    <w:qFormat/>
    <w:uiPriority w:val="0"/>
    <w:rPr>
      <w:rFonts w:ascii="宋体" w:eastAsia="宋体"/>
      <w:snapToGrid/>
      <w:color w:val="000000"/>
      <w:kern w:val="28"/>
      <w:sz w:val="28"/>
      <w:lang w:val="en-US" w:eastAsia="zh-CN" w:bidi="ar-SA"/>
    </w:rPr>
  </w:style>
  <w:style w:type="character" w:customStyle="1" w:styleId="191">
    <w:name w:val="首行缩进 Char"/>
    <w:qFormat/>
    <w:uiPriority w:val="0"/>
    <w:rPr>
      <w:rFonts w:ascii="宋体" w:eastAsia="宋体"/>
      <w:kern w:val="2"/>
      <w:sz w:val="24"/>
      <w:lang w:val="en-US" w:eastAsia="zh-CN" w:bidi="ar-SA"/>
    </w:rPr>
  </w:style>
  <w:style w:type="character" w:customStyle="1" w:styleId="192">
    <w:name w:val="Balloon Text Char"/>
    <w:semiHidden/>
    <w:qFormat/>
    <w:locked/>
    <w:uiPriority w:val="0"/>
    <w:rPr>
      <w:rFonts w:eastAsia="宋体"/>
      <w:kern w:val="2"/>
      <w:sz w:val="18"/>
      <w:szCs w:val="18"/>
      <w:lang w:val="en-US" w:eastAsia="zh-CN" w:bidi="ar-SA"/>
    </w:rPr>
  </w:style>
  <w:style w:type="character" w:customStyle="1" w:styleId="193">
    <w:name w:val="pt9"/>
    <w:qFormat/>
    <w:uiPriority w:val="0"/>
    <w:rPr>
      <w:rFonts w:ascii="仿宋_GB2312" w:eastAsia="微软雅黑"/>
      <w:b/>
      <w:kern w:val="2"/>
      <w:sz w:val="32"/>
      <w:szCs w:val="32"/>
      <w:lang w:val="en-US" w:eastAsia="zh-CN" w:bidi="ar-SA"/>
    </w:rPr>
  </w:style>
  <w:style w:type="character" w:customStyle="1" w:styleId="194">
    <w:name w:val="bookmark-item"/>
    <w:basedOn w:val="62"/>
    <w:qFormat/>
    <w:uiPriority w:val="0"/>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正文文本缩进 Char"/>
    <w:qFormat/>
    <w:uiPriority w:val="0"/>
    <w:rPr>
      <w:rFonts w:ascii="宋体" w:hAnsi="宋体"/>
      <w:kern w:val="2"/>
      <w:sz w:val="24"/>
      <w:szCs w:val="24"/>
    </w:rPr>
  </w:style>
  <w:style w:type="character" w:customStyle="1" w:styleId="197">
    <w:name w:val="Char Char51"/>
    <w:qFormat/>
    <w:uiPriority w:val="0"/>
    <w:rPr>
      <w:rFonts w:ascii="宋体" w:hAnsi="Courier New" w:eastAsia="宋体"/>
      <w:kern w:val="2"/>
      <w:sz w:val="21"/>
      <w:lang w:val="en-US" w:eastAsia="zh-CN"/>
    </w:rPr>
  </w:style>
  <w:style w:type="character" w:customStyle="1" w:styleId="198">
    <w:name w:val="gf正文1 Char"/>
    <w:qFormat/>
    <w:uiPriority w:val="0"/>
    <w:rPr>
      <w:rFonts w:ascii="宋体" w:hAnsi="宋体" w:eastAsia="宋体" w:cs="宋体"/>
      <w:kern w:val="2"/>
      <w:sz w:val="24"/>
      <w:szCs w:val="24"/>
      <w:lang w:val="en-US" w:eastAsia="zh-CN" w:bidi="ar-SA"/>
    </w:rPr>
  </w:style>
  <w:style w:type="character" w:customStyle="1" w:styleId="199">
    <w:name w:val="样式3 Char"/>
    <w:basedOn w:val="195"/>
    <w:qFormat/>
    <w:uiPriority w:val="0"/>
  </w:style>
  <w:style w:type="character" w:customStyle="1" w:styleId="200">
    <w:name w:val="PI Char"/>
    <w:qFormat/>
    <w:uiPriority w:val="0"/>
    <w:rPr>
      <w:rFonts w:ascii="宋体" w:hAnsi="宋体" w:eastAsia="宋体"/>
      <w:kern w:val="2"/>
      <w:sz w:val="24"/>
      <w:szCs w:val="24"/>
      <w:lang w:val="en-US" w:eastAsia="zh-CN" w:bidi="ar-SA"/>
    </w:rPr>
  </w:style>
  <w:style w:type="character" w:customStyle="1" w:styleId="201">
    <w:name w:val="Body Text(ch) Char Char"/>
    <w:qFormat/>
    <w:uiPriority w:val="0"/>
    <w:rPr>
      <w:rFonts w:ascii="宋体"/>
      <w:kern w:val="2"/>
      <w:sz w:val="24"/>
      <w:szCs w:val="21"/>
      <w:lang w:val="zh-CN"/>
    </w:rPr>
  </w:style>
  <w:style w:type="character" w:customStyle="1" w:styleId="202">
    <w:name w:val="插图说明 Char"/>
    <w:qFormat/>
    <w:uiPriority w:val="0"/>
    <w:rPr>
      <w:rFonts w:eastAsia="黑体"/>
      <w:sz w:val="24"/>
      <w:lang w:val="en-US" w:eastAsia="zh-CN"/>
    </w:rPr>
  </w:style>
  <w:style w:type="character" w:customStyle="1" w:styleId="203">
    <w:name w:val="正文非缩进 Char"/>
    <w:qFormat/>
    <w:uiPriority w:val="0"/>
    <w:rPr>
      <w:rFonts w:ascii="宋体" w:eastAsia="宋体"/>
      <w:snapToGrid w:val="0"/>
      <w:color w:val="000000"/>
      <w:kern w:val="28"/>
      <w:sz w:val="28"/>
      <w:lang w:val="en-US" w:eastAsia="zh-CN" w:bidi="ar-SA"/>
    </w:rPr>
  </w:style>
  <w:style w:type="character" w:customStyle="1" w:styleId="204">
    <w:name w:val="标准正文格式 Char"/>
    <w:qFormat/>
    <w:uiPriority w:val="0"/>
    <w:rPr>
      <w:rFonts w:ascii="宋体" w:eastAsia="仿宋_GB2312" w:cs="宋体"/>
      <w:color w:val="000000"/>
      <w:sz w:val="24"/>
      <w:lang w:val="en-US" w:eastAsia="zh-CN" w:bidi="ar-SA"/>
    </w:rPr>
  </w:style>
  <w:style w:type="character" w:customStyle="1" w:styleId="205">
    <w:name w:val="blue1"/>
    <w:basedOn w:val="62"/>
    <w:qFormat/>
    <w:uiPriority w:val="0"/>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b11_01b Char"/>
    <w:link w:val="208"/>
    <w:qFormat/>
    <w:uiPriority w:val="0"/>
    <w:rPr>
      <w:rFonts w:ascii="Verdana" w:hAnsi="Verdana"/>
      <w:b/>
      <w:bCs/>
      <w:color w:val="4A82CA"/>
      <w:sz w:val="17"/>
      <w:szCs w:val="17"/>
    </w:rPr>
  </w:style>
  <w:style w:type="paragraph" w:customStyle="1" w:styleId="208">
    <w:name w:val="b11_01b"/>
    <w:basedOn w:val="1"/>
    <w:next w:val="1"/>
    <w:link w:val="20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11">
    <w:name w:val="仿宋正文 Char"/>
    <w:link w:val="212"/>
    <w:qFormat/>
    <w:uiPriority w:val="0"/>
    <w:rPr>
      <w:rFonts w:ascii="仿宋_GB2312" w:eastAsia="仿宋_GB2312"/>
      <w:kern w:val="2"/>
      <w:sz w:val="24"/>
      <w:lang w:val="en-US" w:eastAsia="zh-CN" w:bidi="ar-SA"/>
    </w:rPr>
  </w:style>
  <w:style w:type="paragraph" w:customStyle="1" w:styleId="212">
    <w:name w:val="仿宋正文"/>
    <w:basedOn w:val="1"/>
    <w:link w:val="211"/>
    <w:qFormat/>
    <w:uiPriority w:val="0"/>
    <w:pPr>
      <w:adjustRightInd/>
      <w:spacing w:line="360" w:lineRule="auto"/>
      <w:ind w:firstLine="480" w:firstLineChars="200"/>
    </w:pPr>
    <w:rPr>
      <w:rFonts w:ascii="仿宋_GB2312" w:eastAsia="仿宋_GB2312"/>
      <w:sz w:val="24"/>
      <w:szCs w:val="20"/>
    </w:rPr>
  </w:style>
  <w:style w:type="character" w:customStyle="1" w:styleId="213">
    <w:name w:val="tw4winPopup"/>
    <w:qFormat/>
    <w:uiPriority w:val="0"/>
    <w:rPr>
      <w:rFonts w:ascii="Courier New" w:hAnsi="Courier New" w:cs="Courier New"/>
      <w:color w:val="008000"/>
      <w:lang w:val="en-US" w:eastAsia="zh-CN"/>
    </w:rPr>
  </w:style>
  <w:style w:type="character" w:customStyle="1" w:styleId="214">
    <w:name w:val="标题 4 Char1"/>
    <w:semiHidden/>
    <w:qFormat/>
    <w:uiPriority w:val="9"/>
    <w:rPr>
      <w:rFonts w:ascii="Cambria" w:hAnsi="Cambria" w:eastAsia="宋体" w:cs="Times New Roman"/>
      <w:b/>
      <w:bCs/>
      <w:kern w:val="2"/>
      <w:sz w:val="28"/>
      <w:szCs w:val="28"/>
    </w:rPr>
  </w:style>
  <w:style w:type="character" w:customStyle="1" w:styleId="215">
    <w:name w:val="样式4 Char"/>
    <w:qFormat/>
    <w:uiPriority w:val="0"/>
    <w:rPr>
      <w:rFonts w:ascii="仿宋_GB2312" w:hAnsi="仿宋" w:eastAsia="仿宋_GB2312"/>
      <w:b/>
      <w:kern w:val="2"/>
      <w:sz w:val="32"/>
      <w:szCs w:val="32"/>
      <w:lang w:bidi="ar-SA"/>
    </w:rPr>
  </w:style>
  <w:style w:type="character" w:customStyle="1" w:styleId="216">
    <w:name w:val="公文正文 Char"/>
    <w:qFormat/>
    <w:uiPriority w:val="0"/>
    <w:rPr>
      <w:rFonts w:ascii="仿宋_GB2312" w:eastAsia="仿宋_GB2312"/>
      <w:kern w:val="2"/>
      <w:sz w:val="24"/>
      <w:szCs w:val="24"/>
      <w:lang w:val="en-US" w:eastAsia="zh-CN" w:bidi="ar-SA"/>
    </w:rPr>
  </w:style>
  <w:style w:type="character" w:customStyle="1" w:styleId="217">
    <w:name w:val="Ò³Ã¼ Char Char1"/>
    <w:qFormat/>
    <w:uiPriority w:val="0"/>
    <w:rPr>
      <w:rFonts w:eastAsia="宋体"/>
      <w:kern w:val="2"/>
      <w:sz w:val="18"/>
      <w:szCs w:val="18"/>
      <w:lang w:val="en-US" w:eastAsia="zh-CN" w:bidi="ar-SA"/>
    </w:rPr>
  </w:style>
  <w:style w:type="character" w:customStyle="1" w:styleId="218">
    <w:name w:val="正文2 Char Char"/>
    <w:link w:val="219"/>
    <w:qFormat/>
    <w:uiPriority w:val="0"/>
    <w:rPr>
      <w:rFonts w:eastAsia="宋体"/>
      <w:kern w:val="2"/>
      <w:sz w:val="24"/>
      <w:lang w:val="en-US" w:eastAsia="zh-CN" w:bidi="ar-SA"/>
    </w:rPr>
  </w:style>
  <w:style w:type="paragraph" w:customStyle="1" w:styleId="219">
    <w:name w:val="正文2"/>
    <w:basedOn w:val="1"/>
    <w:link w:val="218"/>
    <w:qFormat/>
    <w:uiPriority w:val="0"/>
    <w:pPr>
      <w:spacing w:before="156" w:line="360" w:lineRule="auto"/>
      <w:ind w:firstLine="510" w:firstLineChars="200"/>
    </w:pPr>
    <w:rPr>
      <w:sz w:val="24"/>
      <w:szCs w:val="20"/>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Char Char81"/>
    <w:qFormat/>
    <w:uiPriority w:val="0"/>
    <w:rPr>
      <w:rFonts w:eastAsia="宋体"/>
      <w:b/>
      <w:sz w:val="24"/>
      <w:lang w:val="en-GB" w:eastAsia="zh-CN"/>
    </w:rPr>
  </w:style>
  <w:style w:type="character" w:customStyle="1" w:styleId="22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224">
    <w:name w:val="h3 Char1"/>
    <w:qFormat/>
    <w:uiPriority w:val="0"/>
    <w:rPr>
      <w:rFonts w:eastAsia="宋体"/>
      <w:b/>
      <w:bCs/>
      <w:kern w:val="2"/>
      <w:sz w:val="32"/>
      <w:szCs w:val="32"/>
      <w:lang w:bidi="ar-SA"/>
    </w:rPr>
  </w:style>
  <w:style w:type="character" w:customStyle="1" w:styleId="225">
    <w:name w:val="普通文字 Char1"/>
    <w:qFormat/>
    <w:uiPriority w:val="0"/>
    <w:rPr>
      <w:rFonts w:ascii="宋体" w:hAnsi="Courier New" w:eastAsia="宋体"/>
      <w:kern w:val="2"/>
      <w:sz w:val="21"/>
      <w:lang w:val="en-US" w:eastAsia="zh-CN"/>
    </w:rPr>
  </w:style>
  <w:style w:type="character" w:customStyle="1" w:styleId="226">
    <w:name w:val="Char Char91"/>
    <w:qFormat/>
    <w:uiPriority w:val="0"/>
    <w:rPr>
      <w:rFonts w:eastAsia="宋体"/>
      <w:kern w:val="2"/>
      <w:sz w:val="18"/>
      <w:szCs w:val="18"/>
      <w:lang w:val="en-US" w:eastAsia="zh-CN" w:bidi="ar-SA"/>
    </w:rPr>
  </w:style>
  <w:style w:type="character" w:customStyle="1" w:styleId="227">
    <w:name w:val="Header Char"/>
    <w:semiHidden/>
    <w:qFormat/>
    <w:locked/>
    <w:uiPriority w:val="0"/>
    <w:rPr>
      <w:rFonts w:eastAsia="宋体"/>
      <w:kern w:val="2"/>
      <w:sz w:val="18"/>
      <w:szCs w:val="18"/>
      <w:lang w:val="en-US" w:eastAsia="zh-CN" w:bidi="ar-SA"/>
    </w:rPr>
  </w:style>
  <w:style w:type="character" w:customStyle="1" w:styleId="228">
    <w:name w:val="Font Style82"/>
    <w:qFormat/>
    <w:uiPriority w:val="99"/>
    <w:rPr>
      <w:rFonts w:ascii="宋体" w:eastAsia="宋体" w:cs="宋体"/>
      <w:color w:val="000000"/>
      <w:sz w:val="14"/>
      <w:szCs w:val="14"/>
    </w:rPr>
  </w:style>
  <w:style w:type="character" w:customStyle="1" w:styleId="229">
    <w:name w:val="c7 style3"/>
    <w:qFormat/>
    <w:uiPriority w:val="0"/>
  </w:style>
  <w:style w:type="character" w:customStyle="1" w:styleId="230">
    <w:name w:val="Char Char11"/>
    <w:qFormat/>
    <w:locked/>
    <w:uiPriority w:val="0"/>
    <w:rPr>
      <w:rFonts w:ascii="宋体" w:hAnsi="宋体" w:eastAsia="宋体"/>
      <w:b/>
      <w:kern w:val="2"/>
      <w:sz w:val="24"/>
      <w:szCs w:val="24"/>
      <w:lang w:val="en-US" w:eastAsia="zh-CN" w:bidi="ar-SA"/>
    </w:rPr>
  </w:style>
  <w:style w:type="character" w:customStyle="1" w:styleId="231">
    <w:name w:val="h Char Char1"/>
    <w:qFormat/>
    <w:uiPriority w:val="0"/>
    <w:rPr>
      <w:rFonts w:eastAsia="宋体"/>
      <w:kern w:val="2"/>
      <w:sz w:val="18"/>
      <w:szCs w:val="18"/>
      <w:lang w:val="en-US" w:eastAsia="zh-CN" w:bidi="ar-SA"/>
    </w:rPr>
  </w:style>
  <w:style w:type="character" w:customStyle="1" w:styleId="232">
    <w:name w:val="solutionfonts"/>
    <w:qFormat/>
    <w:uiPriority w:val="0"/>
  </w:style>
  <w:style w:type="character" w:customStyle="1" w:styleId="233">
    <w:name w:val="表正文 Char"/>
    <w:qFormat/>
    <w:uiPriority w:val="0"/>
    <w:rPr>
      <w:rFonts w:ascii="宋体" w:eastAsia="宋体"/>
      <w:snapToGrid w:val="0"/>
      <w:color w:val="000000"/>
      <w:kern w:val="28"/>
      <w:sz w:val="28"/>
      <w:lang w:val="en-US" w:eastAsia="zh-CN" w:bidi="ar-SA"/>
    </w:rPr>
  </w:style>
  <w:style w:type="character" w:customStyle="1" w:styleId="234">
    <w:name w:val="Char Char61"/>
    <w:qFormat/>
    <w:uiPriority w:val="0"/>
    <w:rPr>
      <w:rFonts w:eastAsia="宋体"/>
      <w:kern w:val="2"/>
      <w:sz w:val="21"/>
      <w:szCs w:val="24"/>
      <w:lang w:val="en-US" w:eastAsia="zh-CN" w:bidi="ar-SA"/>
    </w:rPr>
  </w:style>
  <w:style w:type="character" w:customStyle="1" w:styleId="235">
    <w:name w:val="页眉 Char"/>
    <w:qFormat/>
    <w:uiPriority w:val="99"/>
    <w:rPr>
      <w:rFonts w:eastAsia="仿宋_GB2312"/>
      <w:kern w:val="2"/>
      <w:sz w:val="18"/>
      <w:lang w:val="en-US" w:eastAsia="zh-CN"/>
    </w:rPr>
  </w:style>
  <w:style w:type="character" w:customStyle="1" w:styleId="236">
    <w:name w:val="t21"/>
    <w:qFormat/>
    <w:uiPriority w:val="0"/>
    <w:rPr>
      <w:rFonts w:ascii="仿宋_GB2312" w:eastAsia="微软雅黑"/>
      <w:b/>
      <w:kern w:val="2"/>
      <w:sz w:val="23"/>
      <w:szCs w:val="23"/>
      <w:lang w:val="en-US" w:eastAsia="zh-CN" w:bidi="ar-SA"/>
    </w:rPr>
  </w:style>
  <w:style w:type="character" w:customStyle="1" w:styleId="237">
    <w:name w:val="正文文本缩进 字符"/>
    <w:qFormat/>
    <w:uiPriority w:val="0"/>
    <w:rPr>
      <w:rFonts w:ascii="宋体" w:hAnsi="宋体"/>
      <w:kern w:val="2"/>
      <w:sz w:val="24"/>
      <w:szCs w:val="24"/>
    </w:rPr>
  </w:style>
  <w:style w:type="character" w:customStyle="1" w:styleId="238">
    <w:name w:val="tw4winTerm"/>
    <w:qFormat/>
    <w:uiPriority w:val="0"/>
    <w:rPr>
      <w:color w:val="0000FF"/>
    </w:rPr>
  </w:style>
  <w:style w:type="character" w:customStyle="1" w:styleId="239">
    <w:name w:val="批注文字 Char"/>
    <w:qFormat/>
    <w:uiPriority w:val="99"/>
    <w:rPr>
      <w:kern w:val="2"/>
      <w:sz w:val="21"/>
      <w:szCs w:val="24"/>
    </w:rPr>
  </w:style>
  <w:style w:type="character" w:customStyle="1" w:styleId="240">
    <w:name w:val="Char Char7"/>
    <w:semiHidden/>
    <w:qFormat/>
    <w:uiPriority w:val="0"/>
    <w:rPr>
      <w:rFonts w:eastAsia="宋体"/>
      <w:kern w:val="2"/>
      <w:sz w:val="21"/>
      <w:szCs w:val="24"/>
      <w:lang w:val="en-US" w:eastAsia="zh-CN" w:bidi="ar-SA"/>
    </w:rPr>
  </w:style>
  <w:style w:type="character" w:customStyle="1" w:styleId="241">
    <w:name w:val="No Spacing Char"/>
    <w:link w:val="242"/>
    <w:qFormat/>
    <w:uiPriority w:val="1"/>
    <w:rPr>
      <w:rFonts w:ascii="Calibri" w:hAnsi="Calibri"/>
      <w:sz w:val="22"/>
      <w:szCs w:val="22"/>
      <w:lang w:val="en-US" w:eastAsia="zh-CN" w:bidi="ar-SA"/>
    </w:rPr>
  </w:style>
  <w:style w:type="paragraph" w:customStyle="1" w:styleId="242">
    <w:name w:val="无间隔1"/>
    <w:link w:val="241"/>
    <w:qFormat/>
    <w:uiPriority w:val="1"/>
    <w:rPr>
      <w:rFonts w:ascii="Calibri" w:hAnsi="Calibri" w:eastAsia="宋体" w:cs="Times New Roman"/>
      <w:sz w:val="22"/>
      <w:szCs w:val="22"/>
      <w:lang w:val="en-US" w:eastAsia="zh-CN" w:bidi="ar-SA"/>
    </w:rPr>
  </w:style>
  <w:style w:type="character" w:customStyle="1" w:styleId="243">
    <w:name w:val="Char Char3"/>
    <w:qFormat/>
    <w:uiPriority w:val="0"/>
    <w:rPr>
      <w:rFonts w:eastAsia="宋体"/>
      <w:kern w:val="2"/>
      <w:sz w:val="21"/>
      <w:szCs w:val="24"/>
      <w:lang w:val="en-US" w:eastAsia="zh-CN" w:bidi="ar-SA"/>
    </w:rPr>
  </w:style>
  <w:style w:type="character" w:customStyle="1" w:styleId="244">
    <w:name w:val="md"/>
    <w:basedOn w:val="62"/>
    <w:qFormat/>
    <w:uiPriority w:val="0"/>
  </w:style>
  <w:style w:type="character" w:customStyle="1" w:styleId="245">
    <w:name w:val="Bold"/>
    <w:qFormat/>
    <w:uiPriority w:val="0"/>
    <w:rPr>
      <w:rFonts w:ascii="Arial" w:hAnsi="Arial" w:eastAsia="黑体" w:cs="Times New Roman"/>
      <w:b/>
      <w:kern w:val="2"/>
      <w:sz w:val="32"/>
      <w:szCs w:val="32"/>
      <w:lang w:val="en-US" w:eastAsia="zh-CN" w:bidi="ar-SA"/>
    </w:rPr>
  </w:style>
  <w:style w:type="character" w:customStyle="1" w:styleId="24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47">
    <w:name w:val="页脚 Char"/>
    <w:qFormat/>
    <w:uiPriority w:val="99"/>
    <w:rPr>
      <w:rFonts w:eastAsia="仿宋_GB2312"/>
      <w:kern w:val="2"/>
      <w:sz w:val="18"/>
      <w:lang w:val="en-US" w:eastAsia="zh-CN"/>
    </w:rPr>
  </w:style>
  <w:style w:type="character" w:customStyle="1" w:styleId="248">
    <w:name w:val="hei16b1"/>
    <w:qFormat/>
    <w:uiPriority w:val="0"/>
    <w:rPr>
      <w:rFonts w:hint="default" w:ascii="Arial" w:hAnsi="Arial" w:cs="Arial"/>
      <w:b/>
      <w:bCs/>
      <w:color w:val="000000"/>
      <w:sz w:val="24"/>
      <w:szCs w:val="24"/>
    </w:rPr>
  </w:style>
  <w:style w:type="character" w:customStyle="1" w:styleId="249">
    <w:name w:val="文档结构图 Char"/>
    <w:qFormat/>
    <w:uiPriority w:val="0"/>
    <w:rPr>
      <w:rFonts w:eastAsia="宋体"/>
      <w:kern w:val="2"/>
      <w:sz w:val="21"/>
      <w:szCs w:val="24"/>
      <w:lang w:val="en-US" w:eastAsia="zh-CN" w:bidi="ar-SA"/>
    </w:rPr>
  </w:style>
  <w:style w:type="character" w:customStyle="1" w:styleId="250">
    <w:name w:val="large1"/>
    <w:qFormat/>
    <w:uiPriority w:val="0"/>
    <w:rPr>
      <w:rFonts w:hint="eastAsia" w:ascii="宋体" w:hAnsi="宋体" w:eastAsia="宋体"/>
      <w:sz w:val="21"/>
      <w:szCs w:val="21"/>
    </w:rPr>
  </w:style>
  <w:style w:type="character" w:customStyle="1" w:styleId="251">
    <w:name w:val="Char Char121"/>
    <w:qFormat/>
    <w:uiPriority w:val="0"/>
    <w:rPr>
      <w:rFonts w:ascii="仿宋_GB2312" w:eastAsia="仿宋_GB2312"/>
      <w:b/>
      <w:bCs/>
      <w:kern w:val="2"/>
      <w:sz w:val="24"/>
      <w:szCs w:val="24"/>
      <w:lang w:val="zh-CN" w:eastAsia="zh-CN" w:bidi="ar-SA"/>
    </w:rPr>
  </w:style>
  <w:style w:type="character" w:customStyle="1" w:styleId="252">
    <w:name w:val="链接"/>
    <w:qFormat/>
    <w:uiPriority w:val="0"/>
    <w:rPr>
      <w:color w:val="0000FF"/>
      <w:sz w:val="21"/>
      <w:szCs w:val="21"/>
      <w:u w:val="single"/>
    </w:rPr>
  </w:style>
  <w:style w:type="character" w:customStyle="1" w:styleId="253">
    <w:name w:val="方案正文 Char"/>
    <w:qFormat/>
    <w:uiPriority w:val="0"/>
    <w:rPr>
      <w:rFonts w:ascii="仿宋_GB2312" w:eastAsia="仿宋_GB2312"/>
      <w:b/>
      <w:color w:val="000000"/>
      <w:kern w:val="2"/>
      <w:sz w:val="24"/>
      <w:lang w:val="en-US" w:eastAsia="zh-CN" w:bidi="ar-SA"/>
    </w:rPr>
  </w:style>
  <w:style w:type="character" w:customStyle="1" w:styleId="254">
    <w:name w:val="highlight1"/>
    <w:qFormat/>
    <w:uiPriority w:val="0"/>
    <w:rPr>
      <w:rFonts w:ascii="仿宋_GB2312" w:eastAsia="微软雅黑"/>
      <w:b/>
      <w:kern w:val="2"/>
      <w:sz w:val="23"/>
      <w:szCs w:val="23"/>
      <w:lang w:val="en-US" w:eastAsia="zh-CN" w:bidi="ar-SA"/>
    </w:rPr>
  </w:style>
  <w:style w:type="character" w:customStyle="1" w:styleId="255">
    <w:name w:val="gray6"/>
    <w:basedOn w:val="62"/>
    <w:qFormat/>
    <w:uiPriority w:val="0"/>
  </w:style>
  <w:style w:type="character" w:customStyle="1" w:styleId="256">
    <w:name w:val="zbggmain style9"/>
    <w:qFormat/>
    <w:uiPriority w:val="0"/>
  </w:style>
  <w:style w:type="character" w:customStyle="1" w:styleId="257">
    <w:name w:val="正文1 Char"/>
    <w:qFormat/>
    <w:uiPriority w:val="0"/>
    <w:rPr>
      <w:rFonts w:ascii="宋体" w:eastAsia="宋体"/>
      <w:snapToGrid w:val="0"/>
      <w:color w:val="000000"/>
      <w:kern w:val="28"/>
      <w:sz w:val="28"/>
      <w:lang w:val="en-US" w:eastAsia="zh-CN" w:bidi="ar-SA"/>
    </w:rPr>
  </w:style>
  <w:style w:type="character" w:customStyle="1" w:styleId="258">
    <w:name w:val="Ò³Ã¼ Char Char"/>
    <w:qFormat/>
    <w:uiPriority w:val="0"/>
    <w:rPr>
      <w:rFonts w:eastAsia="宋体"/>
      <w:kern w:val="2"/>
      <w:sz w:val="18"/>
      <w:lang w:val="en-US" w:eastAsia="zh-CN" w:bidi="ar-SA"/>
    </w:rPr>
  </w:style>
  <w:style w:type="character" w:customStyle="1" w:styleId="259">
    <w:name w:val="Char Char"/>
    <w:qFormat/>
    <w:uiPriority w:val="0"/>
    <w:rPr>
      <w:rFonts w:ascii="宋体" w:hAnsi="Courier New" w:eastAsia="宋体"/>
      <w:kern w:val="2"/>
      <w:sz w:val="21"/>
      <w:lang w:val="en-US" w:eastAsia="zh-CN" w:bidi="ar-SA"/>
    </w:rPr>
  </w:style>
  <w:style w:type="character" w:customStyle="1" w:styleId="260">
    <w:name w:val="unnamed31"/>
    <w:qFormat/>
    <w:uiPriority w:val="0"/>
    <w:rPr>
      <w:rFonts w:ascii="Tahoma" w:hAnsi="Tahoma" w:eastAsia="宋体"/>
      <w:b/>
      <w:kern w:val="2"/>
      <w:sz w:val="24"/>
      <w:szCs w:val="32"/>
      <w:u w:val="none"/>
      <w:lang w:val="en-US" w:eastAsia="zh-CN" w:bidi="ar-SA"/>
    </w:rPr>
  </w:style>
  <w:style w:type="character" w:customStyle="1" w:styleId="261">
    <w:name w:val="content"/>
    <w:qFormat/>
    <w:uiPriority w:val="0"/>
  </w:style>
  <w:style w:type="character" w:customStyle="1" w:styleId="262">
    <w:name w:val="列出段落 Char"/>
    <w:qFormat/>
    <w:uiPriority w:val="34"/>
    <w:rPr>
      <w:rFonts w:eastAsia="楷体_GB2312" w:cs="Lucida Sans"/>
      <w:kern w:val="2"/>
      <w:sz w:val="24"/>
      <w:szCs w:val="24"/>
      <w:lang w:val="en-US" w:eastAsia="zh-CN" w:bidi="ar-SA"/>
    </w:rPr>
  </w:style>
  <w:style w:type="character" w:customStyle="1" w:styleId="263">
    <w:name w:val="正文（缩进2汉字） Char"/>
    <w:link w:val="264"/>
    <w:qFormat/>
    <w:uiPriority w:val="0"/>
    <w:rPr>
      <w:rFonts w:ascii="宋体"/>
    </w:rPr>
  </w:style>
  <w:style w:type="paragraph" w:customStyle="1" w:styleId="264">
    <w:name w:val="正文（缩进2汉字）"/>
    <w:basedOn w:val="1"/>
    <w:link w:val="2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65">
    <w:name w:val="样式5 Char"/>
    <w:qFormat/>
    <w:uiPriority w:val="0"/>
    <w:rPr>
      <w:rFonts w:ascii="仿宋_GB2312" w:hAnsi="仿宋" w:eastAsia="仿宋_GB2312"/>
      <w:kern w:val="2"/>
      <w:sz w:val="24"/>
      <w:szCs w:val="24"/>
    </w:rPr>
  </w:style>
  <w:style w:type="character" w:customStyle="1" w:styleId="266">
    <w:name w:val="Char Char41"/>
    <w:qFormat/>
    <w:uiPriority w:val="0"/>
    <w:rPr>
      <w:rFonts w:eastAsia="宋体"/>
      <w:b/>
      <w:sz w:val="24"/>
      <w:lang w:val="en-GB" w:eastAsia="zh-CN" w:bidi="ar-SA"/>
    </w:rPr>
  </w:style>
  <w:style w:type="character" w:customStyle="1" w:styleId="267">
    <w:name w:val="正文 项目2 Char"/>
    <w:basedOn w:val="268"/>
    <w:qFormat/>
    <w:uiPriority w:val="0"/>
  </w:style>
  <w:style w:type="character" w:customStyle="1" w:styleId="268">
    <w:name w:val="正文 项目 Char"/>
    <w:qFormat/>
    <w:uiPriority w:val="0"/>
    <w:rPr>
      <w:rFonts w:ascii="仿宋_GB2312" w:hAnsi="仿宋_GB2312" w:eastAsia="仿宋_GB2312"/>
      <w:kern w:val="2"/>
      <w:sz w:val="24"/>
      <w:lang w:bidi="ar-SA"/>
    </w:rPr>
  </w:style>
  <w:style w:type="character" w:customStyle="1" w:styleId="269">
    <w:name w:val="副标题 Char1"/>
    <w:qFormat/>
    <w:uiPriority w:val="0"/>
    <w:rPr>
      <w:rFonts w:ascii="Cambria" w:hAnsi="Cambria" w:eastAsia="宋体" w:cs="Times New Roman"/>
      <w:b/>
      <w:bCs/>
      <w:snapToGrid w:val="0"/>
      <w:kern w:val="28"/>
      <w:sz w:val="32"/>
      <w:szCs w:val="32"/>
    </w:rPr>
  </w:style>
  <w:style w:type="character" w:customStyle="1" w:styleId="270">
    <w:name w:val="正文2 Char"/>
    <w:qFormat/>
    <w:uiPriority w:val="0"/>
    <w:rPr>
      <w:rFonts w:eastAsia="宋体"/>
      <w:kern w:val="2"/>
      <w:sz w:val="24"/>
      <w:lang w:val="en-US" w:eastAsia="zh-CN" w:bidi="ar-SA"/>
    </w:rPr>
  </w:style>
  <w:style w:type="character" w:customStyle="1" w:styleId="271">
    <w:name w:val="Heading 2 Hidden Char"/>
    <w:qFormat/>
    <w:uiPriority w:val="0"/>
    <w:rPr>
      <w:rFonts w:ascii="仿宋_GB2312" w:eastAsia="仿宋_GB2312"/>
      <w:b/>
      <w:bCs/>
      <w:kern w:val="2"/>
      <w:sz w:val="24"/>
      <w:szCs w:val="24"/>
      <w:lang w:val="zh-CN" w:eastAsia="zh-CN" w:bidi="ar-SA"/>
    </w:rPr>
  </w:style>
  <w:style w:type="character" w:customStyle="1" w:styleId="272">
    <w:name w:val="样式 宋体"/>
    <w:qFormat/>
    <w:uiPriority w:val="0"/>
    <w:rPr>
      <w:rFonts w:ascii="宋体" w:hAnsi="宋体"/>
      <w:sz w:val="24"/>
    </w:rPr>
  </w:style>
  <w:style w:type="character" w:customStyle="1" w:styleId="273">
    <w:name w:val="正文首行缩进两字 Char"/>
    <w:qFormat/>
    <w:uiPriority w:val="0"/>
    <w:rPr>
      <w:sz w:val="24"/>
      <w:szCs w:val="24"/>
      <w:lang w:val="en-US" w:eastAsia="zh-CN" w:bidi="ar-SA"/>
    </w:rPr>
  </w:style>
  <w:style w:type="character" w:customStyle="1" w:styleId="274">
    <w:name w:val="pt141"/>
    <w:qFormat/>
    <w:uiPriority w:val="0"/>
    <w:rPr>
      <w:color w:val="330066"/>
      <w:sz w:val="22"/>
      <w:szCs w:val="22"/>
    </w:rPr>
  </w:style>
  <w:style w:type="character" w:customStyle="1" w:styleId="275">
    <w:name w:val="Comment Text Char"/>
    <w:semiHidden/>
    <w:qFormat/>
    <w:locked/>
    <w:uiPriority w:val="0"/>
    <w:rPr>
      <w:rFonts w:ascii="宋体" w:hAnsi="宋体" w:eastAsia="宋体"/>
      <w:kern w:val="2"/>
      <w:sz w:val="24"/>
      <w:lang w:val="en-US" w:eastAsia="zh-CN" w:bidi="ar-SA"/>
    </w:rPr>
  </w:style>
  <w:style w:type="character" w:customStyle="1" w:styleId="276">
    <w:name w:val="正文文本 Char"/>
    <w:qFormat/>
    <w:uiPriority w:val="0"/>
    <w:rPr>
      <w:rFonts w:eastAsia="宋体"/>
      <w:kern w:val="2"/>
      <w:sz w:val="24"/>
      <w:szCs w:val="24"/>
      <w:lang w:val="en-US" w:eastAsia="zh-CN" w:bidi="ar-SA"/>
    </w:rPr>
  </w:style>
  <w:style w:type="character" w:customStyle="1" w:styleId="277">
    <w:name w:val="正文1 Char1"/>
    <w:qFormat/>
    <w:uiPriority w:val="0"/>
    <w:rPr>
      <w:rFonts w:ascii="仿宋_GB2312" w:hAnsi="Courier New" w:eastAsia="仿宋_GB2312"/>
      <w:kern w:val="28"/>
      <w:sz w:val="24"/>
      <w:szCs w:val="24"/>
      <w:lang w:val="en-US" w:eastAsia="zh-CN"/>
    </w:rPr>
  </w:style>
  <w:style w:type="character" w:customStyle="1" w:styleId="278">
    <w:name w:val="apple-converted-space"/>
    <w:qFormat/>
    <w:uiPriority w:val="0"/>
  </w:style>
  <w:style w:type="character" w:customStyle="1" w:styleId="279">
    <w:name w:val="Table Text Char1"/>
    <w:qFormat/>
    <w:uiPriority w:val="0"/>
    <w:rPr>
      <w:rFonts w:eastAsia="宋体"/>
      <w:sz w:val="24"/>
      <w:szCs w:val="24"/>
      <w:lang w:val="en-US" w:eastAsia="zh-CN" w:bidi="ar-SA"/>
    </w:rPr>
  </w:style>
  <w:style w:type="paragraph" w:customStyle="1" w:styleId="28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81">
    <w:name w:val="Char1 Char Char Char1"/>
    <w:basedOn w:val="1"/>
    <w:qFormat/>
    <w:uiPriority w:val="0"/>
    <w:pPr>
      <w:adjustRightInd/>
      <w:ind w:firstLine="200" w:firstLineChars="200"/>
    </w:pPr>
    <w:rPr>
      <w:rFonts w:ascii="Tahoma" w:hAnsi="Tahoma"/>
      <w:sz w:val="24"/>
      <w:szCs w:val="20"/>
    </w:rPr>
  </w:style>
  <w:style w:type="paragraph" w:customStyle="1" w:styleId="28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285">
    <w:name w:val="样式 标题 4PIM 4H4h4bulletblbbH41H42H43H44H45H46H47H48...1"/>
    <w:basedOn w:val="5"/>
    <w:qFormat/>
    <w:uiPriority w:val="0"/>
    <w:pPr>
      <w:widowControl/>
      <w:jc w:val="left"/>
    </w:pPr>
    <w:rPr>
      <w:rFonts w:cs="宋体"/>
      <w:sz w:val="24"/>
      <w:szCs w:val="20"/>
    </w:rPr>
  </w:style>
  <w:style w:type="paragraph" w:customStyle="1" w:styleId="28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288">
    <w:name w:val="Char21"/>
    <w:basedOn w:val="1"/>
    <w:qFormat/>
    <w:uiPriority w:val="0"/>
    <w:pPr>
      <w:adjustRightInd/>
      <w:ind w:firstLine="200" w:firstLineChars="200"/>
    </w:pPr>
    <w:rPr>
      <w:rFonts w:ascii="仿宋_GB2312" w:eastAsia="仿宋_GB2312"/>
      <w:b/>
      <w:sz w:val="32"/>
      <w:szCs w:val="32"/>
    </w:rPr>
  </w:style>
  <w:style w:type="paragraph" w:customStyle="1" w:styleId="28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90">
    <w:name w:val="Char2 Char Char"/>
    <w:basedOn w:val="1"/>
    <w:qFormat/>
    <w:uiPriority w:val="0"/>
    <w:pPr>
      <w:adjustRightInd/>
    </w:pPr>
    <w:rPr>
      <w:rFonts w:ascii="Tahoma" w:hAnsi="Tahoma"/>
      <w:sz w:val="24"/>
      <w:szCs w:val="20"/>
    </w:rPr>
  </w:style>
  <w:style w:type="paragraph" w:customStyle="1" w:styleId="291">
    <w:name w:val="默认段落字体 Para Char Char Char Char"/>
    <w:basedOn w:val="1"/>
    <w:qFormat/>
    <w:uiPriority w:val="0"/>
    <w:pPr>
      <w:spacing w:line="360" w:lineRule="auto"/>
    </w:pPr>
    <w:rPr>
      <w:szCs w:val="20"/>
    </w:rPr>
  </w:style>
  <w:style w:type="paragraph" w:customStyle="1" w:styleId="29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93">
    <w:name w:val="样式3"/>
    <w:basedOn w:val="294"/>
    <w:qFormat/>
    <w:uiPriority w:val="0"/>
    <w:pPr>
      <w:tabs>
        <w:tab w:val="left" w:pos="2790"/>
        <w:tab w:val="left" w:pos="4230"/>
      </w:tabs>
      <w:spacing w:beforeLines="100"/>
      <w:jc w:val="left"/>
    </w:pPr>
  </w:style>
  <w:style w:type="paragraph" w:customStyle="1" w:styleId="29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95">
    <w:name w:val="Char Char Char"/>
    <w:basedOn w:val="1"/>
    <w:qFormat/>
    <w:uiPriority w:val="0"/>
    <w:rPr>
      <w:rFonts w:ascii="Tahoma" w:hAnsi="Tahoma"/>
      <w:sz w:val="24"/>
      <w:szCs w:val="20"/>
    </w:rPr>
  </w:style>
  <w:style w:type="paragraph" w:customStyle="1" w:styleId="2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297">
    <w:name w:val="Char1 Char Char Char3"/>
    <w:basedOn w:val="1"/>
    <w:qFormat/>
    <w:uiPriority w:val="0"/>
    <w:pPr>
      <w:adjustRightInd/>
      <w:ind w:firstLine="200" w:firstLineChars="200"/>
    </w:pPr>
    <w:rPr>
      <w:rFonts w:ascii="Tahoma" w:hAnsi="Tahoma"/>
      <w:sz w:val="24"/>
      <w:szCs w:val="20"/>
    </w:rPr>
  </w:style>
  <w:style w:type="paragraph" w:customStyle="1" w:styleId="2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9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01">
    <w:name w:val="Char Char Char Char Char Char Char Char Char Char"/>
    <w:basedOn w:val="1"/>
    <w:qFormat/>
    <w:uiPriority w:val="0"/>
    <w:rPr>
      <w:rFonts w:ascii="仿宋_GB2312" w:eastAsia="仿宋_GB2312"/>
      <w:b/>
      <w:sz w:val="32"/>
      <w:szCs w:val="32"/>
    </w:rPr>
  </w:style>
  <w:style w:type="paragraph" w:customStyle="1" w:styleId="3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0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5">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306">
    <w:name w:val="表格"/>
    <w:basedOn w:val="1"/>
    <w:qFormat/>
    <w:uiPriority w:val="0"/>
    <w:pPr>
      <w:snapToGrid w:val="0"/>
      <w:ind w:firstLine="42" w:firstLineChars="21"/>
    </w:pPr>
    <w:rPr>
      <w:rFonts w:ascii="宋体" w:hAnsi="宋体"/>
      <w:kern w:val="0"/>
      <w:sz w:val="20"/>
      <w:szCs w:val="20"/>
    </w:rPr>
  </w:style>
  <w:style w:type="paragraph" w:customStyle="1" w:styleId="307">
    <w:name w:val="数字标题3"/>
    <w:basedOn w:val="4"/>
    <w:next w:val="1"/>
    <w:qFormat/>
    <w:uiPriority w:val="0"/>
    <w:pPr>
      <w:spacing w:line="240" w:lineRule="auto"/>
    </w:pPr>
    <w:rPr>
      <w:sz w:val="28"/>
      <w:szCs w:val="28"/>
    </w:rPr>
  </w:style>
  <w:style w:type="paragraph" w:customStyle="1" w:styleId="308">
    <w:name w:val="样式1 + (中宋体"/>
    <w:basedOn w:val="309"/>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3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10">
    <w:name w:val="MM Topic 4"/>
    <w:basedOn w:val="5"/>
    <w:qFormat/>
    <w:uiPriority w:val="0"/>
    <w:pPr>
      <w:tabs>
        <w:tab w:val="left" w:pos="2100"/>
        <w:tab w:val="clear" w:pos="864"/>
      </w:tabs>
      <w:adjustRightInd/>
      <w:ind w:left="2100" w:hanging="420"/>
    </w:pPr>
    <w:rPr>
      <w:lang w:val="en-US"/>
    </w:rPr>
  </w:style>
  <w:style w:type="paragraph" w:customStyle="1" w:styleId="311">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312">
    <w:name w:val="MM Topic 1"/>
    <w:basedOn w:val="3"/>
    <w:qFormat/>
    <w:uiPriority w:val="0"/>
    <w:pPr>
      <w:tabs>
        <w:tab w:val="left" w:pos="840"/>
      </w:tabs>
      <w:adjustRightInd/>
      <w:ind w:left="840" w:hanging="420"/>
    </w:pPr>
  </w:style>
  <w:style w:type="paragraph" w:customStyle="1" w:styleId="313">
    <w:name w:val="Char Char Char Char"/>
    <w:basedOn w:val="1"/>
    <w:qFormat/>
    <w:uiPriority w:val="0"/>
    <w:rPr>
      <w:rFonts w:ascii="Tahoma" w:hAnsi="Tahoma"/>
      <w:sz w:val="24"/>
      <w:szCs w:val="20"/>
    </w:rPr>
  </w:style>
  <w:style w:type="paragraph" w:customStyle="1" w:styleId="314">
    <w:name w:val="正文段"/>
    <w:basedOn w:val="1"/>
    <w:qFormat/>
    <w:uiPriority w:val="0"/>
    <w:pPr>
      <w:widowControl/>
      <w:snapToGrid w:val="0"/>
      <w:spacing w:afterLines="50"/>
      <w:ind w:firstLine="200" w:firstLineChars="200"/>
    </w:pPr>
    <w:rPr>
      <w:kern w:val="0"/>
      <w:sz w:val="24"/>
      <w:szCs w:val="20"/>
    </w:rPr>
  </w:style>
  <w:style w:type="paragraph" w:customStyle="1" w:styleId="315">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6">
    <w:name w:val="默认段落字体 Para Char Char Char1 Char"/>
    <w:basedOn w:val="1"/>
    <w:qFormat/>
    <w:uiPriority w:val="0"/>
    <w:pPr>
      <w:spacing w:line="240" w:lineRule="atLeast"/>
      <w:ind w:left="420" w:firstLine="420"/>
    </w:pPr>
    <w:rPr>
      <w:sz w:val="24"/>
    </w:rPr>
  </w:style>
  <w:style w:type="paragraph" w:customStyle="1" w:styleId="317">
    <w:name w:val="默认段落字体 Para Char Char Char Char Char Char Char"/>
    <w:basedOn w:val="1"/>
    <w:qFormat/>
    <w:uiPriority w:val="0"/>
    <w:rPr>
      <w:rFonts w:eastAsia="仿宋_GB2312"/>
      <w:sz w:val="28"/>
      <w:szCs w:val="20"/>
    </w:rPr>
  </w:style>
  <w:style w:type="paragraph" w:customStyle="1" w:styleId="318">
    <w:name w:val="左对齐表格文字"/>
    <w:basedOn w:val="1"/>
    <w:qFormat/>
    <w:uiPriority w:val="0"/>
    <w:pPr>
      <w:adjustRightInd/>
      <w:ind w:firstLine="200" w:firstLineChars="200"/>
      <w:jc w:val="right"/>
    </w:pPr>
  </w:style>
  <w:style w:type="paragraph" w:customStyle="1" w:styleId="319">
    <w:name w:val="彩色列表 - 强调文字颜色 12"/>
    <w:basedOn w:val="1"/>
    <w:qFormat/>
    <w:uiPriority w:val="0"/>
    <w:pPr>
      <w:adjustRightInd/>
      <w:ind w:firstLine="420" w:firstLineChars="200"/>
    </w:pPr>
    <w:rPr>
      <w:rFonts w:ascii="Calibri" w:hAnsi="Calibri"/>
      <w:szCs w:val="22"/>
    </w:rPr>
  </w:style>
  <w:style w:type="paragraph" w:customStyle="1" w:styleId="32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22">
    <w:name w:val="加粗正文"/>
    <w:basedOn w:val="1"/>
    <w:qFormat/>
    <w:uiPriority w:val="0"/>
    <w:pPr>
      <w:adjustRightInd/>
      <w:spacing w:beforeLines="50" w:afterLines="50" w:line="360" w:lineRule="auto"/>
      <w:ind w:firstLine="422" w:firstLineChars="200"/>
    </w:pPr>
    <w:rPr>
      <w:b/>
      <w:bCs/>
      <w:szCs w:val="21"/>
    </w:rPr>
  </w:style>
  <w:style w:type="paragraph" w:customStyle="1" w:styleId="32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2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2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28">
    <w:name w:val="Char1 Char Char Char4"/>
    <w:basedOn w:val="1"/>
    <w:qFormat/>
    <w:uiPriority w:val="0"/>
    <w:pPr>
      <w:adjustRightInd/>
      <w:ind w:firstLine="200" w:firstLineChars="200"/>
    </w:pPr>
    <w:rPr>
      <w:rFonts w:ascii="Tahoma" w:hAnsi="Tahoma"/>
      <w:sz w:val="24"/>
      <w:szCs w:val="20"/>
    </w:rPr>
  </w:style>
  <w:style w:type="paragraph" w:customStyle="1" w:styleId="32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330">
    <w:name w:val="Char1"/>
    <w:basedOn w:val="1"/>
    <w:qFormat/>
    <w:uiPriority w:val="0"/>
    <w:rPr>
      <w:rFonts w:ascii="仿宋_GB2312" w:eastAsia="仿宋_GB2312"/>
      <w:b/>
      <w:sz w:val="32"/>
      <w:szCs w:val="32"/>
    </w:rPr>
  </w:style>
  <w:style w:type="paragraph" w:customStyle="1" w:styleId="33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3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33">
    <w:name w:val="注释"/>
    <w:basedOn w:val="1"/>
    <w:qFormat/>
    <w:uiPriority w:val="0"/>
    <w:pPr>
      <w:adjustRightInd/>
      <w:spacing w:line="360" w:lineRule="auto"/>
      <w:ind w:firstLine="480"/>
    </w:pPr>
    <w:rPr>
      <w:sz w:val="24"/>
    </w:rPr>
  </w:style>
  <w:style w:type="paragraph" w:customStyle="1" w:styleId="334">
    <w:name w:val="文本正文 Char"/>
    <w:basedOn w:val="1"/>
    <w:qFormat/>
    <w:uiPriority w:val="0"/>
    <w:pPr>
      <w:spacing w:line="360" w:lineRule="auto"/>
      <w:ind w:firstLine="200" w:firstLineChars="200"/>
    </w:pPr>
    <w:rPr>
      <w:kern w:val="0"/>
      <w:sz w:val="24"/>
      <w:szCs w:val="20"/>
    </w:rPr>
  </w:style>
  <w:style w:type="paragraph" w:customStyle="1" w:styleId="33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36">
    <w:name w:val="正文21"/>
    <w:basedOn w:val="1"/>
    <w:qFormat/>
    <w:uiPriority w:val="0"/>
    <w:pPr>
      <w:adjustRightInd/>
      <w:spacing w:before="156" w:line="360" w:lineRule="auto"/>
      <w:ind w:firstLine="510" w:firstLineChars="200"/>
    </w:pPr>
    <w:rPr>
      <w:sz w:val="24"/>
      <w:szCs w:val="20"/>
    </w:rPr>
  </w:style>
  <w:style w:type="paragraph" w:customStyle="1" w:styleId="337">
    <w:name w:val="Char"/>
    <w:basedOn w:val="1"/>
    <w:qFormat/>
    <w:uiPriority w:val="0"/>
    <w:rPr>
      <w:rFonts w:ascii="仿宋_GB2312" w:eastAsia="仿宋_GB2312"/>
      <w:b/>
      <w:sz w:val="32"/>
      <w:szCs w:val="32"/>
    </w:rPr>
  </w:style>
  <w:style w:type="paragraph" w:customStyle="1" w:styleId="33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41">
    <w:name w:val="单元格左对齐"/>
    <w:basedOn w:val="1"/>
    <w:qFormat/>
    <w:uiPriority w:val="0"/>
    <w:pPr>
      <w:adjustRightInd/>
      <w:spacing w:line="360" w:lineRule="auto"/>
    </w:pPr>
    <w:rPr>
      <w:sz w:val="24"/>
    </w:rPr>
  </w:style>
  <w:style w:type="paragraph" w:customStyle="1" w:styleId="34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34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正文（首行缩进2字符）"/>
    <w:basedOn w:val="1"/>
    <w:qFormat/>
    <w:uiPriority w:val="0"/>
    <w:pPr>
      <w:adjustRightInd/>
      <w:spacing w:line="360" w:lineRule="auto"/>
      <w:ind w:firstLine="480" w:firstLineChars="200"/>
    </w:pPr>
    <w:rPr>
      <w:sz w:val="24"/>
      <w:szCs w:val="20"/>
    </w:rPr>
  </w:style>
  <w:style w:type="paragraph" w:customStyle="1" w:styleId="34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49">
    <w:name w:val="彩色列表 - 强调文字颜色 11"/>
    <w:basedOn w:val="1"/>
    <w:qFormat/>
    <w:uiPriority w:val="0"/>
    <w:pPr>
      <w:adjustRightInd/>
      <w:ind w:firstLine="420" w:firstLineChars="200"/>
    </w:pPr>
    <w:rPr>
      <w:rFonts w:ascii="Calibri" w:hAnsi="Calibri"/>
      <w:szCs w:val="22"/>
    </w:rPr>
  </w:style>
  <w:style w:type="paragraph" w:customStyle="1" w:styleId="350">
    <w:name w:val="标题五"/>
    <w:basedOn w:val="1"/>
    <w:qFormat/>
    <w:uiPriority w:val="0"/>
    <w:pPr>
      <w:adjustRightInd/>
      <w:spacing w:beforeLines="50" w:line="360" w:lineRule="auto"/>
    </w:pPr>
    <w:rPr>
      <w:b/>
      <w:sz w:val="24"/>
    </w:rPr>
  </w:style>
  <w:style w:type="paragraph" w:customStyle="1" w:styleId="351">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5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3">
    <w:name w:val="样式 正文文本缩进 + 段前: 2 字符"/>
    <w:basedOn w:val="1"/>
    <w:qFormat/>
    <w:uiPriority w:val="0"/>
    <w:pPr>
      <w:adjustRightInd/>
      <w:ind w:left="420" w:leftChars="200"/>
      <w:jc w:val="left"/>
    </w:pPr>
    <w:rPr>
      <w:sz w:val="28"/>
      <w:szCs w:val="20"/>
      <w:lang w:eastAsia="zh-TW"/>
    </w:rPr>
  </w:style>
  <w:style w:type="paragraph" w:customStyle="1" w:styleId="3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5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6">
    <w:name w:val="Normal0"/>
    <w:qFormat/>
    <w:uiPriority w:val="0"/>
    <w:rPr>
      <w:rFonts w:ascii="Times New Roman" w:hAnsi="Times New Roman" w:eastAsia="宋体" w:cs="Times New Roman"/>
      <w:lang w:val="en-US" w:eastAsia="en-US" w:bidi="ar-SA"/>
    </w:rPr>
  </w:style>
  <w:style w:type="paragraph" w:customStyle="1" w:styleId="357">
    <w:name w:val="Char2 Char Char Char"/>
    <w:basedOn w:val="1"/>
    <w:qFormat/>
    <w:uiPriority w:val="0"/>
    <w:rPr>
      <w:rFonts w:ascii="仿宋_GB2312" w:eastAsia="仿宋_GB2312"/>
      <w:b/>
      <w:sz w:val="32"/>
      <w:szCs w:val="32"/>
    </w:rPr>
  </w:style>
  <w:style w:type="paragraph" w:customStyle="1" w:styleId="358">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359">
    <w:name w:val="表格（小）"/>
    <w:basedOn w:val="1"/>
    <w:qFormat/>
    <w:uiPriority w:val="0"/>
    <w:pPr>
      <w:adjustRightInd/>
      <w:snapToGrid w:val="0"/>
      <w:spacing w:line="300" w:lineRule="auto"/>
    </w:pPr>
    <w:rPr>
      <w:rFonts w:eastAsia="仿宋"/>
      <w:szCs w:val="21"/>
    </w:rPr>
  </w:style>
  <w:style w:type="paragraph" w:customStyle="1" w:styleId="360">
    <w:name w:val="Thf"/>
    <w:basedOn w:val="361"/>
    <w:qFormat/>
    <w:uiPriority w:val="0"/>
    <w:pPr>
      <w:ind w:left="0"/>
    </w:pPr>
  </w:style>
  <w:style w:type="paragraph" w:customStyle="1" w:styleId="3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62">
    <w:name w:val="4"/>
    <w:basedOn w:val="1"/>
    <w:next w:val="35"/>
    <w:qFormat/>
    <w:uiPriority w:val="0"/>
    <w:pPr>
      <w:spacing w:after="120" w:line="480" w:lineRule="auto"/>
      <w:ind w:left="420" w:leftChars="200"/>
    </w:pPr>
    <w:rPr>
      <w:sz w:val="24"/>
      <w:szCs w:val="20"/>
    </w:rPr>
  </w:style>
  <w:style w:type="paragraph" w:customStyle="1" w:styleId="3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36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6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68">
    <w:name w:val="样式 样式2 + 左侧:  1 字符 右侧:  1 字符"/>
    <w:basedOn w:val="29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9">
    <w:name w:val="Char Char11 Char Char Char Char Char Char Char Char Char"/>
    <w:basedOn w:val="1"/>
    <w:qFormat/>
    <w:uiPriority w:val="0"/>
    <w:pPr>
      <w:spacing w:line="360" w:lineRule="auto"/>
    </w:pPr>
    <w:rPr>
      <w:szCs w:val="20"/>
    </w:rPr>
  </w:style>
  <w:style w:type="paragraph" w:customStyle="1" w:styleId="370">
    <w:name w:val="封面"/>
    <w:basedOn w:val="1"/>
    <w:qFormat/>
    <w:uiPriority w:val="0"/>
    <w:pPr>
      <w:spacing w:line="360" w:lineRule="atLeast"/>
      <w:jc w:val="right"/>
      <w:textAlignment w:val="baseline"/>
    </w:pPr>
    <w:rPr>
      <w:rFonts w:ascii="Symbol" w:hAnsi="Symbol"/>
      <w:kern w:val="0"/>
      <w:szCs w:val="20"/>
    </w:rPr>
  </w:style>
  <w:style w:type="paragraph" w:customStyle="1" w:styleId="371">
    <w:name w:val="EB_表格"/>
    <w:basedOn w:val="1"/>
    <w:qFormat/>
    <w:uiPriority w:val="0"/>
    <w:pPr>
      <w:adjustRightInd/>
      <w:spacing w:line="300" w:lineRule="auto"/>
      <w:jc w:val="center"/>
    </w:pPr>
  </w:style>
  <w:style w:type="paragraph" w:customStyle="1" w:styleId="372">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37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7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7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37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7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81">
    <w:name w:val="Bulleted List"/>
    <w:basedOn w:val="1"/>
    <w:qFormat/>
    <w:uiPriority w:val="0"/>
    <w:pPr>
      <w:tabs>
        <w:tab w:val="left" w:pos="1260"/>
      </w:tabs>
      <w:adjustRightInd/>
      <w:ind w:left="1260" w:hanging="420"/>
    </w:pPr>
  </w:style>
  <w:style w:type="paragraph" w:customStyle="1" w:styleId="38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85">
    <w:name w:val="四号　首行缩进"/>
    <w:basedOn w:val="1"/>
    <w:qFormat/>
    <w:uiPriority w:val="0"/>
    <w:pPr>
      <w:adjustRightInd/>
      <w:spacing w:line="360" w:lineRule="auto"/>
    </w:pPr>
    <w:rPr>
      <w:rFonts w:ascii="宋体" w:hAnsi="宋体"/>
      <w:szCs w:val="20"/>
    </w:rPr>
  </w:style>
  <w:style w:type="paragraph" w:customStyle="1" w:styleId="38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Char Char13"/>
    <w:basedOn w:val="1"/>
    <w:qFormat/>
    <w:uiPriority w:val="0"/>
    <w:pPr>
      <w:spacing w:line="360" w:lineRule="auto"/>
    </w:pPr>
    <w:rPr>
      <w:rFonts w:ascii="Tahoma" w:hAnsi="Tahoma"/>
      <w:sz w:val="24"/>
      <w:szCs w:val="20"/>
    </w:rPr>
  </w:style>
  <w:style w:type="paragraph" w:customStyle="1" w:styleId="38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9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9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93">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95">
    <w:name w:val="Char3"/>
    <w:basedOn w:val="1"/>
    <w:qFormat/>
    <w:uiPriority w:val="0"/>
    <w:pPr>
      <w:adjustRightInd/>
    </w:pPr>
    <w:rPr>
      <w:rFonts w:ascii="仿宋_GB2312" w:eastAsia="仿宋_GB2312"/>
      <w:b/>
      <w:sz w:val="32"/>
      <w:szCs w:val="32"/>
    </w:rPr>
  </w:style>
  <w:style w:type="paragraph" w:customStyle="1" w:styleId="39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9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9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0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02">
    <w:name w:val="Char3 Char Char Char"/>
    <w:basedOn w:val="1"/>
    <w:qFormat/>
    <w:uiPriority w:val="0"/>
    <w:pPr>
      <w:widowControl/>
      <w:adjustRightInd/>
      <w:spacing w:after="160" w:line="240" w:lineRule="exact"/>
      <w:jc w:val="left"/>
    </w:pPr>
    <w:rPr>
      <w:szCs w:val="20"/>
    </w:rPr>
  </w:style>
  <w:style w:type="paragraph" w:customStyle="1" w:styleId="40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04">
    <w:name w:val="Char Char Char Char Char Char Char Char Char Char1"/>
    <w:basedOn w:val="1"/>
    <w:qFormat/>
    <w:uiPriority w:val="0"/>
    <w:rPr>
      <w:rFonts w:ascii="仿宋_GB2312" w:eastAsia="仿宋_GB2312"/>
      <w:b/>
      <w:sz w:val="32"/>
      <w:szCs w:val="32"/>
    </w:rPr>
  </w:style>
  <w:style w:type="paragraph" w:customStyle="1" w:styleId="40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06">
    <w:name w:val="文章标题"/>
    <w:next w:val="40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07">
    <w:name w:val="封面公司名"/>
    <w:qFormat/>
    <w:uiPriority w:val="0"/>
    <w:pPr>
      <w:jc w:val="center"/>
    </w:pPr>
    <w:rPr>
      <w:rFonts w:ascii="Arial" w:hAnsi="Arial" w:eastAsia="楷体_GB2312" w:cs="宋体"/>
      <w:bCs/>
      <w:kern w:val="2"/>
      <w:sz w:val="28"/>
      <w:lang w:val="en-US" w:eastAsia="zh-CN" w:bidi="ar-SA"/>
    </w:rPr>
  </w:style>
  <w:style w:type="paragraph" w:customStyle="1" w:styleId="408">
    <w:name w:val="Char Char Char Char Char Char Char Char Char Char Char Char1 Char"/>
    <w:basedOn w:val="1"/>
    <w:qFormat/>
    <w:uiPriority w:val="0"/>
    <w:rPr>
      <w:rFonts w:ascii="Tahoma" w:hAnsi="Tahoma" w:cs="仿宋_GB2312"/>
      <w:sz w:val="24"/>
      <w:szCs w:val="20"/>
    </w:rPr>
  </w:style>
  <w:style w:type="paragraph" w:customStyle="1" w:styleId="40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4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11">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12">
    <w:name w:val="Char Char4 Char Char"/>
    <w:basedOn w:val="1"/>
    <w:qFormat/>
    <w:uiPriority w:val="0"/>
    <w:pPr>
      <w:widowControl/>
      <w:adjustRightInd/>
      <w:spacing w:after="160" w:line="240" w:lineRule="exact"/>
      <w:jc w:val="left"/>
    </w:pPr>
  </w:style>
  <w:style w:type="paragraph" w:customStyle="1" w:styleId="4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14">
    <w:name w:val="bullet"/>
    <w:basedOn w:val="1"/>
    <w:qFormat/>
    <w:uiPriority w:val="0"/>
    <w:pPr>
      <w:tabs>
        <w:tab w:val="left" w:pos="840"/>
      </w:tabs>
      <w:adjustRightInd/>
      <w:ind w:left="840" w:hanging="420"/>
    </w:pPr>
  </w:style>
  <w:style w:type="paragraph" w:customStyle="1" w:styleId="415">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16">
    <w:name w:val="Char Char1"/>
    <w:basedOn w:val="1"/>
    <w:qFormat/>
    <w:uiPriority w:val="0"/>
    <w:pPr>
      <w:widowControl/>
      <w:spacing w:after="160" w:line="240" w:lineRule="exact"/>
      <w:jc w:val="left"/>
    </w:pPr>
    <w:rPr>
      <w:rFonts w:eastAsia="仿宋_GB2312"/>
      <w:sz w:val="28"/>
    </w:rPr>
  </w:style>
  <w:style w:type="paragraph" w:customStyle="1" w:styleId="41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18">
    <w:name w:val="Char Char11 Char Char Char"/>
    <w:basedOn w:val="1"/>
    <w:qFormat/>
    <w:uiPriority w:val="0"/>
    <w:pPr>
      <w:spacing w:line="360" w:lineRule="auto"/>
    </w:pPr>
    <w:rPr>
      <w:szCs w:val="20"/>
    </w:rPr>
  </w:style>
  <w:style w:type="paragraph" w:customStyle="1" w:styleId="41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0">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42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 Char Char Char Char Char Char"/>
    <w:basedOn w:val="1"/>
    <w:qFormat/>
    <w:uiPriority w:val="0"/>
    <w:rPr>
      <w:rFonts w:ascii="仿宋_GB2312" w:eastAsia="仿宋_GB2312"/>
      <w:b/>
      <w:sz w:val="32"/>
      <w:szCs w:val="20"/>
    </w:rPr>
  </w:style>
  <w:style w:type="paragraph" w:customStyle="1" w:styleId="424">
    <w:name w:val="样式 标题 3H3 + 两端对齐"/>
    <w:basedOn w:val="4"/>
    <w:qFormat/>
    <w:uiPriority w:val="0"/>
    <w:pPr>
      <w:keepLines w:val="0"/>
      <w:spacing w:before="0" w:after="0" w:line="240" w:lineRule="auto"/>
      <w:jc w:val="left"/>
    </w:pPr>
    <w:rPr>
      <w:rFonts w:cs="宋体"/>
      <w:sz w:val="21"/>
      <w:szCs w:val="20"/>
    </w:rPr>
  </w:style>
  <w:style w:type="paragraph" w:customStyle="1" w:styleId="42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42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427">
    <w:name w:val="正文文字 2"/>
    <w:basedOn w:val="428"/>
    <w:next w:val="428"/>
    <w:qFormat/>
    <w:uiPriority w:val="0"/>
    <w:rPr>
      <w:rFonts w:ascii="宋体" w:eastAsia="宋体" w:cs="Times New Roman"/>
      <w:color w:val="auto"/>
    </w:rPr>
  </w:style>
  <w:style w:type="paragraph" w:customStyle="1" w:styleId="42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1">
    <w:name w:val="Char Char1 Char1"/>
    <w:basedOn w:val="1"/>
    <w:qFormat/>
    <w:uiPriority w:val="0"/>
    <w:rPr>
      <w:rFonts w:ascii="仿宋_GB2312" w:eastAsia="仿宋_GB2312"/>
      <w:b/>
      <w:sz w:val="32"/>
      <w:szCs w:val="32"/>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33">
    <w:name w:val="Char11"/>
    <w:basedOn w:val="1"/>
    <w:qFormat/>
    <w:uiPriority w:val="0"/>
    <w:pPr>
      <w:tabs>
        <w:tab w:val="left" w:pos="432"/>
      </w:tabs>
      <w:adjustRightInd/>
      <w:spacing w:beforeLines="50" w:afterLines="50"/>
      <w:ind w:left="432" w:hanging="432" w:firstLineChars="200"/>
    </w:pPr>
    <w:rPr>
      <w:sz w:val="24"/>
    </w:rPr>
  </w:style>
  <w:style w:type="paragraph" w:customStyle="1" w:styleId="43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3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36">
    <w:name w:val="Char Char Char1 Char"/>
    <w:basedOn w:val="1"/>
    <w:qFormat/>
    <w:uiPriority w:val="0"/>
    <w:rPr>
      <w:szCs w:val="20"/>
    </w:rPr>
  </w:style>
  <w:style w:type="paragraph" w:customStyle="1" w:styleId="437">
    <w:name w:val="Char2"/>
    <w:basedOn w:val="1"/>
    <w:qFormat/>
    <w:uiPriority w:val="0"/>
    <w:rPr>
      <w:rFonts w:ascii="仿宋_GB2312" w:eastAsia="仿宋_GB2312"/>
      <w:b/>
      <w:sz w:val="32"/>
      <w:szCs w:val="32"/>
    </w:rPr>
  </w:style>
  <w:style w:type="paragraph" w:customStyle="1" w:styleId="43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39">
    <w:name w:val="Char Char1 Char Char Char"/>
    <w:basedOn w:val="1"/>
    <w:qFormat/>
    <w:uiPriority w:val="0"/>
    <w:rPr>
      <w:rFonts w:ascii="仿宋_GB2312" w:eastAsia="仿宋_GB2312"/>
      <w:b/>
      <w:sz w:val="32"/>
      <w:szCs w:val="32"/>
    </w:rPr>
  </w:style>
  <w:style w:type="paragraph" w:customStyle="1" w:styleId="44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41">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4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43">
    <w:name w:val="0"/>
    <w:basedOn w:val="1"/>
    <w:qFormat/>
    <w:uiPriority w:val="0"/>
    <w:pPr>
      <w:widowControl/>
    </w:pPr>
    <w:rPr>
      <w:kern w:val="0"/>
      <w:sz w:val="24"/>
      <w:szCs w:val="20"/>
    </w:rPr>
  </w:style>
  <w:style w:type="paragraph" w:customStyle="1" w:styleId="444">
    <w:name w:val="数字标题1"/>
    <w:basedOn w:val="3"/>
    <w:next w:val="1"/>
    <w:qFormat/>
    <w:uiPriority w:val="0"/>
    <w:pPr>
      <w:tabs>
        <w:tab w:val="left" w:pos="480"/>
        <w:tab w:val="clear" w:pos="432"/>
      </w:tabs>
      <w:ind w:left="480" w:hanging="480"/>
    </w:pPr>
  </w:style>
  <w:style w:type="paragraph" w:customStyle="1" w:styleId="44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46">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447">
    <w:name w:val="Char19"/>
    <w:basedOn w:val="1"/>
    <w:qFormat/>
    <w:uiPriority w:val="0"/>
    <w:pPr>
      <w:adjustRightInd/>
    </w:pPr>
    <w:rPr>
      <w:szCs w:val="20"/>
    </w:rPr>
  </w:style>
  <w:style w:type="paragraph" w:customStyle="1" w:styleId="448">
    <w:name w:val="MM Empty"/>
    <w:basedOn w:val="1"/>
    <w:qFormat/>
    <w:uiPriority w:val="0"/>
    <w:pPr>
      <w:adjustRightInd/>
    </w:pPr>
  </w:style>
  <w:style w:type="paragraph" w:customStyle="1" w:styleId="44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5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51">
    <w:name w:val="MM Topic 3"/>
    <w:basedOn w:val="4"/>
    <w:qFormat/>
    <w:uiPriority w:val="0"/>
    <w:pPr>
      <w:tabs>
        <w:tab w:val="left" w:pos="1680"/>
        <w:tab w:val="clear" w:pos="900"/>
      </w:tabs>
      <w:adjustRightInd/>
      <w:ind w:left="1680" w:hanging="420"/>
    </w:pPr>
  </w:style>
  <w:style w:type="paragraph" w:customStyle="1" w:styleId="452">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53">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5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56">
    <w:name w:val="Char5"/>
    <w:basedOn w:val="1"/>
    <w:qFormat/>
    <w:uiPriority w:val="0"/>
    <w:rPr>
      <w:rFonts w:ascii="仿宋_GB2312" w:eastAsia="仿宋_GB2312"/>
      <w:b/>
      <w:sz w:val="32"/>
      <w:szCs w:val="32"/>
    </w:rPr>
  </w:style>
  <w:style w:type="paragraph" w:customStyle="1" w:styleId="457">
    <w:name w:val="文档正文"/>
    <w:basedOn w:val="1"/>
    <w:qFormat/>
    <w:uiPriority w:val="0"/>
    <w:pPr>
      <w:spacing w:line="480" w:lineRule="atLeast"/>
      <w:ind w:firstLine="567"/>
      <w:textAlignment w:val="baseline"/>
    </w:pPr>
    <w:rPr>
      <w:kern w:val="0"/>
      <w:sz w:val="24"/>
      <w:szCs w:val="20"/>
    </w:rPr>
  </w:style>
  <w:style w:type="paragraph" w:customStyle="1" w:styleId="458">
    <w:name w:val="有符号正文"/>
    <w:basedOn w:val="1"/>
    <w:qFormat/>
    <w:uiPriority w:val="0"/>
    <w:pPr>
      <w:adjustRightInd/>
      <w:spacing w:line="400" w:lineRule="exact"/>
      <w:ind w:firstLine="200" w:firstLineChars="200"/>
    </w:pPr>
    <w:rPr>
      <w:rFonts w:ascii="Arial" w:hAnsi="Arial"/>
    </w:rPr>
  </w:style>
  <w:style w:type="paragraph" w:customStyle="1" w:styleId="459">
    <w:name w:val="Char Char Char Char Char Char Char"/>
    <w:basedOn w:val="1"/>
    <w:qFormat/>
    <w:uiPriority w:val="0"/>
    <w:rPr>
      <w:rFonts w:ascii="仿宋_GB2312" w:eastAsia="仿宋_GB2312"/>
      <w:b/>
      <w:sz w:val="32"/>
      <w:szCs w:val="32"/>
    </w:rPr>
  </w:style>
  <w:style w:type="paragraph" w:customStyle="1" w:styleId="460">
    <w:name w:val="TOC1"/>
    <w:basedOn w:val="1"/>
    <w:next w:val="1"/>
    <w:qFormat/>
    <w:uiPriority w:val="0"/>
    <w:pPr>
      <w:tabs>
        <w:tab w:val="right" w:leader="dot" w:pos="9203"/>
      </w:tabs>
      <w:spacing w:before="120" w:after="120" w:line="360" w:lineRule="auto"/>
      <w:jc w:val="center"/>
      <w:textAlignment w:val="baseline"/>
    </w:pPr>
    <w:rPr>
      <w:rFonts w:ascii="宋体" w:hAnsi="宋体"/>
      <w:b/>
      <w:bCs/>
      <w:caps/>
      <w:sz w:val="20"/>
      <w:szCs w:val="20"/>
    </w:rPr>
  </w:style>
  <w:style w:type="paragraph" w:customStyle="1" w:styleId="4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6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6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467">
    <w:name w:val="Char Char Char Char Char Char Char Char"/>
    <w:basedOn w:val="1"/>
    <w:qFormat/>
    <w:uiPriority w:val="0"/>
    <w:pPr>
      <w:tabs>
        <w:tab w:val="left" w:pos="360"/>
      </w:tabs>
    </w:pPr>
    <w:rPr>
      <w:sz w:val="24"/>
      <w:szCs w:val="20"/>
    </w:rPr>
  </w:style>
  <w:style w:type="paragraph" w:customStyle="1" w:styleId="46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styleId="46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47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47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7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7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7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6">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47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7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8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81">
    <w:name w:val="Char Char11 Char Char Char1"/>
    <w:basedOn w:val="1"/>
    <w:qFormat/>
    <w:uiPriority w:val="0"/>
    <w:pPr>
      <w:spacing w:line="360" w:lineRule="auto"/>
    </w:pPr>
    <w:rPr>
      <w:szCs w:val="20"/>
    </w:rPr>
  </w:style>
  <w:style w:type="paragraph" w:customStyle="1" w:styleId="48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8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486">
    <w:name w:val="P1"/>
    <w:basedOn w:val="1"/>
    <w:qFormat/>
    <w:uiPriority w:val="0"/>
    <w:pPr>
      <w:adjustRightInd/>
      <w:spacing w:line="288" w:lineRule="auto"/>
      <w:ind w:firstLine="425" w:firstLineChars="200"/>
    </w:pPr>
  </w:style>
  <w:style w:type="paragraph" w:customStyle="1" w:styleId="487">
    <w:name w:val="Char1 Char Char Char"/>
    <w:basedOn w:val="1"/>
    <w:qFormat/>
    <w:uiPriority w:val="0"/>
    <w:rPr>
      <w:rFonts w:ascii="Tahoma" w:hAnsi="Tahoma"/>
      <w:sz w:val="24"/>
      <w:szCs w:val="20"/>
    </w:rPr>
  </w:style>
  <w:style w:type="paragraph" w:customStyle="1" w:styleId="488">
    <w:name w:val="WW-正文文字缩进 2"/>
    <w:basedOn w:val="1"/>
    <w:qFormat/>
    <w:uiPriority w:val="0"/>
    <w:pPr>
      <w:suppressAutoHyphens/>
      <w:adjustRightInd/>
      <w:ind w:firstLine="420"/>
    </w:pPr>
    <w:rPr>
      <w:kern w:val="1"/>
      <w:szCs w:val="20"/>
    </w:rPr>
  </w:style>
  <w:style w:type="paragraph" w:customStyle="1" w:styleId="4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90">
    <w:name w:val="章标题"/>
    <w:next w:val="43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91">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2">
    <w:name w:val="Char Char11 Char Char Char Char Char Char Char Char Char1"/>
    <w:basedOn w:val="1"/>
    <w:qFormat/>
    <w:uiPriority w:val="0"/>
    <w:pPr>
      <w:spacing w:line="360" w:lineRule="auto"/>
    </w:pPr>
    <w:rPr>
      <w:szCs w:val="20"/>
    </w:rPr>
  </w:style>
  <w:style w:type="paragraph" w:customStyle="1" w:styleId="49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94">
    <w:name w:val="Char Char Char Char Char Char Char Char Char Char Char1 Char"/>
    <w:basedOn w:val="1"/>
    <w:qFormat/>
    <w:uiPriority w:val="0"/>
    <w:pPr>
      <w:adjustRightInd/>
    </w:pPr>
    <w:rPr>
      <w:rFonts w:ascii="Tahoma" w:hAnsi="Tahoma"/>
      <w:sz w:val="24"/>
    </w:rPr>
  </w:style>
  <w:style w:type="paragraph" w:customStyle="1" w:styleId="49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496">
    <w:name w:val="一级条标题"/>
    <w:basedOn w:val="490"/>
    <w:next w:val="430"/>
    <w:qFormat/>
    <w:uiPriority w:val="0"/>
    <w:pPr>
      <w:tabs>
        <w:tab w:val="left" w:pos="1680"/>
        <w:tab w:val="clear" w:pos="1260"/>
      </w:tabs>
      <w:spacing w:beforeLines="0" w:afterLines="0"/>
      <w:ind w:left="1680"/>
      <w:outlineLvl w:val="2"/>
    </w:pPr>
  </w:style>
  <w:style w:type="paragraph" w:customStyle="1" w:styleId="49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二级条标题"/>
    <w:basedOn w:val="496"/>
    <w:next w:val="430"/>
    <w:qFormat/>
    <w:uiPriority w:val="0"/>
    <w:pPr>
      <w:tabs>
        <w:tab w:val="left" w:pos="2100"/>
        <w:tab w:val="clear" w:pos="1680"/>
      </w:tabs>
      <w:ind w:left="0"/>
      <w:outlineLvl w:val="3"/>
    </w:pPr>
  </w:style>
  <w:style w:type="paragraph" w:customStyle="1" w:styleId="499">
    <w:name w:val="Char Char111"/>
    <w:basedOn w:val="1"/>
    <w:qFormat/>
    <w:uiPriority w:val="0"/>
    <w:pPr>
      <w:spacing w:line="360" w:lineRule="auto"/>
    </w:pPr>
    <w:rPr>
      <w:szCs w:val="20"/>
    </w:rPr>
  </w:style>
  <w:style w:type="paragraph" w:customStyle="1" w:styleId="50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01">
    <w:name w:val="四级条标题"/>
    <w:basedOn w:val="502"/>
    <w:next w:val="430"/>
    <w:qFormat/>
    <w:uiPriority w:val="0"/>
    <w:pPr>
      <w:tabs>
        <w:tab w:val="left" w:pos="2520"/>
        <w:tab w:val="left" w:pos="2940"/>
      </w:tabs>
      <w:ind w:left="2940"/>
      <w:outlineLvl w:val="5"/>
    </w:pPr>
  </w:style>
  <w:style w:type="paragraph" w:customStyle="1" w:styleId="502">
    <w:name w:val="三级条标题"/>
    <w:basedOn w:val="498"/>
    <w:next w:val="430"/>
    <w:qFormat/>
    <w:uiPriority w:val="0"/>
    <w:pPr>
      <w:tabs>
        <w:tab w:val="left" w:pos="2520"/>
        <w:tab w:val="clear" w:pos="2100"/>
      </w:tabs>
      <w:ind w:left="2520"/>
      <w:outlineLvl w:val="4"/>
    </w:pPr>
  </w:style>
  <w:style w:type="paragraph" w:customStyle="1" w:styleId="50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0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0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06">
    <w:name w:val="_Style 12"/>
    <w:basedOn w:val="18"/>
    <w:qFormat/>
    <w:uiPriority w:val="0"/>
    <w:pPr>
      <w:snapToGrid w:val="0"/>
      <w:spacing w:line="360" w:lineRule="auto"/>
    </w:pPr>
  </w:style>
  <w:style w:type="paragraph" w:customStyle="1" w:styleId="507">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08">
    <w:name w:val="五级条标题"/>
    <w:basedOn w:val="501"/>
    <w:next w:val="430"/>
    <w:qFormat/>
    <w:uiPriority w:val="0"/>
    <w:pPr>
      <w:tabs>
        <w:tab w:val="left" w:pos="3360"/>
        <w:tab w:val="clear" w:pos="2940"/>
      </w:tabs>
      <w:ind w:left="3360"/>
      <w:outlineLvl w:val="6"/>
    </w:pPr>
  </w:style>
  <w:style w:type="paragraph" w:customStyle="1" w:styleId="50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51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1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514">
    <w:name w:val="Char Char1 Char Char Char1"/>
    <w:basedOn w:val="1"/>
    <w:qFormat/>
    <w:uiPriority w:val="0"/>
    <w:rPr>
      <w:rFonts w:ascii="仿宋_GB2312" w:eastAsia="仿宋_GB2312"/>
      <w:b/>
      <w:sz w:val="32"/>
      <w:szCs w:val="20"/>
    </w:rPr>
  </w:style>
  <w:style w:type="paragraph" w:customStyle="1" w:styleId="515">
    <w:name w:val="默认段落样式"/>
    <w:basedOn w:val="219"/>
    <w:qFormat/>
    <w:uiPriority w:val="0"/>
    <w:pPr>
      <w:spacing w:before="0"/>
      <w:ind w:firstLine="480"/>
      <w:outlineLvl w:val="2"/>
    </w:pPr>
    <w:rPr>
      <w:rFonts w:ascii="仿宋_GB2312" w:hAnsi="宋体" w:eastAsia="仿宋_GB2312"/>
      <w:color w:val="000000"/>
      <w:szCs w:val="24"/>
    </w:rPr>
  </w:style>
  <w:style w:type="paragraph" w:customStyle="1" w:styleId="5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7">
    <w:name w:val="Char Char Char Char Char Char Char1"/>
    <w:basedOn w:val="1"/>
    <w:qFormat/>
    <w:uiPriority w:val="0"/>
    <w:rPr>
      <w:rFonts w:ascii="仿宋_GB2312" w:eastAsia="仿宋_GB2312"/>
      <w:b/>
      <w:sz w:val="32"/>
      <w:szCs w:val="32"/>
    </w:rPr>
  </w:style>
  <w:style w:type="paragraph" w:customStyle="1" w:styleId="518">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19">
    <w:name w:val="Table Text"/>
    <w:basedOn w:val="1"/>
    <w:qFormat/>
    <w:uiPriority w:val="0"/>
    <w:pPr>
      <w:widowControl/>
      <w:spacing w:before="60" w:after="60"/>
      <w:jc w:val="left"/>
    </w:pPr>
    <w:rPr>
      <w:kern w:val="0"/>
      <w:sz w:val="24"/>
    </w:rPr>
  </w:style>
  <w:style w:type="paragraph" w:customStyle="1" w:styleId="520">
    <w:name w:val="正文（标题三）"/>
    <w:basedOn w:val="1"/>
    <w:qFormat/>
    <w:uiPriority w:val="0"/>
    <w:pPr>
      <w:spacing w:line="360" w:lineRule="auto"/>
      <w:ind w:firstLine="200" w:firstLineChars="200"/>
    </w:pPr>
    <w:rPr>
      <w:sz w:val="24"/>
    </w:rPr>
  </w:style>
  <w:style w:type="paragraph" w:customStyle="1" w:styleId="52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2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5">
    <w:name w:val="表格标题2"/>
    <w:basedOn w:val="526"/>
    <w:qFormat/>
    <w:uiPriority w:val="0"/>
    <w:rPr>
      <w:b/>
    </w:rPr>
  </w:style>
  <w:style w:type="paragraph" w:customStyle="1" w:styleId="526">
    <w:name w:val="表格内文"/>
    <w:basedOn w:val="1"/>
    <w:qFormat/>
    <w:uiPriority w:val="0"/>
    <w:pPr>
      <w:adjustRightInd/>
      <w:spacing w:line="360" w:lineRule="auto"/>
    </w:pPr>
    <w:rPr>
      <w:rFonts w:ascii="宋体" w:hAnsi="宋体" w:cs="宋体"/>
      <w:color w:val="000000"/>
      <w:szCs w:val="20"/>
    </w:rPr>
  </w:style>
  <w:style w:type="paragraph" w:customStyle="1" w:styleId="5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2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2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30">
    <w:name w:val="Char1 Char Char Char5"/>
    <w:basedOn w:val="1"/>
    <w:qFormat/>
    <w:uiPriority w:val="0"/>
    <w:pPr>
      <w:adjustRightInd/>
      <w:ind w:firstLine="200" w:firstLineChars="200"/>
    </w:pPr>
    <w:rPr>
      <w:rFonts w:ascii="Tahoma" w:hAnsi="Tahoma"/>
      <w:sz w:val="24"/>
      <w:szCs w:val="20"/>
    </w:rPr>
  </w:style>
  <w:style w:type="paragraph" w:customStyle="1" w:styleId="531">
    <w:name w:val="标题4_自定义"/>
    <w:basedOn w:val="5"/>
    <w:qFormat/>
    <w:uiPriority w:val="0"/>
    <w:pPr>
      <w:adjustRightInd/>
      <w:spacing w:before="0" w:after="0" w:line="360" w:lineRule="auto"/>
    </w:pPr>
    <w:rPr>
      <w:rFonts w:ascii="Verdana" w:eastAsia="Verdana"/>
      <w:sz w:val="21"/>
      <w:lang w:val="en-US"/>
    </w:rPr>
  </w:style>
  <w:style w:type="paragraph" w:customStyle="1" w:styleId="532">
    <w:name w:val="正文 项目2"/>
    <w:basedOn w:val="363"/>
    <w:qFormat/>
    <w:uiPriority w:val="0"/>
    <w:pPr>
      <w:tabs>
        <w:tab w:val="clear" w:pos="840"/>
      </w:tabs>
      <w:spacing w:after="0"/>
      <w:ind w:left="900"/>
    </w:pPr>
  </w:style>
  <w:style w:type="paragraph" w:customStyle="1" w:styleId="533">
    <w:name w:val="Char1 Char Char Char2"/>
    <w:basedOn w:val="1"/>
    <w:qFormat/>
    <w:uiPriority w:val="0"/>
    <w:pPr>
      <w:adjustRightInd/>
      <w:ind w:firstLine="200" w:firstLineChars="200"/>
    </w:pPr>
    <w:rPr>
      <w:rFonts w:ascii="Tahoma" w:hAnsi="Tahoma"/>
      <w:sz w:val="24"/>
      <w:szCs w:val="20"/>
    </w:rPr>
  </w:style>
  <w:style w:type="paragraph" w:customStyle="1" w:styleId="5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3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53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5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9">
    <w:name w:val="List Paragraph1"/>
    <w:basedOn w:val="1"/>
    <w:qFormat/>
    <w:uiPriority w:val="34"/>
    <w:pPr>
      <w:spacing w:line="360" w:lineRule="auto"/>
      <w:ind w:firstLine="200" w:firstLineChars="200"/>
    </w:pPr>
    <w:rPr>
      <w:rFonts w:eastAsia="楷体_GB2312" w:cs="Lucida Sans"/>
      <w:sz w:val="24"/>
    </w:rPr>
  </w:style>
  <w:style w:type="paragraph" w:customStyle="1" w:styleId="540">
    <w:name w:val="Char2 Char Char1"/>
    <w:basedOn w:val="1"/>
    <w:qFormat/>
    <w:uiPriority w:val="0"/>
    <w:pPr>
      <w:adjustRightInd/>
    </w:pPr>
    <w:rPr>
      <w:rFonts w:ascii="Tahoma" w:hAnsi="Tahoma"/>
      <w:sz w:val="24"/>
      <w:szCs w:val="20"/>
    </w:rPr>
  </w:style>
  <w:style w:type="paragraph" w:customStyle="1" w:styleId="541">
    <w:name w:val="正文 首行缩进:  2 字符 Char"/>
    <w:basedOn w:val="1"/>
    <w:qFormat/>
    <w:uiPriority w:val="0"/>
    <w:pPr>
      <w:adjustRightInd/>
      <w:spacing w:line="360" w:lineRule="auto"/>
      <w:ind w:firstLine="480"/>
    </w:pPr>
    <w:rPr>
      <w:rFonts w:cs="宋体"/>
      <w:sz w:val="24"/>
      <w:szCs w:val="20"/>
    </w:rPr>
  </w:style>
  <w:style w:type="paragraph" w:customStyle="1" w:styleId="54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43">
    <w:name w:val="Char Char Char1 Char1"/>
    <w:basedOn w:val="1"/>
    <w:qFormat/>
    <w:uiPriority w:val="0"/>
    <w:rPr>
      <w:szCs w:val="20"/>
    </w:rPr>
  </w:style>
  <w:style w:type="paragraph" w:customStyle="1" w:styleId="544">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正文文字表格居中"/>
    <w:basedOn w:val="1"/>
    <w:next w:val="53"/>
    <w:qFormat/>
    <w:uiPriority w:val="0"/>
    <w:pPr>
      <w:snapToGrid w:val="0"/>
      <w:spacing w:line="360" w:lineRule="auto"/>
    </w:pPr>
    <w:rPr>
      <w:rFonts w:ascii="宋体"/>
      <w:b/>
      <w:sz w:val="24"/>
      <w:szCs w:val="20"/>
    </w:rPr>
  </w:style>
  <w:style w:type="paragraph" w:customStyle="1" w:styleId="547">
    <w:name w:val="Char31"/>
    <w:basedOn w:val="1"/>
    <w:qFormat/>
    <w:uiPriority w:val="0"/>
    <w:pPr>
      <w:adjustRightInd/>
      <w:ind w:firstLine="200" w:firstLineChars="200"/>
    </w:pPr>
    <w:rPr>
      <w:rFonts w:ascii="Tahoma" w:hAnsi="Tahoma"/>
      <w:sz w:val="24"/>
      <w:szCs w:val="20"/>
    </w:rPr>
  </w:style>
  <w:style w:type="paragraph" w:customStyle="1" w:styleId="548">
    <w:name w:val="Char Char1 Char Char1 Char Char1"/>
    <w:basedOn w:val="1"/>
    <w:qFormat/>
    <w:uiPriority w:val="0"/>
    <w:pPr>
      <w:tabs>
        <w:tab w:val="left" w:pos="840"/>
      </w:tabs>
      <w:ind w:left="840" w:hanging="420"/>
    </w:pPr>
    <w:rPr>
      <w:rFonts w:ascii="Tahoma" w:hAnsi="Tahoma"/>
      <w:sz w:val="24"/>
    </w:rPr>
  </w:style>
  <w:style w:type="paragraph" w:customStyle="1" w:styleId="549">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55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5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54">
    <w:name w:val="FA正文"/>
    <w:basedOn w:val="1"/>
    <w:qFormat/>
    <w:uiPriority w:val="0"/>
    <w:pPr>
      <w:spacing w:line="360" w:lineRule="auto"/>
      <w:ind w:firstLine="480" w:firstLineChars="200"/>
    </w:pPr>
    <w:rPr>
      <w:rFonts w:hAnsi="宋体"/>
      <w:sz w:val="24"/>
      <w:szCs w:val="20"/>
    </w:rPr>
  </w:style>
  <w:style w:type="paragraph" w:customStyle="1" w:styleId="55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556">
    <w:name w:val="列出段落2"/>
    <w:basedOn w:val="1"/>
    <w:qFormat/>
    <w:uiPriority w:val="0"/>
    <w:pPr>
      <w:adjustRightInd/>
      <w:spacing w:line="360" w:lineRule="auto"/>
      <w:ind w:firstLine="420" w:firstLineChars="200"/>
    </w:pPr>
    <w:rPr>
      <w:rFonts w:ascii="Calibri" w:hAnsi="Calibri"/>
      <w:sz w:val="24"/>
      <w:szCs w:val="22"/>
    </w:rPr>
  </w:style>
  <w:style w:type="paragraph" w:customStyle="1" w:styleId="557">
    <w:name w:val="首行缩进"/>
    <w:basedOn w:val="1"/>
    <w:qFormat/>
    <w:uiPriority w:val="0"/>
    <w:pPr>
      <w:spacing w:line="360" w:lineRule="auto"/>
      <w:ind w:firstLine="480" w:firstLineChars="200"/>
    </w:pPr>
    <w:rPr>
      <w:rFonts w:ascii="宋体"/>
      <w:sz w:val="24"/>
      <w:szCs w:val="20"/>
    </w:rPr>
  </w:style>
  <w:style w:type="paragraph" w:customStyle="1" w:styleId="55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60">
    <w:name w:val="Char Char Char Char Char Char Char Char1"/>
    <w:basedOn w:val="1"/>
    <w:qFormat/>
    <w:uiPriority w:val="0"/>
    <w:pPr>
      <w:tabs>
        <w:tab w:val="left" w:pos="360"/>
      </w:tabs>
    </w:pPr>
    <w:rPr>
      <w:sz w:val="24"/>
      <w:szCs w:val="20"/>
    </w:rPr>
  </w:style>
  <w:style w:type="paragraph" w:customStyle="1" w:styleId="5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62">
    <w:name w:val="Char Char1 Char Char Char Char Char Char1"/>
    <w:basedOn w:val="1"/>
    <w:qFormat/>
    <w:uiPriority w:val="0"/>
    <w:rPr>
      <w:rFonts w:ascii="仿宋_GB2312" w:eastAsia="仿宋_GB2312"/>
      <w:b/>
      <w:sz w:val="32"/>
      <w:szCs w:val="20"/>
    </w:rPr>
  </w:style>
  <w:style w:type="paragraph" w:customStyle="1" w:styleId="5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4">
    <w:name w:val="图中文字"/>
    <w:basedOn w:val="1"/>
    <w:qFormat/>
    <w:uiPriority w:val="0"/>
    <w:pPr>
      <w:snapToGrid w:val="0"/>
      <w:spacing w:line="0" w:lineRule="atLeast"/>
      <w:ind w:firstLine="200" w:firstLineChars="200"/>
      <w:jc w:val="center"/>
    </w:pPr>
    <w:rPr>
      <w:sz w:val="24"/>
      <w:szCs w:val="20"/>
    </w:rPr>
  </w:style>
  <w:style w:type="paragraph" w:customStyle="1" w:styleId="56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66">
    <w:name w:val="p0"/>
    <w:basedOn w:val="1"/>
    <w:qFormat/>
    <w:uiPriority w:val="0"/>
    <w:pPr>
      <w:widowControl/>
      <w:adjustRightInd/>
    </w:pPr>
    <w:rPr>
      <w:kern w:val="0"/>
      <w:szCs w:val="21"/>
    </w:rPr>
  </w:style>
  <w:style w:type="paragraph" w:customStyle="1" w:styleId="56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正文表标题"/>
    <w:next w:val="4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69">
    <w:name w:val="样式7"/>
    <w:basedOn w:val="474"/>
    <w:next w:val="1"/>
    <w:qFormat/>
    <w:uiPriority w:val="0"/>
    <w:pPr>
      <w:spacing w:afterLines="50"/>
      <w:jc w:val="left"/>
      <w:outlineLvl w:val="3"/>
    </w:pPr>
    <w:rPr>
      <w:sz w:val="24"/>
      <w:szCs w:val="24"/>
    </w:rPr>
  </w:style>
  <w:style w:type="paragraph" w:customStyle="1" w:styleId="57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74">
    <w:name w:val="CM14"/>
    <w:basedOn w:val="428"/>
    <w:next w:val="428"/>
    <w:qFormat/>
    <w:uiPriority w:val="0"/>
    <w:pPr>
      <w:spacing w:after="68"/>
    </w:pPr>
    <w:rPr>
      <w:rFonts w:ascii="FHLHE E+ Futura Bk" w:eastAsia="FHLHE E+ Futura Bk" w:cs="Times New Roman"/>
      <w:color w:val="auto"/>
    </w:rPr>
  </w:style>
  <w:style w:type="paragraph" w:customStyle="1" w:styleId="57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576">
    <w:name w:val="列出段落21"/>
    <w:basedOn w:val="1"/>
    <w:qFormat/>
    <w:uiPriority w:val="0"/>
    <w:pPr>
      <w:adjustRightInd/>
      <w:ind w:firstLine="420" w:firstLineChars="200"/>
    </w:pPr>
    <w:rPr>
      <w:rFonts w:ascii="宋体" w:hAnsi="宋体"/>
      <w:sz w:val="24"/>
    </w:rPr>
  </w:style>
  <w:style w:type="paragraph" w:customStyle="1" w:styleId="577">
    <w:name w:val="a1"/>
    <w:basedOn w:val="1"/>
    <w:qFormat/>
    <w:uiPriority w:val="0"/>
    <w:pPr>
      <w:widowControl/>
      <w:spacing w:line="300" w:lineRule="atLeast"/>
      <w:jc w:val="left"/>
    </w:pPr>
    <w:rPr>
      <w:rFonts w:ascii="宋体" w:hAnsi="宋体"/>
      <w:kern w:val="0"/>
      <w:sz w:val="18"/>
      <w:szCs w:val="20"/>
    </w:rPr>
  </w:style>
  <w:style w:type="paragraph" w:customStyle="1" w:styleId="57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7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81">
    <w:name w:val="subhead 2"/>
    <w:qFormat/>
    <w:uiPriority w:val="0"/>
    <w:pPr>
      <w:spacing w:after="60" w:line="240" w:lineRule="exact"/>
    </w:pPr>
    <w:rPr>
      <w:rFonts w:ascii="Arial" w:hAnsi="Arial" w:eastAsia="宋体" w:cs="Times New Roman"/>
      <w:b/>
      <w:sz w:val="22"/>
      <w:lang w:val="en-US" w:eastAsia="en-US" w:bidi="ar-SA"/>
    </w:rPr>
  </w:style>
  <w:style w:type="paragraph" w:styleId="582">
    <w:name w:val="List Paragraph"/>
    <w:basedOn w:val="1"/>
    <w:qFormat/>
    <w:uiPriority w:val="34"/>
    <w:pPr>
      <w:spacing w:line="360" w:lineRule="auto"/>
      <w:ind w:firstLine="200" w:firstLineChars="200"/>
    </w:pPr>
    <w:rPr>
      <w:rFonts w:eastAsia="楷体_GB2312" w:cs="Lucida Sans"/>
      <w:sz w:val="24"/>
    </w:rPr>
  </w:style>
  <w:style w:type="paragraph" w:customStyle="1" w:styleId="583">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5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85">
    <w:name w:val="修订1"/>
    <w:qFormat/>
    <w:uiPriority w:val="0"/>
    <w:rPr>
      <w:rFonts w:ascii="Times New Roman" w:hAnsi="Times New Roman" w:eastAsia="宋体" w:cs="Times New Roman"/>
      <w:kern w:val="2"/>
      <w:sz w:val="21"/>
      <w:lang w:val="en-US" w:eastAsia="zh-CN" w:bidi="ar-SA"/>
    </w:rPr>
  </w:style>
  <w:style w:type="paragraph" w:customStyle="1" w:styleId="58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8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9">
    <w:name w:val="Char2 Char Char Char1"/>
    <w:basedOn w:val="1"/>
    <w:qFormat/>
    <w:uiPriority w:val="0"/>
    <w:rPr>
      <w:rFonts w:ascii="仿宋_GB2312" w:eastAsia="仿宋_GB2312"/>
      <w:b/>
      <w:sz w:val="32"/>
      <w:szCs w:val="32"/>
    </w:rPr>
  </w:style>
  <w:style w:type="paragraph" w:customStyle="1" w:styleId="59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9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92">
    <w:name w:val="带编号样式"/>
    <w:basedOn w:val="334"/>
    <w:qFormat/>
    <w:uiPriority w:val="0"/>
    <w:pPr>
      <w:tabs>
        <w:tab w:val="left" w:pos="840"/>
      </w:tabs>
      <w:snapToGrid w:val="0"/>
      <w:ind w:left="840" w:hanging="420" w:firstLineChars="0"/>
    </w:pPr>
    <w:rPr>
      <w:rFonts w:ascii="仿宋_GB2312" w:eastAsia="仿宋_GB2312"/>
      <w:color w:val="000000"/>
    </w:rPr>
  </w:style>
  <w:style w:type="paragraph" w:customStyle="1" w:styleId="5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9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9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9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9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9">
    <w:name w:val="标准小四"/>
    <w:basedOn w:val="1"/>
    <w:qFormat/>
    <w:uiPriority w:val="0"/>
    <w:pPr>
      <w:spacing w:line="360" w:lineRule="auto"/>
      <w:ind w:firstLine="480" w:firstLineChars="200"/>
    </w:pPr>
    <w:rPr>
      <w:rFonts w:ascii="Arial" w:hAnsi="Arial"/>
      <w:sz w:val="24"/>
      <w:szCs w:val="21"/>
    </w:rPr>
  </w:style>
  <w:style w:type="paragraph" w:customStyle="1" w:styleId="600">
    <w:name w:val="Char Char14"/>
    <w:basedOn w:val="1"/>
    <w:qFormat/>
    <w:uiPriority w:val="0"/>
    <w:pPr>
      <w:widowControl/>
      <w:spacing w:after="160" w:line="240" w:lineRule="exact"/>
      <w:jc w:val="left"/>
    </w:pPr>
    <w:rPr>
      <w:rFonts w:eastAsia="仿宋_GB2312"/>
      <w:sz w:val="28"/>
    </w:rPr>
  </w:style>
  <w:style w:type="paragraph" w:customStyle="1" w:styleId="60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02">
    <w:name w:val="trademark"/>
    <w:qFormat/>
    <w:uiPriority w:val="0"/>
    <w:pPr>
      <w:spacing w:after="60"/>
    </w:pPr>
    <w:rPr>
      <w:rFonts w:ascii="Futura Bk" w:hAnsi="Futura Bk" w:eastAsia="宋体" w:cs="Times New Roman"/>
      <w:sz w:val="15"/>
      <w:lang w:val="en-US" w:eastAsia="en-US" w:bidi="ar-SA"/>
    </w:rPr>
  </w:style>
  <w:style w:type="paragraph" w:customStyle="1" w:styleId="603">
    <w:name w:val="标书表格字体格式"/>
    <w:next w:val="480"/>
    <w:qFormat/>
    <w:uiPriority w:val="0"/>
    <w:rPr>
      <w:rFonts w:ascii="Times New Roman" w:hAnsi="Times New Roman" w:eastAsia="宋体" w:cs="Times New Roman"/>
      <w:kern w:val="2"/>
      <w:sz w:val="21"/>
      <w:szCs w:val="24"/>
      <w:lang w:val="en-US" w:eastAsia="zh-CN" w:bidi="ar-SA"/>
    </w:rPr>
  </w:style>
  <w:style w:type="paragraph" w:customStyle="1" w:styleId="60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60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0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07">
    <w:name w:val="表文字"/>
    <w:qFormat/>
    <w:uiPriority w:val="0"/>
    <w:rPr>
      <w:rFonts w:ascii="宋体" w:hAnsi="Times New Roman" w:eastAsia="宋体" w:cs="Times New Roman"/>
      <w:kern w:val="2"/>
      <w:lang w:val="en-US" w:eastAsia="zh-CN" w:bidi="ar-SA"/>
    </w:rPr>
  </w:style>
  <w:style w:type="paragraph" w:customStyle="1" w:styleId="608">
    <w:name w:val="Char Char Char Char Char Char Char Char Char Char Char Char1 Char1"/>
    <w:basedOn w:val="1"/>
    <w:qFormat/>
    <w:uiPriority w:val="0"/>
    <w:rPr>
      <w:rFonts w:ascii="Tahoma" w:hAnsi="Tahoma" w:cs="仿宋_GB2312"/>
      <w:sz w:val="24"/>
      <w:szCs w:val="20"/>
    </w:rPr>
  </w:style>
  <w:style w:type="paragraph" w:customStyle="1" w:styleId="609">
    <w:name w:val="单元格居中"/>
    <w:basedOn w:val="1"/>
    <w:qFormat/>
    <w:uiPriority w:val="0"/>
    <w:pPr>
      <w:adjustRightInd/>
      <w:spacing w:line="360" w:lineRule="auto"/>
      <w:jc w:val="center"/>
    </w:pPr>
    <w:rPr>
      <w:sz w:val="24"/>
    </w:rPr>
  </w:style>
  <w:style w:type="paragraph" w:customStyle="1" w:styleId="610">
    <w:name w:val="数字标题5"/>
    <w:basedOn w:val="6"/>
    <w:next w:val="1"/>
    <w:qFormat/>
    <w:uiPriority w:val="0"/>
    <w:pPr>
      <w:tabs>
        <w:tab w:val="left" w:pos="1080"/>
        <w:tab w:val="clear" w:pos="1008"/>
      </w:tabs>
      <w:ind w:left="1080" w:hanging="1080"/>
    </w:pPr>
  </w:style>
  <w:style w:type="paragraph" w:customStyle="1" w:styleId="611">
    <w:name w:val="MM Topic 5"/>
    <w:basedOn w:val="6"/>
    <w:qFormat/>
    <w:uiPriority w:val="0"/>
    <w:pPr>
      <w:tabs>
        <w:tab w:val="left" w:pos="2520"/>
        <w:tab w:val="clear" w:pos="1008"/>
      </w:tabs>
      <w:adjustRightInd/>
      <w:ind w:left="2520" w:hanging="420"/>
    </w:pPr>
  </w:style>
  <w:style w:type="paragraph" w:customStyle="1" w:styleId="61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TOC 标题11"/>
    <w:basedOn w:val="3"/>
    <w:next w:val="1"/>
    <w:unhideWhenUsed/>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15">
    <w:name w:val="默认段落字体 Para Char"/>
    <w:basedOn w:val="1"/>
    <w:qFormat/>
    <w:uiPriority w:val="0"/>
    <w:rPr>
      <w:rFonts w:ascii="Tahoma" w:hAnsi="Tahoma"/>
      <w:sz w:val="24"/>
      <w:szCs w:val="20"/>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1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62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21">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22">
    <w:name w:val="Char23"/>
    <w:basedOn w:val="1"/>
    <w:qFormat/>
    <w:uiPriority w:val="0"/>
    <w:rPr>
      <w:rFonts w:ascii="仿宋_GB2312" w:eastAsia="仿宋_GB2312"/>
      <w:b/>
      <w:sz w:val="32"/>
      <w:szCs w:val="32"/>
    </w:rPr>
  </w:style>
  <w:style w:type="paragraph" w:customStyle="1" w:styleId="62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62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6">
    <w:name w:val="列表内容"/>
    <w:basedOn w:val="1"/>
    <w:next w:val="1"/>
    <w:qFormat/>
    <w:uiPriority w:val="0"/>
    <w:pPr>
      <w:widowControl/>
      <w:tabs>
        <w:tab w:val="left" w:pos="840"/>
      </w:tabs>
      <w:ind w:left="840" w:hanging="420"/>
      <w:jc w:val="left"/>
    </w:pPr>
    <w:rPr>
      <w:kern w:val="0"/>
      <w:sz w:val="18"/>
    </w:rPr>
  </w:style>
  <w:style w:type="paragraph" w:customStyle="1" w:styleId="627">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62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73</Pages>
  <Words>8385</Words>
  <Characters>9068</Characters>
  <Lines>321</Lines>
  <Paragraphs>90</Paragraphs>
  <TotalTime>116</TotalTime>
  <ScaleCrop>false</ScaleCrop>
  <LinksUpToDate>false</LinksUpToDate>
  <CharactersWithSpaces>9170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2023-06-11T19:54:00Z</dcterms:created>
  <dc:creator>玥</dc:creator>
  <cp:lastModifiedBy>芝士边</cp:lastModifiedBy>
  <cp:lastPrinted>2025-06-09T01:01:00Z</cp:lastPrinted>
  <dcterms:modified xsi:type="dcterms:W3CDTF">2025-06-09T08:32:49Z</dcterms:modified>
  <dc:title>绍兴市柯桥区政府采购招标文件示范文本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F1CA9E48BCD54741A69F091E1D29D97C_13</vt:lpwstr>
  </property>
  <property fmtid="{D5CDD505-2E9C-101B-9397-08002B2CF9AE}" pid="4" name="commondata">
    <vt:lpwstr>eyJoZGlkIjoiMjIyNWI0OWI3OGI5Nzc3N2ZhMDc4ODM1MTYyNWM4YTIifQ==</vt:lpwstr>
  </property>
  <property fmtid="{D5CDD505-2E9C-101B-9397-08002B2CF9AE}" pid="5" name="KSOTemplateDocerSaveRecord">
    <vt:lpwstr>eyJoZGlkIjoiNjFiMmY2NDlmMGUwZDM4MWM5YTU3NTdmMzVlZDZjNDYiLCJ1c2VySWQiOiI4ODcwNTg5MDMifQ==</vt:lpwstr>
  </property>
</Properties>
</file>