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8" w:line="195" w:lineRule="auto"/>
        <w:jc w:val="center"/>
        <w:rPr>
          <w:rFonts w:ascii="微软雅黑" w:hAnsi="微软雅黑" w:eastAsia="微软雅黑" w:cs="微软雅黑"/>
          <w:b/>
          <w:bCs/>
          <w:color w:val="auto"/>
          <w:spacing w:val="-3"/>
          <w:sz w:val="32"/>
          <w:szCs w:val="32"/>
          <w:lang w:eastAsia="zh-CN"/>
        </w:rPr>
      </w:pPr>
      <w:r>
        <w:rPr>
          <w:rFonts w:ascii="微软雅黑" w:hAnsi="微软雅黑" w:eastAsia="微软雅黑" w:cs="微软雅黑"/>
          <w:b/>
          <w:bCs/>
          <w:color w:val="auto"/>
          <w:spacing w:val="-3"/>
          <w:sz w:val="32"/>
          <w:szCs w:val="32"/>
          <w:lang w:eastAsia="zh-CN"/>
        </w:rPr>
        <w:t>技术要求与功能参数</w:t>
      </w:r>
    </w:p>
    <w:p>
      <w:pPr>
        <w:spacing w:before="138" w:line="195" w:lineRule="auto"/>
        <w:outlineLvl w:val="1"/>
        <w:rPr>
          <w:rFonts w:ascii="宋体" w:hAnsi="宋体" w:eastAsia="宋体" w:cs="宋体"/>
          <w:color w:val="auto"/>
          <w:lang w:eastAsia="zh-CN"/>
        </w:rPr>
      </w:pPr>
      <w:r>
        <w:rPr>
          <w:rFonts w:ascii="宋体" w:hAnsi="宋体" w:eastAsia="宋体" w:cs="宋体"/>
          <w:b/>
          <w:bCs/>
          <w:color w:val="auto"/>
          <w:spacing w:val="-5"/>
          <w:lang w:eastAsia="zh-CN"/>
        </w:rPr>
        <w:t>1</w:t>
      </w:r>
      <w:r>
        <w:rPr>
          <w:rFonts w:hint="eastAsia" w:ascii="宋体" w:hAnsi="宋体" w:eastAsia="宋体" w:cs="宋体"/>
          <w:b/>
          <w:bCs/>
          <w:color w:val="auto"/>
          <w:spacing w:val="-5"/>
          <w:lang w:eastAsia="zh-CN"/>
        </w:rPr>
        <w:t>、</w:t>
      </w:r>
      <w:r>
        <w:rPr>
          <w:rFonts w:ascii="宋体" w:hAnsi="宋体" w:eastAsia="宋体" w:cs="宋体"/>
          <w:b/>
          <w:bCs/>
          <w:color w:val="auto"/>
          <w:spacing w:val="-5"/>
          <w:lang w:eastAsia="zh-CN"/>
        </w:rPr>
        <w:t>输血科工作站</w:t>
      </w:r>
    </w:p>
    <w:tbl>
      <w:tblPr>
        <w:tblStyle w:val="7"/>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8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restart"/>
          </w:tcPr>
          <w:p>
            <w:pPr>
              <w:pStyle w:val="10"/>
              <w:widowControl w:val="0"/>
              <w:spacing w:before="112" w:line="230" w:lineRule="auto"/>
              <w:ind w:left="110"/>
              <w:jc w:val="both"/>
              <w:rPr>
                <w:color w:val="auto"/>
                <w:sz w:val="24"/>
                <w:szCs w:val="24"/>
                <w:lang w:eastAsia="zh-CN"/>
              </w:rPr>
            </w:pPr>
          </w:p>
          <w:p>
            <w:pPr>
              <w:pStyle w:val="10"/>
              <w:widowControl w:val="0"/>
              <w:spacing w:before="112" w:line="230" w:lineRule="auto"/>
              <w:ind w:left="110"/>
              <w:jc w:val="both"/>
              <w:rPr>
                <w:color w:val="auto"/>
                <w:sz w:val="24"/>
                <w:szCs w:val="24"/>
                <w:lang w:eastAsia="zh-CN"/>
              </w:rPr>
            </w:pPr>
          </w:p>
          <w:p>
            <w:pPr>
              <w:pStyle w:val="10"/>
              <w:widowControl w:val="0"/>
              <w:spacing w:before="112" w:line="230" w:lineRule="auto"/>
              <w:ind w:left="110"/>
              <w:jc w:val="both"/>
              <w:rPr>
                <w:color w:val="auto"/>
                <w:sz w:val="24"/>
                <w:szCs w:val="24"/>
                <w:lang w:eastAsia="zh-CN"/>
              </w:rPr>
            </w:pPr>
          </w:p>
          <w:p>
            <w:pPr>
              <w:pStyle w:val="10"/>
              <w:widowControl w:val="0"/>
              <w:spacing w:before="112" w:line="230" w:lineRule="auto"/>
              <w:ind w:left="110"/>
              <w:jc w:val="both"/>
              <w:rPr>
                <w:color w:val="auto"/>
                <w:sz w:val="24"/>
                <w:szCs w:val="24"/>
                <w:lang w:eastAsia="zh-CN"/>
              </w:rPr>
            </w:pPr>
          </w:p>
          <w:p>
            <w:pPr>
              <w:pStyle w:val="10"/>
              <w:widowControl w:val="0"/>
              <w:spacing w:before="112" w:line="230" w:lineRule="auto"/>
              <w:ind w:left="110"/>
              <w:jc w:val="both"/>
              <w:rPr>
                <w:color w:val="auto"/>
                <w:sz w:val="24"/>
                <w:szCs w:val="24"/>
                <w:lang w:eastAsia="zh-CN"/>
              </w:rPr>
            </w:pPr>
            <w:r>
              <w:rPr>
                <w:rFonts w:hint="eastAsia"/>
                <w:color w:val="auto"/>
                <w:sz w:val="24"/>
                <w:szCs w:val="24"/>
                <w:lang w:eastAsia="zh-CN"/>
              </w:rPr>
              <w:t>标本管理</w:t>
            </w:r>
          </w:p>
        </w:tc>
        <w:tc>
          <w:tcPr>
            <w:tcW w:w="8010" w:type="dxa"/>
          </w:tcPr>
          <w:p>
            <w:pPr>
              <w:pStyle w:val="10"/>
              <w:widowControl w:val="0"/>
              <w:spacing w:before="112" w:line="230" w:lineRule="auto"/>
              <w:jc w:val="both"/>
              <w:rPr>
                <w:color w:val="auto"/>
                <w:sz w:val="24"/>
                <w:szCs w:val="24"/>
                <w:lang w:eastAsia="zh-CN"/>
              </w:rPr>
            </w:pPr>
            <w:r>
              <w:rPr>
                <w:rFonts w:hint="eastAsia"/>
                <w:color w:val="auto"/>
                <w:sz w:val="24"/>
                <w:szCs w:val="24"/>
                <w:lang w:eastAsia="zh-CN"/>
              </w:rPr>
              <w:t>标本采集：标本管与申请单匹配（自动记录采集时间、采集者和核对者）；支持撤销已匹配标本管；支持补抽标本；支持生成抽血费（自定义）；支持标本标签打印（标签内容自定义）；支持接收其他系统抽血医嘱（生成相应用血或输血检验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tcPr>
          <w:p>
            <w:pPr>
              <w:pStyle w:val="10"/>
              <w:widowControl w:val="0"/>
              <w:spacing w:before="112" w:line="230" w:lineRule="auto"/>
              <w:ind w:left="110"/>
              <w:jc w:val="both"/>
              <w:rPr>
                <w:color w:val="auto"/>
                <w:sz w:val="24"/>
                <w:szCs w:val="24"/>
                <w:lang w:eastAsia="zh-CN"/>
              </w:rPr>
            </w:pPr>
          </w:p>
        </w:tc>
        <w:tc>
          <w:tcPr>
            <w:tcW w:w="8010" w:type="dxa"/>
          </w:tcPr>
          <w:p>
            <w:pPr>
              <w:pStyle w:val="10"/>
              <w:widowControl w:val="0"/>
              <w:spacing w:before="112" w:line="230" w:lineRule="auto"/>
              <w:jc w:val="both"/>
              <w:rPr>
                <w:color w:val="auto"/>
                <w:sz w:val="24"/>
                <w:szCs w:val="24"/>
                <w:lang w:eastAsia="zh-CN"/>
              </w:rPr>
            </w:pPr>
            <w:r>
              <w:rPr>
                <w:rFonts w:hint="eastAsia"/>
                <w:color w:val="auto"/>
                <w:sz w:val="24"/>
                <w:szCs w:val="24"/>
                <w:lang w:eastAsia="zh-CN"/>
              </w:rPr>
              <w:t>标本转运：标本转运自动记录转运时间和转运者。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tcPr>
          <w:p>
            <w:pPr>
              <w:pStyle w:val="10"/>
              <w:widowControl w:val="0"/>
              <w:spacing w:before="112" w:line="230" w:lineRule="auto"/>
              <w:ind w:left="110"/>
              <w:jc w:val="both"/>
              <w:rPr>
                <w:color w:val="auto"/>
                <w:sz w:val="24"/>
                <w:szCs w:val="24"/>
                <w:lang w:eastAsia="zh-CN"/>
              </w:rPr>
            </w:pPr>
          </w:p>
        </w:tc>
        <w:tc>
          <w:tcPr>
            <w:tcW w:w="8010" w:type="dxa"/>
          </w:tcPr>
          <w:p>
            <w:pPr>
              <w:pStyle w:val="10"/>
              <w:widowControl w:val="0"/>
              <w:spacing w:before="112" w:line="230" w:lineRule="auto"/>
              <w:jc w:val="both"/>
              <w:rPr>
                <w:color w:val="auto"/>
                <w:sz w:val="24"/>
                <w:szCs w:val="24"/>
                <w:lang w:eastAsia="zh-CN"/>
              </w:rPr>
            </w:pPr>
            <w:r>
              <w:rPr>
                <w:rFonts w:hint="eastAsia"/>
                <w:color w:val="auto"/>
                <w:sz w:val="24"/>
                <w:szCs w:val="24"/>
                <w:lang w:eastAsia="zh-CN"/>
              </w:rPr>
              <w:t>标本送达：支持通过条形码扫描送达标本确认，实行标本信息条形码唯一标识管理，定时定人。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tcPr>
          <w:p>
            <w:pPr>
              <w:pStyle w:val="10"/>
              <w:widowControl w:val="0"/>
              <w:spacing w:before="112" w:line="230" w:lineRule="auto"/>
              <w:ind w:left="110"/>
              <w:jc w:val="both"/>
              <w:rPr>
                <w:color w:val="auto"/>
                <w:sz w:val="24"/>
                <w:szCs w:val="24"/>
                <w:lang w:eastAsia="zh-CN"/>
              </w:rPr>
            </w:pPr>
          </w:p>
        </w:tc>
        <w:tc>
          <w:tcPr>
            <w:tcW w:w="8010" w:type="dxa"/>
          </w:tcPr>
          <w:p>
            <w:pPr>
              <w:pStyle w:val="10"/>
              <w:widowControl w:val="0"/>
              <w:spacing w:before="112" w:line="230" w:lineRule="auto"/>
              <w:jc w:val="both"/>
              <w:rPr>
                <w:color w:val="auto"/>
                <w:sz w:val="24"/>
                <w:szCs w:val="24"/>
                <w:lang w:eastAsia="zh-CN"/>
              </w:rPr>
            </w:pPr>
            <w:r>
              <w:rPr>
                <w:rFonts w:hint="eastAsia"/>
                <w:color w:val="auto"/>
                <w:sz w:val="24"/>
                <w:szCs w:val="24"/>
                <w:lang w:eastAsia="zh-CN"/>
              </w:rPr>
              <w:t>标本接收：支持通过条形码扫描接收标本，实行标本信息条形码唯一标识管理；支持每日汇总清单打印。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tcPr>
          <w:p>
            <w:pPr>
              <w:pStyle w:val="10"/>
              <w:widowControl w:val="0"/>
              <w:spacing w:before="112" w:line="230" w:lineRule="auto"/>
              <w:ind w:left="110"/>
              <w:jc w:val="both"/>
              <w:rPr>
                <w:color w:val="auto"/>
                <w:sz w:val="24"/>
                <w:szCs w:val="24"/>
                <w:lang w:eastAsia="zh-CN"/>
              </w:rPr>
            </w:pPr>
          </w:p>
        </w:tc>
        <w:tc>
          <w:tcPr>
            <w:tcW w:w="8010" w:type="dxa"/>
          </w:tcPr>
          <w:p>
            <w:pPr>
              <w:pStyle w:val="10"/>
              <w:widowControl w:val="0"/>
              <w:spacing w:before="112" w:line="230" w:lineRule="auto"/>
              <w:jc w:val="both"/>
              <w:rPr>
                <w:color w:val="auto"/>
                <w:sz w:val="24"/>
                <w:szCs w:val="24"/>
                <w:lang w:eastAsia="zh-CN"/>
              </w:rPr>
            </w:pPr>
            <w:r>
              <w:rPr>
                <w:rFonts w:hint="eastAsia"/>
                <w:color w:val="auto"/>
                <w:sz w:val="24"/>
                <w:szCs w:val="24"/>
                <w:lang w:eastAsia="zh-CN"/>
              </w:rPr>
              <w:t>标本整理：自动显示标本状态；支持特殊标本专留管理；一键销毁标本管理；每类标本自定义标本保存与留存天数；在库血液的献血者标本自动排序；受血者标本显示已输注成分；献血者与受检者标本显示已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tcPr>
          <w:p>
            <w:pPr>
              <w:pStyle w:val="10"/>
              <w:widowControl w:val="0"/>
              <w:spacing w:before="112" w:line="230" w:lineRule="auto"/>
              <w:ind w:left="110"/>
              <w:jc w:val="both"/>
              <w:rPr>
                <w:color w:val="auto"/>
                <w:sz w:val="24"/>
                <w:szCs w:val="24"/>
                <w:lang w:eastAsia="zh-CN"/>
              </w:rPr>
            </w:pPr>
          </w:p>
        </w:tc>
        <w:tc>
          <w:tcPr>
            <w:tcW w:w="8010" w:type="dxa"/>
          </w:tcPr>
          <w:p>
            <w:pPr>
              <w:pStyle w:val="10"/>
              <w:widowControl w:val="0"/>
              <w:spacing w:before="112" w:line="230" w:lineRule="auto"/>
              <w:jc w:val="both"/>
              <w:rPr>
                <w:color w:val="auto"/>
                <w:sz w:val="24"/>
                <w:szCs w:val="24"/>
                <w:lang w:eastAsia="zh-CN"/>
              </w:rPr>
            </w:pPr>
            <w:r>
              <w:rPr>
                <w:rFonts w:hint="eastAsia"/>
                <w:color w:val="auto"/>
                <w:sz w:val="24"/>
                <w:szCs w:val="24"/>
                <w:lang w:eastAsia="zh-CN"/>
              </w:rPr>
              <w:t>标本检验：支持检验信息系统具有的检验、审核、查询、统计和打印等一般检验功能，完成输血相关检验. 输血病人转科后，信息系统病人信息能及时更新。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306" w:type="dxa"/>
            <w:vMerge w:val="continue"/>
          </w:tcPr>
          <w:p>
            <w:pPr>
              <w:pStyle w:val="10"/>
              <w:widowControl w:val="0"/>
              <w:spacing w:before="112" w:line="230" w:lineRule="auto"/>
              <w:ind w:left="110"/>
              <w:jc w:val="both"/>
              <w:rPr>
                <w:color w:val="auto"/>
                <w:sz w:val="24"/>
                <w:szCs w:val="24"/>
                <w:lang w:eastAsia="zh-CN"/>
              </w:rPr>
            </w:pPr>
          </w:p>
        </w:tc>
        <w:tc>
          <w:tcPr>
            <w:tcW w:w="8010" w:type="dxa"/>
          </w:tcPr>
          <w:p>
            <w:pPr>
              <w:pStyle w:val="10"/>
              <w:widowControl w:val="0"/>
              <w:spacing w:before="112" w:line="230" w:lineRule="auto"/>
              <w:jc w:val="both"/>
              <w:rPr>
                <w:color w:val="auto"/>
                <w:sz w:val="24"/>
                <w:szCs w:val="24"/>
                <w:lang w:eastAsia="zh-CN"/>
              </w:rPr>
            </w:pPr>
            <w:r>
              <w:rPr>
                <w:rFonts w:hint="eastAsia"/>
                <w:color w:val="auto"/>
                <w:sz w:val="24"/>
                <w:szCs w:val="24"/>
                <w:lang w:eastAsia="zh-CN"/>
              </w:rPr>
              <w:t>自动编号：根据条码号及检验目的开展时间进行编号。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restart"/>
          </w:tcPr>
          <w:p>
            <w:pPr>
              <w:pStyle w:val="10"/>
              <w:widowControl w:val="0"/>
              <w:spacing w:before="112" w:line="230" w:lineRule="auto"/>
              <w:ind w:left="110"/>
              <w:jc w:val="both"/>
              <w:rPr>
                <w:color w:val="auto"/>
                <w:sz w:val="24"/>
                <w:szCs w:val="24"/>
                <w:lang w:eastAsia="zh-CN"/>
              </w:rPr>
            </w:pPr>
          </w:p>
          <w:p>
            <w:pPr>
              <w:pStyle w:val="10"/>
              <w:widowControl w:val="0"/>
              <w:spacing w:before="112" w:line="230" w:lineRule="auto"/>
              <w:ind w:left="110"/>
              <w:jc w:val="both"/>
              <w:rPr>
                <w:color w:val="auto"/>
                <w:sz w:val="24"/>
                <w:szCs w:val="24"/>
                <w:lang w:eastAsia="zh-CN"/>
              </w:rPr>
            </w:pPr>
          </w:p>
          <w:p>
            <w:pPr>
              <w:pStyle w:val="10"/>
              <w:widowControl w:val="0"/>
              <w:spacing w:before="112" w:line="230" w:lineRule="auto"/>
              <w:ind w:left="110"/>
              <w:jc w:val="both"/>
              <w:rPr>
                <w:color w:val="auto"/>
                <w:sz w:val="24"/>
                <w:szCs w:val="24"/>
                <w:lang w:eastAsia="zh-CN"/>
              </w:rPr>
            </w:pPr>
          </w:p>
          <w:p>
            <w:pPr>
              <w:pStyle w:val="10"/>
              <w:widowControl w:val="0"/>
              <w:spacing w:before="112" w:line="230" w:lineRule="auto"/>
              <w:ind w:left="110"/>
              <w:jc w:val="both"/>
              <w:rPr>
                <w:color w:val="auto"/>
                <w:sz w:val="24"/>
                <w:szCs w:val="24"/>
                <w:lang w:eastAsia="zh-CN"/>
              </w:rPr>
            </w:pPr>
          </w:p>
          <w:p>
            <w:pPr>
              <w:pStyle w:val="10"/>
              <w:widowControl w:val="0"/>
              <w:spacing w:before="112" w:line="230" w:lineRule="auto"/>
              <w:ind w:left="110"/>
              <w:jc w:val="both"/>
              <w:rPr>
                <w:color w:val="auto"/>
                <w:sz w:val="24"/>
                <w:szCs w:val="24"/>
              </w:rPr>
            </w:pPr>
            <w:r>
              <w:rPr>
                <w:rFonts w:hint="eastAsia"/>
                <w:color w:val="auto"/>
                <w:sz w:val="24"/>
                <w:szCs w:val="24"/>
                <w:lang w:eastAsia="zh-CN"/>
              </w:rPr>
              <w:t>血液</w:t>
            </w:r>
            <w:r>
              <w:rPr>
                <w:rFonts w:hint="eastAsia"/>
                <w:color w:val="auto"/>
                <w:sz w:val="24"/>
                <w:szCs w:val="24"/>
              </w:rPr>
              <w:t>管理</w:t>
            </w:r>
          </w:p>
        </w:tc>
        <w:tc>
          <w:tcPr>
            <w:tcW w:w="8010" w:type="dxa"/>
            <w:vAlign w:val="center"/>
          </w:tcPr>
          <w:p>
            <w:pPr>
              <w:pStyle w:val="10"/>
              <w:widowControl w:val="0"/>
              <w:spacing w:before="112" w:line="230" w:lineRule="auto"/>
              <w:jc w:val="both"/>
              <w:rPr>
                <w:color w:val="auto"/>
                <w:sz w:val="24"/>
                <w:szCs w:val="24"/>
                <w:lang w:eastAsia="zh-CN"/>
              </w:rPr>
            </w:pPr>
            <w:r>
              <w:rPr>
                <w:rFonts w:hint="eastAsia"/>
                <w:color w:val="auto"/>
                <w:sz w:val="24"/>
                <w:szCs w:val="24"/>
                <w:lang w:eastAsia="zh-CN"/>
              </w:rPr>
              <w:t>血液预约：通过与血站血液管理信息系统对接,实现血液预定。提供血液预约信息分类、分时查询、撤消功能，提供血液使用信息的报送功能。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1306" w:type="dxa"/>
            <w:vMerge w:val="continue"/>
          </w:tcPr>
          <w:p>
            <w:pPr>
              <w:pStyle w:val="10"/>
              <w:widowControl w:val="0"/>
              <w:spacing w:before="112" w:line="230" w:lineRule="auto"/>
              <w:ind w:left="110"/>
              <w:jc w:val="both"/>
              <w:rPr>
                <w:color w:val="auto"/>
                <w:sz w:val="24"/>
                <w:szCs w:val="24"/>
                <w:lang w:eastAsia="zh-CN"/>
              </w:rPr>
            </w:pPr>
          </w:p>
        </w:tc>
        <w:tc>
          <w:tcPr>
            <w:tcW w:w="8010" w:type="dxa"/>
          </w:tcPr>
          <w:p>
            <w:pPr>
              <w:pStyle w:val="10"/>
              <w:widowControl w:val="0"/>
              <w:spacing w:before="112" w:line="230" w:lineRule="auto"/>
              <w:jc w:val="both"/>
              <w:rPr>
                <w:color w:val="auto"/>
                <w:sz w:val="24"/>
                <w:szCs w:val="24"/>
                <w:lang w:eastAsia="zh-CN"/>
              </w:rPr>
            </w:pPr>
            <w:r>
              <w:rPr>
                <w:rFonts w:hint="eastAsia"/>
                <w:color w:val="auto"/>
                <w:sz w:val="24"/>
                <w:szCs w:val="24"/>
                <w:lang w:eastAsia="zh-CN"/>
              </w:rPr>
              <w:t>血液入库：支持通过条形码扫描或网络数据传输录入血液成分信息，不合格血液退回血站形成退收记录，打印血液入库信息清单；血液有效期自动报警提示和过期血液不得入库功能。血液信息入库分类汇总和与血站核对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tcPr>
          <w:p>
            <w:pPr>
              <w:pStyle w:val="10"/>
              <w:widowControl w:val="0"/>
              <w:spacing w:before="112" w:line="230" w:lineRule="auto"/>
              <w:ind w:left="110"/>
              <w:jc w:val="both"/>
              <w:rPr>
                <w:color w:val="auto"/>
                <w:sz w:val="24"/>
                <w:szCs w:val="24"/>
                <w:lang w:eastAsia="zh-CN"/>
              </w:rPr>
            </w:pPr>
          </w:p>
        </w:tc>
        <w:tc>
          <w:tcPr>
            <w:tcW w:w="8010" w:type="dxa"/>
          </w:tcPr>
          <w:p>
            <w:pPr>
              <w:pStyle w:val="10"/>
              <w:widowControl w:val="0"/>
              <w:spacing w:before="112" w:line="230" w:lineRule="auto"/>
              <w:jc w:val="both"/>
              <w:rPr>
                <w:color w:val="auto"/>
                <w:sz w:val="24"/>
                <w:szCs w:val="24"/>
                <w:lang w:eastAsia="zh-CN"/>
              </w:rPr>
            </w:pPr>
            <w:r>
              <w:rPr>
                <w:rFonts w:hint="eastAsia"/>
                <w:color w:val="auto"/>
                <w:sz w:val="24"/>
                <w:szCs w:val="24"/>
                <w:lang w:eastAsia="zh-CN"/>
              </w:rPr>
              <w:t>血型复核：入库血液进行逐个、批量或抽检的方式进行血型复核。支持录入Rh表型，血小板抗筛等项目的检验结果。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tcPr>
          <w:p>
            <w:pPr>
              <w:pStyle w:val="10"/>
              <w:widowControl w:val="0"/>
              <w:spacing w:before="112" w:line="230" w:lineRule="auto"/>
              <w:ind w:left="110"/>
              <w:jc w:val="both"/>
              <w:rPr>
                <w:color w:val="auto"/>
                <w:sz w:val="24"/>
                <w:szCs w:val="24"/>
                <w:lang w:eastAsia="zh-CN"/>
              </w:rPr>
            </w:pPr>
          </w:p>
        </w:tc>
        <w:tc>
          <w:tcPr>
            <w:tcW w:w="8010" w:type="dxa"/>
          </w:tcPr>
          <w:p>
            <w:pPr>
              <w:widowControl w:val="0"/>
              <w:spacing w:before="218"/>
              <w:ind w:right="68"/>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效期预警：预设警示规则进行相关库存提示。对即将过期血液进行分级提醒管理（比如设置颜色提醒）。信息至少包括：供血单位、血液类型、血袋号、ABO血型、RhD血型、数量、血量、采血日期、失效日期和 入库验收人员等，具打印库存清单功能。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tcPr>
          <w:p>
            <w:pPr>
              <w:pStyle w:val="10"/>
              <w:widowControl w:val="0"/>
              <w:spacing w:before="112" w:line="230" w:lineRule="auto"/>
              <w:ind w:left="110"/>
              <w:jc w:val="both"/>
              <w:rPr>
                <w:color w:val="auto"/>
                <w:sz w:val="24"/>
                <w:szCs w:val="24"/>
                <w:lang w:eastAsia="zh-CN"/>
              </w:rPr>
            </w:pPr>
          </w:p>
        </w:tc>
        <w:tc>
          <w:tcPr>
            <w:tcW w:w="8010" w:type="dxa"/>
          </w:tcPr>
          <w:p>
            <w:pPr>
              <w:pStyle w:val="10"/>
              <w:widowControl w:val="0"/>
              <w:spacing w:before="112" w:line="230" w:lineRule="auto"/>
              <w:jc w:val="both"/>
              <w:rPr>
                <w:color w:val="auto"/>
                <w:sz w:val="24"/>
                <w:szCs w:val="24"/>
                <w:lang w:eastAsia="zh-CN"/>
              </w:rPr>
            </w:pPr>
            <w:r>
              <w:rPr>
                <w:rFonts w:hint="eastAsia"/>
                <w:color w:val="auto"/>
                <w:sz w:val="24"/>
                <w:szCs w:val="24"/>
                <w:lang w:eastAsia="zh-CN"/>
              </w:rPr>
              <w:t>库存预警：支持根据预设的血液库存量信息对临床进行预警。当前血液库存不足时，应即时预警输血科。医生工作站在开具输血申请时，即时信息提示库存不足。医生工作站应具备对预警要求内容识别、控制和提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tcPr>
          <w:p>
            <w:pPr>
              <w:pStyle w:val="10"/>
              <w:widowControl w:val="0"/>
              <w:spacing w:before="112" w:line="230" w:lineRule="auto"/>
              <w:ind w:left="110"/>
              <w:jc w:val="both"/>
              <w:rPr>
                <w:color w:val="auto"/>
                <w:sz w:val="24"/>
                <w:szCs w:val="24"/>
                <w:lang w:eastAsia="zh-CN"/>
              </w:rPr>
            </w:pPr>
          </w:p>
        </w:tc>
        <w:tc>
          <w:tcPr>
            <w:tcW w:w="8010" w:type="dxa"/>
          </w:tcPr>
          <w:p>
            <w:pPr>
              <w:pStyle w:val="2"/>
              <w:widowControl w:val="0"/>
              <w:spacing w:before="153" w:line="231" w:lineRule="auto"/>
              <w:jc w:val="both"/>
              <w:rPr>
                <w:rFonts w:ascii="宋体" w:hAnsi="宋体" w:cs="宋体"/>
                <w:color w:val="auto"/>
                <w:sz w:val="24"/>
                <w:szCs w:val="24"/>
                <w:lang w:eastAsia="zh-CN"/>
              </w:rPr>
            </w:pPr>
            <w:r>
              <w:rPr>
                <w:rFonts w:hint="eastAsia" w:ascii="宋体" w:hAnsi="宋体" w:cs="宋体"/>
                <w:color w:val="auto"/>
                <w:sz w:val="24"/>
                <w:szCs w:val="24"/>
                <w:lang w:eastAsia="zh-CN"/>
              </w:rPr>
              <w:t>血液状态管理：具有区分可用血液、已完成交叉血液、即将过期血液、已过期血液等库存状态的功能。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tcPr>
          <w:p>
            <w:pPr>
              <w:pStyle w:val="10"/>
              <w:widowControl w:val="0"/>
              <w:spacing w:before="112" w:line="230" w:lineRule="auto"/>
              <w:ind w:left="110"/>
              <w:jc w:val="both"/>
              <w:rPr>
                <w:color w:val="auto"/>
                <w:sz w:val="24"/>
                <w:szCs w:val="24"/>
                <w:lang w:eastAsia="zh-CN"/>
              </w:rPr>
            </w:pPr>
          </w:p>
        </w:tc>
        <w:tc>
          <w:tcPr>
            <w:tcW w:w="8010" w:type="dxa"/>
          </w:tcPr>
          <w:p>
            <w:pPr>
              <w:pStyle w:val="2"/>
              <w:widowControl w:val="0"/>
              <w:spacing w:before="154" w:line="230" w:lineRule="auto"/>
              <w:jc w:val="both"/>
              <w:rPr>
                <w:rFonts w:ascii="宋体" w:hAnsi="宋体" w:cs="宋体"/>
                <w:color w:val="auto"/>
                <w:sz w:val="24"/>
                <w:szCs w:val="24"/>
                <w:lang w:eastAsia="zh-CN"/>
              </w:rPr>
            </w:pPr>
            <w:r>
              <w:rPr>
                <w:rFonts w:hint="eastAsia" w:ascii="宋体" w:hAnsi="宋体" w:cs="宋体"/>
                <w:color w:val="auto"/>
                <w:sz w:val="24"/>
                <w:szCs w:val="24"/>
                <w:lang w:eastAsia="zh-CN"/>
              </w:rPr>
              <w:t>库存盘点：具有库存盘点的提示与记录功能。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tcPr>
          <w:p>
            <w:pPr>
              <w:pStyle w:val="10"/>
              <w:widowControl w:val="0"/>
              <w:spacing w:before="112" w:line="230" w:lineRule="auto"/>
              <w:ind w:left="110"/>
              <w:jc w:val="both"/>
              <w:rPr>
                <w:color w:val="auto"/>
                <w:sz w:val="24"/>
                <w:szCs w:val="24"/>
                <w:lang w:eastAsia="zh-CN"/>
              </w:rPr>
            </w:pPr>
          </w:p>
        </w:tc>
        <w:tc>
          <w:tcPr>
            <w:tcW w:w="8010" w:type="dxa"/>
          </w:tcPr>
          <w:p>
            <w:pPr>
              <w:pStyle w:val="10"/>
              <w:widowControl w:val="0"/>
              <w:spacing w:before="112" w:line="230" w:lineRule="auto"/>
              <w:jc w:val="both"/>
              <w:rPr>
                <w:color w:val="auto"/>
                <w:sz w:val="24"/>
                <w:szCs w:val="24"/>
                <w:lang w:eastAsia="zh-CN"/>
              </w:rPr>
            </w:pPr>
            <w:r>
              <w:rPr>
                <w:rFonts w:hint="eastAsia"/>
                <w:color w:val="auto"/>
                <w:sz w:val="24"/>
                <w:szCs w:val="24"/>
                <w:lang w:eastAsia="zh-CN"/>
              </w:rPr>
              <w:t>数据交换：应具有与冷链监测设备进行信息交互的功能。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pPr>
              <w:pStyle w:val="10"/>
              <w:widowControl w:val="0"/>
              <w:spacing w:before="112" w:line="230" w:lineRule="auto"/>
              <w:ind w:left="110"/>
              <w:jc w:val="both"/>
              <w:rPr>
                <w:rFonts w:hint="eastAsia"/>
                <w:color w:val="auto"/>
                <w:sz w:val="24"/>
                <w:szCs w:val="24"/>
                <w:lang w:eastAsia="zh-CN"/>
              </w:rPr>
            </w:pPr>
            <w:r>
              <w:rPr>
                <w:rFonts w:hint="eastAsia"/>
                <w:color w:val="auto"/>
                <w:sz w:val="24"/>
                <w:szCs w:val="24"/>
                <w:lang w:eastAsia="zh-CN"/>
              </w:rPr>
              <w:t>自体血</w:t>
            </w:r>
          </w:p>
          <w:p>
            <w:pPr>
              <w:pStyle w:val="10"/>
              <w:widowControl w:val="0"/>
              <w:spacing w:before="112" w:line="230" w:lineRule="auto"/>
              <w:ind w:left="110"/>
              <w:jc w:val="both"/>
              <w:rPr>
                <w:color w:val="auto"/>
                <w:sz w:val="24"/>
                <w:szCs w:val="24"/>
                <w:lang w:eastAsia="zh-CN"/>
              </w:rPr>
            </w:pPr>
            <w:r>
              <w:rPr>
                <w:rFonts w:hint="eastAsia"/>
                <w:color w:val="auto"/>
                <w:sz w:val="24"/>
                <w:szCs w:val="24"/>
                <w:lang w:eastAsia="zh-CN"/>
              </w:rPr>
              <w:t>管理</w:t>
            </w:r>
          </w:p>
          <w:p>
            <w:pPr>
              <w:pStyle w:val="10"/>
              <w:widowControl w:val="0"/>
              <w:spacing w:before="112" w:line="230" w:lineRule="auto"/>
              <w:ind w:left="110"/>
              <w:jc w:val="both"/>
              <w:rPr>
                <w:color w:val="auto"/>
                <w:sz w:val="24"/>
                <w:szCs w:val="24"/>
                <w:lang w:eastAsia="zh-CN"/>
              </w:rPr>
            </w:pPr>
          </w:p>
        </w:tc>
        <w:tc>
          <w:tcPr>
            <w:tcW w:w="8010" w:type="dxa"/>
          </w:tcPr>
          <w:p>
            <w:pPr>
              <w:pStyle w:val="10"/>
              <w:widowControl w:val="0"/>
              <w:spacing w:before="112" w:line="230" w:lineRule="auto"/>
              <w:jc w:val="both"/>
              <w:rPr>
                <w:color w:val="auto"/>
                <w:sz w:val="24"/>
                <w:szCs w:val="24"/>
                <w:lang w:eastAsia="zh-CN"/>
              </w:rPr>
            </w:pPr>
            <w:r>
              <w:rPr>
                <w:rFonts w:hint="eastAsia"/>
                <w:color w:val="auto"/>
                <w:sz w:val="24"/>
                <w:szCs w:val="24"/>
                <w:lang w:eastAsia="zh-CN"/>
              </w:rPr>
              <w:t>支持自身储血计划执行（采血信息登记、血液分袋入库、血袋标签打印）、血液发放、血液回收等自体血管理功能，自体血信息包括不限于：病人信息、血液信息、采血（回收） 日期、失效日期、采血（回收）人员等。其他自体输血（回收式）：应具有术中血液回收、急性等容稀释的数据交互，统计功能。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pStyle w:val="10"/>
              <w:widowControl w:val="0"/>
              <w:spacing w:before="112" w:line="230" w:lineRule="auto"/>
              <w:ind w:left="110"/>
              <w:jc w:val="both"/>
              <w:rPr>
                <w:color w:val="auto"/>
                <w:sz w:val="24"/>
                <w:szCs w:val="24"/>
                <w:lang w:eastAsia="zh-CN"/>
              </w:rPr>
            </w:pPr>
            <w:r>
              <w:rPr>
                <w:rFonts w:hint="eastAsia"/>
                <w:color w:val="auto"/>
                <w:sz w:val="24"/>
                <w:szCs w:val="24"/>
                <w:lang w:eastAsia="zh-CN"/>
              </w:rPr>
              <w:t>血液流转</w:t>
            </w:r>
          </w:p>
        </w:tc>
        <w:tc>
          <w:tcPr>
            <w:tcW w:w="8010" w:type="dxa"/>
            <w:vAlign w:val="center"/>
          </w:tcPr>
          <w:p>
            <w:pPr>
              <w:pStyle w:val="10"/>
              <w:widowControl w:val="0"/>
              <w:spacing w:before="112" w:line="230" w:lineRule="auto"/>
              <w:jc w:val="both"/>
              <w:rPr>
                <w:color w:val="auto"/>
                <w:sz w:val="24"/>
                <w:szCs w:val="24"/>
                <w:lang w:eastAsia="zh-CN"/>
              </w:rPr>
            </w:pPr>
            <w:r>
              <w:rPr>
                <w:rFonts w:hint="eastAsia"/>
                <w:color w:val="auto"/>
                <w:sz w:val="24"/>
                <w:szCs w:val="24"/>
                <w:lang w:eastAsia="zh-CN"/>
              </w:rPr>
              <w:t>对血液进行信息修改、滤白、灭活、分装、移位、寄存、退库、报废、回收等操作。（要求提供软件截图）。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restart"/>
          </w:tcPr>
          <w:p>
            <w:pPr>
              <w:pStyle w:val="10"/>
              <w:widowControl w:val="0"/>
              <w:spacing w:before="112" w:line="230" w:lineRule="auto"/>
              <w:ind w:left="110"/>
              <w:jc w:val="both"/>
              <w:rPr>
                <w:color w:val="auto"/>
                <w:sz w:val="24"/>
                <w:szCs w:val="24"/>
                <w:lang w:eastAsia="zh-CN"/>
              </w:rPr>
            </w:pPr>
          </w:p>
          <w:p>
            <w:pPr>
              <w:pStyle w:val="10"/>
              <w:widowControl w:val="0"/>
              <w:spacing w:before="112" w:line="230" w:lineRule="auto"/>
              <w:ind w:left="110"/>
              <w:jc w:val="both"/>
              <w:rPr>
                <w:color w:val="auto"/>
                <w:sz w:val="24"/>
                <w:szCs w:val="24"/>
                <w:lang w:eastAsia="zh-CN"/>
              </w:rPr>
            </w:pPr>
          </w:p>
          <w:p>
            <w:pPr>
              <w:pStyle w:val="10"/>
              <w:widowControl w:val="0"/>
              <w:spacing w:before="112" w:line="230" w:lineRule="auto"/>
              <w:ind w:left="110"/>
              <w:jc w:val="both"/>
              <w:rPr>
                <w:color w:val="auto"/>
                <w:sz w:val="24"/>
                <w:szCs w:val="24"/>
                <w:lang w:eastAsia="zh-CN"/>
              </w:rPr>
            </w:pPr>
          </w:p>
          <w:p>
            <w:pPr>
              <w:pStyle w:val="10"/>
              <w:widowControl w:val="0"/>
              <w:spacing w:before="112" w:line="230" w:lineRule="auto"/>
              <w:ind w:left="110"/>
              <w:jc w:val="both"/>
              <w:rPr>
                <w:rFonts w:hint="eastAsia"/>
                <w:color w:val="auto"/>
                <w:sz w:val="24"/>
                <w:szCs w:val="24"/>
              </w:rPr>
            </w:pPr>
            <w:r>
              <w:rPr>
                <w:rFonts w:hint="eastAsia"/>
                <w:color w:val="auto"/>
                <w:sz w:val="24"/>
                <w:szCs w:val="24"/>
              </w:rPr>
              <w:t>申请单</w:t>
            </w:r>
          </w:p>
          <w:p>
            <w:pPr>
              <w:pStyle w:val="10"/>
              <w:widowControl w:val="0"/>
              <w:spacing w:before="112" w:line="230" w:lineRule="auto"/>
              <w:ind w:left="110"/>
              <w:jc w:val="both"/>
              <w:rPr>
                <w:rFonts w:hint="eastAsia" w:eastAsia="宋体"/>
                <w:color w:val="auto"/>
                <w:sz w:val="24"/>
                <w:szCs w:val="24"/>
                <w:lang w:val="en-US" w:eastAsia="zh-CN"/>
              </w:rPr>
            </w:pPr>
            <w:r>
              <w:rPr>
                <w:rFonts w:hint="eastAsia"/>
                <w:color w:val="auto"/>
                <w:sz w:val="24"/>
                <w:szCs w:val="24"/>
              </w:rPr>
              <w:t>管理</w:t>
            </w:r>
            <w:r>
              <w:rPr>
                <w:rFonts w:hint="eastAsia"/>
                <w:color w:val="0000FF"/>
                <w:sz w:val="24"/>
                <w:szCs w:val="24"/>
                <w:lang w:val="en-US" w:eastAsia="zh-CN"/>
              </w:rPr>
              <w:t>★</w:t>
            </w:r>
          </w:p>
        </w:tc>
        <w:tc>
          <w:tcPr>
            <w:tcW w:w="8010" w:type="dxa"/>
          </w:tcPr>
          <w:p>
            <w:pPr>
              <w:pStyle w:val="10"/>
              <w:widowControl w:val="0"/>
              <w:spacing w:before="112" w:line="230" w:lineRule="auto"/>
              <w:jc w:val="both"/>
              <w:rPr>
                <w:color w:val="auto"/>
                <w:sz w:val="24"/>
                <w:szCs w:val="24"/>
                <w:lang w:eastAsia="zh-CN"/>
              </w:rPr>
            </w:pPr>
            <w:r>
              <w:rPr>
                <w:rFonts w:hint="eastAsia"/>
                <w:color w:val="auto"/>
                <w:sz w:val="24"/>
                <w:szCs w:val="24"/>
                <w:lang w:eastAsia="zh-CN"/>
              </w:rPr>
              <w:t>申请单审核：应具有自动提取各项检测结果功能,具有输血科与临床科室输血相关信息实时双向交互功能,包括与 HIS、LIS、电子病历管理系统等。 临床医生根据相关数据填写相关评估信息进行输血申请。信息可同步至输血申请单，知情同意书等相关文书，并可同步打印。无输血前评估信息，应具备不可输血控制功能。支持临床申请特殊用血提示。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tcPr>
          <w:p>
            <w:pPr>
              <w:pStyle w:val="10"/>
              <w:widowControl w:val="0"/>
              <w:spacing w:before="112" w:line="230" w:lineRule="auto"/>
              <w:ind w:left="110"/>
              <w:jc w:val="both"/>
              <w:rPr>
                <w:color w:val="auto"/>
                <w:sz w:val="24"/>
                <w:szCs w:val="24"/>
              </w:rPr>
            </w:pPr>
          </w:p>
        </w:tc>
        <w:tc>
          <w:tcPr>
            <w:tcW w:w="8010" w:type="dxa"/>
          </w:tcPr>
          <w:p>
            <w:pPr>
              <w:pStyle w:val="10"/>
              <w:widowControl w:val="0"/>
              <w:spacing w:before="112" w:line="230" w:lineRule="auto"/>
              <w:jc w:val="both"/>
              <w:rPr>
                <w:color w:val="auto"/>
                <w:sz w:val="24"/>
                <w:szCs w:val="24"/>
                <w:lang w:eastAsia="zh-CN"/>
              </w:rPr>
            </w:pPr>
            <w:r>
              <w:rPr>
                <w:rFonts w:hint="eastAsia"/>
                <w:color w:val="auto"/>
                <w:sz w:val="24"/>
                <w:szCs w:val="24"/>
                <w:lang w:eastAsia="zh-CN"/>
              </w:rPr>
              <w:t>用血审批：支持大批量用血的申请单审批功能。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tcPr>
          <w:p>
            <w:pPr>
              <w:pStyle w:val="10"/>
              <w:widowControl w:val="0"/>
              <w:spacing w:before="112" w:line="230" w:lineRule="auto"/>
              <w:ind w:left="110"/>
              <w:jc w:val="both"/>
              <w:rPr>
                <w:color w:val="auto"/>
                <w:sz w:val="24"/>
                <w:szCs w:val="24"/>
                <w:lang w:eastAsia="zh-CN"/>
              </w:rPr>
            </w:pPr>
          </w:p>
        </w:tc>
        <w:tc>
          <w:tcPr>
            <w:tcW w:w="8010" w:type="dxa"/>
          </w:tcPr>
          <w:p>
            <w:pPr>
              <w:pStyle w:val="10"/>
              <w:widowControl w:val="0"/>
              <w:spacing w:before="112" w:line="230" w:lineRule="auto"/>
              <w:jc w:val="both"/>
              <w:rPr>
                <w:color w:val="auto"/>
                <w:sz w:val="24"/>
                <w:szCs w:val="24"/>
                <w:lang w:eastAsia="zh-CN"/>
              </w:rPr>
            </w:pPr>
            <w:r>
              <w:rPr>
                <w:rFonts w:hint="eastAsia"/>
                <w:color w:val="auto"/>
                <w:sz w:val="24"/>
                <w:szCs w:val="24"/>
                <w:lang w:eastAsia="zh-CN"/>
              </w:rPr>
              <w:t>申请单接收：支持开单后自动接收临床输血申请单及用血通知单，实现申请信息条形码唯一标识管理，通过颜色进行申请单类型标注及备血状态区分。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306" w:type="dxa"/>
            <w:vMerge w:val="continue"/>
          </w:tcPr>
          <w:p>
            <w:pPr>
              <w:pStyle w:val="10"/>
              <w:widowControl w:val="0"/>
              <w:spacing w:before="112" w:line="230" w:lineRule="auto"/>
              <w:ind w:left="110"/>
              <w:jc w:val="both"/>
              <w:rPr>
                <w:color w:val="auto"/>
                <w:sz w:val="24"/>
                <w:szCs w:val="24"/>
                <w:lang w:eastAsia="zh-CN"/>
              </w:rPr>
            </w:pPr>
          </w:p>
        </w:tc>
        <w:tc>
          <w:tcPr>
            <w:tcW w:w="8010" w:type="dxa"/>
          </w:tcPr>
          <w:p>
            <w:pPr>
              <w:pStyle w:val="10"/>
              <w:widowControl w:val="0"/>
              <w:spacing w:before="112" w:line="230" w:lineRule="auto"/>
              <w:jc w:val="both"/>
              <w:rPr>
                <w:color w:val="auto"/>
                <w:sz w:val="24"/>
                <w:szCs w:val="24"/>
                <w:lang w:eastAsia="zh-CN"/>
              </w:rPr>
            </w:pPr>
            <w:r>
              <w:rPr>
                <w:rFonts w:hint="eastAsia"/>
                <w:color w:val="auto"/>
                <w:sz w:val="24"/>
                <w:szCs w:val="24"/>
                <w:lang w:eastAsia="zh-CN"/>
              </w:rPr>
              <w:t>申请单状态：支持申请单状态实时显示及查询。具有查看输血申请单处理流程状态功能,包括申请单审核状态、标本状态、备血状态和发血状态等。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306" w:type="dxa"/>
            <w:vMerge w:val="continue"/>
          </w:tcPr>
          <w:p>
            <w:pPr>
              <w:pStyle w:val="10"/>
              <w:widowControl w:val="0"/>
              <w:spacing w:before="112" w:line="230" w:lineRule="auto"/>
              <w:ind w:left="110"/>
              <w:jc w:val="both"/>
              <w:rPr>
                <w:color w:val="auto"/>
                <w:sz w:val="24"/>
                <w:szCs w:val="24"/>
                <w:lang w:eastAsia="zh-CN"/>
              </w:rPr>
            </w:pPr>
          </w:p>
        </w:tc>
        <w:tc>
          <w:tcPr>
            <w:tcW w:w="8010" w:type="dxa"/>
          </w:tcPr>
          <w:p>
            <w:pPr>
              <w:pStyle w:val="10"/>
              <w:widowControl w:val="0"/>
              <w:spacing w:before="112" w:line="230" w:lineRule="auto"/>
              <w:jc w:val="both"/>
              <w:rPr>
                <w:color w:val="auto"/>
                <w:sz w:val="24"/>
                <w:szCs w:val="24"/>
                <w:lang w:eastAsia="zh-CN"/>
              </w:rPr>
            </w:pPr>
            <w:r>
              <w:rPr>
                <w:rFonts w:hint="eastAsia"/>
                <w:color w:val="auto"/>
                <w:sz w:val="24"/>
                <w:szCs w:val="24"/>
                <w:lang w:eastAsia="zh-CN"/>
              </w:rPr>
              <w:t>申请签收：签收申请单；自动计费并推送检验费用；重推医嘱与收费（对于推送失败的）；同步医嘱；浏览申请单（申请单各节点时间轴）；受检者既往相关检验结果提示；绿色通道补录或补提受血者血型；浏览病程记录；浏览护理记录；生成24小时累计申请用血审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306" w:type="dxa"/>
            <w:vMerge w:val="continue"/>
          </w:tcPr>
          <w:p>
            <w:pPr>
              <w:pStyle w:val="10"/>
              <w:widowControl w:val="0"/>
              <w:spacing w:before="112" w:line="230" w:lineRule="auto"/>
              <w:ind w:left="110"/>
              <w:jc w:val="both"/>
              <w:rPr>
                <w:color w:val="auto"/>
                <w:sz w:val="24"/>
                <w:szCs w:val="24"/>
                <w:lang w:eastAsia="zh-CN"/>
              </w:rPr>
            </w:pPr>
          </w:p>
        </w:tc>
        <w:tc>
          <w:tcPr>
            <w:tcW w:w="8010" w:type="dxa"/>
          </w:tcPr>
          <w:p>
            <w:pPr>
              <w:widowControl w:val="0"/>
              <w:spacing w:before="218" w:line="227"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输血申请输血科审核：输血科具有对临床输血申请单接收、确认、审核和审核状态显示功能。对于填写不规范或者不合理需求的申请提供退回申请功能，并实时通知临床。支持自动获得或通过条形码扫描方式接收临床输血申请单，实现申请信息条形码唯一标识管理，显示患者信息、备血状态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restart"/>
          </w:tcPr>
          <w:p>
            <w:pPr>
              <w:pStyle w:val="10"/>
              <w:widowControl w:val="0"/>
              <w:spacing w:before="112" w:line="230" w:lineRule="auto"/>
              <w:ind w:left="110"/>
              <w:jc w:val="both"/>
              <w:rPr>
                <w:color w:val="auto"/>
                <w:sz w:val="24"/>
                <w:szCs w:val="24"/>
                <w:lang w:eastAsia="zh-CN"/>
              </w:rPr>
            </w:pPr>
          </w:p>
          <w:p>
            <w:pPr>
              <w:pStyle w:val="10"/>
              <w:widowControl w:val="0"/>
              <w:spacing w:before="112" w:line="230" w:lineRule="auto"/>
              <w:ind w:left="110"/>
              <w:jc w:val="both"/>
              <w:rPr>
                <w:color w:val="auto"/>
                <w:sz w:val="24"/>
                <w:szCs w:val="24"/>
                <w:lang w:eastAsia="zh-CN"/>
              </w:rPr>
            </w:pPr>
          </w:p>
          <w:p>
            <w:pPr>
              <w:pStyle w:val="10"/>
              <w:widowControl w:val="0"/>
              <w:spacing w:before="112" w:line="230" w:lineRule="auto"/>
              <w:ind w:left="110"/>
              <w:jc w:val="both"/>
              <w:rPr>
                <w:color w:val="auto"/>
                <w:sz w:val="24"/>
                <w:szCs w:val="24"/>
              </w:rPr>
            </w:pPr>
            <w:r>
              <w:rPr>
                <w:rFonts w:hint="eastAsia"/>
                <w:color w:val="auto"/>
                <w:sz w:val="24"/>
                <w:szCs w:val="24"/>
              </w:rPr>
              <w:t>备血管理</w:t>
            </w:r>
            <w:r>
              <w:rPr>
                <w:rFonts w:hint="eastAsia"/>
                <w:color w:val="0000FF"/>
                <w:sz w:val="24"/>
                <w:szCs w:val="24"/>
                <w:lang w:val="en-US" w:eastAsia="zh-CN"/>
              </w:rPr>
              <w:t>★</w:t>
            </w:r>
          </w:p>
        </w:tc>
        <w:tc>
          <w:tcPr>
            <w:tcW w:w="8010" w:type="dxa"/>
          </w:tcPr>
          <w:p>
            <w:pPr>
              <w:pStyle w:val="10"/>
              <w:widowControl w:val="0"/>
              <w:spacing w:before="112" w:line="230" w:lineRule="auto"/>
              <w:jc w:val="both"/>
              <w:rPr>
                <w:color w:val="auto"/>
                <w:sz w:val="24"/>
                <w:szCs w:val="24"/>
                <w:lang w:eastAsia="zh-CN"/>
              </w:rPr>
            </w:pPr>
            <w:r>
              <w:rPr>
                <w:rFonts w:hint="eastAsia"/>
                <w:color w:val="auto"/>
                <w:sz w:val="24"/>
                <w:szCs w:val="24"/>
                <w:lang w:eastAsia="zh-CN"/>
              </w:rPr>
              <w:t>交叉配血：支持输血申请单和配血标本核验录入交叉配血信息功能；交叉配血支持交叉配血合格后，打印包含患者和血液信息的条形码标签，便于临床进行电子核对；支持交叉配血不相合等特殊配血和其它疑难配血的特殊审核功能；支持电子交叉配血功能（RH阴性，抗筛阳性等）。具有对特殊血型、不规则抗体筛查阳性、非同型血液申请、输血指征异常等信息的提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tcPr>
          <w:p>
            <w:pPr>
              <w:pStyle w:val="10"/>
              <w:widowControl w:val="0"/>
              <w:spacing w:before="112" w:line="230" w:lineRule="auto"/>
              <w:ind w:left="110"/>
              <w:jc w:val="both"/>
              <w:rPr>
                <w:color w:val="auto"/>
                <w:sz w:val="24"/>
                <w:szCs w:val="24"/>
                <w:lang w:eastAsia="zh-CN"/>
              </w:rPr>
            </w:pPr>
          </w:p>
        </w:tc>
        <w:tc>
          <w:tcPr>
            <w:tcW w:w="8010" w:type="dxa"/>
          </w:tcPr>
          <w:p>
            <w:pPr>
              <w:pStyle w:val="10"/>
              <w:widowControl w:val="0"/>
              <w:spacing w:before="112" w:line="230" w:lineRule="auto"/>
              <w:jc w:val="both"/>
              <w:rPr>
                <w:color w:val="auto"/>
                <w:sz w:val="24"/>
                <w:szCs w:val="24"/>
                <w:lang w:eastAsia="zh-CN"/>
              </w:rPr>
            </w:pPr>
            <w:r>
              <w:rPr>
                <w:rFonts w:hint="eastAsia"/>
                <w:color w:val="auto"/>
                <w:sz w:val="24"/>
                <w:szCs w:val="24"/>
                <w:lang w:eastAsia="zh-CN"/>
              </w:rPr>
              <w:t>融血管理：支持冰冻类血制品融化时间记录及报警提示。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pStyle w:val="10"/>
              <w:widowControl w:val="0"/>
              <w:spacing w:before="112" w:line="230" w:lineRule="auto"/>
              <w:ind w:left="110"/>
              <w:jc w:val="both"/>
              <w:rPr>
                <w:color w:val="auto"/>
                <w:sz w:val="24"/>
                <w:szCs w:val="24"/>
              </w:rPr>
            </w:pPr>
            <w:r>
              <w:rPr>
                <w:rFonts w:hint="eastAsia"/>
                <w:color w:val="auto"/>
                <w:sz w:val="24"/>
                <w:szCs w:val="24"/>
              </w:rPr>
              <w:t>用血审批</w:t>
            </w:r>
            <w:r>
              <w:rPr>
                <w:rFonts w:hint="eastAsia"/>
                <w:color w:val="0000FF"/>
                <w:sz w:val="24"/>
                <w:szCs w:val="24"/>
                <w:lang w:val="en-US" w:eastAsia="zh-CN"/>
              </w:rPr>
              <w:t>★</w:t>
            </w:r>
          </w:p>
        </w:tc>
        <w:tc>
          <w:tcPr>
            <w:tcW w:w="8010" w:type="dxa"/>
            <w:vAlign w:val="center"/>
          </w:tcPr>
          <w:p>
            <w:pPr>
              <w:pStyle w:val="10"/>
              <w:widowControl w:val="0"/>
              <w:spacing w:before="112" w:line="230" w:lineRule="auto"/>
              <w:jc w:val="both"/>
              <w:rPr>
                <w:color w:val="auto"/>
                <w:sz w:val="24"/>
                <w:szCs w:val="24"/>
                <w:lang w:eastAsia="zh-CN"/>
              </w:rPr>
            </w:pPr>
            <w:r>
              <w:rPr>
                <w:rFonts w:hint="eastAsia"/>
                <w:color w:val="auto"/>
                <w:sz w:val="24"/>
                <w:szCs w:val="24"/>
                <w:lang w:eastAsia="zh-CN"/>
              </w:rPr>
              <w:t>超量用血审批控制：用血审批流程处置与管理；纸质审批单图片保存。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restart"/>
            <w:vAlign w:val="center"/>
          </w:tcPr>
          <w:p>
            <w:pPr>
              <w:pStyle w:val="10"/>
              <w:widowControl w:val="0"/>
              <w:spacing w:before="112" w:line="230" w:lineRule="auto"/>
              <w:jc w:val="both"/>
              <w:rPr>
                <w:color w:val="auto"/>
                <w:sz w:val="24"/>
                <w:szCs w:val="24"/>
                <w:lang w:eastAsia="zh-CN"/>
              </w:rPr>
            </w:pPr>
          </w:p>
          <w:p>
            <w:pPr>
              <w:pStyle w:val="10"/>
              <w:widowControl w:val="0"/>
              <w:spacing w:before="112" w:line="230" w:lineRule="auto"/>
              <w:ind w:left="110"/>
              <w:jc w:val="both"/>
              <w:rPr>
                <w:color w:val="auto"/>
                <w:sz w:val="24"/>
                <w:szCs w:val="24"/>
                <w:lang w:eastAsia="zh-CN"/>
              </w:rPr>
            </w:pPr>
          </w:p>
          <w:p>
            <w:pPr>
              <w:pStyle w:val="10"/>
              <w:widowControl w:val="0"/>
              <w:spacing w:before="112" w:line="230" w:lineRule="auto"/>
              <w:ind w:left="110"/>
              <w:jc w:val="both"/>
              <w:rPr>
                <w:color w:val="auto"/>
                <w:sz w:val="24"/>
                <w:szCs w:val="24"/>
              </w:rPr>
            </w:pPr>
            <w:r>
              <w:rPr>
                <w:rFonts w:hint="eastAsia"/>
                <w:color w:val="auto"/>
                <w:sz w:val="24"/>
                <w:szCs w:val="24"/>
              </w:rPr>
              <w:t>配发血液</w:t>
            </w:r>
            <w:r>
              <w:rPr>
                <w:rFonts w:hint="eastAsia"/>
                <w:color w:val="0000FF"/>
                <w:sz w:val="24"/>
                <w:szCs w:val="24"/>
                <w:lang w:val="en-US" w:eastAsia="zh-CN"/>
              </w:rPr>
              <w:t>★</w:t>
            </w:r>
          </w:p>
        </w:tc>
        <w:tc>
          <w:tcPr>
            <w:tcW w:w="8010" w:type="dxa"/>
            <w:vAlign w:val="center"/>
          </w:tcPr>
          <w:p>
            <w:pPr>
              <w:pStyle w:val="10"/>
              <w:widowControl w:val="0"/>
              <w:spacing w:before="112" w:line="230" w:lineRule="auto"/>
              <w:jc w:val="both"/>
              <w:rPr>
                <w:color w:val="auto"/>
                <w:sz w:val="24"/>
                <w:szCs w:val="24"/>
                <w:lang w:eastAsia="zh-CN"/>
              </w:rPr>
            </w:pPr>
            <w:r>
              <w:rPr>
                <w:rFonts w:hint="eastAsia"/>
                <w:color w:val="auto"/>
                <w:sz w:val="24"/>
                <w:szCs w:val="24"/>
                <w:lang w:eastAsia="zh-CN"/>
              </w:rPr>
              <w:t>交叉配血：配血方式定义（一血一配或一血多配）；不同方法配血选择；自身对照配血；受血者以往输血相容性检测结果显示；取消已生成配血单；撤销已完成配血单；查看申请单信息；受血者与献血者血型（Rh五因子）同型程度颜色区分显示；献血者已配血情况查看（与多名受血者配血不合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pPr>
              <w:pStyle w:val="10"/>
              <w:widowControl w:val="0"/>
              <w:spacing w:before="112" w:line="230" w:lineRule="auto"/>
              <w:ind w:left="110"/>
              <w:jc w:val="both"/>
              <w:rPr>
                <w:color w:val="auto"/>
                <w:sz w:val="24"/>
                <w:szCs w:val="24"/>
                <w:lang w:eastAsia="zh-CN"/>
              </w:rPr>
            </w:pPr>
          </w:p>
        </w:tc>
        <w:tc>
          <w:tcPr>
            <w:tcW w:w="8010" w:type="dxa"/>
            <w:vAlign w:val="center"/>
          </w:tcPr>
          <w:p>
            <w:pPr>
              <w:pStyle w:val="10"/>
              <w:widowControl w:val="0"/>
              <w:spacing w:before="112" w:line="230" w:lineRule="auto"/>
              <w:jc w:val="both"/>
              <w:rPr>
                <w:color w:val="auto"/>
                <w:sz w:val="24"/>
                <w:szCs w:val="24"/>
                <w:lang w:eastAsia="zh-CN"/>
              </w:rPr>
            </w:pPr>
            <w:r>
              <w:rPr>
                <w:rFonts w:hint="eastAsia"/>
                <w:color w:val="auto"/>
                <w:sz w:val="24"/>
                <w:szCs w:val="24"/>
                <w:lang w:eastAsia="zh-CN"/>
              </w:rPr>
              <w:t>取血通知：具有输血科对已完成配备血的申请核对无误后向护理工作站发出取血通知的提醒功能。护理工作站或输血科具有打印领血单功能。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pPr>
              <w:pStyle w:val="10"/>
              <w:widowControl w:val="0"/>
              <w:spacing w:before="112" w:line="230" w:lineRule="auto"/>
              <w:ind w:left="110"/>
              <w:jc w:val="both"/>
              <w:rPr>
                <w:color w:val="auto"/>
                <w:sz w:val="24"/>
                <w:szCs w:val="24"/>
                <w:lang w:eastAsia="zh-CN"/>
              </w:rPr>
            </w:pPr>
          </w:p>
        </w:tc>
        <w:tc>
          <w:tcPr>
            <w:tcW w:w="8010" w:type="dxa"/>
            <w:vAlign w:val="center"/>
          </w:tcPr>
          <w:p>
            <w:pPr>
              <w:pStyle w:val="2"/>
              <w:widowControl w:val="0"/>
              <w:spacing w:before="223" w:line="231" w:lineRule="auto"/>
              <w:jc w:val="both"/>
              <w:rPr>
                <w:rFonts w:ascii="宋体" w:hAnsi="宋体" w:cs="宋体"/>
                <w:color w:val="auto"/>
                <w:sz w:val="24"/>
                <w:szCs w:val="24"/>
                <w:lang w:eastAsia="zh-CN"/>
              </w:rPr>
            </w:pPr>
            <w:r>
              <w:rPr>
                <w:rFonts w:hint="eastAsia" w:ascii="宋体" w:hAnsi="宋体" w:cs="宋体"/>
                <w:color w:val="auto"/>
                <w:sz w:val="24"/>
                <w:szCs w:val="24"/>
                <w:lang w:eastAsia="zh-CN"/>
              </w:rPr>
              <w:t>领血单打印：护理工作站或输血科应具有打印领血单功能。领血单应至少包含患者信息、血液成分、 血量、 申 请人、领血时间及领血人等信息。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pPr>
              <w:pStyle w:val="10"/>
              <w:widowControl w:val="0"/>
              <w:spacing w:before="112" w:line="230" w:lineRule="auto"/>
              <w:ind w:left="110"/>
              <w:jc w:val="both"/>
              <w:rPr>
                <w:color w:val="auto"/>
                <w:sz w:val="24"/>
                <w:szCs w:val="24"/>
                <w:lang w:eastAsia="zh-CN"/>
              </w:rPr>
            </w:pPr>
          </w:p>
        </w:tc>
        <w:tc>
          <w:tcPr>
            <w:tcW w:w="8010" w:type="dxa"/>
            <w:vAlign w:val="center"/>
          </w:tcPr>
          <w:p>
            <w:pPr>
              <w:pStyle w:val="10"/>
              <w:widowControl w:val="0"/>
              <w:spacing w:before="112" w:line="230" w:lineRule="auto"/>
              <w:jc w:val="both"/>
              <w:rPr>
                <w:color w:val="auto"/>
                <w:sz w:val="24"/>
                <w:szCs w:val="24"/>
                <w:lang w:eastAsia="zh-CN"/>
              </w:rPr>
            </w:pPr>
            <w:r>
              <w:rPr>
                <w:rFonts w:hint="eastAsia"/>
                <w:color w:val="auto"/>
                <w:sz w:val="24"/>
                <w:szCs w:val="24"/>
                <w:lang w:eastAsia="zh-CN"/>
              </w:rPr>
              <w:t>血液发放：用血申请单或取血申请单发血；取血申请单点评（用血前监管）；输血治疗同意书审核与图片保存；取血者与发血者双人核对签名；特殊情况先发血后补录发血；打印血袋标签（含血液信息与受血者信息）；打印配发血报告单与发血单；门急诊申请转为住院发血；受血者与献血者血型（Rh五因子）同型程度颜色区分显示；生成24小时累计发血用血审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pPr>
              <w:pStyle w:val="10"/>
              <w:widowControl w:val="0"/>
              <w:spacing w:before="112" w:line="230" w:lineRule="auto"/>
              <w:ind w:left="110"/>
              <w:jc w:val="both"/>
              <w:rPr>
                <w:color w:val="auto"/>
                <w:sz w:val="24"/>
                <w:szCs w:val="24"/>
                <w:lang w:eastAsia="zh-CN"/>
              </w:rPr>
            </w:pPr>
          </w:p>
        </w:tc>
        <w:tc>
          <w:tcPr>
            <w:tcW w:w="8010" w:type="dxa"/>
            <w:vAlign w:val="center"/>
          </w:tcPr>
          <w:p>
            <w:pPr>
              <w:pStyle w:val="2"/>
              <w:widowControl w:val="0"/>
              <w:spacing w:before="151" w:line="231" w:lineRule="auto"/>
              <w:jc w:val="both"/>
              <w:outlineLvl w:val="2"/>
              <w:rPr>
                <w:rFonts w:ascii="宋体" w:hAnsi="宋体" w:cs="宋体"/>
                <w:color w:val="auto"/>
                <w:sz w:val="24"/>
                <w:szCs w:val="24"/>
                <w:lang w:eastAsia="zh-CN"/>
              </w:rPr>
            </w:pPr>
            <w:r>
              <w:rPr>
                <w:rFonts w:hint="eastAsia" w:ascii="宋体" w:hAnsi="宋体" w:cs="宋体"/>
                <w:color w:val="auto"/>
                <w:sz w:val="24"/>
                <w:szCs w:val="24"/>
                <w:lang w:eastAsia="zh-CN"/>
              </w:rPr>
              <w:t>临床优先用血：具有优先用血信息接口功能。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pPr>
              <w:pStyle w:val="10"/>
              <w:widowControl w:val="0"/>
              <w:spacing w:before="112" w:line="230" w:lineRule="auto"/>
              <w:ind w:left="110"/>
              <w:jc w:val="both"/>
              <w:rPr>
                <w:color w:val="auto"/>
                <w:sz w:val="24"/>
                <w:szCs w:val="24"/>
                <w:lang w:eastAsia="zh-CN"/>
              </w:rPr>
            </w:pPr>
          </w:p>
        </w:tc>
        <w:tc>
          <w:tcPr>
            <w:tcW w:w="8010" w:type="dxa"/>
            <w:vAlign w:val="center"/>
          </w:tcPr>
          <w:p>
            <w:pPr>
              <w:pStyle w:val="10"/>
              <w:widowControl w:val="0"/>
              <w:spacing w:before="112" w:line="230" w:lineRule="auto"/>
              <w:jc w:val="both"/>
              <w:rPr>
                <w:color w:val="auto"/>
                <w:sz w:val="24"/>
                <w:szCs w:val="24"/>
                <w:lang w:eastAsia="zh-CN"/>
              </w:rPr>
            </w:pPr>
            <w:r>
              <w:rPr>
                <w:rFonts w:hint="eastAsia"/>
                <w:color w:val="auto"/>
                <w:sz w:val="24"/>
                <w:szCs w:val="24"/>
                <w:lang w:eastAsia="zh-CN"/>
              </w:rPr>
              <w:t>电子发血：输血科对已完成配血的用血申请进行电子发血通知，确保护理端人员实时获取领血通知，及时领取血液。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pPr>
              <w:pStyle w:val="10"/>
              <w:widowControl w:val="0"/>
              <w:spacing w:before="112" w:line="230" w:lineRule="auto"/>
              <w:ind w:left="110"/>
              <w:jc w:val="both"/>
              <w:rPr>
                <w:color w:val="auto"/>
                <w:sz w:val="24"/>
                <w:szCs w:val="24"/>
                <w:lang w:eastAsia="zh-CN"/>
              </w:rPr>
            </w:pPr>
          </w:p>
        </w:tc>
        <w:tc>
          <w:tcPr>
            <w:tcW w:w="8010" w:type="dxa"/>
            <w:vAlign w:val="center"/>
          </w:tcPr>
          <w:p>
            <w:pPr>
              <w:pStyle w:val="10"/>
              <w:widowControl w:val="0"/>
              <w:spacing w:before="112" w:line="230" w:lineRule="auto"/>
              <w:jc w:val="both"/>
              <w:rPr>
                <w:color w:val="auto"/>
                <w:sz w:val="24"/>
                <w:szCs w:val="24"/>
                <w:lang w:eastAsia="zh-CN"/>
              </w:rPr>
            </w:pPr>
            <w:r>
              <w:rPr>
                <w:rFonts w:hint="eastAsia"/>
                <w:color w:val="auto"/>
                <w:sz w:val="24"/>
                <w:szCs w:val="24"/>
                <w:lang w:eastAsia="zh-CN"/>
              </w:rPr>
              <w:t>出库预警提示：具有对血液失效日期、血型不一致等不符合安全条件血液发放的警示和限制功能。具有对所发血液和匹配患者的系统识别、核对和控制功能。具备电子核对控制血袋出库功能。包括申请信息、患者信息、血袋信息等。如自体血仅限于本人使用。对于同时申请异体血的患者，存在自体血未使用情况时，在出库异体血时进行智能化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pPr>
              <w:pStyle w:val="10"/>
              <w:widowControl w:val="0"/>
              <w:spacing w:before="112" w:line="230" w:lineRule="auto"/>
              <w:ind w:left="110"/>
              <w:jc w:val="both"/>
              <w:rPr>
                <w:color w:val="auto"/>
                <w:sz w:val="24"/>
                <w:szCs w:val="24"/>
                <w:lang w:eastAsia="zh-CN"/>
              </w:rPr>
            </w:pPr>
          </w:p>
        </w:tc>
        <w:tc>
          <w:tcPr>
            <w:tcW w:w="8010" w:type="dxa"/>
            <w:vAlign w:val="center"/>
          </w:tcPr>
          <w:p>
            <w:pPr>
              <w:pStyle w:val="10"/>
              <w:widowControl w:val="0"/>
              <w:spacing w:before="112" w:line="230" w:lineRule="auto"/>
              <w:jc w:val="both"/>
              <w:rPr>
                <w:color w:val="auto"/>
                <w:sz w:val="24"/>
                <w:szCs w:val="24"/>
                <w:lang w:eastAsia="zh-CN"/>
              </w:rPr>
            </w:pPr>
            <w:r>
              <w:rPr>
                <w:rFonts w:hint="eastAsia"/>
                <w:color w:val="auto"/>
                <w:sz w:val="24"/>
                <w:szCs w:val="24"/>
                <w:lang w:eastAsia="zh-CN"/>
              </w:rPr>
              <w:t>血液出库流程：具有对临床取血单，血袋条码进行电子化核对的功能。具有打印包含患者和血液信息的条形码标签，便于领血方进行核对功能。具有口令录入电子签名功能，记录交接信息，打印出库报告单完成发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pPr>
              <w:pStyle w:val="10"/>
              <w:widowControl w:val="0"/>
              <w:spacing w:before="112" w:line="230" w:lineRule="auto"/>
              <w:ind w:left="110"/>
              <w:jc w:val="both"/>
              <w:rPr>
                <w:color w:val="auto"/>
                <w:sz w:val="24"/>
                <w:szCs w:val="24"/>
                <w:lang w:eastAsia="zh-CN"/>
              </w:rPr>
            </w:pPr>
          </w:p>
        </w:tc>
        <w:tc>
          <w:tcPr>
            <w:tcW w:w="8010" w:type="dxa"/>
            <w:vAlign w:val="center"/>
          </w:tcPr>
          <w:p>
            <w:pPr>
              <w:pStyle w:val="10"/>
              <w:widowControl w:val="0"/>
              <w:spacing w:before="112" w:line="230" w:lineRule="auto"/>
              <w:jc w:val="both"/>
              <w:rPr>
                <w:color w:val="auto"/>
                <w:sz w:val="24"/>
                <w:szCs w:val="24"/>
                <w:lang w:eastAsia="zh-CN"/>
              </w:rPr>
            </w:pPr>
            <w:r>
              <w:rPr>
                <w:rFonts w:hint="eastAsia"/>
                <w:color w:val="auto"/>
                <w:sz w:val="24"/>
                <w:szCs w:val="24"/>
                <w:lang w:eastAsia="zh-CN"/>
              </w:rPr>
              <w:t>血液/血袋回收：对于临床送回输血科的血液/血袋采用条形码扫描确认，实行血液/血袋信息条形码唯一标识管理。支持通过扫描条形码记录血液/血袋回收信息，根据发放和回收的血液/血袋数量统计不同科室血袋 回收率，显示超时未回收血袋，并可消息提醒临床。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restart"/>
            <w:vAlign w:val="center"/>
          </w:tcPr>
          <w:p>
            <w:pPr>
              <w:pStyle w:val="10"/>
              <w:widowControl w:val="0"/>
              <w:spacing w:before="112" w:line="230" w:lineRule="auto"/>
              <w:ind w:left="110"/>
              <w:jc w:val="both"/>
              <w:rPr>
                <w:color w:val="auto"/>
                <w:sz w:val="24"/>
                <w:szCs w:val="24"/>
                <w:lang w:eastAsia="zh-CN"/>
              </w:rPr>
            </w:pPr>
          </w:p>
          <w:p>
            <w:pPr>
              <w:pStyle w:val="10"/>
              <w:widowControl w:val="0"/>
              <w:spacing w:before="112" w:line="230" w:lineRule="auto"/>
              <w:ind w:left="110"/>
              <w:jc w:val="both"/>
              <w:rPr>
                <w:color w:val="auto"/>
                <w:sz w:val="24"/>
                <w:szCs w:val="24"/>
              </w:rPr>
            </w:pPr>
            <w:r>
              <w:rPr>
                <w:rFonts w:hint="eastAsia"/>
                <w:color w:val="auto"/>
                <w:sz w:val="24"/>
                <w:szCs w:val="24"/>
              </w:rPr>
              <w:t>输血相容性检测</w:t>
            </w:r>
            <w:r>
              <w:rPr>
                <w:rFonts w:hint="eastAsia"/>
                <w:color w:val="0000FF"/>
                <w:sz w:val="24"/>
                <w:szCs w:val="24"/>
                <w:lang w:val="en-US" w:eastAsia="zh-CN"/>
              </w:rPr>
              <w:t>★</w:t>
            </w:r>
          </w:p>
          <w:p>
            <w:pPr>
              <w:pStyle w:val="10"/>
              <w:widowControl w:val="0"/>
              <w:spacing w:before="112" w:line="230" w:lineRule="auto"/>
              <w:ind w:left="110"/>
              <w:jc w:val="both"/>
              <w:rPr>
                <w:color w:val="auto"/>
                <w:sz w:val="24"/>
                <w:szCs w:val="24"/>
              </w:rPr>
            </w:pPr>
          </w:p>
        </w:tc>
        <w:tc>
          <w:tcPr>
            <w:tcW w:w="8010" w:type="dxa"/>
            <w:vAlign w:val="center"/>
          </w:tcPr>
          <w:p>
            <w:pPr>
              <w:pStyle w:val="10"/>
              <w:widowControl w:val="0"/>
              <w:spacing w:before="112" w:line="230" w:lineRule="auto"/>
              <w:jc w:val="both"/>
              <w:rPr>
                <w:color w:val="auto"/>
                <w:sz w:val="24"/>
                <w:szCs w:val="24"/>
                <w:lang w:eastAsia="zh-CN"/>
              </w:rPr>
            </w:pPr>
            <w:r>
              <w:rPr>
                <w:rFonts w:hint="eastAsia"/>
                <w:color w:val="auto"/>
                <w:sz w:val="24"/>
                <w:szCs w:val="24"/>
                <w:lang w:eastAsia="zh-CN"/>
              </w:rPr>
              <w:t>结果录入：下达送检指令；接收仪器检验结果（包括检验项目与检验子项目）；新增检验项目（自定义是否计费）；撤销检验项目；新增检验子项目；修改检验子项目名。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pPr>
              <w:pStyle w:val="10"/>
              <w:widowControl w:val="0"/>
              <w:spacing w:before="112" w:line="230" w:lineRule="auto"/>
              <w:ind w:left="110"/>
              <w:jc w:val="both"/>
              <w:rPr>
                <w:color w:val="auto"/>
                <w:sz w:val="24"/>
                <w:szCs w:val="24"/>
                <w:lang w:eastAsia="zh-CN"/>
              </w:rPr>
            </w:pPr>
          </w:p>
        </w:tc>
        <w:tc>
          <w:tcPr>
            <w:tcW w:w="8010" w:type="dxa"/>
            <w:vAlign w:val="center"/>
          </w:tcPr>
          <w:p>
            <w:pPr>
              <w:pStyle w:val="10"/>
              <w:widowControl w:val="0"/>
              <w:spacing w:before="112" w:line="230" w:lineRule="auto"/>
              <w:jc w:val="both"/>
              <w:rPr>
                <w:color w:val="auto"/>
                <w:sz w:val="24"/>
                <w:szCs w:val="24"/>
                <w:lang w:eastAsia="zh-CN"/>
              </w:rPr>
            </w:pPr>
            <w:r>
              <w:rPr>
                <w:rFonts w:hint="eastAsia"/>
                <w:color w:val="auto"/>
                <w:sz w:val="24"/>
                <w:szCs w:val="24"/>
                <w:lang w:eastAsia="zh-CN"/>
              </w:rPr>
              <w:t>结果保存：录入并保存结果（论）；保存图片；支持录入子项目结果特殊说明；支持非正常结果或特殊结果标示；支持检验结果或特殊情况说明录入。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pPr>
              <w:pStyle w:val="10"/>
              <w:widowControl w:val="0"/>
              <w:spacing w:before="112" w:line="230" w:lineRule="auto"/>
              <w:ind w:left="110"/>
              <w:jc w:val="both"/>
              <w:rPr>
                <w:color w:val="auto"/>
                <w:sz w:val="24"/>
                <w:szCs w:val="24"/>
                <w:lang w:eastAsia="zh-CN"/>
              </w:rPr>
            </w:pPr>
          </w:p>
        </w:tc>
        <w:tc>
          <w:tcPr>
            <w:tcW w:w="8010" w:type="dxa"/>
            <w:vAlign w:val="center"/>
          </w:tcPr>
          <w:p>
            <w:pPr>
              <w:pStyle w:val="10"/>
              <w:widowControl w:val="0"/>
              <w:spacing w:before="112" w:line="230" w:lineRule="auto"/>
              <w:jc w:val="both"/>
              <w:rPr>
                <w:color w:val="auto"/>
                <w:sz w:val="24"/>
                <w:szCs w:val="24"/>
                <w:lang w:eastAsia="zh-CN"/>
              </w:rPr>
            </w:pPr>
            <w:r>
              <w:rPr>
                <w:rFonts w:hint="eastAsia"/>
                <w:color w:val="auto"/>
                <w:sz w:val="24"/>
                <w:szCs w:val="24"/>
                <w:lang w:eastAsia="zh-CN"/>
              </w:rPr>
              <w:t>结果审核：具有与既往检测记录对比功能,不一致时有报警提示；具有对主侧和/或次侧不相合结果时有报警提示功能；严格制定配血权限,非同型特殊配血有报警提示功能；支持符合相关法律、法规的电子交叉配血；支持洗涤红细胞交叉配血出库(主侧交叉)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restart"/>
            <w:vAlign w:val="center"/>
          </w:tcPr>
          <w:p>
            <w:pPr>
              <w:pStyle w:val="10"/>
              <w:widowControl w:val="0"/>
              <w:spacing w:before="112" w:line="230" w:lineRule="auto"/>
              <w:jc w:val="both"/>
              <w:rPr>
                <w:color w:val="auto"/>
                <w:sz w:val="24"/>
                <w:szCs w:val="24"/>
                <w:lang w:eastAsia="zh-CN"/>
              </w:rPr>
            </w:pPr>
          </w:p>
          <w:p>
            <w:pPr>
              <w:pStyle w:val="10"/>
              <w:widowControl w:val="0"/>
              <w:spacing w:before="112" w:line="230" w:lineRule="auto"/>
              <w:ind w:left="110"/>
              <w:jc w:val="both"/>
              <w:rPr>
                <w:color w:val="auto"/>
                <w:sz w:val="24"/>
                <w:szCs w:val="24"/>
              </w:rPr>
            </w:pPr>
            <w:r>
              <w:rPr>
                <w:rFonts w:hint="eastAsia"/>
                <w:color w:val="auto"/>
                <w:sz w:val="24"/>
                <w:szCs w:val="24"/>
              </w:rPr>
              <w:t>试验质控</w:t>
            </w:r>
          </w:p>
        </w:tc>
        <w:tc>
          <w:tcPr>
            <w:tcW w:w="8010" w:type="dxa"/>
            <w:vAlign w:val="center"/>
          </w:tcPr>
          <w:p>
            <w:pPr>
              <w:pStyle w:val="10"/>
              <w:widowControl w:val="0"/>
              <w:spacing w:before="112" w:line="230" w:lineRule="auto"/>
              <w:jc w:val="both"/>
              <w:rPr>
                <w:color w:val="auto"/>
                <w:sz w:val="24"/>
                <w:szCs w:val="24"/>
                <w:lang w:eastAsia="zh-CN"/>
              </w:rPr>
            </w:pPr>
            <w:r>
              <w:rPr>
                <w:rFonts w:hint="eastAsia"/>
                <w:color w:val="auto"/>
                <w:sz w:val="24"/>
                <w:szCs w:val="24"/>
                <w:lang w:eastAsia="zh-CN"/>
              </w:rPr>
              <w:t>室内质控：质控品批号录入；室内质控执行；结果查询。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pPr>
              <w:pStyle w:val="10"/>
              <w:widowControl w:val="0"/>
              <w:spacing w:before="112" w:line="230" w:lineRule="auto"/>
              <w:ind w:left="110"/>
              <w:jc w:val="both"/>
              <w:rPr>
                <w:color w:val="auto"/>
                <w:sz w:val="24"/>
                <w:szCs w:val="24"/>
                <w:lang w:eastAsia="zh-CN"/>
              </w:rPr>
            </w:pPr>
          </w:p>
        </w:tc>
        <w:tc>
          <w:tcPr>
            <w:tcW w:w="8010" w:type="dxa"/>
            <w:vAlign w:val="center"/>
          </w:tcPr>
          <w:p>
            <w:pPr>
              <w:pStyle w:val="10"/>
              <w:widowControl w:val="0"/>
              <w:spacing w:before="112" w:line="230" w:lineRule="auto"/>
              <w:jc w:val="both"/>
              <w:rPr>
                <w:color w:val="auto"/>
                <w:sz w:val="24"/>
                <w:szCs w:val="24"/>
                <w:lang w:eastAsia="zh-CN"/>
              </w:rPr>
            </w:pPr>
            <w:r>
              <w:rPr>
                <w:rFonts w:hint="eastAsia"/>
                <w:color w:val="auto"/>
                <w:sz w:val="24"/>
                <w:szCs w:val="24"/>
                <w:lang w:eastAsia="zh-CN"/>
              </w:rPr>
              <w:t>应支持质控规则的设置、质控项目的录入、质控数据的录入、失控提醒和处理、时段数据总结分析 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pPr>
              <w:pStyle w:val="10"/>
              <w:widowControl w:val="0"/>
              <w:spacing w:before="112" w:line="230" w:lineRule="auto"/>
              <w:ind w:left="110"/>
              <w:jc w:val="both"/>
              <w:rPr>
                <w:color w:val="auto"/>
                <w:sz w:val="24"/>
                <w:szCs w:val="24"/>
                <w:lang w:eastAsia="zh-CN"/>
              </w:rPr>
            </w:pPr>
          </w:p>
        </w:tc>
        <w:tc>
          <w:tcPr>
            <w:tcW w:w="8010" w:type="dxa"/>
            <w:vAlign w:val="center"/>
          </w:tcPr>
          <w:p>
            <w:pPr>
              <w:pStyle w:val="10"/>
              <w:widowControl w:val="0"/>
              <w:spacing w:before="112" w:line="230" w:lineRule="auto"/>
              <w:jc w:val="both"/>
              <w:rPr>
                <w:color w:val="auto"/>
                <w:sz w:val="24"/>
                <w:szCs w:val="24"/>
                <w:lang w:eastAsia="zh-CN"/>
              </w:rPr>
            </w:pPr>
            <w:r>
              <w:rPr>
                <w:rFonts w:hint="eastAsia"/>
                <w:color w:val="auto"/>
                <w:sz w:val="24"/>
                <w:szCs w:val="24"/>
                <w:lang w:eastAsia="zh-CN"/>
              </w:rPr>
              <w:t>室间质评：质控品批号录入；室间质评执行；结果查询。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pPr>
              <w:pStyle w:val="10"/>
              <w:widowControl w:val="0"/>
              <w:spacing w:before="112" w:line="230" w:lineRule="auto"/>
              <w:ind w:left="110"/>
              <w:jc w:val="both"/>
              <w:rPr>
                <w:color w:val="auto"/>
                <w:sz w:val="24"/>
                <w:szCs w:val="24"/>
                <w:lang w:eastAsia="zh-CN"/>
              </w:rPr>
            </w:pPr>
          </w:p>
        </w:tc>
        <w:tc>
          <w:tcPr>
            <w:tcW w:w="8010" w:type="dxa"/>
            <w:vAlign w:val="center"/>
          </w:tcPr>
          <w:p>
            <w:pPr>
              <w:pStyle w:val="10"/>
              <w:widowControl w:val="0"/>
              <w:spacing w:before="112" w:line="230" w:lineRule="auto"/>
              <w:jc w:val="both"/>
              <w:rPr>
                <w:color w:val="auto"/>
                <w:sz w:val="24"/>
                <w:szCs w:val="24"/>
                <w:lang w:eastAsia="zh-CN"/>
              </w:rPr>
            </w:pPr>
            <w:r>
              <w:rPr>
                <w:rFonts w:hint="eastAsia"/>
                <w:color w:val="auto"/>
                <w:sz w:val="24"/>
                <w:szCs w:val="24"/>
                <w:lang w:eastAsia="zh-CN"/>
              </w:rPr>
              <w:t>接收验证：接收试剂批号录入；接收验证执行；结果查询。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pPr>
              <w:pStyle w:val="10"/>
              <w:widowControl w:val="0"/>
              <w:spacing w:before="112" w:line="230" w:lineRule="auto"/>
              <w:ind w:left="110"/>
              <w:jc w:val="both"/>
              <w:rPr>
                <w:color w:val="auto"/>
                <w:sz w:val="24"/>
                <w:szCs w:val="24"/>
                <w:lang w:eastAsia="zh-CN"/>
              </w:rPr>
            </w:pPr>
          </w:p>
        </w:tc>
        <w:tc>
          <w:tcPr>
            <w:tcW w:w="8010" w:type="dxa"/>
            <w:vAlign w:val="center"/>
          </w:tcPr>
          <w:p>
            <w:pPr>
              <w:pStyle w:val="10"/>
              <w:widowControl w:val="0"/>
              <w:spacing w:before="112" w:line="230" w:lineRule="auto"/>
              <w:jc w:val="both"/>
              <w:rPr>
                <w:color w:val="auto"/>
                <w:sz w:val="24"/>
                <w:szCs w:val="24"/>
                <w:lang w:eastAsia="zh-CN"/>
              </w:rPr>
            </w:pPr>
            <w:r>
              <w:rPr>
                <w:rFonts w:hint="eastAsia"/>
                <w:color w:val="auto"/>
                <w:sz w:val="24"/>
                <w:szCs w:val="24"/>
                <w:lang w:eastAsia="zh-CN"/>
              </w:rPr>
              <w:t>质控分析：质控分析（分定量、定性检测）。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pStyle w:val="10"/>
              <w:widowControl w:val="0"/>
              <w:spacing w:before="112" w:line="230" w:lineRule="auto"/>
              <w:ind w:left="110"/>
              <w:jc w:val="both"/>
              <w:rPr>
                <w:rFonts w:hint="eastAsia"/>
                <w:color w:val="auto"/>
                <w:sz w:val="24"/>
                <w:szCs w:val="24"/>
              </w:rPr>
            </w:pPr>
            <w:r>
              <w:rPr>
                <w:rFonts w:hint="eastAsia"/>
                <w:color w:val="auto"/>
                <w:sz w:val="24"/>
                <w:szCs w:val="24"/>
              </w:rPr>
              <w:t>用血后</w:t>
            </w:r>
          </w:p>
          <w:p>
            <w:pPr>
              <w:pStyle w:val="10"/>
              <w:widowControl w:val="0"/>
              <w:spacing w:before="112" w:line="230" w:lineRule="auto"/>
              <w:ind w:left="110"/>
              <w:jc w:val="both"/>
              <w:rPr>
                <w:color w:val="auto"/>
                <w:sz w:val="24"/>
                <w:szCs w:val="24"/>
              </w:rPr>
            </w:pPr>
            <w:r>
              <w:rPr>
                <w:rFonts w:hint="eastAsia"/>
                <w:color w:val="auto"/>
                <w:sz w:val="24"/>
                <w:szCs w:val="24"/>
              </w:rPr>
              <w:t>管理</w:t>
            </w:r>
            <w:r>
              <w:rPr>
                <w:rFonts w:hint="eastAsia"/>
                <w:color w:val="0000FF"/>
                <w:sz w:val="24"/>
                <w:szCs w:val="24"/>
                <w:lang w:val="en-US" w:eastAsia="zh-CN"/>
              </w:rPr>
              <w:t>★</w:t>
            </w:r>
          </w:p>
        </w:tc>
        <w:tc>
          <w:tcPr>
            <w:tcW w:w="8010" w:type="dxa"/>
            <w:vAlign w:val="center"/>
          </w:tcPr>
          <w:p>
            <w:pPr>
              <w:pStyle w:val="10"/>
              <w:widowControl w:val="0"/>
              <w:spacing w:before="112" w:line="230" w:lineRule="auto"/>
              <w:jc w:val="both"/>
              <w:rPr>
                <w:color w:val="auto"/>
                <w:sz w:val="24"/>
                <w:szCs w:val="24"/>
                <w:lang w:eastAsia="zh-CN"/>
              </w:rPr>
            </w:pPr>
            <w:r>
              <w:rPr>
                <w:rFonts w:hint="eastAsia"/>
                <w:color w:val="auto"/>
                <w:sz w:val="24"/>
                <w:szCs w:val="24"/>
                <w:lang w:eastAsia="zh-CN"/>
              </w:rPr>
              <w:t>不良反应管理：不良反应的处置记录（包括护理、医疗、输血科的处置记录）；打印不良反应报告单；支持输血不良反应的调查分析、智能提示，形成电子化文件。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restart"/>
            <w:vAlign w:val="center"/>
          </w:tcPr>
          <w:p>
            <w:pPr>
              <w:pStyle w:val="10"/>
              <w:widowControl w:val="0"/>
              <w:spacing w:before="112" w:line="230" w:lineRule="auto"/>
              <w:ind w:left="110"/>
              <w:jc w:val="both"/>
              <w:rPr>
                <w:color w:val="auto"/>
                <w:sz w:val="24"/>
                <w:szCs w:val="24"/>
                <w:lang w:eastAsia="zh-CN"/>
              </w:rPr>
            </w:pPr>
            <w:r>
              <w:rPr>
                <w:rFonts w:hint="eastAsia"/>
                <w:color w:val="auto"/>
                <w:sz w:val="24"/>
                <w:szCs w:val="24"/>
                <w:lang w:eastAsia="zh-CN"/>
              </w:rPr>
              <w:t>事务管理</w:t>
            </w:r>
          </w:p>
        </w:tc>
        <w:tc>
          <w:tcPr>
            <w:tcW w:w="8010" w:type="dxa"/>
            <w:vAlign w:val="center"/>
          </w:tcPr>
          <w:p>
            <w:pPr>
              <w:pStyle w:val="2"/>
              <w:widowControl w:val="0"/>
              <w:spacing w:before="220" w:line="229" w:lineRule="auto"/>
              <w:jc w:val="both"/>
              <w:rPr>
                <w:rFonts w:ascii="宋体" w:hAnsi="宋体" w:cs="宋体"/>
                <w:color w:val="auto"/>
                <w:sz w:val="24"/>
                <w:szCs w:val="24"/>
                <w:lang w:eastAsia="zh-CN"/>
              </w:rPr>
            </w:pPr>
            <w:r>
              <w:rPr>
                <w:rFonts w:hint="eastAsia" w:ascii="宋体" w:hAnsi="宋体" w:cs="宋体"/>
                <w:color w:val="auto"/>
                <w:sz w:val="24"/>
                <w:szCs w:val="24"/>
                <w:lang w:eastAsia="zh-CN"/>
              </w:rPr>
              <w:t>查询统计：具有按照申请科室，患者信息、病案信息、血袋信息、血液信息、时间等条件查询统计功能。质控指标等基础数据统计功能及单病种统计功能，设置统一的数据统计报送平台。大致区分有：工作量统计，</w:t>
            </w:r>
            <w:r>
              <w:rPr>
                <w:rFonts w:hint="eastAsia" w:ascii="宋体" w:hAnsi="宋体" w:cs="宋体"/>
                <w:color w:val="auto"/>
                <w:sz w:val="24"/>
                <w:szCs w:val="24"/>
                <w:highlight w:val="yellow"/>
                <w:lang w:eastAsia="zh-CN"/>
              </w:rPr>
              <w:t>科室用血明细</w:t>
            </w:r>
            <w:r>
              <w:rPr>
                <w:rFonts w:hint="eastAsia" w:ascii="宋体" w:hAnsi="宋体" w:cs="宋体"/>
                <w:color w:val="auto"/>
                <w:sz w:val="24"/>
                <w:szCs w:val="24"/>
                <w:lang w:eastAsia="zh-CN"/>
              </w:rPr>
              <w:t>，财务统计等。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pPr>
              <w:pStyle w:val="10"/>
              <w:widowControl w:val="0"/>
              <w:spacing w:before="112" w:line="230" w:lineRule="auto"/>
              <w:ind w:left="110"/>
              <w:jc w:val="both"/>
              <w:rPr>
                <w:color w:val="auto"/>
                <w:sz w:val="24"/>
                <w:szCs w:val="24"/>
                <w:lang w:eastAsia="zh-CN"/>
              </w:rPr>
            </w:pPr>
          </w:p>
        </w:tc>
        <w:tc>
          <w:tcPr>
            <w:tcW w:w="8010" w:type="dxa"/>
            <w:vAlign w:val="center"/>
          </w:tcPr>
          <w:p>
            <w:pPr>
              <w:pStyle w:val="2"/>
              <w:widowControl w:val="0"/>
              <w:spacing w:before="220" w:line="229" w:lineRule="auto"/>
              <w:jc w:val="both"/>
              <w:rPr>
                <w:rFonts w:ascii="宋体" w:hAnsi="宋体" w:cs="宋体"/>
                <w:color w:val="auto"/>
                <w:sz w:val="24"/>
                <w:szCs w:val="24"/>
                <w:lang w:eastAsia="zh-CN"/>
              </w:rPr>
            </w:pPr>
            <w:r>
              <w:rPr>
                <w:rFonts w:hint="eastAsia" w:ascii="宋体" w:hAnsi="宋体" w:cs="宋体"/>
                <w:color w:val="auto"/>
                <w:sz w:val="24"/>
                <w:szCs w:val="24"/>
                <w:lang w:eastAsia="zh-CN"/>
              </w:rPr>
              <w:t>费用管理：支持费用设置和编辑，包括项目名称、血液成分、规格、价格、医保费用类别、数量等。支持备血、发血时自动生成血液费、输血相关检验和治疗等费用，并联机完成自动收费，支持增加检测项目时的收费。支持急救病人绿色通道欠费延期结算，并有提醒功能。对于不能完成自动收费的情形，提供手动计 费功能。对于计费错误，退血等情形，支持自动退费或手动退费功能。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306" w:type="dxa"/>
            <w:vMerge w:val="continue"/>
            <w:vAlign w:val="center"/>
          </w:tcPr>
          <w:p>
            <w:pPr>
              <w:pStyle w:val="10"/>
              <w:widowControl w:val="0"/>
              <w:spacing w:before="112" w:line="230" w:lineRule="auto"/>
              <w:ind w:left="110"/>
              <w:jc w:val="both"/>
              <w:rPr>
                <w:color w:val="auto"/>
                <w:sz w:val="24"/>
                <w:szCs w:val="24"/>
                <w:lang w:eastAsia="zh-CN"/>
              </w:rPr>
            </w:pPr>
          </w:p>
        </w:tc>
        <w:tc>
          <w:tcPr>
            <w:tcW w:w="8010" w:type="dxa"/>
            <w:vAlign w:val="center"/>
          </w:tcPr>
          <w:p>
            <w:pPr>
              <w:pStyle w:val="2"/>
              <w:widowControl w:val="0"/>
              <w:spacing w:before="220" w:line="229" w:lineRule="auto"/>
              <w:jc w:val="both"/>
              <w:rPr>
                <w:rFonts w:ascii="宋体" w:hAnsi="宋体" w:cs="宋体"/>
                <w:color w:val="auto"/>
                <w:sz w:val="24"/>
                <w:szCs w:val="24"/>
                <w:lang w:eastAsia="zh-CN"/>
              </w:rPr>
            </w:pPr>
            <w:r>
              <w:rPr>
                <w:rFonts w:hint="eastAsia" w:ascii="宋体" w:hAnsi="宋体" w:cs="宋体"/>
                <w:color w:val="auto"/>
                <w:sz w:val="24"/>
                <w:szCs w:val="24"/>
                <w:lang w:eastAsia="zh-CN"/>
              </w:rPr>
              <w:t>交接班管理：支持记录开始到结束时间的出库、入库、报废、退库情况以及交班人和接班人信息。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pPr>
              <w:pStyle w:val="10"/>
              <w:widowControl w:val="0"/>
              <w:spacing w:before="112" w:line="230" w:lineRule="auto"/>
              <w:ind w:left="110"/>
              <w:jc w:val="both"/>
              <w:rPr>
                <w:color w:val="auto"/>
                <w:sz w:val="24"/>
                <w:szCs w:val="24"/>
                <w:lang w:eastAsia="zh-CN"/>
              </w:rPr>
            </w:pPr>
          </w:p>
        </w:tc>
        <w:tc>
          <w:tcPr>
            <w:tcW w:w="8010" w:type="dxa"/>
            <w:vAlign w:val="center"/>
          </w:tcPr>
          <w:p>
            <w:pPr>
              <w:pStyle w:val="2"/>
              <w:widowControl w:val="0"/>
              <w:spacing w:before="220" w:line="229" w:lineRule="auto"/>
              <w:jc w:val="both"/>
              <w:rPr>
                <w:rFonts w:ascii="宋体" w:hAnsi="宋体" w:cs="宋体"/>
                <w:color w:val="auto"/>
                <w:sz w:val="24"/>
                <w:szCs w:val="24"/>
                <w:lang w:eastAsia="zh-CN"/>
              </w:rPr>
            </w:pPr>
            <w:r>
              <w:rPr>
                <w:rFonts w:hint="eastAsia" w:ascii="宋体" w:hAnsi="宋体" w:cs="宋体"/>
                <w:color w:val="auto"/>
                <w:sz w:val="24"/>
                <w:szCs w:val="24"/>
                <w:lang w:eastAsia="zh-CN"/>
              </w:rPr>
              <w:t>特殊患者管理：支持记录某些患者有特殊病情和特殊治疗的功能。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restart"/>
            <w:vAlign w:val="center"/>
          </w:tcPr>
          <w:p>
            <w:pPr>
              <w:pStyle w:val="10"/>
              <w:widowControl w:val="0"/>
              <w:spacing w:before="112" w:line="230" w:lineRule="auto"/>
              <w:ind w:left="110"/>
              <w:jc w:val="both"/>
              <w:rPr>
                <w:color w:val="auto"/>
                <w:sz w:val="24"/>
                <w:szCs w:val="24"/>
              </w:rPr>
            </w:pPr>
            <w:r>
              <w:rPr>
                <w:rFonts w:hint="eastAsia"/>
                <w:color w:val="auto"/>
                <w:sz w:val="24"/>
                <w:szCs w:val="24"/>
              </w:rPr>
              <w:t>用品管理</w:t>
            </w:r>
          </w:p>
        </w:tc>
        <w:tc>
          <w:tcPr>
            <w:tcW w:w="8010" w:type="dxa"/>
            <w:vAlign w:val="center"/>
          </w:tcPr>
          <w:p>
            <w:pPr>
              <w:pStyle w:val="10"/>
              <w:widowControl w:val="0"/>
              <w:spacing w:before="112" w:line="230" w:lineRule="auto"/>
              <w:jc w:val="both"/>
              <w:rPr>
                <w:color w:val="auto"/>
                <w:sz w:val="24"/>
                <w:szCs w:val="24"/>
                <w:lang w:eastAsia="zh-CN"/>
              </w:rPr>
            </w:pPr>
            <w:r>
              <w:rPr>
                <w:rFonts w:hint="eastAsia"/>
                <w:color w:val="auto"/>
                <w:sz w:val="24"/>
                <w:szCs w:val="24"/>
                <w:lang w:eastAsia="zh-CN"/>
              </w:rPr>
              <w:t>物品管理：物品目录管理；物品出入库管理；物品出入库统计分析。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pPr>
              <w:pStyle w:val="10"/>
              <w:widowControl w:val="0"/>
              <w:spacing w:before="112" w:line="230" w:lineRule="auto"/>
              <w:ind w:left="110"/>
              <w:jc w:val="both"/>
              <w:rPr>
                <w:color w:val="auto"/>
                <w:sz w:val="24"/>
                <w:szCs w:val="24"/>
                <w:lang w:eastAsia="zh-CN"/>
              </w:rPr>
            </w:pPr>
          </w:p>
        </w:tc>
        <w:tc>
          <w:tcPr>
            <w:tcW w:w="8010" w:type="dxa"/>
            <w:vAlign w:val="center"/>
          </w:tcPr>
          <w:p>
            <w:pPr>
              <w:pStyle w:val="10"/>
              <w:widowControl w:val="0"/>
              <w:spacing w:before="112" w:line="230" w:lineRule="auto"/>
              <w:jc w:val="both"/>
              <w:rPr>
                <w:color w:val="auto"/>
                <w:sz w:val="24"/>
                <w:szCs w:val="24"/>
                <w:lang w:eastAsia="zh-CN"/>
              </w:rPr>
            </w:pPr>
            <w:r>
              <w:rPr>
                <w:rFonts w:hint="eastAsia"/>
                <w:color w:val="auto"/>
                <w:sz w:val="24"/>
                <w:szCs w:val="24"/>
                <w:lang w:eastAsia="zh-CN"/>
              </w:rPr>
              <w:t>设备管理：设备档案管理；设备运行环节记录；用品证件清单管理。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pStyle w:val="10"/>
              <w:widowControl w:val="0"/>
              <w:spacing w:before="112" w:line="230" w:lineRule="auto"/>
              <w:ind w:left="110"/>
              <w:jc w:val="both"/>
              <w:rPr>
                <w:color w:val="auto"/>
                <w:sz w:val="24"/>
                <w:szCs w:val="24"/>
              </w:rPr>
            </w:pPr>
            <w:r>
              <w:rPr>
                <w:rFonts w:hint="eastAsia"/>
                <w:color w:val="auto"/>
                <w:sz w:val="24"/>
                <w:szCs w:val="24"/>
              </w:rPr>
              <w:t>质量管理</w:t>
            </w:r>
          </w:p>
        </w:tc>
        <w:tc>
          <w:tcPr>
            <w:tcW w:w="8010" w:type="dxa"/>
            <w:vAlign w:val="center"/>
          </w:tcPr>
          <w:p>
            <w:pPr>
              <w:pStyle w:val="10"/>
              <w:widowControl w:val="0"/>
              <w:spacing w:before="112" w:line="230" w:lineRule="auto"/>
              <w:jc w:val="both"/>
              <w:rPr>
                <w:color w:val="auto"/>
                <w:sz w:val="24"/>
                <w:szCs w:val="24"/>
                <w:lang w:eastAsia="zh-CN"/>
              </w:rPr>
            </w:pPr>
            <w:r>
              <w:rPr>
                <w:rFonts w:hint="eastAsia"/>
                <w:color w:val="auto"/>
                <w:sz w:val="24"/>
                <w:szCs w:val="24"/>
                <w:lang w:eastAsia="zh-CN"/>
              </w:rPr>
              <w:t>质量管理：记录质管具体活动内容；查阅质管活动具体记录；具备能够根据用血相关质控指标对不同科室和不同人员用血情况、输血质量进行督查和评价功 能。具备将临床用血相关质控指标定期报送给血站功能。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restart"/>
            <w:vAlign w:val="center"/>
          </w:tcPr>
          <w:p>
            <w:pPr>
              <w:pStyle w:val="10"/>
              <w:widowControl w:val="0"/>
              <w:spacing w:before="112" w:line="230" w:lineRule="auto"/>
              <w:ind w:left="110"/>
              <w:jc w:val="both"/>
              <w:rPr>
                <w:rFonts w:hint="eastAsia" w:eastAsia="宋体"/>
                <w:color w:val="auto"/>
                <w:sz w:val="24"/>
                <w:szCs w:val="24"/>
                <w:lang w:eastAsia="zh-CN"/>
              </w:rPr>
            </w:pPr>
            <w:r>
              <w:rPr>
                <w:rFonts w:hint="eastAsia"/>
                <w:color w:val="auto"/>
                <w:sz w:val="24"/>
                <w:szCs w:val="24"/>
                <w:lang w:eastAsia="zh-CN"/>
              </w:rPr>
              <w:t>★</w:t>
            </w:r>
            <w:r>
              <w:rPr>
                <w:rFonts w:hint="eastAsia"/>
                <w:color w:val="auto"/>
                <w:sz w:val="24"/>
                <w:szCs w:val="24"/>
              </w:rPr>
              <w:t>查询统计</w:t>
            </w:r>
          </w:p>
        </w:tc>
        <w:tc>
          <w:tcPr>
            <w:tcW w:w="8010" w:type="dxa"/>
            <w:vAlign w:val="center"/>
          </w:tcPr>
          <w:p>
            <w:pPr>
              <w:pStyle w:val="10"/>
              <w:widowControl w:val="0"/>
              <w:spacing w:before="112" w:line="230" w:lineRule="auto"/>
              <w:jc w:val="both"/>
              <w:rPr>
                <w:color w:val="auto"/>
                <w:sz w:val="24"/>
                <w:szCs w:val="24"/>
                <w:lang w:eastAsia="zh-CN"/>
              </w:rPr>
            </w:pPr>
            <w:r>
              <w:rPr>
                <w:rFonts w:hint="eastAsia"/>
                <w:color w:val="auto"/>
                <w:sz w:val="24"/>
                <w:szCs w:val="24"/>
                <w:lang w:eastAsia="zh-CN"/>
              </w:rPr>
              <w:t>血液信息：血液信息；用血相关检验信息。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pPr>
              <w:pStyle w:val="10"/>
              <w:widowControl w:val="0"/>
              <w:spacing w:before="112" w:line="230" w:lineRule="auto"/>
              <w:ind w:left="110"/>
              <w:jc w:val="both"/>
              <w:rPr>
                <w:color w:val="auto"/>
                <w:sz w:val="24"/>
                <w:szCs w:val="24"/>
                <w:lang w:eastAsia="zh-CN"/>
              </w:rPr>
            </w:pPr>
          </w:p>
        </w:tc>
        <w:tc>
          <w:tcPr>
            <w:tcW w:w="8010" w:type="dxa"/>
            <w:vAlign w:val="center"/>
          </w:tcPr>
          <w:p>
            <w:pPr>
              <w:pStyle w:val="10"/>
              <w:widowControl w:val="0"/>
              <w:spacing w:before="112" w:line="230" w:lineRule="auto"/>
              <w:jc w:val="both"/>
              <w:rPr>
                <w:color w:val="auto"/>
                <w:sz w:val="24"/>
                <w:szCs w:val="24"/>
                <w:lang w:eastAsia="zh-CN"/>
              </w:rPr>
            </w:pPr>
            <w:r>
              <w:rPr>
                <w:rFonts w:hint="eastAsia"/>
                <w:color w:val="auto"/>
                <w:sz w:val="24"/>
                <w:szCs w:val="24"/>
                <w:lang w:eastAsia="zh-CN"/>
              </w:rPr>
              <w:t>检验信息：检验结果信息；检验标本信息；结果审核信息。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pPr>
              <w:pStyle w:val="10"/>
              <w:widowControl w:val="0"/>
              <w:spacing w:before="112" w:line="230" w:lineRule="auto"/>
              <w:ind w:left="110"/>
              <w:jc w:val="both"/>
              <w:rPr>
                <w:color w:val="auto"/>
                <w:sz w:val="24"/>
                <w:szCs w:val="24"/>
                <w:lang w:eastAsia="zh-CN"/>
              </w:rPr>
            </w:pPr>
          </w:p>
        </w:tc>
        <w:tc>
          <w:tcPr>
            <w:tcW w:w="8010" w:type="dxa"/>
            <w:vAlign w:val="center"/>
          </w:tcPr>
          <w:p>
            <w:pPr>
              <w:pStyle w:val="10"/>
              <w:widowControl w:val="0"/>
              <w:spacing w:before="112" w:line="230" w:lineRule="auto"/>
              <w:jc w:val="both"/>
              <w:rPr>
                <w:color w:val="auto"/>
                <w:sz w:val="24"/>
                <w:szCs w:val="24"/>
                <w:lang w:eastAsia="zh-CN"/>
              </w:rPr>
            </w:pPr>
            <w:r>
              <w:rPr>
                <w:rFonts w:hint="eastAsia"/>
                <w:color w:val="auto"/>
                <w:sz w:val="24"/>
                <w:szCs w:val="24"/>
                <w:lang w:eastAsia="zh-CN"/>
              </w:rPr>
              <w:t>费用信息：计费信息。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pPr>
              <w:pStyle w:val="10"/>
              <w:widowControl w:val="0"/>
              <w:spacing w:before="112" w:line="230" w:lineRule="auto"/>
              <w:ind w:left="110"/>
              <w:jc w:val="both"/>
              <w:rPr>
                <w:color w:val="auto"/>
                <w:sz w:val="24"/>
                <w:szCs w:val="24"/>
                <w:lang w:eastAsia="zh-CN"/>
              </w:rPr>
            </w:pPr>
          </w:p>
        </w:tc>
        <w:tc>
          <w:tcPr>
            <w:tcW w:w="8010" w:type="dxa"/>
            <w:vAlign w:val="center"/>
          </w:tcPr>
          <w:p>
            <w:pPr>
              <w:pStyle w:val="10"/>
              <w:widowControl w:val="0"/>
              <w:spacing w:before="112" w:line="230" w:lineRule="auto"/>
              <w:jc w:val="both"/>
              <w:rPr>
                <w:color w:val="auto"/>
                <w:sz w:val="24"/>
                <w:szCs w:val="24"/>
                <w:lang w:eastAsia="zh-CN"/>
              </w:rPr>
            </w:pPr>
            <w:r>
              <w:rPr>
                <w:rFonts w:hint="eastAsia"/>
                <w:color w:val="auto"/>
                <w:sz w:val="24"/>
                <w:szCs w:val="24"/>
                <w:lang w:eastAsia="zh-CN"/>
              </w:rPr>
              <w:t>常用数据：12项质控指标数据；统计查询多项数据；根据省浙血质委的相关要求，规范做好我省临床用血质量控制指标的采集和报送工作：12个质控数据采集（非输血系统数据需对接第三方系统完成填报），基本要求：预设计算规则统一按上级文件要求设定。A.按照预设规则，输血系统自动抓取并计算质控指标结果。B.按要求进行数据推送与上报工作（血站提供接口标准与推送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restart"/>
            <w:vAlign w:val="center"/>
          </w:tcPr>
          <w:p>
            <w:pPr>
              <w:pStyle w:val="10"/>
              <w:widowControl w:val="0"/>
              <w:spacing w:before="112" w:line="230" w:lineRule="auto"/>
              <w:ind w:left="110"/>
              <w:jc w:val="both"/>
              <w:rPr>
                <w:color w:val="auto"/>
                <w:sz w:val="24"/>
                <w:szCs w:val="24"/>
              </w:rPr>
            </w:pPr>
            <w:r>
              <w:rPr>
                <w:rFonts w:hint="eastAsia"/>
                <w:color w:val="auto"/>
                <w:sz w:val="24"/>
                <w:szCs w:val="24"/>
              </w:rPr>
              <w:t>系统维护</w:t>
            </w:r>
          </w:p>
        </w:tc>
        <w:tc>
          <w:tcPr>
            <w:tcW w:w="8010" w:type="dxa"/>
            <w:vAlign w:val="center"/>
          </w:tcPr>
          <w:p>
            <w:pPr>
              <w:pStyle w:val="10"/>
              <w:widowControl w:val="0"/>
              <w:spacing w:before="112" w:line="230" w:lineRule="auto"/>
              <w:jc w:val="both"/>
              <w:rPr>
                <w:color w:val="auto"/>
                <w:sz w:val="24"/>
                <w:szCs w:val="24"/>
                <w:lang w:eastAsia="zh-CN"/>
              </w:rPr>
            </w:pPr>
            <w:r>
              <w:rPr>
                <w:rFonts w:hint="eastAsia"/>
                <w:color w:val="auto"/>
                <w:sz w:val="24"/>
                <w:szCs w:val="24"/>
                <w:lang w:eastAsia="zh-CN"/>
              </w:rPr>
              <w:t>字典表维护：支持前端对各项字典的维护。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pPr>
              <w:pStyle w:val="10"/>
              <w:widowControl w:val="0"/>
              <w:spacing w:before="112" w:line="230" w:lineRule="auto"/>
              <w:ind w:left="110"/>
              <w:jc w:val="both"/>
              <w:rPr>
                <w:color w:val="auto"/>
                <w:sz w:val="24"/>
                <w:szCs w:val="24"/>
                <w:lang w:eastAsia="zh-CN"/>
              </w:rPr>
            </w:pPr>
          </w:p>
        </w:tc>
        <w:tc>
          <w:tcPr>
            <w:tcW w:w="8010" w:type="dxa"/>
            <w:vAlign w:val="center"/>
          </w:tcPr>
          <w:p>
            <w:pPr>
              <w:pStyle w:val="10"/>
              <w:widowControl w:val="0"/>
              <w:spacing w:before="112" w:line="230" w:lineRule="auto"/>
              <w:jc w:val="both"/>
              <w:rPr>
                <w:color w:val="auto"/>
                <w:sz w:val="24"/>
                <w:szCs w:val="24"/>
                <w:lang w:eastAsia="zh-CN"/>
              </w:rPr>
            </w:pPr>
            <w:r>
              <w:rPr>
                <w:rFonts w:hint="eastAsia"/>
                <w:color w:val="auto"/>
                <w:sz w:val="24"/>
                <w:szCs w:val="24"/>
                <w:lang w:eastAsia="zh-CN"/>
              </w:rPr>
              <w:t>用户管理：角色权限管理；用户管理；修改密码。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pPr>
              <w:pStyle w:val="10"/>
              <w:widowControl w:val="0"/>
              <w:spacing w:before="112" w:line="230" w:lineRule="auto"/>
              <w:ind w:left="110"/>
              <w:jc w:val="both"/>
              <w:rPr>
                <w:color w:val="auto"/>
                <w:sz w:val="24"/>
                <w:szCs w:val="24"/>
                <w:lang w:eastAsia="zh-CN"/>
              </w:rPr>
            </w:pPr>
          </w:p>
        </w:tc>
        <w:tc>
          <w:tcPr>
            <w:tcW w:w="8010" w:type="dxa"/>
            <w:vAlign w:val="center"/>
          </w:tcPr>
          <w:p>
            <w:pPr>
              <w:pStyle w:val="10"/>
              <w:widowControl w:val="0"/>
              <w:spacing w:before="112" w:line="230" w:lineRule="auto"/>
              <w:jc w:val="both"/>
              <w:rPr>
                <w:color w:val="auto"/>
                <w:sz w:val="24"/>
                <w:szCs w:val="24"/>
                <w:lang w:eastAsia="zh-CN"/>
              </w:rPr>
            </w:pPr>
            <w:r>
              <w:rPr>
                <w:rFonts w:hint="eastAsia"/>
                <w:color w:val="auto"/>
                <w:sz w:val="24"/>
                <w:szCs w:val="24"/>
                <w:lang w:eastAsia="zh-CN"/>
              </w:rPr>
              <w:t>接口访问：多个字典表的同步。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pPr>
              <w:pStyle w:val="10"/>
              <w:widowControl w:val="0"/>
              <w:spacing w:before="112" w:line="230" w:lineRule="auto"/>
              <w:ind w:left="110"/>
              <w:jc w:val="both"/>
              <w:rPr>
                <w:color w:val="auto"/>
                <w:sz w:val="24"/>
                <w:szCs w:val="24"/>
                <w:lang w:eastAsia="zh-CN"/>
              </w:rPr>
            </w:pPr>
          </w:p>
        </w:tc>
        <w:tc>
          <w:tcPr>
            <w:tcW w:w="8010" w:type="dxa"/>
            <w:vAlign w:val="center"/>
          </w:tcPr>
          <w:p>
            <w:pPr>
              <w:pStyle w:val="10"/>
              <w:widowControl w:val="0"/>
              <w:spacing w:before="112" w:line="230" w:lineRule="auto"/>
              <w:jc w:val="both"/>
              <w:rPr>
                <w:color w:val="auto"/>
                <w:sz w:val="24"/>
                <w:szCs w:val="24"/>
                <w:lang w:eastAsia="zh-CN"/>
              </w:rPr>
            </w:pPr>
            <w:r>
              <w:rPr>
                <w:rFonts w:hint="eastAsia"/>
                <w:color w:val="auto"/>
                <w:sz w:val="24"/>
                <w:szCs w:val="24"/>
                <w:lang w:eastAsia="zh-CN"/>
              </w:rPr>
              <w:t>相容性试验：支持备血标本的血型录入、血型复核、不规则抗体筛查等检验，并支持历史血型结果的核对、血型录入核对以及相关检验历史结果的浏览，如输血前检查等。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pStyle w:val="10"/>
              <w:widowControl w:val="0"/>
              <w:spacing w:before="112" w:line="230" w:lineRule="auto"/>
              <w:ind w:left="110"/>
              <w:jc w:val="both"/>
              <w:rPr>
                <w:color w:val="auto"/>
                <w:sz w:val="24"/>
                <w:szCs w:val="24"/>
              </w:rPr>
            </w:pPr>
            <w:r>
              <w:rPr>
                <w:rFonts w:hint="eastAsia"/>
                <w:color w:val="auto"/>
                <w:sz w:val="24"/>
                <w:szCs w:val="24"/>
              </w:rPr>
              <w:t>仪器接口</w:t>
            </w:r>
          </w:p>
        </w:tc>
        <w:tc>
          <w:tcPr>
            <w:tcW w:w="8010" w:type="dxa"/>
            <w:vAlign w:val="center"/>
          </w:tcPr>
          <w:p>
            <w:pPr>
              <w:pStyle w:val="10"/>
              <w:widowControl w:val="0"/>
              <w:spacing w:before="112" w:line="230" w:lineRule="auto"/>
              <w:jc w:val="both"/>
              <w:rPr>
                <w:color w:val="auto"/>
                <w:sz w:val="24"/>
                <w:szCs w:val="24"/>
                <w:lang w:eastAsia="zh-CN"/>
              </w:rPr>
            </w:pPr>
            <w:r>
              <w:rPr>
                <w:rFonts w:hint="eastAsia"/>
                <w:color w:val="auto"/>
                <w:sz w:val="24"/>
                <w:szCs w:val="24"/>
                <w:lang w:eastAsia="zh-CN"/>
              </w:rPr>
              <w:t>能够接收、获取仪器设备的数据，并提供手工录入的接口，数据处理必须准确无误；支持图文报告功能。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pStyle w:val="10"/>
              <w:widowControl w:val="0"/>
              <w:spacing w:before="112" w:line="230" w:lineRule="auto"/>
              <w:ind w:left="110"/>
              <w:jc w:val="both"/>
              <w:rPr>
                <w:color w:val="auto"/>
                <w:sz w:val="24"/>
                <w:szCs w:val="24"/>
              </w:rPr>
            </w:pPr>
            <w:r>
              <w:rPr>
                <w:rFonts w:hint="eastAsia"/>
                <w:color w:val="auto"/>
                <w:sz w:val="24"/>
                <w:szCs w:val="24"/>
              </w:rPr>
              <w:t>病历质控</w:t>
            </w:r>
          </w:p>
        </w:tc>
        <w:tc>
          <w:tcPr>
            <w:tcW w:w="8010" w:type="dxa"/>
            <w:vAlign w:val="center"/>
          </w:tcPr>
          <w:p>
            <w:pPr>
              <w:pStyle w:val="10"/>
              <w:widowControl w:val="0"/>
              <w:spacing w:before="112" w:line="230" w:lineRule="auto"/>
              <w:jc w:val="both"/>
              <w:rPr>
                <w:color w:val="auto"/>
                <w:sz w:val="24"/>
                <w:szCs w:val="24"/>
                <w:lang w:eastAsia="zh-CN"/>
              </w:rPr>
            </w:pPr>
            <w:r>
              <w:rPr>
                <w:rFonts w:hint="eastAsia"/>
                <w:color w:val="auto"/>
                <w:sz w:val="24"/>
                <w:szCs w:val="24"/>
                <w:lang w:eastAsia="zh-CN"/>
              </w:rPr>
              <w:t>病历质控：病历质控登记；用血前后相关检验指标变化趋势；浏览病程记录；浏览护理记录；病人用血信息查询；病历质控流程管理；不良反应（事件）补录。</w:t>
            </w:r>
          </w:p>
        </w:tc>
      </w:tr>
    </w:tbl>
    <w:p>
      <w:pPr>
        <w:kinsoku w:val="0"/>
        <w:autoSpaceDE w:val="0"/>
        <w:autoSpaceDN w:val="0"/>
        <w:spacing w:before="301" w:after="0" w:line="220" w:lineRule="auto"/>
        <w:textAlignment w:val="baseline"/>
        <w:outlineLvl w:val="1"/>
        <w:rPr>
          <w:rFonts w:ascii="宋体" w:hAnsi="宋体" w:eastAsia="宋体" w:cs="宋体"/>
          <w:b/>
          <w:bCs/>
          <w:snapToGrid w:val="0"/>
          <w:color w:val="auto"/>
          <w:spacing w:val="-5"/>
          <w:sz w:val="21"/>
          <w:szCs w:val="21"/>
        </w:rPr>
      </w:pPr>
      <w:r>
        <w:rPr>
          <w:rFonts w:hint="eastAsia" w:ascii="宋体" w:hAnsi="宋体" w:eastAsia="宋体" w:cs="宋体"/>
          <w:b/>
          <w:bCs/>
          <w:snapToGrid w:val="0"/>
          <w:color w:val="auto"/>
          <w:spacing w:val="-5"/>
          <w:sz w:val="21"/>
          <w:szCs w:val="21"/>
          <w:lang w:val="en-US" w:eastAsia="zh-CN"/>
        </w:rPr>
        <w:t>2</w:t>
      </w:r>
      <w:r>
        <w:rPr>
          <w:rFonts w:hint="eastAsia" w:ascii="宋体" w:hAnsi="宋体" w:eastAsia="宋体" w:cs="宋体"/>
          <w:b/>
          <w:bCs/>
          <w:snapToGrid w:val="0"/>
          <w:color w:val="auto"/>
          <w:spacing w:val="-5"/>
          <w:sz w:val="21"/>
          <w:szCs w:val="21"/>
        </w:rPr>
        <w:t>、护士工作站</w:t>
      </w:r>
    </w:p>
    <w:tbl>
      <w:tblPr>
        <w:tblStyle w:val="6"/>
        <w:tblW w:w="9079"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shd w:val="clear" w:color="auto" w:fill="auto"/>
            <w:vAlign w:val="center"/>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标本管理</w:t>
            </w:r>
          </w:p>
        </w:tc>
        <w:tc>
          <w:tcPr>
            <w:tcW w:w="7450" w:type="dxa"/>
            <w:shd w:val="clear" w:color="auto" w:fill="auto"/>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标本采集：标本管与申请单匹配（自动记录采集时间、采集者和核对者）；支持撤销已匹配标本管；支持补抽标本；支持生成抽血费（自定义）；支持标本标签打印（标签内容自定义）；支持接收其他系统抽血医嘱（生成相应用血或输血检验申请单）；页面标本传染性检测结果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9" w:type="dxa"/>
            <w:vMerge w:val="continue"/>
            <w:vAlign w:val="center"/>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p>
        </w:tc>
        <w:tc>
          <w:tcPr>
            <w:tcW w:w="7450" w:type="dxa"/>
            <w:shd w:val="clear" w:color="auto" w:fill="auto"/>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标本转运：标本转运自动记录转运时间和转运者。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输血护理</w:t>
            </w:r>
            <w:r>
              <w:rPr>
                <w:rFonts w:hint="eastAsia"/>
                <w:color w:val="0000FF"/>
                <w:sz w:val="24"/>
                <w:szCs w:val="24"/>
                <w:lang w:val="en-US" w:eastAsia="zh-CN"/>
              </w:rPr>
              <w:t>★</w:t>
            </w:r>
          </w:p>
        </w:tc>
        <w:tc>
          <w:tcPr>
            <w:tcW w:w="7450" w:type="dxa"/>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取血通知:具有输血科对已完成配备血的申请核对无误后向护理工作站发出取血通知的提醒功能。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p>
        </w:tc>
        <w:tc>
          <w:tcPr>
            <w:tcW w:w="7450" w:type="dxa"/>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领血单打印：护理工作站或输血科应具有打印领血单功能。领血单应至少包含患者信息、血液成分、 血量、 申 请人、领血时间及领血人等信息。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p>
        </w:tc>
        <w:tc>
          <w:tcPr>
            <w:tcW w:w="7450" w:type="dxa"/>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输血核对：支持临床护士根据输血申请单、配血报告单、血液出库单及血袋条码信息进行核对。输血核对条款应包括入库时对血站所发的血液进行逐一扫描核对，在输血科发血时核对、输血前核对和输血时核对。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p>
        </w:tc>
        <w:tc>
          <w:tcPr>
            <w:tcW w:w="7450" w:type="dxa"/>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输血流程控制：支持对输血开始、输血过程、输血结束整个流程的数据采集录入，实现输注流程闭环</w:t>
            </w:r>
            <w:r>
              <w:rPr>
                <w:rFonts w:hint="eastAsia"/>
                <w:snapToGrid w:val="0"/>
                <w:color w:val="auto"/>
                <w:sz w:val="24"/>
                <w:szCs w:val="24"/>
                <w:lang w:eastAsia="zh-CN"/>
              </w:rPr>
              <w:t>，</w:t>
            </w:r>
            <w:r>
              <w:rPr>
                <w:rFonts w:hint="eastAsia"/>
                <w:snapToGrid w:val="0"/>
                <w:color w:val="0000FF"/>
                <w:sz w:val="24"/>
                <w:szCs w:val="24"/>
                <w:lang w:val="en-US" w:eastAsia="zh-CN"/>
              </w:rPr>
              <w:t>同一病人门诊出库血袋可带入住院使用，闭环管理</w:t>
            </w:r>
            <w:r>
              <w:rPr>
                <w:rFonts w:hint="eastAsia"/>
                <w:snapToGrid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p>
        </w:tc>
        <w:tc>
          <w:tcPr>
            <w:tcW w:w="7450" w:type="dxa"/>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出库血液未输注控制：支持预设时间，应具备对已出库血液超时未开始输注者，以消息通知临床和护理的功能。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p>
        </w:tc>
        <w:tc>
          <w:tcPr>
            <w:tcW w:w="7450" w:type="dxa"/>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输血护理节点记录：支持自定义输注方式与节点流程；支持自定义记录内容。</w:t>
            </w:r>
            <w:r>
              <w:rPr>
                <w:rFonts w:hint="eastAsia"/>
                <w:snapToGrid w:val="0"/>
                <w:color w:val="0000FF"/>
                <w:sz w:val="24"/>
                <w:szCs w:val="24"/>
                <w:lang w:val="en-US" w:eastAsia="zh-CN"/>
              </w:rPr>
              <w:t>根据输血节点自动生成护理记录单</w:t>
            </w:r>
            <w:r>
              <w:rPr>
                <w:rFonts w:hint="eastAsia"/>
                <w:snapToGrid w:val="0"/>
                <w:color w:val="0000FF"/>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p>
        </w:tc>
        <w:tc>
          <w:tcPr>
            <w:tcW w:w="7450" w:type="dxa"/>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节点维护：节点维护：输血护理节点查改；输血护理节点删除。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p>
        </w:tc>
        <w:tc>
          <w:tcPr>
            <w:tcW w:w="7450" w:type="dxa"/>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输血护理文书生成；取血申请单打印；取血消息沟通与查看。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p>
        </w:tc>
        <w:tc>
          <w:tcPr>
            <w:tcW w:w="7450" w:type="dxa"/>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不良反应信息上报：具有护理人员电子填报不良反应回报信息功能。及时消息通知输血科或医务部门。信息包括：不良反应类型，处置信息等。支持自动生成输血不良反应率等报表。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629" w:type="dxa"/>
            <w:vAlign w:val="center"/>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病历质控</w:t>
            </w:r>
            <w:r>
              <w:rPr>
                <w:rFonts w:hint="eastAsia"/>
                <w:color w:val="0000FF"/>
                <w:sz w:val="24"/>
                <w:szCs w:val="24"/>
                <w:lang w:val="en-US" w:eastAsia="zh-CN"/>
              </w:rPr>
              <w:t>★</w:t>
            </w:r>
          </w:p>
        </w:tc>
        <w:tc>
          <w:tcPr>
            <w:tcW w:w="7450" w:type="dxa"/>
          </w:tcPr>
          <w:p>
            <w:pPr>
              <w:pStyle w:val="10"/>
              <w:widowControl w:val="0"/>
              <w:kinsoku w:val="0"/>
              <w:autoSpaceDE w:val="0"/>
              <w:autoSpaceDN w:val="0"/>
              <w:spacing w:before="112" w:after="0" w:line="230" w:lineRule="auto"/>
              <w:ind w:left="110"/>
              <w:jc w:val="both"/>
              <w:textAlignment w:val="baseline"/>
              <w:rPr>
                <w:snapToGrid w:val="0"/>
                <w:color w:val="0000FF"/>
                <w:sz w:val="24"/>
                <w:szCs w:val="24"/>
              </w:rPr>
            </w:pPr>
            <w:r>
              <w:rPr>
                <w:rFonts w:hint="eastAsia"/>
                <w:snapToGrid w:val="0"/>
                <w:color w:val="auto"/>
                <w:sz w:val="24"/>
                <w:szCs w:val="24"/>
              </w:rPr>
              <w:t>病历质控：病历质控登记；用血前后相关检验指标变化趋势；浏览病程记录；浏览护理记录；病人用血信息查询；病历质控流程管理；不良反应（事件）补录。</w:t>
            </w:r>
          </w:p>
        </w:tc>
      </w:tr>
    </w:tbl>
    <w:p>
      <w:pPr>
        <w:kinsoku w:val="0"/>
        <w:autoSpaceDE w:val="0"/>
        <w:autoSpaceDN w:val="0"/>
        <w:spacing w:before="301" w:after="0" w:line="220" w:lineRule="auto"/>
        <w:textAlignment w:val="baseline"/>
        <w:outlineLvl w:val="1"/>
        <w:rPr>
          <w:rFonts w:ascii="宋体" w:hAnsi="宋体" w:eastAsia="宋体" w:cs="宋体"/>
          <w:b/>
          <w:bCs/>
          <w:snapToGrid w:val="0"/>
          <w:color w:val="auto"/>
          <w:spacing w:val="-5"/>
          <w:sz w:val="21"/>
          <w:szCs w:val="21"/>
        </w:rPr>
      </w:pPr>
      <w:r>
        <w:rPr>
          <w:rFonts w:hint="eastAsia" w:ascii="宋体" w:hAnsi="宋体" w:eastAsia="宋体" w:cs="宋体"/>
          <w:b/>
          <w:bCs/>
          <w:snapToGrid w:val="0"/>
          <w:color w:val="auto"/>
          <w:spacing w:val="-5"/>
          <w:sz w:val="21"/>
          <w:szCs w:val="21"/>
          <w:lang w:val="en-US" w:eastAsia="zh-CN"/>
        </w:rPr>
        <w:t>3</w:t>
      </w:r>
      <w:r>
        <w:rPr>
          <w:rFonts w:hint="eastAsia" w:ascii="宋体" w:hAnsi="宋体" w:eastAsia="宋体" w:cs="宋体"/>
          <w:b/>
          <w:bCs/>
          <w:snapToGrid w:val="0"/>
          <w:color w:val="auto"/>
          <w:spacing w:val="-5"/>
          <w:sz w:val="21"/>
          <w:szCs w:val="21"/>
        </w:rPr>
        <w:t>、医务科、医生工作站</w:t>
      </w:r>
      <w:r>
        <w:rPr>
          <w:rFonts w:hint="eastAsia"/>
          <w:color w:val="0000FF"/>
          <w:sz w:val="24"/>
          <w:szCs w:val="24"/>
          <w:lang w:val="en-US" w:eastAsia="zh-CN"/>
        </w:rPr>
        <w:t>★</w:t>
      </w:r>
    </w:p>
    <w:tbl>
      <w:tblPr>
        <w:tblStyle w:val="6"/>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7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549" w:type="dxa"/>
            <w:vMerge w:val="restart"/>
            <w:vAlign w:val="center"/>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申请管理</w:t>
            </w:r>
          </w:p>
        </w:tc>
        <w:tc>
          <w:tcPr>
            <w:tcW w:w="7558" w:type="dxa"/>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输血前评估：应具有自动提取各项检测结果功能,并以疾病诊断、患者临床表现和治疗策略为依据,集合患者病情相关的信息,提供综合评估数据，为临床医师和输血科提供输血治疗的参考。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vMerge w:val="continue"/>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p>
        </w:tc>
        <w:tc>
          <w:tcPr>
            <w:tcW w:w="7558" w:type="dxa"/>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输血申请单：医生工作站应具有输血申请和输血治疗知情同意告知提示功能,并具有打印输血治疗知情同意书、输血申请单、输血审批单等相关输血文书的功能。输血科支持自动获得或通过条形码扫描方式接收临床输血申请单，信息包括：患者信息、备血状态信息、输血前评估信息等。支持相关各方对申请单状态的实时显示及查询。支持患者入院首次输血申请时自动生成输血知情同意书，并确保知情同意书的签署。无输血申请单相关信息，应具备不可输血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1549" w:type="dxa"/>
            <w:vMerge w:val="continue"/>
            <w:vAlign w:val="center"/>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p>
        </w:tc>
        <w:tc>
          <w:tcPr>
            <w:tcW w:w="7558" w:type="dxa"/>
          </w:tcPr>
          <w:p>
            <w:pPr>
              <w:spacing w:before="219"/>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用血权限控制：应具有对输血申请医师资质和用血量权限控制的功能。实现医师输血申请分级管理。支持医生输血申请时可阅读输血相关的法规和指南。医生工作站申请输血时，应根据权限进行审核。用血量大于1600ml时，医务部门应具有对临床输血申请实时审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vMerge w:val="continue"/>
            <w:vAlign w:val="center"/>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p>
        </w:tc>
        <w:tc>
          <w:tcPr>
            <w:tcW w:w="7558" w:type="dxa"/>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输血申请填写控制：应具有控制输血申请信息填写完整规范的功能。还可以预设规则，对于达不到规则的用血请求可进 行消息提醒，实现暂缓输血或无需输血治疗。可通过对接相关系统获取的信息进行自动判别，对填写不完整或信息不合理的申请书可实现智能化提醒。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vMerge w:val="continue"/>
            <w:vAlign w:val="center"/>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p>
        </w:tc>
        <w:tc>
          <w:tcPr>
            <w:tcW w:w="7558" w:type="dxa"/>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超量用血审批控制：应具有对超量输血申请审批权限控制的功能。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vMerge w:val="continue"/>
            <w:vAlign w:val="center"/>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p>
        </w:tc>
        <w:tc>
          <w:tcPr>
            <w:tcW w:w="7558" w:type="dxa"/>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输血申请单处理流程状态：应具有查看输血申请单处理流程状态功能,包括申请单审核状态、标本状态、备血状态和发血状态等。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vMerge w:val="continue"/>
            <w:vAlign w:val="center"/>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p>
        </w:tc>
        <w:tc>
          <w:tcPr>
            <w:tcW w:w="7558" w:type="dxa"/>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自体输血申请：医生工作站应具有贮存式/治疗式自体输血申请功能。 提供回收式自体血的记录功能。对具备采集自体血的患者，消息提示优先采集自体血。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vMerge w:val="continue"/>
            <w:vAlign w:val="center"/>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p>
        </w:tc>
        <w:tc>
          <w:tcPr>
            <w:tcW w:w="7558" w:type="dxa"/>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自体血统计功能：支持自体血统计，包括按时间段，科室、自体血量、自体血方式（贮存式/回收式/稀释式）、自体血完成量等统计，并反馈至临床科室。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vMerge w:val="restart"/>
            <w:vAlign w:val="center"/>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紧急用血</w:t>
            </w:r>
          </w:p>
        </w:tc>
        <w:tc>
          <w:tcPr>
            <w:tcW w:w="7558" w:type="dxa"/>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紧急抢救输血申请：医生工作站应具有紧急抢救输血申请信息通道功能,支持危重症患者紧急输血申请及智能化管理。可对申请单进行分级处理。比如：平诊、抢救等进行标注。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vMerge w:val="continue"/>
            <w:vAlign w:val="center"/>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p>
        </w:tc>
        <w:tc>
          <w:tcPr>
            <w:tcW w:w="7558" w:type="dxa"/>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紧急输血信息完整控制：紧急输血完成后，对于需要后补的手续进行消息提示，应具有紧急输血完成后信息补录功能，具有对未补办手续相关医生进行用血限制的功能。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vMerge w:val="continue"/>
            <w:vAlign w:val="center"/>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p>
        </w:tc>
        <w:tc>
          <w:tcPr>
            <w:tcW w:w="7558" w:type="dxa"/>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紧急输血样本接收与血液发放：具有紧急抢救输血申请的接收和优先配发血液的信息入口。对于紧急手工申请单，支持人工方式录入标本标识信息,记录标本的来源、数量、采集时间、检测设备、检测试剂等信息。并确保后续血液 发放流程的优先，快速进行。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vMerge w:val="continue"/>
            <w:vAlign w:val="center"/>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p>
        </w:tc>
        <w:tc>
          <w:tcPr>
            <w:tcW w:w="7558" w:type="dxa"/>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临床非同型输血申请：医生工作站应具有非同型输注输血申请标记功能，支持对非同型输血申请进行备注描述录入。具有对非同型输血的申请信息、血型核对、配血方法控制、发血信息等节点控制的信息提示核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vAlign w:val="center"/>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手术室用血</w:t>
            </w:r>
          </w:p>
          <w:p>
            <w:pPr>
              <w:pStyle w:val="10"/>
              <w:widowControl w:val="0"/>
              <w:kinsoku w:val="0"/>
              <w:autoSpaceDE w:val="0"/>
              <w:autoSpaceDN w:val="0"/>
              <w:spacing w:before="112" w:after="0" w:line="230" w:lineRule="auto"/>
              <w:ind w:left="110"/>
              <w:jc w:val="both"/>
              <w:textAlignment w:val="baseline"/>
              <w:rPr>
                <w:snapToGrid w:val="0"/>
                <w:color w:val="auto"/>
                <w:sz w:val="24"/>
                <w:szCs w:val="24"/>
              </w:rPr>
            </w:pPr>
          </w:p>
        </w:tc>
        <w:tc>
          <w:tcPr>
            <w:tcW w:w="7558" w:type="dxa"/>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应支持手术室紧急抢救申请输血，手术室领血（包括病区申请，手术室领取等情形），输注流程记录等功能。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vMerge w:val="restart"/>
            <w:vAlign w:val="center"/>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输血后评价</w:t>
            </w:r>
          </w:p>
        </w:tc>
        <w:tc>
          <w:tcPr>
            <w:tcW w:w="7558" w:type="dxa"/>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输血后检测指标：医生工作站应具有自动提取患者输血后的相关检测指标功能，支持临床医师根据检测结果和临床表 现对本次输血疗效合理性进行评价结论的录入。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vMerge w:val="continue"/>
            <w:vAlign w:val="center"/>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p>
        </w:tc>
        <w:tc>
          <w:tcPr>
            <w:tcW w:w="7558" w:type="dxa"/>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评价提醒及控制：具备未及时评价的输血申请进行智能化提醒功能，支持对该申请医生进行输血申请控制。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vMerge w:val="continue"/>
            <w:vAlign w:val="center"/>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p>
        </w:tc>
        <w:tc>
          <w:tcPr>
            <w:tcW w:w="7558" w:type="dxa"/>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输血病程记录及相关接口：建立电子病历接口，输血前评估、输血过程、不良反应、输血后评价等记录写入电子病历系统。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vAlign w:val="center"/>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color w:val="auto"/>
                <w:sz w:val="24"/>
                <w:szCs w:val="24"/>
              </w:rPr>
              <w:t>用血后管理</w:t>
            </w:r>
          </w:p>
        </w:tc>
        <w:tc>
          <w:tcPr>
            <w:tcW w:w="7558" w:type="dxa"/>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不良反应信息上报：具有临床医师/护理人员电子填报不良反应回报信息功能。及时消息通知输血科或医务部门。信息包括：不良反应类型，处置信息等。支持自动生成输血不良反应率等报表。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vAlign w:val="center"/>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用血直免</w:t>
            </w:r>
          </w:p>
        </w:tc>
        <w:tc>
          <w:tcPr>
            <w:tcW w:w="7558" w:type="dxa"/>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献血用血：患者本人或亲友无偿献血登记；临床用血费用结算知情同意书打印；用血直免办理承诺书打印；用血直免办理（含计费冲负数、用血清单）；门急诊病转住院后费用转归；献血者本人优先用血信息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vAlign w:val="center"/>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用血审批</w:t>
            </w:r>
          </w:p>
        </w:tc>
        <w:tc>
          <w:tcPr>
            <w:tcW w:w="7558" w:type="dxa"/>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用血审批：用血审批流程处置与管理；纸质审批单图片保存。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vAlign w:val="center"/>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病历质控</w:t>
            </w:r>
          </w:p>
        </w:tc>
        <w:tc>
          <w:tcPr>
            <w:tcW w:w="7558" w:type="dxa"/>
          </w:tcPr>
          <w:p>
            <w:pPr>
              <w:pStyle w:val="10"/>
              <w:widowControl w:val="0"/>
              <w:kinsoku w:val="0"/>
              <w:autoSpaceDE w:val="0"/>
              <w:autoSpaceDN w:val="0"/>
              <w:spacing w:before="112" w:after="0" w:line="230" w:lineRule="auto"/>
              <w:ind w:left="110"/>
              <w:jc w:val="both"/>
              <w:textAlignment w:val="baseline"/>
              <w:rPr>
                <w:snapToGrid w:val="0"/>
                <w:color w:val="auto"/>
                <w:sz w:val="24"/>
                <w:szCs w:val="24"/>
              </w:rPr>
            </w:pPr>
            <w:r>
              <w:rPr>
                <w:rFonts w:hint="eastAsia"/>
                <w:snapToGrid w:val="0"/>
                <w:color w:val="auto"/>
                <w:sz w:val="24"/>
                <w:szCs w:val="24"/>
              </w:rPr>
              <w:t>病历质控：病历质控登记；用血前后相关检验指标变化趋势；浏览病程记录；浏览护理记录；病人用血信息查询；病历质控流程管理；不良反应（事件）补录。</w:t>
            </w:r>
            <w:r>
              <w:rPr>
                <w:rFonts w:hint="eastAsia"/>
                <w:snapToGrid w:val="0"/>
                <w:color w:val="0000FF"/>
                <w:sz w:val="24"/>
                <w:szCs w:val="24"/>
                <w:shd w:val="clear" w:color="FFFFFF" w:fill="D9D9D9"/>
                <w:lang w:val="en-US" w:eastAsia="zh-CN"/>
              </w:rPr>
              <w:t>(病案首页自动抓取输血总量）</w:t>
            </w:r>
          </w:p>
        </w:tc>
      </w:tr>
    </w:tbl>
    <w:p>
      <w:pPr>
        <w:kinsoku w:val="0"/>
        <w:autoSpaceDE w:val="0"/>
        <w:autoSpaceDN w:val="0"/>
        <w:spacing w:before="301" w:after="0" w:line="220" w:lineRule="auto"/>
        <w:textAlignment w:val="baseline"/>
        <w:outlineLvl w:val="1"/>
        <w:rPr>
          <w:rFonts w:hint="default" w:ascii="宋体" w:hAnsi="宋体" w:eastAsia="宋体" w:cs="宋体"/>
          <w:b/>
          <w:bCs/>
          <w:snapToGrid w:val="0"/>
          <w:color w:val="7030A0"/>
          <w:spacing w:val="-5"/>
          <w:kern w:val="0"/>
          <w:sz w:val="21"/>
          <w:szCs w:val="21"/>
          <w:lang w:val="en-US" w:eastAsia="zh-CN"/>
        </w:rPr>
      </w:pPr>
      <w:r>
        <w:rPr>
          <w:rFonts w:hint="eastAsia" w:ascii="宋体" w:hAnsi="宋体" w:eastAsia="宋体" w:cs="宋体"/>
          <w:b/>
          <w:bCs/>
          <w:snapToGrid w:val="0"/>
          <w:color w:val="7030A0"/>
          <w:spacing w:val="-5"/>
          <w:kern w:val="0"/>
          <w:sz w:val="21"/>
          <w:szCs w:val="21"/>
          <w:lang w:val="en-US" w:eastAsia="zh-CN"/>
        </w:rPr>
        <w:t>4、▲信息科</w:t>
      </w:r>
      <w:r>
        <w:rPr>
          <w:rFonts w:hint="eastAsia" w:ascii="宋体" w:hAnsi="宋体" w:eastAsia="宋体" w:cs="宋体"/>
          <w:b/>
          <w:bCs/>
          <w:snapToGrid w:val="0"/>
          <w:color w:val="7030A0"/>
          <w:spacing w:val="-5"/>
          <w:kern w:val="0"/>
          <w:sz w:val="21"/>
          <w:szCs w:val="21"/>
          <w:lang w:eastAsia="zh-CN"/>
        </w:rPr>
        <w:t>接口要求及其他要求</w:t>
      </w:r>
    </w:p>
    <w:tbl>
      <w:tblPr>
        <w:tblStyle w:val="6"/>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7140"/>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36" w:type="dxa"/>
            <w:vAlign w:val="center"/>
          </w:tcPr>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HIS、电子病历、护理系统、LIS接口</w:t>
            </w:r>
          </w:p>
        </w:tc>
        <w:tc>
          <w:tcPr>
            <w:tcW w:w="7170" w:type="dxa"/>
            <w:gridSpan w:val="2"/>
            <w:vAlign w:val="top"/>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1.患者基本信息接口：根据病区代码或者患者住院号查询该病区所有在院患者或者单个在院患者的基本信息。</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2.实现对电子病历的输血医嘱生成接口。</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3.实现对护理文书的输血记录接口。</w:t>
            </w:r>
          </w:p>
          <w:p>
            <w:pP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实现LIS的输血前检验结果的查询接口。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936" w:type="dxa"/>
            <w:vAlign w:val="center"/>
          </w:tcPr>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血站接口</w:t>
            </w:r>
          </w:p>
        </w:tc>
        <w:tc>
          <w:tcPr>
            <w:tcW w:w="7170" w:type="dxa"/>
            <w:gridSpan w:val="2"/>
            <w:vAlign w:val="top"/>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1.根据血站出库单号获取血站出库血液信息，实现快速入库。</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2.对接血站系统实现输血数据上报。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936" w:type="dxa"/>
            <w:vAlign w:val="center"/>
          </w:tcPr>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临床用血信息上报接口</w:t>
            </w:r>
          </w:p>
        </w:tc>
        <w:tc>
          <w:tcPr>
            <w:tcW w:w="7170" w:type="dxa"/>
            <w:gridSpan w:val="2"/>
            <w:vAlign w:val="top"/>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医疗机构血液库存、献血者优先用血、用血质控信息上报。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vAlign w:val="center"/>
          </w:tcPr>
          <w:p>
            <w:pPr>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其他接口</w:t>
            </w:r>
          </w:p>
        </w:tc>
        <w:tc>
          <w:tcPr>
            <w:tcW w:w="7170" w:type="dxa"/>
            <w:gridSpan w:val="2"/>
            <w:vAlign w:val="top"/>
          </w:tcPr>
          <w:p>
            <w:pP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其他目前在用系统相关对接</w:t>
            </w:r>
            <w:r>
              <w:rPr>
                <w:rFonts w:hint="eastAsia" w:ascii="宋体" w:hAnsi="宋体" w:eastAsia="宋体" w:cs="宋体"/>
                <w:b w:val="0"/>
                <w:bCs w:val="0"/>
                <w:sz w:val="24"/>
                <w:szCs w:val="24"/>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0" w:type="dxa"/>
        </w:trPr>
        <w:tc>
          <w:tcPr>
            <w:tcW w:w="1936" w:type="dxa"/>
            <w:vAlign w:val="top"/>
          </w:tcPr>
          <w:p>
            <w:pPr>
              <w:pStyle w:val="13"/>
              <w:jc w:val="left"/>
              <w:rPr>
                <w:rFonts w:hint="eastAsia" w:eastAsia="宋体"/>
                <w:sz w:val="24"/>
                <w:szCs w:val="24"/>
                <w:lang w:eastAsia="zh-CN"/>
              </w:rPr>
            </w:pPr>
            <w:r>
              <w:rPr>
                <w:rFonts w:hint="eastAsia"/>
                <w:sz w:val="24"/>
                <w:szCs w:val="24"/>
              </w:rPr>
              <w:t>环境部署</w:t>
            </w:r>
            <w:r>
              <w:rPr>
                <w:rFonts w:hint="eastAsia"/>
                <w:sz w:val="24"/>
                <w:szCs w:val="24"/>
                <w:lang w:val="en-US" w:eastAsia="zh-CN"/>
              </w:rPr>
              <w:t>技术</w:t>
            </w:r>
            <w:r>
              <w:rPr>
                <w:rFonts w:hint="eastAsia"/>
                <w:sz w:val="24"/>
                <w:szCs w:val="24"/>
              </w:rPr>
              <w:t>要求</w:t>
            </w:r>
          </w:p>
        </w:tc>
        <w:tc>
          <w:tcPr>
            <w:tcW w:w="7140" w:type="dxa"/>
            <w:vAlign w:val="top"/>
          </w:tcPr>
          <w:p>
            <w:pPr>
              <w:pStyle w:val="13"/>
              <w:jc w:val="left"/>
              <w:rPr>
                <w:sz w:val="24"/>
                <w:szCs w:val="24"/>
                <w:highlight w:val="none"/>
              </w:rPr>
            </w:pPr>
            <w:r>
              <w:rPr>
                <w:rFonts w:hint="eastAsia"/>
                <w:sz w:val="24"/>
                <w:szCs w:val="24"/>
                <w:highlight w:val="none"/>
              </w:rPr>
              <w:t>服务器同时支持Linux、Windows，以及至少一种如统信UOS、银河麒麟、中标麒麟、龙蜥等国产操作系统。（提供相关证明资料，系统模拟环境备查）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0" w:type="dxa"/>
          <w:trHeight w:val="865" w:hRule="atLeast"/>
        </w:trPr>
        <w:tc>
          <w:tcPr>
            <w:tcW w:w="1936" w:type="dxa"/>
            <w:vAlign w:val="top"/>
          </w:tcPr>
          <w:p>
            <w:pPr>
              <w:pStyle w:val="13"/>
              <w:jc w:val="left"/>
              <w:rPr>
                <w:rFonts w:hint="default" w:eastAsia="宋体"/>
                <w:sz w:val="24"/>
                <w:szCs w:val="24"/>
                <w:lang w:val="en-US" w:eastAsia="zh-CN"/>
              </w:rPr>
            </w:pPr>
            <w:r>
              <w:rPr>
                <w:rFonts w:hint="eastAsia"/>
                <w:sz w:val="24"/>
                <w:szCs w:val="24"/>
                <w:lang w:val="en-US" w:eastAsia="zh-CN"/>
              </w:rPr>
              <w:t>数据库技术要求</w:t>
            </w:r>
          </w:p>
        </w:tc>
        <w:tc>
          <w:tcPr>
            <w:tcW w:w="7140" w:type="dxa"/>
            <w:vAlign w:val="top"/>
          </w:tcPr>
          <w:p>
            <w:pPr>
              <w:pStyle w:val="13"/>
              <w:jc w:val="left"/>
              <w:rPr>
                <w:rFonts w:hint="eastAsia"/>
                <w:sz w:val="24"/>
                <w:szCs w:val="24"/>
                <w:highlight w:val="none"/>
              </w:rPr>
            </w:pPr>
            <w:r>
              <w:rPr>
                <w:rFonts w:hint="eastAsia"/>
                <w:sz w:val="24"/>
                <w:szCs w:val="24"/>
                <w:highlight w:val="none"/>
              </w:rPr>
              <w:t>数据库能支持Oracle或SqlServer，以及至少一种国产信创数据库达梦、人大金仓或者神州通用。（提供相关证明资料，系统模拟环境备查）</w:t>
            </w:r>
          </w:p>
        </w:tc>
      </w:tr>
    </w:tbl>
    <w:p>
      <w:pPr>
        <w:pStyle w:val="10"/>
        <w:widowControl w:val="0"/>
        <w:spacing w:before="112" w:line="230" w:lineRule="auto"/>
        <w:jc w:val="both"/>
        <w:rPr>
          <w:rFonts w:hint="eastAsia"/>
          <w:sz w:val="24"/>
          <w:szCs w:val="24"/>
          <w:lang w:val="en-US" w:eastAsia="zh-CN"/>
        </w:rPr>
      </w:pPr>
    </w:p>
    <w:p>
      <w:pPr>
        <w:pStyle w:val="10"/>
        <w:widowControl w:val="0"/>
        <w:spacing w:before="112" w:line="230" w:lineRule="auto"/>
        <w:jc w:val="center"/>
        <w:rPr>
          <w:rFonts w:hint="eastAsia"/>
          <w:b/>
          <w:bCs/>
          <w:sz w:val="24"/>
          <w:szCs w:val="24"/>
          <w:lang w:val="en-US" w:eastAsia="zh-CN"/>
        </w:rPr>
      </w:pPr>
    </w:p>
    <w:p>
      <w:pPr>
        <w:pStyle w:val="10"/>
        <w:widowControl w:val="0"/>
        <w:spacing w:before="112" w:line="230" w:lineRule="auto"/>
        <w:jc w:val="center"/>
        <w:rPr>
          <w:rFonts w:hint="eastAsia"/>
          <w:b/>
          <w:bCs/>
          <w:sz w:val="24"/>
          <w:szCs w:val="24"/>
          <w:lang w:val="en-US" w:eastAsia="zh-CN"/>
        </w:rPr>
      </w:pPr>
    </w:p>
    <w:p>
      <w:pPr>
        <w:pStyle w:val="10"/>
        <w:widowControl w:val="0"/>
        <w:spacing w:before="112" w:line="230" w:lineRule="auto"/>
        <w:jc w:val="center"/>
        <w:rPr>
          <w:rFonts w:hint="eastAsia"/>
          <w:b/>
          <w:bCs/>
          <w:sz w:val="24"/>
          <w:szCs w:val="24"/>
          <w:lang w:val="en-US" w:eastAsia="zh-CN"/>
        </w:rPr>
      </w:pPr>
    </w:p>
    <w:p>
      <w:pPr>
        <w:pStyle w:val="10"/>
        <w:widowControl w:val="0"/>
        <w:spacing w:before="112" w:line="230" w:lineRule="auto"/>
        <w:jc w:val="center"/>
        <w:rPr>
          <w:rFonts w:hint="eastAsia"/>
          <w:b/>
          <w:bCs/>
          <w:sz w:val="24"/>
          <w:szCs w:val="24"/>
          <w:lang w:val="en-US" w:eastAsia="zh-CN"/>
        </w:rPr>
      </w:pPr>
    </w:p>
    <w:p>
      <w:pPr>
        <w:pStyle w:val="10"/>
        <w:widowControl w:val="0"/>
        <w:spacing w:before="112" w:line="230" w:lineRule="auto"/>
        <w:jc w:val="center"/>
        <w:rPr>
          <w:rFonts w:hint="eastAsia"/>
          <w:b/>
          <w:bCs/>
          <w:sz w:val="24"/>
          <w:szCs w:val="24"/>
          <w:lang w:val="en-US" w:eastAsia="zh-CN"/>
        </w:rPr>
      </w:pPr>
    </w:p>
    <w:p>
      <w:pPr>
        <w:pStyle w:val="10"/>
        <w:widowControl w:val="0"/>
        <w:spacing w:before="112" w:line="230" w:lineRule="auto"/>
        <w:jc w:val="center"/>
        <w:rPr>
          <w:rFonts w:hint="eastAsia"/>
          <w:b/>
          <w:bCs/>
          <w:sz w:val="24"/>
          <w:szCs w:val="24"/>
          <w:lang w:val="en-US" w:eastAsia="zh-CN"/>
        </w:rPr>
      </w:pPr>
    </w:p>
    <w:p>
      <w:pPr>
        <w:pStyle w:val="10"/>
        <w:widowControl w:val="0"/>
        <w:spacing w:before="112" w:line="230" w:lineRule="auto"/>
        <w:jc w:val="center"/>
        <w:rPr>
          <w:rFonts w:hint="eastAsia"/>
          <w:b/>
          <w:bCs/>
          <w:sz w:val="24"/>
          <w:szCs w:val="24"/>
          <w:lang w:val="en-US" w:eastAsia="zh-CN"/>
        </w:rPr>
      </w:pPr>
    </w:p>
    <w:p>
      <w:pPr>
        <w:pStyle w:val="10"/>
        <w:widowControl w:val="0"/>
        <w:spacing w:before="112" w:line="230" w:lineRule="auto"/>
        <w:jc w:val="center"/>
        <w:rPr>
          <w:rFonts w:hint="eastAsia"/>
          <w:b/>
          <w:bCs/>
          <w:sz w:val="24"/>
          <w:szCs w:val="24"/>
          <w:lang w:val="en-US" w:eastAsia="zh-CN"/>
        </w:rPr>
      </w:pPr>
    </w:p>
    <w:p>
      <w:pPr>
        <w:pStyle w:val="10"/>
        <w:widowControl w:val="0"/>
        <w:spacing w:before="112" w:line="230" w:lineRule="auto"/>
        <w:jc w:val="center"/>
        <w:rPr>
          <w:rFonts w:hint="eastAsia"/>
          <w:b/>
          <w:bCs/>
          <w:sz w:val="24"/>
          <w:szCs w:val="24"/>
          <w:lang w:val="en-US" w:eastAsia="zh-CN"/>
        </w:rPr>
      </w:pPr>
    </w:p>
    <w:p>
      <w:pPr>
        <w:pStyle w:val="10"/>
        <w:widowControl w:val="0"/>
        <w:spacing w:before="112" w:line="230" w:lineRule="auto"/>
        <w:jc w:val="center"/>
        <w:rPr>
          <w:rFonts w:hint="eastAsia"/>
          <w:b/>
          <w:bCs/>
          <w:sz w:val="24"/>
          <w:szCs w:val="24"/>
          <w:lang w:val="en-US" w:eastAsia="zh-CN"/>
        </w:rPr>
      </w:pPr>
    </w:p>
    <w:p>
      <w:pPr>
        <w:pStyle w:val="10"/>
        <w:widowControl w:val="0"/>
        <w:spacing w:before="112" w:line="230" w:lineRule="auto"/>
        <w:jc w:val="center"/>
        <w:rPr>
          <w:rFonts w:hint="eastAsia"/>
          <w:b/>
          <w:bCs/>
          <w:sz w:val="24"/>
          <w:szCs w:val="24"/>
          <w:lang w:val="en-US" w:eastAsia="zh-CN"/>
        </w:rPr>
      </w:pPr>
    </w:p>
    <w:p>
      <w:pPr>
        <w:pStyle w:val="10"/>
        <w:widowControl w:val="0"/>
        <w:spacing w:before="112" w:line="230" w:lineRule="auto"/>
        <w:jc w:val="center"/>
        <w:rPr>
          <w:rFonts w:hint="eastAsia"/>
          <w:b/>
          <w:bCs/>
          <w:sz w:val="24"/>
          <w:szCs w:val="24"/>
          <w:lang w:val="en-US" w:eastAsia="zh-CN"/>
        </w:rPr>
      </w:pPr>
    </w:p>
    <w:p>
      <w:pPr>
        <w:pStyle w:val="10"/>
        <w:widowControl w:val="0"/>
        <w:spacing w:before="112" w:line="230" w:lineRule="auto"/>
        <w:jc w:val="center"/>
        <w:rPr>
          <w:rFonts w:hint="eastAsia"/>
          <w:b/>
          <w:bCs/>
          <w:sz w:val="24"/>
          <w:szCs w:val="24"/>
          <w:lang w:val="en-US" w:eastAsia="zh-CN"/>
        </w:rPr>
      </w:pPr>
    </w:p>
    <w:p>
      <w:pPr>
        <w:pStyle w:val="10"/>
        <w:widowControl w:val="0"/>
        <w:spacing w:before="112" w:line="230" w:lineRule="auto"/>
        <w:jc w:val="center"/>
        <w:rPr>
          <w:rFonts w:hint="eastAsia"/>
          <w:b/>
          <w:bCs/>
          <w:sz w:val="24"/>
          <w:szCs w:val="24"/>
          <w:lang w:val="en-US" w:eastAsia="zh-CN"/>
        </w:rPr>
      </w:pPr>
    </w:p>
    <w:p>
      <w:pPr>
        <w:pStyle w:val="10"/>
        <w:widowControl w:val="0"/>
        <w:spacing w:before="112" w:line="230" w:lineRule="auto"/>
        <w:jc w:val="center"/>
        <w:rPr>
          <w:rFonts w:hint="eastAsia"/>
          <w:b/>
          <w:bCs/>
          <w:sz w:val="24"/>
          <w:szCs w:val="24"/>
          <w:lang w:val="en-US" w:eastAsia="zh-CN"/>
        </w:rPr>
      </w:pPr>
    </w:p>
    <w:p>
      <w:pPr>
        <w:pStyle w:val="10"/>
        <w:widowControl w:val="0"/>
        <w:spacing w:before="112" w:line="230" w:lineRule="auto"/>
        <w:jc w:val="center"/>
        <w:rPr>
          <w:rFonts w:hint="eastAsia"/>
          <w:b/>
          <w:bCs/>
          <w:sz w:val="24"/>
          <w:szCs w:val="24"/>
          <w:lang w:val="en-US" w:eastAsia="zh-CN"/>
        </w:rPr>
      </w:pPr>
    </w:p>
    <w:p>
      <w:pPr>
        <w:pStyle w:val="10"/>
        <w:widowControl w:val="0"/>
        <w:spacing w:before="112" w:line="230" w:lineRule="auto"/>
        <w:jc w:val="center"/>
        <w:rPr>
          <w:rFonts w:hint="eastAsia"/>
          <w:b/>
          <w:bCs/>
          <w:sz w:val="24"/>
          <w:szCs w:val="24"/>
          <w:lang w:val="en-US" w:eastAsia="zh-CN"/>
        </w:rPr>
      </w:pPr>
    </w:p>
    <w:p>
      <w:pPr>
        <w:pStyle w:val="10"/>
        <w:widowControl w:val="0"/>
        <w:spacing w:before="112" w:line="230" w:lineRule="auto"/>
        <w:jc w:val="center"/>
        <w:rPr>
          <w:rFonts w:hint="eastAsia"/>
          <w:b/>
          <w:bCs/>
          <w:sz w:val="24"/>
          <w:szCs w:val="24"/>
          <w:lang w:val="en-US" w:eastAsia="zh-CN"/>
        </w:rPr>
      </w:pPr>
    </w:p>
    <w:p>
      <w:pPr>
        <w:pStyle w:val="10"/>
        <w:widowControl w:val="0"/>
        <w:spacing w:before="112" w:line="230" w:lineRule="auto"/>
        <w:jc w:val="center"/>
        <w:rPr>
          <w:rFonts w:hint="eastAsia"/>
          <w:b/>
          <w:bCs/>
          <w:sz w:val="24"/>
          <w:szCs w:val="24"/>
          <w:lang w:val="en-US" w:eastAsia="zh-CN"/>
        </w:rPr>
      </w:pPr>
    </w:p>
    <w:p>
      <w:pPr>
        <w:pStyle w:val="10"/>
        <w:widowControl w:val="0"/>
        <w:spacing w:before="112" w:line="230" w:lineRule="auto"/>
        <w:jc w:val="center"/>
        <w:rPr>
          <w:rFonts w:hint="eastAsia"/>
          <w:b/>
          <w:bCs/>
          <w:sz w:val="24"/>
          <w:szCs w:val="24"/>
          <w:lang w:val="en-US" w:eastAsia="zh-CN"/>
        </w:rPr>
      </w:pPr>
    </w:p>
    <w:p>
      <w:pPr>
        <w:pStyle w:val="10"/>
        <w:widowControl w:val="0"/>
        <w:spacing w:before="112" w:line="230" w:lineRule="auto"/>
        <w:jc w:val="center"/>
        <w:rPr>
          <w:rFonts w:hint="eastAsia"/>
          <w:b/>
          <w:bCs/>
          <w:sz w:val="24"/>
          <w:szCs w:val="24"/>
          <w:lang w:val="en-US" w:eastAsia="zh-CN"/>
        </w:rPr>
      </w:pPr>
    </w:p>
    <w:p>
      <w:pPr>
        <w:pStyle w:val="10"/>
        <w:widowControl w:val="0"/>
        <w:spacing w:before="112" w:line="230" w:lineRule="auto"/>
        <w:jc w:val="center"/>
        <w:rPr>
          <w:rFonts w:hint="eastAsia"/>
          <w:b/>
          <w:bCs/>
          <w:sz w:val="24"/>
          <w:szCs w:val="24"/>
          <w:lang w:val="en-US" w:eastAsia="zh-CN"/>
        </w:rPr>
      </w:pPr>
    </w:p>
    <w:p>
      <w:pPr>
        <w:pStyle w:val="10"/>
        <w:widowControl w:val="0"/>
        <w:spacing w:before="112" w:line="230" w:lineRule="auto"/>
        <w:jc w:val="center"/>
        <w:rPr>
          <w:rFonts w:hint="eastAsia"/>
          <w:b/>
          <w:bCs/>
          <w:sz w:val="24"/>
          <w:szCs w:val="24"/>
          <w:lang w:val="en-US" w:eastAsia="zh-CN"/>
        </w:rPr>
      </w:pPr>
    </w:p>
    <w:p>
      <w:pPr>
        <w:pStyle w:val="10"/>
        <w:widowControl w:val="0"/>
        <w:spacing w:before="112" w:line="230" w:lineRule="auto"/>
        <w:jc w:val="center"/>
        <w:rPr>
          <w:rFonts w:hint="eastAsia"/>
          <w:b/>
          <w:bCs/>
          <w:sz w:val="24"/>
          <w:szCs w:val="24"/>
          <w:lang w:val="en-US" w:eastAsia="zh-CN"/>
        </w:rPr>
      </w:pPr>
    </w:p>
    <w:p>
      <w:pPr>
        <w:pStyle w:val="10"/>
        <w:widowControl w:val="0"/>
        <w:spacing w:before="112" w:line="230" w:lineRule="auto"/>
        <w:jc w:val="center"/>
        <w:rPr>
          <w:rFonts w:hint="eastAsia"/>
          <w:b/>
          <w:bCs/>
          <w:sz w:val="24"/>
          <w:szCs w:val="24"/>
          <w:lang w:val="en-US" w:eastAsia="zh-CN"/>
        </w:rPr>
      </w:pPr>
    </w:p>
    <w:p>
      <w:pPr>
        <w:pStyle w:val="10"/>
        <w:widowControl w:val="0"/>
        <w:spacing w:before="112" w:line="230" w:lineRule="auto"/>
        <w:jc w:val="center"/>
        <w:rPr>
          <w:rFonts w:hint="eastAsia"/>
          <w:b/>
          <w:bCs/>
          <w:sz w:val="24"/>
          <w:szCs w:val="24"/>
          <w:lang w:val="en-US" w:eastAsia="zh-CN"/>
        </w:rPr>
      </w:pPr>
    </w:p>
    <w:p>
      <w:pPr>
        <w:pStyle w:val="10"/>
        <w:widowControl w:val="0"/>
        <w:spacing w:before="112" w:line="230" w:lineRule="auto"/>
        <w:jc w:val="center"/>
        <w:rPr>
          <w:rFonts w:hint="eastAsia"/>
          <w:b/>
          <w:bCs/>
          <w:sz w:val="24"/>
          <w:szCs w:val="24"/>
          <w:lang w:val="en-US" w:eastAsia="zh-CN"/>
        </w:rPr>
      </w:pPr>
    </w:p>
    <w:p>
      <w:pPr>
        <w:pStyle w:val="10"/>
        <w:widowControl w:val="0"/>
        <w:spacing w:before="112" w:line="230" w:lineRule="auto"/>
        <w:jc w:val="center"/>
        <w:rPr>
          <w:rFonts w:hint="eastAsia"/>
          <w:b/>
          <w:bCs/>
          <w:sz w:val="24"/>
          <w:szCs w:val="24"/>
          <w:lang w:val="en-US" w:eastAsia="zh-CN"/>
        </w:rPr>
      </w:pPr>
    </w:p>
    <w:p>
      <w:pPr>
        <w:pStyle w:val="10"/>
        <w:widowControl w:val="0"/>
        <w:spacing w:before="112" w:line="230" w:lineRule="auto"/>
        <w:jc w:val="center"/>
        <w:rPr>
          <w:rFonts w:hint="eastAsia"/>
          <w:b/>
          <w:bCs/>
          <w:sz w:val="24"/>
          <w:szCs w:val="24"/>
          <w:lang w:val="en-US" w:eastAsia="zh-CN"/>
        </w:rPr>
      </w:pPr>
    </w:p>
    <w:p>
      <w:pPr>
        <w:pStyle w:val="10"/>
        <w:widowControl w:val="0"/>
        <w:spacing w:before="112" w:line="230" w:lineRule="auto"/>
        <w:jc w:val="center"/>
        <w:rPr>
          <w:rFonts w:hint="eastAsia"/>
          <w:b/>
          <w:bCs/>
          <w:sz w:val="24"/>
          <w:szCs w:val="24"/>
          <w:lang w:val="en-US" w:eastAsia="zh-CN"/>
        </w:rPr>
      </w:pPr>
    </w:p>
    <w:p>
      <w:pPr>
        <w:pStyle w:val="10"/>
        <w:widowControl w:val="0"/>
        <w:spacing w:before="112" w:line="230" w:lineRule="auto"/>
        <w:jc w:val="center"/>
        <w:rPr>
          <w:rFonts w:hint="eastAsia"/>
          <w:b/>
          <w:bCs/>
          <w:sz w:val="24"/>
          <w:szCs w:val="24"/>
          <w:lang w:val="en-US" w:eastAsia="zh-CN"/>
        </w:rPr>
      </w:pPr>
      <w:r>
        <w:rPr>
          <w:rFonts w:hint="eastAsia"/>
          <w:b/>
          <w:bCs/>
          <w:sz w:val="24"/>
          <w:szCs w:val="24"/>
          <w:lang w:val="en-US" w:eastAsia="zh-CN"/>
        </w:rPr>
        <w:t>评审标准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46"/>
        <w:gridCol w:w="1715"/>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6" w:type="dxa"/>
          </w:tcPr>
          <w:p>
            <w:pPr>
              <w:pStyle w:val="13"/>
              <w:jc w:val="center"/>
              <w:rPr>
                <w:b/>
                <w:bCs/>
              </w:rPr>
            </w:pPr>
            <w:r>
              <w:rPr>
                <w:b/>
                <w:bCs/>
              </w:rPr>
              <w:t>评审因素</w:t>
            </w:r>
          </w:p>
        </w:tc>
        <w:tc>
          <w:tcPr>
            <w:tcW w:w="6791" w:type="dxa"/>
            <w:gridSpan w:val="2"/>
          </w:tcPr>
          <w:p>
            <w:pPr>
              <w:pStyle w:val="13"/>
              <w:jc w:val="center"/>
              <w:rPr>
                <w:b/>
                <w:bCs/>
              </w:rPr>
            </w:pPr>
            <w:r>
              <w:rPr>
                <w:b/>
                <w:bCs/>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6" w:type="dxa"/>
          </w:tcPr>
          <w:p>
            <w:pPr>
              <w:pStyle w:val="13"/>
              <w:jc w:val="center"/>
              <w:rPr>
                <w:rFonts w:hint="eastAsia" w:eastAsia="宋体"/>
                <w:lang w:eastAsia="zh-CN"/>
              </w:rPr>
            </w:pPr>
            <w:r>
              <w:rPr>
                <w:rFonts w:hint="eastAsia"/>
                <w:lang w:eastAsia="zh-CN"/>
              </w:rPr>
              <w:t>核心需求</w:t>
            </w:r>
          </w:p>
        </w:tc>
        <w:tc>
          <w:tcPr>
            <w:tcW w:w="1715" w:type="dxa"/>
          </w:tcPr>
          <w:p>
            <w:pPr>
              <w:pStyle w:val="13"/>
              <w:jc w:val="left"/>
              <w:rPr>
                <w:rFonts w:hint="eastAsia" w:eastAsia="宋体"/>
                <w:lang w:eastAsia="zh-CN"/>
              </w:rPr>
            </w:pPr>
            <w:r>
              <w:rPr>
                <w:rFonts w:hint="eastAsia"/>
                <w:lang w:eastAsia="zh-CN"/>
              </w:rPr>
              <w:t>必须满足项</w:t>
            </w:r>
          </w:p>
        </w:tc>
        <w:tc>
          <w:tcPr>
            <w:tcW w:w="5076" w:type="dxa"/>
          </w:tcPr>
          <w:p>
            <w:pPr>
              <w:pStyle w:val="13"/>
              <w:jc w:val="left"/>
              <w:rPr>
                <w:rFonts w:hint="eastAsia" w:eastAsia="宋体"/>
                <w:lang w:eastAsia="zh-CN"/>
              </w:rPr>
            </w:pPr>
            <w:r>
              <w:rPr>
                <w:rFonts w:hint="eastAsia"/>
                <w:lang w:eastAsia="zh-CN"/>
              </w:rPr>
              <w:t>采购需求和技术标准中含“▲”的需求项为核心项目，必须满足，不满足的企业视为无效投标。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6" w:type="dxa"/>
            <w:vMerge w:val="restart"/>
          </w:tcPr>
          <w:p>
            <w:pPr>
              <w:pStyle w:val="13"/>
              <w:jc w:val="center"/>
            </w:pPr>
            <w:r>
              <w:t>技术部分</w:t>
            </w:r>
          </w:p>
        </w:tc>
        <w:tc>
          <w:tcPr>
            <w:tcW w:w="1715" w:type="dxa"/>
          </w:tcPr>
          <w:p>
            <w:pPr>
              <w:pStyle w:val="13"/>
              <w:jc w:val="left"/>
              <w:rPr>
                <w:rFonts w:hint="eastAsia" w:eastAsiaTheme="minorEastAsia"/>
                <w:lang w:eastAsia="zh-CN"/>
              </w:rPr>
            </w:pPr>
            <w:r>
              <w:rPr>
                <w:rFonts w:hint="eastAsia"/>
              </w:rPr>
              <w:t>环境部署</w:t>
            </w:r>
            <w:r>
              <w:rPr>
                <w:rFonts w:hint="eastAsia"/>
                <w:lang w:val="en-US" w:eastAsia="zh-CN"/>
              </w:rPr>
              <w:t>技术</w:t>
            </w:r>
            <w:r>
              <w:rPr>
                <w:rFonts w:hint="eastAsia"/>
              </w:rPr>
              <w:t>要求</w:t>
            </w:r>
            <w:r>
              <w:rPr>
                <w:rFonts w:hint="eastAsia"/>
                <w:lang w:eastAsia="zh-CN"/>
              </w:rPr>
              <w:t>（</w:t>
            </w:r>
            <w:r>
              <w:rPr>
                <w:rFonts w:hint="eastAsia"/>
                <w:lang w:val="en-US" w:eastAsia="zh-CN"/>
              </w:rPr>
              <w:t>3.0分</w:t>
            </w:r>
            <w:r>
              <w:rPr>
                <w:rFonts w:hint="eastAsia"/>
                <w:lang w:eastAsia="zh-CN"/>
              </w:rPr>
              <w:t>）</w:t>
            </w:r>
          </w:p>
        </w:tc>
        <w:tc>
          <w:tcPr>
            <w:tcW w:w="5076" w:type="dxa"/>
          </w:tcPr>
          <w:p>
            <w:pPr>
              <w:pStyle w:val="13"/>
              <w:jc w:val="left"/>
            </w:pPr>
            <w:r>
              <w:rPr>
                <w:rFonts w:hint="eastAsia"/>
              </w:rPr>
              <w:t>应用服务器同时支持</w:t>
            </w:r>
            <w:r>
              <w:rPr>
                <w:rFonts w:hint="eastAsia"/>
                <w:highlight w:val="none"/>
              </w:rPr>
              <w:t>Linux、Windows，以及至少一种如统信UOS、银河麒麟、中标麒麟、龙蜥等</w:t>
            </w:r>
            <w:r>
              <w:rPr>
                <w:rFonts w:hint="eastAsia"/>
              </w:rPr>
              <w:t>国产操作系统。（提供相关证明资料，系统模拟环境备查）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6" w:type="dxa"/>
            <w:vMerge w:val="continue"/>
          </w:tcPr>
          <w:p>
            <w:pPr>
              <w:pStyle w:val="13"/>
              <w:jc w:val="center"/>
            </w:pPr>
          </w:p>
        </w:tc>
        <w:tc>
          <w:tcPr>
            <w:tcW w:w="1715" w:type="dxa"/>
          </w:tcPr>
          <w:p>
            <w:pPr>
              <w:pStyle w:val="13"/>
              <w:jc w:val="left"/>
              <w:rPr>
                <w:rFonts w:hint="default" w:eastAsiaTheme="minorEastAsia"/>
                <w:lang w:val="en-US" w:eastAsia="zh-CN"/>
              </w:rPr>
            </w:pPr>
            <w:r>
              <w:rPr>
                <w:rFonts w:hint="eastAsia"/>
                <w:lang w:val="en-US" w:eastAsia="zh-CN"/>
              </w:rPr>
              <w:t>数据库技术要求（2.0分）</w:t>
            </w:r>
          </w:p>
        </w:tc>
        <w:tc>
          <w:tcPr>
            <w:tcW w:w="5076" w:type="dxa"/>
          </w:tcPr>
          <w:p>
            <w:pPr>
              <w:pStyle w:val="13"/>
              <w:jc w:val="left"/>
              <w:rPr>
                <w:rFonts w:hint="eastAsia"/>
              </w:rPr>
            </w:pPr>
            <w:r>
              <w:rPr>
                <w:rFonts w:hint="eastAsia"/>
              </w:rPr>
              <w:t>数据库能支</w:t>
            </w:r>
            <w:r>
              <w:rPr>
                <w:rFonts w:hint="eastAsia"/>
                <w:highlight w:val="none"/>
              </w:rPr>
              <w:t>持Oracle或SqlServer，以及至少一种国产信创数据库达梦、人大金仓或者神州通用</w:t>
            </w:r>
            <w:r>
              <w:rPr>
                <w:rFonts w:hint="eastAsia"/>
              </w:rPr>
              <w:t>。（提供相关证明资料，系统模拟环境备查）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6" w:type="dxa"/>
            <w:vMerge w:val="continue"/>
          </w:tcPr>
          <w:p/>
        </w:tc>
        <w:tc>
          <w:tcPr>
            <w:tcW w:w="1715" w:type="dxa"/>
          </w:tcPr>
          <w:p>
            <w:pPr>
              <w:pStyle w:val="13"/>
              <w:jc w:val="left"/>
            </w:pPr>
            <w:r>
              <w:t>系统功能 (</w:t>
            </w:r>
            <w:r>
              <w:rPr>
                <w:rFonts w:hint="eastAsia"/>
                <w:lang w:val="en-US" w:eastAsia="zh-CN"/>
              </w:rPr>
              <w:t>35</w:t>
            </w:r>
            <w:r>
              <w:t>.0分)</w:t>
            </w:r>
          </w:p>
        </w:tc>
        <w:tc>
          <w:tcPr>
            <w:tcW w:w="5076" w:type="dxa"/>
          </w:tcPr>
          <w:p>
            <w:pPr>
              <w:pStyle w:val="13"/>
              <w:jc w:val="left"/>
              <w:rPr>
                <w:rFonts w:hint="eastAsia"/>
              </w:rPr>
            </w:pPr>
            <w:r>
              <w:rPr>
                <w:rFonts w:hint="eastAsia"/>
              </w:rPr>
              <w:t>产品整体性能等各项指标满足招标文件要求（满分 3</w:t>
            </w:r>
            <w:r>
              <w:rPr>
                <w:rFonts w:hint="eastAsia"/>
                <w:lang w:val="en-US" w:eastAsia="zh-CN"/>
              </w:rPr>
              <w:t>5</w:t>
            </w:r>
            <w:r>
              <w:rPr>
                <w:rFonts w:hint="eastAsia"/>
              </w:rPr>
              <w:t xml:space="preserve"> 分）。全部满足招标文件中第三章“技术参数要求”的，得 3</w:t>
            </w:r>
            <w:r>
              <w:rPr>
                <w:rFonts w:hint="eastAsia"/>
                <w:lang w:val="en-US" w:eastAsia="zh-CN"/>
              </w:rPr>
              <w:t>5</w:t>
            </w:r>
            <w:r>
              <w:rPr>
                <w:rFonts w:hint="eastAsia"/>
              </w:rPr>
              <w:t>分；其中加注“★”号的</w:t>
            </w:r>
            <w:r>
              <w:rPr>
                <w:rFonts w:hint="eastAsia"/>
                <w:lang w:eastAsia="zh-CN"/>
              </w:rPr>
              <w:t>为重要技术</w:t>
            </w:r>
            <w:r>
              <w:rPr>
                <w:rFonts w:hint="eastAsia"/>
              </w:rPr>
              <w:t>参数每有一条负偏离的，扣</w:t>
            </w:r>
            <w:r>
              <w:rPr>
                <w:rFonts w:hint="eastAsia"/>
                <w:lang w:val="en-US" w:eastAsia="zh-CN"/>
              </w:rPr>
              <w:t>2</w:t>
            </w:r>
            <w:r>
              <w:rPr>
                <w:rFonts w:hint="eastAsia"/>
              </w:rPr>
              <w:t xml:space="preserve">分；非“★”参数每有一条负偏离的，扣 </w:t>
            </w:r>
            <w:r>
              <w:rPr>
                <w:rFonts w:hint="eastAsia"/>
                <w:lang w:val="en-US" w:eastAsia="zh-CN"/>
              </w:rPr>
              <w:t>1</w:t>
            </w:r>
            <w:r>
              <w:rPr>
                <w:rFonts w:hint="eastAsia"/>
              </w:rPr>
              <w:t xml:space="preserve"> 分</w:t>
            </w:r>
            <w:r>
              <w:rPr>
                <w:rFonts w:hint="eastAsia"/>
                <w:lang w:eastAsia="zh-CN"/>
              </w:rPr>
              <w:t>，</w:t>
            </w:r>
            <w:r>
              <w:rPr>
                <w:rFonts w:hint="eastAsia"/>
              </w:rPr>
              <w:t>扣完为止。</w:t>
            </w:r>
          </w:p>
          <w:p>
            <w:pPr>
              <w:pStyle w:val="13"/>
              <w:jc w:val="left"/>
              <w:rPr>
                <w:rFonts w:hint="eastAsia"/>
              </w:rPr>
            </w:pPr>
            <w:r>
              <w:rPr>
                <w:rFonts w:hint="eastAsia"/>
                <w:color w:val="0000FF"/>
                <w:lang w:val="en-US" w:eastAsia="zh-CN"/>
              </w:rPr>
              <w:t>注：在计算偏离项数时，按最小分项算扣分</w:t>
            </w:r>
            <w:r>
              <w:rPr>
                <w:rFonts w:hint="eastAsia"/>
              </w:rPr>
              <w:t>。</w:t>
            </w:r>
          </w:p>
          <w:p>
            <w:pPr>
              <w:pStyle w:val="13"/>
              <w:jc w:val="left"/>
            </w:pPr>
            <w:r>
              <w:rPr>
                <w:rFonts w:hint="eastAsia"/>
                <w:lang w:eastAsia="zh-CN"/>
              </w:rPr>
              <w:t>说明</w:t>
            </w:r>
            <w:r>
              <w:rPr>
                <w:rFonts w:hint="eastAsia"/>
              </w:rPr>
              <w:t>：针对第三章“技术参数要求”中加注“★”号的参数及未加注“★”号且要求提供证明资料的参数需提供相应证明资料，投标人响应文件内不能提供证明资料的视为负偏离，如出现虚假应标，作无效投标处理，且承担违约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6" w:type="dxa"/>
            <w:vMerge w:val="continue"/>
          </w:tcPr>
          <w:p/>
        </w:tc>
        <w:tc>
          <w:tcPr>
            <w:tcW w:w="1715" w:type="dxa"/>
          </w:tcPr>
          <w:p>
            <w:pPr>
              <w:pStyle w:val="13"/>
              <w:jc w:val="left"/>
            </w:pPr>
            <w:r>
              <w:t>总体设计方案 (5.0分)，（等次分值选择：0.0;1.0;3.0;5.0;）</w:t>
            </w:r>
          </w:p>
        </w:tc>
        <w:tc>
          <w:tcPr>
            <w:tcW w:w="5076" w:type="dxa"/>
          </w:tcPr>
          <w:p>
            <w:pPr>
              <w:pStyle w:val="13"/>
              <w:jc w:val="left"/>
            </w:pPr>
            <w:r>
              <w:t>根据项目总体目标、项目需求制定的总体设计方案，综合考虑总体设计方案逻辑清晰、架构合理、实用性，根据招标实际需求综合评审，总体设计方案中需包含总体建设目标、规划依据、需求分析、设计原则、总体框架设计等。</w:t>
            </w:r>
          </w:p>
          <w:p>
            <w:pPr>
              <w:pStyle w:val="13"/>
              <w:numPr>
                <w:ilvl w:val="0"/>
                <w:numId w:val="1"/>
              </w:numPr>
              <w:jc w:val="left"/>
            </w:pPr>
            <w:r>
              <w:t>总体设计方案内容详细齐全，措施完善可行，得5分；</w:t>
            </w:r>
          </w:p>
          <w:p>
            <w:pPr>
              <w:pStyle w:val="13"/>
              <w:numPr>
                <w:ilvl w:val="0"/>
                <w:numId w:val="1"/>
              </w:numPr>
              <w:ind w:left="0" w:leftChars="0" w:firstLine="0" w:firstLineChars="0"/>
              <w:jc w:val="left"/>
            </w:pPr>
            <w:r>
              <w:t>总体设计方案内容齐全但不够详细，措施具有一定的可行性，得3分；</w:t>
            </w:r>
          </w:p>
          <w:p>
            <w:pPr>
              <w:pStyle w:val="13"/>
              <w:numPr>
                <w:ilvl w:val="0"/>
                <w:numId w:val="1"/>
              </w:numPr>
              <w:ind w:left="0" w:leftChars="0" w:firstLine="0" w:firstLineChars="0"/>
              <w:jc w:val="left"/>
            </w:pPr>
            <w:r>
              <w:t>总体设计方案有缺漏、内容简单，措施可行性不高，得1分</w:t>
            </w:r>
            <w:r>
              <w:rPr>
                <w:rFonts w:hint="eastAsia"/>
                <w:lang w:eastAsia="zh-CN"/>
              </w:rPr>
              <w:t>；</w:t>
            </w:r>
          </w:p>
          <w:p>
            <w:pPr>
              <w:pStyle w:val="13"/>
              <w:numPr>
                <w:ilvl w:val="0"/>
                <w:numId w:val="1"/>
              </w:numPr>
              <w:ind w:left="0" w:leftChars="0" w:firstLine="0" w:firstLineChars="0"/>
              <w:jc w:val="left"/>
            </w:pPr>
            <w:r>
              <w:t>未提供总体设计方案，得0分。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6" w:type="dxa"/>
            <w:vMerge w:val="continue"/>
          </w:tcPr>
          <w:p/>
        </w:tc>
        <w:tc>
          <w:tcPr>
            <w:tcW w:w="1715" w:type="dxa"/>
          </w:tcPr>
          <w:p>
            <w:pPr>
              <w:pStyle w:val="13"/>
              <w:jc w:val="left"/>
            </w:pPr>
            <w:r>
              <w:t>项目实施方案 (5.0分)，（等次分值选择：0.0;1.0;3.0;5.0;）</w:t>
            </w:r>
          </w:p>
        </w:tc>
        <w:tc>
          <w:tcPr>
            <w:tcW w:w="5076" w:type="dxa"/>
          </w:tcPr>
          <w:p>
            <w:pPr>
              <w:pStyle w:val="13"/>
              <w:jc w:val="left"/>
            </w:pPr>
            <w:r>
              <w:t>对投标人提供的项目实施方案（包括安装部署方案、</w:t>
            </w:r>
            <w:r>
              <w:rPr>
                <w:rFonts w:hint="eastAsia"/>
                <w:lang w:eastAsia="zh-CN"/>
              </w:rPr>
              <w:t>疑难问题解决、调试方案</w:t>
            </w:r>
            <w:r>
              <w:t>等）进行评审：</w:t>
            </w:r>
          </w:p>
          <w:p>
            <w:pPr>
              <w:pStyle w:val="13"/>
              <w:numPr>
                <w:ilvl w:val="0"/>
                <w:numId w:val="2"/>
              </w:numPr>
              <w:jc w:val="left"/>
            </w:pPr>
            <w:r>
              <w:t>项目实施方案内容齐全、详细，安装部署内容和</w:t>
            </w:r>
            <w:r>
              <w:rPr>
                <w:rFonts w:hint="eastAsia"/>
                <w:lang w:eastAsia="zh-CN"/>
              </w:rPr>
              <w:t>疑难问题解决、调试</w:t>
            </w:r>
            <w:r>
              <w:t>内容明确、可行，有完善的项目实施风险控制措施，得5分；</w:t>
            </w:r>
          </w:p>
          <w:p>
            <w:pPr>
              <w:pStyle w:val="13"/>
              <w:numPr>
                <w:ilvl w:val="0"/>
                <w:numId w:val="2"/>
              </w:numPr>
              <w:ind w:left="0" w:leftChars="0" w:firstLine="0" w:firstLineChars="0"/>
              <w:jc w:val="left"/>
            </w:pPr>
            <w:r>
              <w:t>有项目实施方案但不够详细，安装部署内容和</w:t>
            </w:r>
            <w:r>
              <w:rPr>
                <w:rFonts w:hint="eastAsia"/>
                <w:lang w:eastAsia="zh-CN"/>
              </w:rPr>
              <w:t>疑难问题解决、调试</w:t>
            </w:r>
            <w:r>
              <w:t>内容具有一定的可行性，有项目实施风险控制措施，得3分；</w:t>
            </w:r>
          </w:p>
          <w:p>
            <w:pPr>
              <w:pStyle w:val="13"/>
              <w:numPr>
                <w:ilvl w:val="0"/>
                <w:numId w:val="2"/>
              </w:numPr>
              <w:ind w:left="0" w:leftChars="0" w:firstLine="0" w:firstLineChars="0"/>
              <w:jc w:val="left"/>
            </w:pPr>
            <w:r>
              <w:t>项目实施方案有缺漏，</w:t>
            </w:r>
            <w:r>
              <w:rPr>
                <w:rFonts w:hint="eastAsia"/>
                <w:lang w:eastAsia="zh-CN"/>
              </w:rPr>
              <w:t>无解决临床实际输血疑难问题解决及调试方案，</w:t>
            </w:r>
            <w:r>
              <w:t>仅简单响应需求，得1分；</w:t>
            </w:r>
          </w:p>
          <w:p>
            <w:pPr>
              <w:pStyle w:val="13"/>
              <w:numPr>
                <w:ilvl w:val="0"/>
                <w:numId w:val="0"/>
              </w:numPr>
              <w:ind w:leftChars="0"/>
              <w:jc w:val="left"/>
            </w:pPr>
            <w:r>
              <w:t>4、无相关项目实施方案，得0分。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6" w:type="dxa"/>
            <w:vMerge w:val="continue"/>
          </w:tcPr>
          <w:p/>
        </w:tc>
        <w:tc>
          <w:tcPr>
            <w:tcW w:w="1715" w:type="dxa"/>
          </w:tcPr>
          <w:p>
            <w:pPr>
              <w:pStyle w:val="13"/>
              <w:jc w:val="left"/>
            </w:pPr>
            <w:r>
              <w:t>售后服务方案 (</w:t>
            </w:r>
            <w:r>
              <w:rPr>
                <w:rFonts w:hint="eastAsia"/>
                <w:lang w:val="en-US" w:eastAsia="zh-CN"/>
              </w:rPr>
              <w:t>3</w:t>
            </w:r>
            <w:r>
              <w:t>.0分)，（等次分值选择：0.0;1.0;</w:t>
            </w:r>
            <w:r>
              <w:rPr>
                <w:rFonts w:hint="eastAsia"/>
                <w:lang w:val="en-US" w:eastAsia="zh-CN"/>
              </w:rPr>
              <w:t>2</w:t>
            </w:r>
            <w:r>
              <w:t>.0</w:t>
            </w:r>
            <w:r>
              <w:rPr>
                <w:rFonts w:hint="eastAsia"/>
                <w:lang w:eastAsia="zh-CN"/>
              </w:rPr>
              <w:t>；</w:t>
            </w:r>
            <w:r>
              <w:rPr>
                <w:rFonts w:hint="eastAsia"/>
                <w:lang w:val="en-US" w:eastAsia="zh-CN"/>
              </w:rPr>
              <w:t>3</w:t>
            </w:r>
            <w:r>
              <w:t>.0;）</w:t>
            </w:r>
          </w:p>
        </w:tc>
        <w:tc>
          <w:tcPr>
            <w:tcW w:w="5076" w:type="dxa"/>
          </w:tcPr>
          <w:p>
            <w:pPr>
              <w:pStyle w:val="13"/>
              <w:jc w:val="left"/>
            </w:pPr>
            <w:r>
              <w:t>售后服务方案中明确售后服务内容、质保期内服务措施、后期维护服务措施、售后响应</w:t>
            </w:r>
            <w:r>
              <w:rPr>
                <w:rFonts w:hint="eastAsia"/>
                <w:lang w:eastAsia="zh-CN"/>
              </w:rPr>
              <w:t>解决问题</w:t>
            </w:r>
            <w:r>
              <w:t>时间、售后服务承诺等。</w:t>
            </w:r>
          </w:p>
          <w:p>
            <w:pPr>
              <w:pStyle w:val="13"/>
              <w:numPr>
                <w:ilvl w:val="0"/>
                <w:numId w:val="3"/>
              </w:numPr>
              <w:jc w:val="left"/>
            </w:pPr>
            <w:r>
              <w:t>售后服务方案完整、科学、合理可行，服务安排详细清晰可行，责任明确，得</w:t>
            </w:r>
            <w:r>
              <w:rPr>
                <w:rFonts w:hint="eastAsia"/>
                <w:lang w:val="en-US" w:eastAsia="zh-CN"/>
              </w:rPr>
              <w:t>3</w:t>
            </w:r>
            <w:r>
              <w:t>分;</w:t>
            </w:r>
          </w:p>
          <w:p>
            <w:pPr>
              <w:pStyle w:val="13"/>
              <w:numPr>
                <w:ilvl w:val="0"/>
                <w:numId w:val="3"/>
              </w:numPr>
              <w:jc w:val="left"/>
            </w:pPr>
            <w:r>
              <w:t>有售后服务方案和服务安排，具有一定的合理性和可行性，责任基本明确，得</w:t>
            </w:r>
            <w:r>
              <w:rPr>
                <w:rFonts w:hint="eastAsia"/>
                <w:lang w:val="en-US" w:eastAsia="zh-CN"/>
              </w:rPr>
              <w:t>2</w:t>
            </w:r>
            <w:r>
              <w:t>分:</w:t>
            </w:r>
          </w:p>
          <w:p>
            <w:pPr>
              <w:pStyle w:val="13"/>
              <w:numPr>
                <w:ilvl w:val="0"/>
                <w:numId w:val="3"/>
              </w:numPr>
              <w:ind w:left="0" w:leftChars="0" w:firstLine="0" w:firstLineChars="0"/>
              <w:jc w:val="left"/>
            </w:pPr>
            <w:r>
              <w:t>售后服务方案不完整，服务安排不清晰，责任不够明确，得1分:</w:t>
            </w:r>
          </w:p>
          <w:p>
            <w:pPr>
              <w:pStyle w:val="13"/>
              <w:numPr>
                <w:ilvl w:val="0"/>
                <w:numId w:val="0"/>
              </w:numPr>
              <w:ind w:leftChars="0"/>
              <w:jc w:val="left"/>
            </w:pPr>
            <w:r>
              <w:t>4、未提供售后服务方案，得0分。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6" w:type="dxa"/>
            <w:vMerge w:val="continue"/>
          </w:tcPr>
          <w:p/>
        </w:tc>
        <w:tc>
          <w:tcPr>
            <w:tcW w:w="1715" w:type="dxa"/>
          </w:tcPr>
          <w:p>
            <w:pPr>
              <w:pStyle w:val="13"/>
              <w:jc w:val="left"/>
            </w:pPr>
            <w:r>
              <w:t>应急处理预案 (</w:t>
            </w:r>
            <w:r>
              <w:rPr>
                <w:rFonts w:hint="eastAsia"/>
                <w:lang w:val="en-US" w:eastAsia="zh-CN"/>
              </w:rPr>
              <w:t>3</w:t>
            </w:r>
            <w:r>
              <w:t>.0分)，（等次分值选择：0.0;1.0;</w:t>
            </w:r>
            <w:r>
              <w:rPr>
                <w:rFonts w:hint="eastAsia"/>
                <w:lang w:val="en-US" w:eastAsia="zh-CN"/>
              </w:rPr>
              <w:t>2</w:t>
            </w:r>
            <w:r>
              <w:t>.0;</w:t>
            </w:r>
            <w:r>
              <w:rPr>
                <w:rFonts w:hint="eastAsia"/>
                <w:lang w:val="en-US" w:eastAsia="zh-CN"/>
              </w:rPr>
              <w:t>3</w:t>
            </w:r>
            <w:r>
              <w:t>.0;）</w:t>
            </w:r>
          </w:p>
        </w:tc>
        <w:tc>
          <w:tcPr>
            <w:tcW w:w="5076" w:type="dxa"/>
          </w:tcPr>
          <w:p>
            <w:pPr>
              <w:pStyle w:val="13"/>
              <w:jc w:val="left"/>
            </w:pPr>
            <w:r>
              <w:t>投标人为本项目编制应急预案：</w:t>
            </w:r>
          </w:p>
          <w:p>
            <w:pPr>
              <w:pStyle w:val="13"/>
              <w:numPr>
                <w:ilvl w:val="0"/>
                <w:numId w:val="4"/>
              </w:numPr>
              <w:jc w:val="left"/>
            </w:pPr>
            <w:r>
              <w:t>应急处理预案包括但不限于故障排除方案、故障响应时间和应急维护措施。应急处理预案内容齐全、详细具体，措施完善可行、针对性强，得</w:t>
            </w:r>
            <w:r>
              <w:rPr>
                <w:rFonts w:hint="eastAsia"/>
                <w:lang w:val="en-US" w:eastAsia="zh-CN"/>
              </w:rPr>
              <w:t>3</w:t>
            </w:r>
            <w:r>
              <w:t>分；</w:t>
            </w:r>
          </w:p>
          <w:p>
            <w:pPr>
              <w:pStyle w:val="13"/>
              <w:numPr>
                <w:ilvl w:val="0"/>
                <w:numId w:val="4"/>
              </w:numPr>
              <w:jc w:val="left"/>
            </w:pPr>
            <w:r>
              <w:t>应急处理预案内容齐全但不够具体，措施具有一定的可行性、针对性不高，得</w:t>
            </w:r>
            <w:r>
              <w:rPr>
                <w:rFonts w:hint="eastAsia"/>
                <w:lang w:val="en-US" w:eastAsia="zh-CN"/>
              </w:rPr>
              <w:t>2</w:t>
            </w:r>
            <w:r>
              <w:t>分；</w:t>
            </w:r>
          </w:p>
          <w:p>
            <w:pPr>
              <w:pStyle w:val="13"/>
              <w:numPr>
                <w:ilvl w:val="0"/>
                <w:numId w:val="4"/>
              </w:numPr>
              <w:jc w:val="left"/>
            </w:pPr>
            <w:r>
              <w:t>应急处理预案内容有缺漏、措施不完善、不具备针对性，得1分；</w:t>
            </w:r>
          </w:p>
          <w:p>
            <w:pPr>
              <w:pStyle w:val="13"/>
              <w:numPr>
                <w:ilvl w:val="0"/>
                <w:numId w:val="4"/>
              </w:numPr>
              <w:jc w:val="left"/>
            </w:pPr>
            <w:r>
              <w:t>未提供应急处理预案，不得分。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6" w:type="dxa"/>
            <w:vMerge w:val="continue"/>
          </w:tcPr>
          <w:p/>
        </w:tc>
        <w:tc>
          <w:tcPr>
            <w:tcW w:w="1715" w:type="dxa"/>
          </w:tcPr>
          <w:p>
            <w:pPr>
              <w:pStyle w:val="13"/>
              <w:jc w:val="left"/>
            </w:pPr>
            <w:r>
              <w:t>培训服务方案 (</w:t>
            </w:r>
            <w:r>
              <w:rPr>
                <w:rFonts w:hint="eastAsia"/>
                <w:lang w:val="en-US" w:eastAsia="zh-CN"/>
              </w:rPr>
              <w:t>3</w:t>
            </w:r>
            <w:r>
              <w:t>.0分)，（等次分值选择：0.0;1.0;</w:t>
            </w:r>
            <w:r>
              <w:rPr>
                <w:rFonts w:hint="eastAsia"/>
                <w:lang w:val="en-US" w:eastAsia="zh-CN"/>
              </w:rPr>
              <w:t>2</w:t>
            </w:r>
            <w:r>
              <w:t>.0;</w:t>
            </w:r>
            <w:r>
              <w:rPr>
                <w:rFonts w:hint="eastAsia"/>
                <w:lang w:val="en-US" w:eastAsia="zh-CN"/>
              </w:rPr>
              <w:t>3</w:t>
            </w:r>
            <w:r>
              <w:t>.0;）</w:t>
            </w:r>
          </w:p>
        </w:tc>
        <w:tc>
          <w:tcPr>
            <w:tcW w:w="5076" w:type="dxa"/>
          </w:tcPr>
          <w:p>
            <w:pPr>
              <w:pStyle w:val="13"/>
              <w:jc w:val="left"/>
            </w:pPr>
            <w:r>
              <w:t>根据投标人提供的培训方案（包括培训目标、培训计划、培训方式、培训内容、保障措施等）进行评分：</w:t>
            </w:r>
          </w:p>
          <w:p>
            <w:pPr>
              <w:pStyle w:val="13"/>
              <w:numPr>
                <w:ilvl w:val="0"/>
                <w:numId w:val="5"/>
              </w:numPr>
              <w:jc w:val="left"/>
            </w:pPr>
            <w:r>
              <w:t>培训方案内容齐全、全面，培训过程保障措施完善、可行，得</w:t>
            </w:r>
            <w:r>
              <w:rPr>
                <w:rFonts w:hint="eastAsia"/>
                <w:lang w:val="en-US" w:eastAsia="zh-CN"/>
              </w:rPr>
              <w:t>3</w:t>
            </w:r>
            <w:r>
              <w:t>分；</w:t>
            </w:r>
          </w:p>
          <w:p>
            <w:pPr>
              <w:pStyle w:val="13"/>
              <w:numPr>
                <w:ilvl w:val="0"/>
                <w:numId w:val="5"/>
              </w:numPr>
              <w:jc w:val="left"/>
            </w:pPr>
            <w:r>
              <w:t>培训方案内容齐全但不够全面，培训过程保障措施具有一定的可行性，得</w:t>
            </w:r>
            <w:r>
              <w:rPr>
                <w:rFonts w:hint="eastAsia"/>
                <w:lang w:val="en-US" w:eastAsia="zh-CN"/>
              </w:rPr>
              <w:t>2</w:t>
            </w:r>
            <w:r>
              <w:t>分；</w:t>
            </w:r>
          </w:p>
          <w:p>
            <w:pPr>
              <w:pStyle w:val="13"/>
              <w:numPr>
                <w:ilvl w:val="0"/>
                <w:numId w:val="5"/>
              </w:numPr>
              <w:jc w:val="left"/>
            </w:pPr>
            <w:r>
              <w:t>培训方案有缺漏，培训过程保障措施可行性不高，得1分；</w:t>
            </w:r>
          </w:p>
          <w:p>
            <w:pPr>
              <w:pStyle w:val="13"/>
              <w:numPr>
                <w:ilvl w:val="0"/>
                <w:numId w:val="5"/>
              </w:numPr>
              <w:jc w:val="left"/>
            </w:pPr>
            <w:r>
              <w:t>未提供培训方案，得0分。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6" w:type="dxa"/>
            <w:vMerge w:val="restart"/>
          </w:tcPr>
          <w:p>
            <w:pPr>
              <w:pStyle w:val="13"/>
              <w:jc w:val="center"/>
            </w:pPr>
            <w:r>
              <w:t>商务部分</w:t>
            </w:r>
          </w:p>
        </w:tc>
        <w:tc>
          <w:tcPr>
            <w:tcW w:w="1715" w:type="dxa"/>
          </w:tcPr>
          <w:p>
            <w:pPr>
              <w:pStyle w:val="13"/>
              <w:jc w:val="left"/>
            </w:pPr>
            <w:r>
              <w:t>企业</w:t>
            </w:r>
            <w:r>
              <w:rPr>
                <w:rFonts w:hint="eastAsia"/>
                <w:lang w:eastAsia="zh-CN"/>
              </w:rPr>
              <w:t>资信</w:t>
            </w:r>
            <w:r>
              <w:t xml:space="preserve"> (</w:t>
            </w:r>
            <w:r>
              <w:rPr>
                <w:rFonts w:hint="eastAsia"/>
                <w:lang w:val="en-US" w:eastAsia="zh-CN"/>
              </w:rPr>
              <w:t>3</w:t>
            </w:r>
            <w:r>
              <w:t>.0分)</w:t>
            </w:r>
          </w:p>
        </w:tc>
        <w:tc>
          <w:tcPr>
            <w:tcW w:w="5076" w:type="dxa"/>
          </w:tcPr>
          <w:p>
            <w:pPr>
              <w:pStyle w:val="13"/>
              <w:jc w:val="left"/>
              <w:rPr>
                <w:rFonts w:hint="eastAsia" w:eastAsia="宋体"/>
                <w:lang w:eastAsia="zh-CN"/>
              </w:rPr>
            </w:pPr>
            <w:r>
              <w:rPr>
                <w:rFonts w:hint="eastAsia"/>
                <w:lang w:eastAsia="zh-CN"/>
              </w:rPr>
              <w:t>投标企业开发能力：</w:t>
            </w:r>
          </w:p>
          <w:p>
            <w:pPr>
              <w:pStyle w:val="13"/>
              <w:jc w:val="left"/>
            </w:pPr>
            <w:r>
              <w:t>1、具有质量管理体系认证证书IS09001得1分，否则不得分；2、具有环境管理体系认证IS014001得1分，否则不得分；</w:t>
            </w:r>
            <w:r>
              <w:rPr>
                <w:rFonts w:hint="eastAsia"/>
                <w:lang w:val="en-US" w:eastAsia="zh-CN"/>
              </w:rPr>
              <w:t>3、具有信息安全管理体系认证ISO27001得1分；</w:t>
            </w:r>
            <w:r>
              <w:t>【注：提供证书复印件并加盖公章】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6" w:type="dxa"/>
            <w:vMerge w:val="continue"/>
          </w:tcPr>
          <w:p/>
        </w:tc>
        <w:tc>
          <w:tcPr>
            <w:tcW w:w="1715" w:type="dxa"/>
          </w:tcPr>
          <w:p>
            <w:pPr>
              <w:pStyle w:val="13"/>
              <w:jc w:val="left"/>
            </w:pPr>
            <w:r>
              <w:rPr>
                <w:rFonts w:hint="eastAsia"/>
                <w:lang w:eastAsia="zh-CN"/>
              </w:rPr>
              <w:t>项目负责人</w:t>
            </w:r>
            <w:r>
              <w:t>资质 (</w:t>
            </w:r>
            <w:r>
              <w:rPr>
                <w:rFonts w:hint="eastAsia"/>
                <w:lang w:val="en-US" w:eastAsia="zh-CN"/>
              </w:rPr>
              <w:t>2</w:t>
            </w:r>
            <w:r>
              <w:t>.0分)</w:t>
            </w:r>
          </w:p>
        </w:tc>
        <w:tc>
          <w:tcPr>
            <w:tcW w:w="5076" w:type="dxa"/>
          </w:tcPr>
          <w:p>
            <w:pPr>
              <w:pStyle w:val="13"/>
              <w:numPr>
                <w:ilvl w:val="0"/>
                <w:numId w:val="6"/>
              </w:numPr>
              <w:jc w:val="left"/>
              <w:rPr>
                <w:rFonts w:hint="eastAsia"/>
              </w:rPr>
            </w:pPr>
            <w:r>
              <w:rPr>
                <w:rFonts w:hint="eastAsia"/>
                <w:lang w:eastAsia="zh-CN"/>
              </w:rPr>
              <w:t>拟定本</w:t>
            </w:r>
            <w:r>
              <w:rPr>
                <w:rFonts w:hint="eastAsia"/>
              </w:rPr>
              <w:t>项目负责人具有信息系统集成项目经理证书或信息系统项目管理师证书或高级项目经理证书的，得2分。</w:t>
            </w:r>
          </w:p>
          <w:p>
            <w:pPr>
              <w:pStyle w:val="13"/>
              <w:numPr>
                <w:ilvl w:val="0"/>
                <w:numId w:val="0"/>
              </w:numPr>
              <w:jc w:val="left"/>
            </w:pPr>
            <w:r>
              <w:t>【注：提供证书复印件加盖公章，并提供投标截止时间前6个月任意1个月投标人为其缴纳的社保证明复印件】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6" w:type="dxa"/>
            <w:vMerge w:val="continue"/>
          </w:tcPr>
          <w:p>
            <w:bookmarkStart w:id="1" w:name="_GoBack" w:colFirst="1" w:colLast="2"/>
          </w:p>
        </w:tc>
        <w:tc>
          <w:tcPr>
            <w:tcW w:w="1715" w:type="dxa"/>
          </w:tcPr>
          <w:p>
            <w:pPr>
              <w:pStyle w:val="13"/>
              <w:jc w:val="left"/>
            </w:pPr>
            <w:r>
              <w:t xml:space="preserve">业绩 </w:t>
            </w:r>
            <w:bookmarkStart w:id="0" w:name="OLE_LINK1"/>
            <w:r>
              <w:t>(</w:t>
            </w:r>
            <w:r>
              <w:rPr>
                <w:rFonts w:hint="eastAsia"/>
                <w:lang w:val="en-US" w:eastAsia="zh-CN"/>
              </w:rPr>
              <w:t>3</w:t>
            </w:r>
            <w:r>
              <w:t>.0分)</w:t>
            </w:r>
            <w:bookmarkEnd w:id="0"/>
          </w:p>
        </w:tc>
        <w:tc>
          <w:tcPr>
            <w:tcW w:w="5076" w:type="dxa"/>
          </w:tcPr>
          <w:p>
            <w:pPr>
              <w:pStyle w:val="13"/>
              <w:jc w:val="left"/>
              <w:rPr>
                <w:rFonts w:hint="eastAsia" w:eastAsia="宋体"/>
                <w:lang w:eastAsia="zh-CN"/>
              </w:rPr>
            </w:pPr>
            <w:r>
              <w:t>提供</w:t>
            </w:r>
            <w:r>
              <w:rPr>
                <w:rFonts w:hint="eastAsia"/>
                <w:lang w:val="en-US" w:eastAsia="zh-CN"/>
              </w:rPr>
              <w:t>2022年1月1日以来医院输血信息</w:t>
            </w:r>
            <w:r>
              <w:t>系统的</w:t>
            </w:r>
            <w:r>
              <w:rPr>
                <w:rFonts w:hint="eastAsia"/>
                <w:lang w:eastAsia="zh-CN"/>
              </w:rPr>
              <w:t>销售</w:t>
            </w:r>
            <w:r>
              <w:t>业绩，每提供一项得1分，最多得</w:t>
            </w:r>
            <w:r>
              <w:rPr>
                <w:rFonts w:hint="eastAsia"/>
                <w:lang w:val="en-US" w:eastAsia="zh-CN"/>
              </w:rPr>
              <w:t>3</w:t>
            </w:r>
            <w:r>
              <w:t>分。【注：须提供合同（含签订合同双方的单位名称、合同项目名称、项目标的内容、</w:t>
            </w:r>
            <w:r>
              <w:rPr>
                <w:rFonts w:hint="eastAsia"/>
                <w:lang w:eastAsia="zh-CN"/>
              </w:rPr>
              <w:t>中标价及</w:t>
            </w:r>
            <w:r>
              <w:t>签订合同双方的落款盖章、签订日期的关键页）</w:t>
            </w:r>
            <w:r>
              <w:rPr>
                <w:rFonts w:hint="eastAsia"/>
                <w:lang w:val="en-US" w:eastAsia="zh-CN"/>
              </w:rPr>
              <w:t>PDF扫描件</w:t>
            </w:r>
            <w:r>
              <w:t>作为证明材料，不提供不得分】</w:t>
            </w:r>
            <w:r>
              <w:rPr>
                <w:rFonts w:hint="eastAsia"/>
                <w:lang w:eastAsia="zh-CN"/>
              </w:rPr>
              <w:t>如是复印件需盖双方红章。</w:t>
            </w:r>
          </w:p>
        </w:tc>
      </w:tr>
      <w:bookmarkEnd w:id="1"/>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6" w:type="dxa"/>
          </w:tcPr>
          <w:p>
            <w:pPr>
              <w:pStyle w:val="13"/>
              <w:jc w:val="center"/>
            </w:pPr>
          </w:p>
        </w:tc>
        <w:tc>
          <w:tcPr>
            <w:tcW w:w="1715" w:type="dxa"/>
          </w:tcPr>
          <w:p>
            <w:pPr>
              <w:pStyle w:val="13"/>
              <w:jc w:val="left"/>
              <w:rPr>
                <w:rFonts w:hint="eastAsia" w:eastAsia="宋体"/>
                <w:lang w:eastAsia="zh-CN"/>
              </w:rPr>
            </w:pPr>
            <w:r>
              <w:rPr>
                <w:rFonts w:hint="eastAsia"/>
                <w:lang w:eastAsia="zh-CN"/>
              </w:rPr>
              <w:t>维保服务价格</w:t>
            </w:r>
            <w:r>
              <w:t>(</w:t>
            </w:r>
            <w:r>
              <w:rPr>
                <w:rFonts w:hint="eastAsia"/>
                <w:lang w:val="en-US" w:eastAsia="zh-CN"/>
              </w:rPr>
              <w:t>3</w:t>
            </w:r>
            <w:r>
              <w:t>.0分)</w:t>
            </w:r>
          </w:p>
        </w:tc>
        <w:tc>
          <w:tcPr>
            <w:tcW w:w="5076" w:type="dxa"/>
          </w:tcPr>
          <w:p>
            <w:pPr>
              <w:pStyle w:val="13"/>
              <w:jc w:val="left"/>
              <w:rPr>
                <w:rFonts w:hint="eastAsia"/>
                <w:lang w:eastAsia="zh-CN"/>
              </w:rPr>
            </w:pPr>
            <w:r>
              <w:rPr>
                <w:rFonts w:hint="eastAsia"/>
                <w:lang w:eastAsia="zh-CN"/>
              </w:rPr>
              <w:t>输血系统在质保期后的日常运维服务价格：</w:t>
            </w:r>
          </w:p>
          <w:p>
            <w:pPr>
              <w:pStyle w:val="13"/>
              <w:jc w:val="left"/>
              <w:rPr>
                <w:rFonts w:hint="default"/>
                <w:lang w:val="en-US" w:eastAsia="zh-CN"/>
              </w:rPr>
            </w:pPr>
            <w:r>
              <w:rPr>
                <w:rFonts w:hint="eastAsia"/>
                <w:lang w:eastAsia="zh-CN"/>
              </w:rPr>
              <w:t>按中标价计算：维保服务价格</w:t>
            </w:r>
            <w:r>
              <w:rPr>
                <w:rFonts w:hint="eastAsia"/>
                <w:lang w:val="en-US" w:eastAsia="zh-CN"/>
              </w:rPr>
              <w:t>5%的得满分3分,6%的得2.5分，7%的得2分，8%的得1.5分，9%的得1分，10%的得0.5分，10%以上的不得分；</w:t>
            </w:r>
          </w:p>
          <w:p>
            <w:pPr>
              <w:pStyle w:val="13"/>
              <w:jc w:val="left"/>
              <w:rPr>
                <w:rFonts w:hint="eastAsia"/>
                <w:lang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6" w:type="dxa"/>
          </w:tcPr>
          <w:p>
            <w:pPr>
              <w:pStyle w:val="13"/>
              <w:jc w:val="center"/>
            </w:pPr>
            <w:r>
              <w:t>投标报价</w:t>
            </w:r>
          </w:p>
        </w:tc>
        <w:tc>
          <w:tcPr>
            <w:tcW w:w="1715" w:type="dxa"/>
          </w:tcPr>
          <w:p>
            <w:pPr>
              <w:pStyle w:val="13"/>
              <w:jc w:val="left"/>
            </w:pPr>
            <w:r>
              <w:t>投标报价得分 (</w:t>
            </w:r>
            <w:r>
              <w:rPr>
                <w:rFonts w:hint="eastAsia"/>
                <w:lang w:val="en-US" w:eastAsia="zh-CN"/>
              </w:rPr>
              <w:t>30</w:t>
            </w:r>
            <w:r>
              <w:t>.0分)</w:t>
            </w:r>
          </w:p>
        </w:tc>
        <w:tc>
          <w:tcPr>
            <w:tcW w:w="5076" w:type="dxa"/>
          </w:tcPr>
          <w:p>
            <w:pPr>
              <w:pStyle w:val="13"/>
              <w:jc w:val="left"/>
            </w:pPr>
            <w:r>
              <w:t>投标报价得分＝（评标基准价/投标报价）×价格分值【注：满足招标文件要求且投标价格最低的投标报价为评标基准价。】最低报价不是中标的唯一依据。</w:t>
            </w:r>
          </w:p>
        </w:tc>
      </w:tr>
    </w:tbl>
    <w:p>
      <w:pPr>
        <w:pStyle w:val="10"/>
        <w:widowControl w:val="0"/>
        <w:spacing w:before="112" w:line="230" w:lineRule="auto"/>
        <w:ind w:left="110"/>
        <w:jc w:val="both"/>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F2B19"/>
    <w:multiLevelType w:val="singleLevel"/>
    <w:tmpl w:val="A04F2B19"/>
    <w:lvl w:ilvl="0" w:tentative="0">
      <w:start w:val="1"/>
      <w:numFmt w:val="decimal"/>
      <w:suff w:val="nothing"/>
      <w:lvlText w:val="%1、"/>
      <w:lvlJc w:val="left"/>
    </w:lvl>
  </w:abstractNum>
  <w:abstractNum w:abstractNumId="1">
    <w:nsid w:val="A3006A36"/>
    <w:multiLevelType w:val="singleLevel"/>
    <w:tmpl w:val="A3006A36"/>
    <w:lvl w:ilvl="0" w:tentative="0">
      <w:start w:val="1"/>
      <w:numFmt w:val="decimal"/>
      <w:suff w:val="nothing"/>
      <w:lvlText w:val="%1、"/>
      <w:lvlJc w:val="left"/>
    </w:lvl>
  </w:abstractNum>
  <w:abstractNum w:abstractNumId="2">
    <w:nsid w:val="DC3DA3B6"/>
    <w:multiLevelType w:val="singleLevel"/>
    <w:tmpl w:val="DC3DA3B6"/>
    <w:lvl w:ilvl="0" w:tentative="0">
      <w:start w:val="1"/>
      <w:numFmt w:val="decimal"/>
      <w:suff w:val="nothing"/>
      <w:lvlText w:val="%1、"/>
      <w:lvlJc w:val="left"/>
    </w:lvl>
  </w:abstractNum>
  <w:abstractNum w:abstractNumId="3">
    <w:nsid w:val="3018BE06"/>
    <w:multiLevelType w:val="singleLevel"/>
    <w:tmpl w:val="3018BE06"/>
    <w:lvl w:ilvl="0" w:tentative="0">
      <w:start w:val="1"/>
      <w:numFmt w:val="decimal"/>
      <w:suff w:val="nothing"/>
      <w:lvlText w:val="%1、"/>
      <w:lvlJc w:val="left"/>
    </w:lvl>
  </w:abstractNum>
  <w:abstractNum w:abstractNumId="4">
    <w:nsid w:val="4BE11CFE"/>
    <w:multiLevelType w:val="singleLevel"/>
    <w:tmpl w:val="4BE11CFE"/>
    <w:lvl w:ilvl="0" w:tentative="0">
      <w:start w:val="1"/>
      <w:numFmt w:val="decimal"/>
      <w:suff w:val="nothing"/>
      <w:lvlText w:val="%1、"/>
      <w:lvlJc w:val="left"/>
    </w:lvl>
  </w:abstractNum>
  <w:abstractNum w:abstractNumId="5">
    <w:nsid w:val="7F57F38A"/>
    <w:multiLevelType w:val="singleLevel"/>
    <w:tmpl w:val="7F57F38A"/>
    <w:lvl w:ilvl="0" w:tentative="0">
      <w:start w:val="1"/>
      <w:numFmt w:val="decimal"/>
      <w:suff w:val="nothing"/>
      <w:lvlText w:val="%1、"/>
      <w:lvlJc w:val="left"/>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NGU2M2VkODU2ZDRkMjhkYjk2YjYxYTRjMTA4NzEifQ=="/>
  </w:docVars>
  <w:rsids>
    <w:rsidRoot w:val="005251DA"/>
    <w:rsid w:val="000757D2"/>
    <w:rsid w:val="000832C7"/>
    <w:rsid w:val="00092AE4"/>
    <w:rsid w:val="00145DAE"/>
    <w:rsid w:val="00203BB7"/>
    <w:rsid w:val="00257F1E"/>
    <w:rsid w:val="005251DA"/>
    <w:rsid w:val="00B80488"/>
    <w:rsid w:val="00DD56F4"/>
    <w:rsid w:val="01933299"/>
    <w:rsid w:val="02D776B6"/>
    <w:rsid w:val="06D118A6"/>
    <w:rsid w:val="06FF4708"/>
    <w:rsid w:val="07944DAE"/>
    <w:rsid w:val="081859DF"/>
    <w:rsid w:val="091A3AFD"/>
    <w:rsid w:val="09E22E42"/>
    <w:rsid w:val="0AEB5F77"/>
    <w:rsid w:val="0B9B0319"/>
    <w:rsid w:val="0B9D0F06"/>
    <w:rsid w:val="0C350961"/>
    <w:rsid w:val="0C9F46C4"/>
    <w:rsid w:val="0DD8518C"/>
    <w:rsid w:val="0F6A2898"/>
    <w:rsid w:val="11E164E5"/>
    <w:rsid w:val="13BC126E"/>
    <w:rsid w:val="1458496F"/>
    <w:rsid w:val="14AD3953"/>
    <w:rsid w:val="155C0B2B"/>
    <w:rsid w:val="16E73D24"/>
    <w:rsid w:val="17544559"/>
    <w:rsid w:val="1999328D"/>
    <w:rsid w:val="1A247C73"/>
    <w:rsid w:val="1ADF413A"/>
    <w:rsid w:val="26E74CBE"/>
    <w:rsid w:val="271801EE"/>
    <w:rsid w:val="298B5D81"/>
    <w:rsid w:val="29AB7E6A"/>
    <w:rsid w:val="2A1831C5"/>
    <w:rsid w:val="2AC75C34"/>
    <w:rsid w:val="2BB327BE"/>
    <w:rsid w:val="2BB62C95"/>
    <w:rsid w:val="2C2325CC"/>
    <w:rsid w:val="2CE6196C"/>
    <w:rsid w:val="2CF47017"/>
    <w:rsid w:val="2E0C7743"/>
    <w:rsid w:val="2F727CE6"/>
    <w:rsid w:val="2F8224FF"/>
    <w:rsid w:val="31832F49"/>
    <w:rsid w:val="31D64091"/>
    <w:rsid w:val="3381627F"/>
    <w:rsid w:val="344B7ED9"/>
    <w:rsid w:val="36FA64BE"/>
    <w:rsid w:val="380D2B03"/>
    <w:rsid w:val="38505119"/>
    <w:rsid w:val="38712827"/>
    <w:rsid w:val="39461906"/>
    <w:rsid w:val="3C0435A9"/>
    <w:rsid w:val="3C1843FC"/>
    <w:rsid w:val="3F9E5AC2"/>
    <w:rsid w:val="40E04B80"/>
    <w:rsid w:val="41B24ED8"/>
    <w:rsid w:val="434E26FB"/>
    <w:rsid w:val="43701441"/>
    <w:rsid w:val="44867739"/>
    <w:rsid w:val="46685E10"/>
    <w:rsid w:val="47136D96"/>
    <w:rsid w:val="479B5D08"/>
    <w:rsid w:val="4A423EE2"/>
    <w:rsid w:val="4AA56185"/>
    <w:rsid w:val="4B545024"/>
    <w:rsid w:val="4B796708"/>
    <w:rsid w:val="4CE77A4B"/>
    <w:rsid w:val="4CEE1542"/>
    <w:rsid w:val="4D5B0EA9"/>
    <w:rsid w:val="4D8971C2"/>
    <w:rsid w:val="4EBE1CDD"/>
    <w:rsid w:val="4F8F1E96"/>
    <w:rsid w:val="4FB92CDA"/>
    <w:rsid w:val="532C2301"/>
    <w:rsid w:val="53DA11A0"/>
    <w:rsid w:val="54067A66"/>
    <w:rsid w:val="57D442B7"/>
    <w:rsid w:val="5A10570B"/>
    <w:rsid w:val="5B20148D"/>
    <w:rsid w:val="5B5E0ABC"/>
    <w:rsid w:val="5E8720EC"/>
    <w:rsid w:val="5EC4038A"/>
    <w:rsid w:val="5EE91B69"/>
    <w:rsid w:val="606C7440"/>
    <w:rsid w:val="63EE37FF"/>
    <w:rsid w:val="64760260"/>
    <w:rsid w:val="64FE6EBF"/>
    <w:rsid w:val="655D4CDA"/>
    <w:rsid w:val="65775884"/>
    <w:rsid w:val="66AE6C06"/>
    <w:rsid w:val="687059CE"/>
    <w:rsid w:val="68DC4DE2"/>
    <w:rsid w:val="6A6530EA"/>
    <w:rsid w:val="6A7C5719"/>
    <w:rsid w:val="6B555325"/>
    <w:rsid w:val="6D4F26AC"/>
    <w:rsid w:val="6DB82591"/>
    <w:rsid w:val="6F283D86"/>
    <w:rsid w:val="6F3F467B"/>
    <w:rsid w:val="6F5C2C41"/>
    <w:rsid w:val="6F9248F7"/>
    <w:rsid w:val="6FC56DEE"/>
    <w:rsid w:val="70442F3F"/>
    <w:rsid w:val="708B043A"/>
    <w:rsid w:val="70D54A2C"/>
    <w:rsid w:val="71F35EA7"/>
    <w:rsid w:val="737C1B6B"/>
    <w:rsid w:val="776B03F9"/>
    <w:rsid w:val="7851759A"/>
    <w:rsid w:val="78A84CE1"/>
    <w:rsid w:val="79E63D12"/>
    <w:rsid w:val="7AE71284"/>
    <w:rsid w:val="7B664481"/>
    <w:rsid w:val="7EA313D0"/>
    <w:rsid w:val="7ED379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rPr>
      <w:rFonts w:eastAsia="宋体"/>
      <w:szCs w:val="20"/>
    </w:rPr>
  </w:style>
  <w:style w:type="paragraph" w:styleId="3">
    <w:name w:val="footer"/>
    <w:basedOn w:val="1"/>
    <w:link w:val="12"/>
    <w:autoRedefine/>
    <w:qFormat/>
    <w:uiPriority w:val="0"/>
    <w:pPr>
      <w:tabs>
        <w:tab w:val="center" w:pos="4153"/>
        <w:tab w:val="right" w:pos="8306"/>
      </w:tabs>
    </w:pPr>
    <w:rPr>
      <w:sz w:val="18"/>
      <w:szCs w:val="18"/>
    </w:rPr>
  </w:style>
  <w:style w:type="paragraph" w:styleId="4">
    <w:name w:val="header"/>
    <w:basedOn w:val="1"/>
    <w:link w:val="11"/>
    <w:autoRedefine/>
    <w:qFormat/>
    <w:uiPriority w:val="0"/>
    <w:pPr>
      <w:pBdr>
        <w:bottom w:val="single" w:color="auto" w:sz="6" w:space="1"/>
      </w:pBdr>
      <w:tabs>
        <w:tab w:val="center" w:pos="4153"/>
        <w:tab w:val="right" w:pos="8306"/>
      </w:tabs>
      <w:jc w:val="center"/>
    </w:pPr>
    <w:rPr>
      <w:sz w:val="18"/>
      <w:szCs w:val="18"/>
    </w:rPr>
  </w:style>
  <w:style w:type="paragraph" w:styleId="5">
    <w:name w:val="Normal (Web)"/>
    <w:basedOn w:val="1"/>
    <w:autoRedefine/>
    <w:qFormat/>
    <w:uiPriority w:val="0"/>
    <w:pPr>
      <w:spacing w:beforeAutospacing="1" w:afterAutospacing="1"/>
    </w:pPr>
    <w:rPr>
      <w:rFonts w:ascii="宋体" w:hAnsi="宋体" w:eastAsia="宋体"/>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Normal"/>
    <w:autoRedefine/>
    <w:unhideWhenUsed/>
    <w:qFormat/>
    <w:uiPriority w:val="0"/>
    <w:rPr>
      <w:rFonts w:ascii="Arial" w:hAnsi="Arial" w:cs="Arial"/>
    </w:rPr>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rPr>
  </w:style>
  <w:style w:type="character" w:customStyle="1" w:styleId="11">
    <w:name w:val="页眉 Char"/>
    <w:basedOn w:val="8"/>
    <w:link w:val="4"/>
    <w:autoRedefine/>
    <w:qFormat/>
    <w:uiPriority w:val="0"/>
    <w:rPr>
      <w:rFonts w:ascii="Arial" w:hAnsi="Arial" w:eastAsia="Arial" w:cs="Arial"/>
      <w:snapToGrid w:val="0"/>
      <w:color w:val="000000"/>
      <w:sz w:val="18"/>
      <w:szCs w:val="18"/>
      <w:lang w:eastAsia="en-US"/>
    </w:rPr>
  </w:style>
  <w:style w:type="character" w:customStyle="1" w:styleId="12">
    <w:name w:val="页脚 Char"/>
    <w:basedOn w:val="8"/>
    <w:link w:val="3"/>
    <w:autoRedefine/>
    <w:qFormat/>
    <w:uiPriority w:val="0"/>
    <w:rPr>
      <w:rFonts w:ascii="Arial" w:hAnsi="Arial" w:eastAsia="Arial" w:cs="Arial"/>
      <w:snapToGrid w:val="0"/>
      <w:color w:val="000000"/>
      <w:sz w:val="18"/>
      <w:szCs w:val="18"/>
      <w:lang w:eastAsia="en-US"/>
    </w:rPr>
  </w:style>
  <w:style w:type="paragraph" w:customStyle="1" w:styleId="13">
    <w:name w:val="null3"/>
    <w:autoRedefine/>
    <w:qFormat/>
    <w:uiPriority w:val="0"/>
    <w:rPr>
      <w:rFonts w:hint="eastAsia" w:ascii="Calibri" w:hAnsi="Calibri" w:eastAsia="宋体" w:cs="Times New Roman"/>
      <w:sz w:val="21"/>
      <w:szCs w:val="22"/>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11</Pages>
  <Words>8990</Words>
  <Characters>9227</Characters>
  <Lines>32</Lines>
  <Paragraphs>9</Paragraphs>
  <TotalTime>8</TotalTime>
  <ScaleCrop>false</ScaleCrop>
  <LinksUpToDate>false</LinksUpToDate>
  <CharactersWithSpaces>9264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叶超</cp:lastModifiedBy>
  <cp:lastPrinted>2025-05-28T06:19:00Z</cp:lastPrinted>
  <dcterms:modified xsi:type="dcterms:W3CDTF">2025-06-06T07:24:28Z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TemplateDocerSaveRecord">
    <vt:lpwstr>eyJoZGlkIjoiY2EzMzIzZGVmZjUxZDVjNTU1MzcyMWNiNzIzMTNlNzEiLCJ1c2VySWQiOiIxMDI1OTMzMjQxIn0=</vt:lpwstr>
  </property>
  <property fmtid="{D5CDD505-2E9C-101B-9397-08002B2CF9AE}" pid="4" name="ICV">
    <vt:lpwstr>57DDC010D947447D998DA267F00BBBCC_13</vt:lpwstr>
  </property>
</Properties>
</file>