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80AEF">
      <w:pPr>
        <w:spacing w:line="258" w:lineRule="auto"/>
        <w:jc w:val="both"/>
        <w:rPr>
          <w:rFonts w:hint="default" w:ascii="宋体" w:hAnsi="宋体" w:eastAsia="宋体" w:cs="宋体"/>
          <w:color w:val="auto"/>
          <w:highlight w:val="none"/>
          <w:shd w:val="clear" w:color="auto" w:fill="auto"/>
          <w:lang w:val="en-US" w:eastAsia="zh-CN"/>
        </w:rPr>
      </w:pPr>
      <w:bookmarkStart w:id="66" w:name="_GoBack"/>
    </w:p>
    <w:p w14:paraId="2A37B4CA">
      <w:pPr>
        <w:spacing w:line="245" w:lineRule="auto"/>
        <w:jc w:val="both"/>
        <w:rPr>
          <w:rFonts w:hint="eastAsia" w:ascii="宋体" w:hAnsi="宋体" w:eastAsia="宋体" w:cs="宋体"/>
          <w:color w:val="auto"/>
          <w:highlight w:val="none"/>
          <w:shd w:val="clear" w:color="auto" w:fill="auto"/>
        </w:rPr>
      </w:pPr>
    </w:p>
    <w:p w14:paraId="16A493BB">
      <w:pPr>
        <w:spacing w:line="245" w:lineRule="auto"/>
        <w:jc w:val="both"/>
        <w:rPr>
          <w:rFonts w:hint="eastAsia" w:ascii="宋体" w:hAnsi="宋体" w:eastAsia="宋体" w:cs="宋体"/>
          <w:color w:val="auto"/>
          <w:highlight w:val="none"/>
          <w:shd w:val="clear" w:color="auto" w:fill="auto"/>
        </w:rPr>
      </w:pPr>
    </w:p>
    <w:p w14:paraId="670F8B8B">
      <w:pPr>
        <w:pStyle w:val="10"/>
        <w:jc w:val="both"/>
        <w:rPr>
          <w:rFonts w:hint="eastAsia" w:ascii="宋体" w:hAnsi="宋体" w:eastAsia="宋体" w:cs="宋体"/>
          <w:color w:val="auto"/>
          <w:highlight w:val="none"/>
          <w:shd w:val="clear" w:color="auto" w:fill="auto"/>
        </w:rPr>
      </w:pPr>
    </w:p>
    <w:p w14:paraId="7A01ED98">
      <w:pPr>
        <w:tabs>
          <w:tab w:val="left" w:pos="2909"/>
        </w:tabs>
        <w:spacing w:before="114" w:line="227" w:lineRule="auto"/>
        <w:ind w:left="138"/>
        <w:jc w:val="center"/>
        <w:rPr>
          <w:rFonts w:hint="eastAsia" w:ascii="宋体" w:hAnsi="宋体" w:eastAsia="宋体" w:cs="宋体"/>
          <w:color w:val="auto"/>
          <w:sz w:val="35"/>
          <w:szCs w:val="35"/>
          <w:highlight w:val="none"/>
          <w:shd w:val="clear" w:color="auto" w:fill="auto"/>
        </w:rPr>
      </w:pPr>
      <w:r>
        <w:rPr>
          <w:rFonts w:hint="eastAsia" w:ascii="宋体" w:hAnsi="宋体" w:eastAsia="宋体" w:cs="宋体"/>
          <w:color w:val="auto"/>
          <w:sz w:val="35"/>
          <w:szCs w:val="35"/>
          <w:highlight w:val="none"/>
          <w:u w:val="single"/>
          <w:shd w:val="clear" w:color="auto" w:fill="auto"/>
        </w:rPr>
        <w:t>绍兴市水务产业有限公司二次供水设备年度采购项目</w:t>
      </w:r>
    </w:p>
    <w:p w14:paraId="39A68EDC">
      <w:pPr>
        <w:spacing w:line="250" w:lineRule="auto"/>
        <w:jc w:val="both"/>
        <w:rPr>
          <w:rFonts w:hint="eastAsia" w:ascii="宋体" w:hAnsi="宋体" w:eastAsia="宋体" w:cs="宋体"/>
          <w:color w:val="auto"/>
          <w:highlight w:val="none"/>
          <w:shd w:val="clear" w:color="auto" w:fill="auto"/>
        </w:rPr>
      </w:pPr>
    </w:p>
    <w:p w14:paraId="65252F1B">
      <w:pPr>
        <w:spacing w:line="250" w:lineRule="auto"/>
        <w:jc w:val="both"/>
        <w:rPr>
          <w:rFonts w:hint="eastAsia" w:ascii="宋体" w:hAnsi="宋体" w:eastAsia="宋体" w:cs="宋体"/>
          <w:color w:val="auto"/>
          <w:highlight w:val="none"/>
          <w:shd w:val="clear" w:color="auto" w:fill="auto"/>
        </w:rPr>
      </w:pPr>
    </w:p>
    <w:p w14:paraId="1A8FC945">
      <w:pPr>
        <w:spacing w:line="250" w:lineRule="auto"/>
        <w:jc w:val="both"/>
        <w:rPr>
          <w:rFonts w:hint="eastAsia" w:ascii="宋体" w:hAnsi="宋体" w:eastAsia="宋体" w:cs="宋体"/>
          <w:color w:val="auto"/>
          <w:highlight w:val="none"/>
          <w:shd w:val="clear" w:color="auto" w:fill="auto"/>
        </w:rPr>
      </w:pPr>
    </w:p>
    <w:p w14:paraId="7F4AA1DE">
      <w:pPr>
        <w:spacing w:line="250" w:lineRule="auto"/>
        <w:jc w:val="both"/>
        <w:rPr>
          <w:rFonts w:hint="eastAsia" w:ascii="宋体" w:hAnsi="宋体" w:eastAsia="宋体" w:cs="宋体"/>
          <w:color w:val="auto"/>
          <w:highlight w:val="none"/>
          <w:shd w:val="clear" w:color="auto" w:fill="auto"/>
        </w:rPr>
      </w:pPr>
    </w:p>
    <w:p w14:paraId="33BC7A01">
      <w:pPr>
        <w:pStyle w:val="10"/>
        <w:jc w:val="both"/>
        <w:rPr>
          <w:rFonts w:hint="eastAsia" w:ascii="宋体" w:hAnsi="宋体" w:eastAsia="宋体" w:cs="宋体"/>
          <w:color w:val="auto"/>
          <w:highlight w:val="none"/>
          <w:shd w:val="clear" w:color="auto" w:fill="auto"/>
        </w:rPr>
      </w:pPr>
    </w:p>
    <w:p w14:paraId="2FD5EA24">
      <w:pPr>
        <w:pStyle w:val="11"/>
        <w:jc w:val="both"/>
        <w:rPr>
          <w:rFonts w:hint="eastAsia" w:ascii="宋体" w:hAnsi="宋体" w:eastAsia="宋体" w:cs="宋体"/>
          <w:color w:val="auto"/>
          <w:spacing w:val="0"/>
          <w:highlight w:val="none"/>
          <w:shd w:val="clear" w:color="auto" w:fill="auto"/>
        </w:rPr>
      </w:pPr>
    </w:p>
    <w:p w14:paraId="33CFD3AE">
      <w:pPr>
        <w:pStyle w:val="11"/>
        <w:jc w:val="both"/>
        <w:rPr>
          <w:rFonts w:hint="eastAsia" w:ascii="宋体" w:hAnsi="宋体" w:eastAsia="宋体" w:cs="宋体"/>
          <w:color w:val="auto"/>
          <w:spacing w:val="0"/>
          <w:highlight w:val="none"/>
          <w:shd w:val="clear" w:color="auto" w:fill="auto"/>
        </w:rPr>
      </w:pPr>
    </w:p>
    <w:p w14:paraId="6E66976E">
      <w:pPr>
        <w:spacing w:line="250" w:lineRule="auto"/>
        <w:jc w:val="both"/>
        <w:rPr>
          <w:rFonts w:hint="eastAsia" w:ascii="宋体" w:hAnsi="宋体" w:eastAsia="宋体" w:cs="宋体"/>
          <w:color w:val="auto"/>
          <w:highlight w:val="none"/>
          <w:shd w:val="clear" w:color="auto" w:fill="auto"/>
        </w:rPr>
      </w:pPr>
    </w:p>
    <w:p w14:paraId="087FE15B">
      <w:pPr>
        <w:spacing w:line="250" w:lineRule="auto"/>
        <w:jc w:val="both"/>
        <w:rPr>
          <w:rFonts w:hint="eastAsia" w:ascii="宋体" w:hAnsi="宋体" w:eastAsia="宋体" w:cs="宋体"/>
          <w:color w:val="auto"/>
          <w:highlight w:val="none"/>
          <w:shd w:val="clear" w:color="auto" w:fill="auto"/>
        </w:rPr>
      </w:pPr>
    </w:p>
    <w:p w14:paraId="03F36752">
      <w:pPr>
        <w:pStyle w:val="10"/>
        <w:jc w:val="both"/>
        <w:rPr>
          <w:rFonts w:hint="eastAsia" w:ascii="宋体" w:hAnsi="宋体" w:eastAsia="宋体" w:cs="宋体"/>
          <w:color w:val="auto"/>
          <w:highlight w:val="none"/>
          <w:shd w:val="clear" w:color="auto" w:fill="auto"/>
        </w:rPr>
      </w:pPr>
    </w:p>
    <w:p w14:paraId="274E6738">
      <w:pPr>
        <w:pStyle w:val="11"/>
        <w:jc w:val="both"/>
        <w:rPr>
          <w:rFonts w:hint="eastAsia" w:ascii="宋体" w:hAnsi="宋体" w:eastAsia="宋体" w:cs="宋体"/>
          <w:color w:val="auto"/>
          <w:spacing w:val="0"/>
          <w:highlight w:val="none"/>
          <w:shd w:val="clear" w:color="auto" w:fill="auto"/>
        </w:rPr>
      </w:pPr>
    </w:p>
    <w:p w14:paraId="6EE8D76C">
      <w:pPr>
        <w:pStyle w:val="11"/>
        <w:jc w:val="both"/>
        <w:rPr>
          <w:rFonts w:hint="eastAsia" w:ascii="宋体" w:hAnsi="宋体" w:eastAsia="宋体" w:cs="宋体"/>
          <w:color w:val="auto"/>
          <w:spacing w:val="0"/>
          <w:highlight w:val="none"/>
          <w:shd w:val="clear" w:color="auto" w:fill="auto"/>
        </w:rPr>
      </w:pPr>
    </w:p>
    <w:p w14:paraId="14BA4FB6">
      <w:pPr>
        <w:spacing w:line="250" w:lineRule="auto"/>
        <w:jc w:val="both"/>
        <w:rPr>
          <w:rFonts w:hint="eastAsia" w:ascii="宋体" w:hAnsi="宋体" w:eastAsia="宋体" w:cs="宋体"/>
          <w:color w:val="auto"/>
          <w:highlight w:val="none"/>
          <w:shd w:val="clear" w:color="auto" w:fill="auto"/>
        </w:rPr>
      </w:pPr>
    </w:p>
    <w:p w14:paraId="5FFC1AED">
      <w:pPr>
        <w:spacing w:line="250" w:lineRule="auto"/>
        <w:jc w:val="both"/>
        <w:rPr>
          <w:rFonts w:hint="eastAsia" w:ascii="宋体" w:hAnsi="宋体" w:eastAsia="宋体" w:cs="宋体"/>
          <w:color w:val="auto"/>
          <w:highlight w:val="none"/>
          <w:shd w:val="clear" w:color="auto" w:fill="auto"/>
        </w:rPr>
      </w:pPr>
    </w:p>
    <w:p w14:paraId="27BB7BA3">
      <w:pPr>
        <w:spacing w:line="251" w:lineRule="auto"/>
        <w:jc w:val="both"/>
        <w:rPr>
          <w:rFonts w:hint="eastAsia" w:ascii="宋体" w:hAnsi="宋体" w:eastAsia="宋体" w:cs="宋体"/>
          <w:color w:val="auto"/>
          <w:highlight w:val="none"/>
          <w:shd w:val="clear" w:color="auto" w:fill="auto"/>
        </w:rPr>
      </w:pPr>
    </w:p>
    <w:p w14:paraId="74813991">
      <w:pPr>
        <w:spacing w:before="231" w:line="224" w:lineRule="auto"/>
        <w:jc w:val="center"/>
        <w:rPr>
          <w:rFonts w:hint="eastAsia" w:ascii="宋体" w:hAnsi="宋体" w:eastAsia="宋体" w:cs="宋体"/>
          <w:color w:val="auto"/>
          <w:sz w:val="71"/>
          <w:szCs w:val="71"/>
          <w:highlight w:val="none"/>
          <w:shd w:val="clear" w:color="auto" w:fill="auto"/>
        </w:rPr>
      </w:pPr>
      <w:r>
        <w:rPr>
          <w:rFonts w:hint="eastAsia" w:ascii="宋体" w:hAnsi="宋体" w:eastAsia="宋体" w:cs="宋体"/>
          <w:color w:val="auto"/>
          <w:sz w:val="71"/>
          <w:szCs w:val="71"/>
          <w:highlight w:val="none"/>
          <w:shd w:val="clear" w:color="auto" w:fill="auto"/>
        </w:rPr>
        <w:t>招标文件</w:t>
      </w:r>
    </w:p>
    <w:p w14:paraId="0B4A78C7">
      <w:pPr>
        <w:spacing w:line="247" w:lineRule="auto"/>
        <w:jc w:val="both"/>
        <w:rPr>
          <w:rFonts w:hint="eastAsia" w:ascii="宋体" w:hAnsi="宋体" w:eastAsia="宋体" w:cs="宋体"/>
          <w:color w:val="auto"/>
          <w:highlight w:val="none"/>
          <w:shd w:val="clear" w:color="auto" w:fill="auto"/>
        </w:rPr>
      </w:pPr>
    </w:p>
    <w:p w14:paraId="523043D6">
      <w:pPr>
        <w:spacing w:line="247" w:lineRule="auto"/>
        <w:jc w:val="both"/>
        <w:rPr>
          <w:rFonts w:hint="eastAsia" w:ascii="宋体" w:hAnsi="宋体" w:eastAsia="宋体" w:cs="宋体"/>
          <w:color w:val="auto"/>
          <w:highlight w:val="none"/>
          <w:shd w:val="clear" w:color="auto" w:fill="auto"/>
        </w:rPr>
      </w:pPr>
    </w:p>
    <w:p w14:paraId="4BDF1810">
      <w:pPr>
        <w:spacing w:line="247" w:lineRule="auto"/>
        <w:jc w:val="both"/>
        <w:rPr>
          <w:rFonts w:hint="eastAsia" w:ascii="宋体" w:hAnsi="宋体" w:eastAsia="宋体" w:cs="宋体"/>
          <w:color w:val="auto"/>
          <w:highlight w:val="none"/>
          <w:shd w:val="clear" w:color="auto" w:fill="auto"/>
        </w:rPr>
      </w:pPr>
    </w:p>
    <w:p w14:paraId="12E7F34D">
      <w:pPr>
        <w:spacing w:line="247" w:lineRule="auto"/>
        <w:jc w:val="both"/>
        <w:rPr>
          <w:rFonts w:hint="eastAsia" w:ascii="宋体" w:hAnsi="宋体" w:eastAsia="宋体" w:cs="宋体"/>
          <w:color w:val="auto"/>
          <w:highlight w:val="none"/>
          <w:shd w:val="clear" w:color="auto" w:fill="auto"/>
        </w:rPr>
      </w:pPr>
    </w:p>
    <w:p w14:paraId="7B5DA826">
      <w:pPr>
        <w:spacing w:line="247" w:lineRule="auto"/>
        <w:jc w:val="both"/>
        <w:rPr>
          <w:rFonts w:hint="eastAsia" w:ascii="宋体" w:hAnsi="宋体" w:eastAsia="宋体" w:cs="宋体"/>
          <w:color w:val="auto"/>
          <w:highlight w:val="none"/>
          <w:shd w:val="clear" w:color="auto" w:fill="auto"/>
        </w:rPr>
      </w:pPr>
    </w:p>
    <w:p w14:paraId="16F913B7">
      <w:pPr>
        <w:spacing w:line="247" w:lineRule="auto"/>
        <w:jc w:val="both"/>
        <w:rPr>
          <w:rFonts w:hint="eastAsia" w:ascii="宋体" w:hAnsi="宋体" w:eastAsia="宋体" w:cs="宋体"/>
          <w:color w:val="auto"/>
          <w:highlight w:val="none"/>
          <w:shd w:val="clear" w:color="auto" w:fill="auto"/>
        </w:rPr>
      </w:pPr>
    </w:p>
    <w:p w14:paraId="67A9ECD0">
      <w:pPr>
        <w:spacing w:line="248" w:lineRule="auto"/>
        <w:jc w:val="both"/>
        <w:rPr>
          <w:rFonts w:hint="eastAsia" w:ascii="宋体" w:hAnsi="宋体" w:eastAsia="宋体" w:cs="宋体"/>
          <w:color w:val="auto"/>
          <w:highlight w:val="none"/>
          <w:shd w:val="clear" w:color="auto" w:fill="auto"/>
        </w:rPr>
      </w:pPr>
    </w:p>
    <w:p w14:paraId="1E5969FE">
      <w:pPr>
        <w:spacing w:line="248" w:lineRule="auto"/>
        <w:jc w:val="both"/>
        <w:rPr>
          <w:rFonts w:hint="eastAsia" w:ascii="宋体" w:hAnsi="宋体" w:eastAsia="宋体" w:cs="宋体"/>
          <w:color w:val="auto"/>
          <w:highlight w:val="none"/>
          <w:shd w:val="clear" w:color="auto" w:fill="auto"/>
        </w:rPr>
      </w:pPr>
    </w:p>
    <w:p w14:paraId="2C8B5205">
      <w:pPr>
        <w:spacing w:line="248" w:lineRule="auto"/>
        <w:jc w:val="both"/>
        <w:rPr>
          <w:rFonts w:hint="eastAsia" w:ascii="宋体" w:hAnsi="宋体" w:eastAsia="宋体" w:cs="宋体"/>
          <w:color w:val="auto"/>
          <w:highlight w:val="none"/>
          <w:shd w:val="clear" w:color="auto" w:fill="auto"/>
        </w:rPr>
      </w:pPr>
    </w:p>
    <w:p w14:paraId="4531A430">
      <w:pPr>
        <w:spacing w:line="248" w:lineRule="auto"/>
        <w:jc w:val="both"/>
        <w:rPr>
          <w:rFonts w:hint="eastAsia" w:ascii="宋体" w:hAnsi="宋体" w:eastAsia="宋体" w:cs="宋体"/>
          <w:color w:val="auto"/>
          <w:highlight w:val="none"/>
          <w:shd w:val="clear" w:color="auto" w:fill="auto"/>
        </w:rPr>
      </w:pPr>
    </w:p>
    <w:p w14:paraId="0988EEAC">
      <w:pPr>
        <w:spacing w:line="248" w:lineRule="auto"/>
        <w:jc w:val="both"/>
        <w:rPr>
          <w:rFonts w:hint="eastAsia" w:ascii="宋体" w:hAnsi="宋体" w:eastAsia="宋体" w:cs="宋体"/>
          <w:color w:val="auto"/>
          <w:highlight w:val="none"/>
          <w:shd w:val="clear" w:color="auto" w:fill="auto"/>
        </w:rPr>
      </w:pPr>
    </w:p>
    <w:p w14:paraId="009111E7">
      <w:pPr>
        <w:spacing w:line="248" w:lineRule="auto"/>
        <w:jc w:val="both"/>
        <w:rPr>
          <w:rFonts w:hint="eastAsia" w:ascii="宋体" w:hAnsi="宋体" w:eastAsia="宋体" w:cs="宋体"/>
          <w:color w:val="auto"/>
          <w:highlight w:val="none"/>
          <w:shd w:val="clear" w:color="auto" w:fill="auto"/>
        </w:rPr>
      </w:pPr>
    </w:p>
    <w:p w14:paraId="11811E44">
      <w:pPr>
        <w:spacing w:line="248" w:lineRule="auto"/>
        <w:jc w:val="both"/>
        <w:rPr>
          <w:rFonts w:hint="eastAsia" w:ascii="宋体" w:hAnsi="宋体" w:eastAsia="宋体" w:cs="宋体"/>
          <w:color w:val="auto"/>
          <w:highlight w:val="none"/>
          <w:shd w:val="clear" w:color="auto" w:fill="auto"/>
        </w:rPr>
      </w:pPr>
    </w:p>
    <w:p w14:paraId="0F18EC18">
      <w:pPr>
        <w:spacing w:line="248" w:lineRule="auto"/>
        <w:jc w:val="both"/>
        <w:rPr>
          <w:rFonts w:hint="eastAsia" w:ascii="宋体" w:hAnsi="宋体" w:eastAsia="宋体" w:cs="宋体"/>
          <w:color w:val="auto"/>
          <w:highlight w:val="none"/>
          <w:shd w:val="clear" w:color="auto" w:fill="auto"/>
        </w:rPr>
      </w:pPr>
    </w:p>
    <w:p w14:paraId="10349058">
      <w:pPr>
        <w:spacing w:line="248" w:lineRule="auto"/>
        <w:jc w:val="both"/>
        <w:rPr>
          <w:rFonts w:hint="eastAsia" w:ascii="宋体" w:hAnsi="宋体" w:eastAsia="宋体" w:cs="宋体"/>
          <w:color w:val="auto"/>
          <w:highlight w:val="none"/>
          <w:shd w:val="clear" w:color="auto" w:fill="auto"/>
        </w:rPr>
      </w:pPr>
    </w:p>
    <w:p w14:paraId="0B354391">
      <w:pPr>
        <w:spacing w:line="248" w:lineRule="auto"/>
        <w:jc w:val="both"/>
        <w:rPr>
          <w:rFonts w:hint="eastAsia" w:ascii="宋体" w:hAnsi="宋体" w:eastAsia="宋体" w:cs="宋体"/>
          <w:color w:val="auto"/>
          <w:highlight w:val="none"/>
          <w:shd w:val="clear" w:color="auto" w:fill="auto"/>
        </w:rPr>
      </w:pPr>
    </w:p>
    <w:p w14:paraId="24248070">
      <w:pPr>
        <w:spacing w:line="248" w:lineRule="auto"/>
        <w:jc w:val="both"/>
        <w:rPr>
          <w:rFonts w:hint="eastAsia" w:ascii="宋体" w:hAnsi="宋体" w:eastAsia="宋体" w:cs="宋体"/>
          <w:color w:val="auto"/>
          <w:highlight w:val="none"/>
          <w:shd w:val="clear" w:color="auto" w:fill="auto"/>
        </w:rPr>
      </w:pPr>
    </w:p>
    <w:p w14:paraId="5BBD1A2E">
      <w:pPr>
        <w:spacing w:before="100" w:line="372" w:lineRule="auto"/>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招标人：</w:t>
      </w:r>
      <w:r>
        <w:rPr>
          <w:rFonts w:hint="eastAsia" w:ascii="宋体" w:hAnsi="宋体" w:eastAsia="宋体" w:cs="宋体"/>
          <w:color w:val="auto"/>
          <w:sz w:val="30"/>
          <w:szCs w:val="30"/>
          <w:highlight w:val="none"/>
          <w:u w:val="single"/>
          <w:shd w:val="clear" w:color="auto" w:fill="auto"/>
        </w:rPr>
        <w:t>绍兴市水务产业有限公司</w:t>
      </w:r>
      <w:r>
        <w:rPr>
          <w:rFonts w:hint="eastAsia" w:ascii="宋体" w:hAnsi="宋体" w:eastAsia="宋体" w:cs="宋体"/>
          <w:color w:val="auto"/>
          <w:sz w:val="30"/>
          <w:szCs w:val="30"/>
          <w:highlight w:val="none"/>
          <w:shd w:val="clear" w:color="auto" w:fill="auto"/>
        </w:rPr>
        <w:t>(盖章)</w:t>
      </w:r>
    </w:p>
    <w:p w14:paraId="2DF40073">
      <w:pPr>
        <w:tabs>
          <w:tab w:val="left" w:pos="3427"/>
        </w:tabs>
        <w:spacing w:line="228" w:lineRule="auto"/>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u w:val="single"/>
          <w:shd w:val="clear" w:color="auto" w:fill="auto"/>
          <w:lang w:val="en-US" w:eastAsia="zh-CN"/>
        </w:rPr>
        <w:t>2025</w:t>
      </w:r>
      <w:r>
        <w:rPr>
          <w:rFonts w:hint="eastAsia" w:ascii="宋体" w:hAnsi="宋体" w:eastAsia="宋体" w:cs="宋体"/>
          <w:color w:val="auto"/>
          <w:sz w:val="30"/>
          <w:szCs w:val="30"/>
          <w:highlight w:val="none"/>
          <w:shd w:val="clear" w:color="auto" w:fill="auto"/>
        </w:rPr>
        <w:t>年</w:t>
      </w:r>
      <w:r>
        <w:rPr>
          <w:rFonts w:hint="eastAsia" w:ascii="宋体" w:hAnsi="宋体" w:eastAsia="宋体" w:cs="宋体"/>
          <w:color w:val="auto"/>
          <w:sz w:val="30"/>
          <w:szCs w:val="30"/>
          <w:highlight w:val="none"/>
          <w:u w:val="single"/>
          <w:shd w:val="clear" w:color="auto" w:fill="auto"/>
        </w:rPr>
        <w:t xml:space="preserve">   </w:t>
      </w:r>
      <w:r>
        <w:rPr>
          <w:rFonts w:hint="eastAsia" w:ascii="宋体" w:hAnsi="宋体" w:eastAsia="宋体" w:cs="宋体"/>
          <w:color w:val="auto"/>
          <w:sz w:val="30"/>
          <w:szCs w:val="30"/>
          <w:highlight w:val="none"/>
          <w:shd w:val="clear" w:color="auto" w:fill="auto"/>
        </w:rPr>
        <w:t>月</w:t>
      </w:r>
      <w:r>
        <w:rPr>
          <w:rFonts w:hint="eastAsia" w:ascii="宋体" w:hAnsi="宋体" w:eastAsia="宋体" w:cs="宋体"/>
          <w:color w:val="auto"/>
          <w:sz w:val="30"/>
          <w:szCs w:val="30"/>
          <w:highlight w:val="none"/>
          <w:u w:val="single"/>
          <w:shd w:val="clear" w:color="auto" w:fill="auto"/>
        </w:rPr>
        <w:t xml:space="preserve">   </w:t>
      </w:r>
      <w:r>
        <w:rPr>
          <w:rFonts w:hint="eastAsia" w:ascii="宋体" w:hAnsi="宋体" w:eastAsia="宋体" w:cs="宋体"/>
          <w:color w:val="auto"/>
          <w:sz w:val="30"/>
          <w:szCs w:val="30"/>
          <w:highlight w:val="none"/>
          <w:shd w:val="clear" w:color="auto" w:fill="auto"/>
        </w:rPr>
        <w:t>日</w:t>
      </w:r>
    </w:p>
    <w:p w14:paraId="77A83F6A">
      <w:pPr>
        <w:jc w:val="both"/>
        <w:rPr>
          <w:rFonts w:hint="eastAsia" w:ascii="宋体" w:hAnsi="宋体" w:eastAsia="宋体" w:cs="宋体"/>
          <w:color w:val="auto"/>
          <w:highlight w:val="none"/>
          <w:shd w:val="clear" w:color="auto" w:fill="auto"/>
        </w:rPr>
        <w:sectPr>
          <w:footerReference r:id="rId3" w:type="default"/>
          <w:pgSz w:w="11906" w:h="16839"/>
          <w:pgMar w:top="1418" w:right="1559" w:bottom="1418" w:left="1474" w:header="0" w:footer="0" w:gutter="0"/>
          <w:pgNumType w:start="1"/>
          <w:cols w:space="720" w:num="1"/>
        </w:sectPr>
      </w:pPr>
    </w:p>
    <w:p w14:paraId="545768BD">
      <w:pPr>
        <w:spacing w:before="64" w:line="227" w:lineRule="auto"/>
        <w:jc w:val="center"/>
        <w:rPr>
          <w:rFonts w:hint="eastAsia" w:ascii="宋体" w:hAnsi="宋体" w:eastAsia="宋体" w:cs="宋体"/>
          <w:color w:val="auto"/>
          <w:sz w:val="36"/>
          <w:szCs w:val="36"/>
          <w:highlight w:val="none"/>
          <w:shd w:val="clear" w:color="auto" w:fill="auto"/>
        </w:rPr>
      </w:pPr>
      <w:r>
        <w:rPr>
          <w:rFonts w:hint="eastAsia" w:ascii="宋体" w:hAnsi="宋体" w:eastAsia="宋体" w:cs="宋体"/>
          <w:color w:val="auto"/>
          <w:sz w:val="36"/>
          <w:szCs w:val="36"/>
          <w:highlight w:val="none"/>
          <w:shd w:val="clear" w:color="auto" w:fill="auto"/>
        </w:rPr>
        <w:t>目录</w:t>
      </w:r>
    </w:p>
    <w:p w14:paraId="32937B35">
      <w:pPr>
        <w:spacing w:line="269" w:lineRule="auto"/>
        <w:jc w:val="both"/>
        <w:rPr>
          <w:rFonts w:hint="eastAsia" w:ascii="宋体" w:hAnsi="宋体" w:eastAsia="宋体" w:cs="宋体"/>
          <w:color w:val="auto"/>
          <w:highlight w:val="none"/>
          <w:shd w:val="clear" w:color="auto" w:fill="auto"/>
        </w:rPr>
      </w:pPr>
    </w:p>
    <w:p w14:paraId="6AAFAE5C">
      <w:pPr>
        <w:tabs>
          <w:tab w:val="right" w:leader="dot" w:pos="8305"/>
        </w:tabs>
        <w:spacing w:line="460" w:lineRule="exact"/>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"_bookmark1"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第一章招标公告</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t>1</w:t>
      </w:r>
      <w:r>
        <w:rPr>
          <w:rFonts w:hint="eastAsia" w:ascii="宋体" w:hAnsi="宋体" w:eastAsia="宋体" w:cs="宋体"/>
          <w:color w:val="auto"/>
          <w:sz w:val="23"/>
          <w:szCs w:val="23"/>
          <w:highlight w:val="none"/>
          <w:shd w:val="clear" w:color="auto" w:fill="auto"/>
        </w:rPr>
        <w:fldChar w:fldCharType="end"/>
      </w:r>
    </w:p>
    <w:p w14:paraId="03B10F3E">
      <w:pPr>
        <w:tabs>
          <w:tab w:val="right" w:leader="dot" w:pos="8305"/>
        </w:tabs>
        <w:spacing w:line="460" w:lineRule="exact"/>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"_bookmark2"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第二章投标人须知</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t>3</w:t>
      </w:r>
      <w:r>
        <w:rPr>
          <w:rFonts w:hint="eastAsia" w:ascii="宋体" w:hAnsi="宋体" w:eastAsia="宋体" w:cs="宋体"/>
          <w:color w:val="auto"/>
          <w:sz w:val="23"/>
          <w:szCs w:val="23"/>
          <w:highlight w:val="none"/>
          <w:shd w:val="clear" w:color="auto" w:fill="auto"/>
        </w:rPr>
        <w:fldChar w:fldCharType="end"/>
      </w:r>
    </w:p>
    <w:p w14:paraId="7DAE90CF">
      <w:pPr>
        <w:tabs>
          <w:tab w:val="right" w:leader="dot" w:pos="8305"/>
        </w:tabs>
        <w:spacing w:line="460" w:lineRule="exact"/>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"_bookmark3"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第一节投标人须知前附表</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t>3</w:t>
      </w:r>
      <w:r>
        <w:rPr>
          <w:rFonts w:hint="eastAsia" w:ascii="宋体" w:hAnsi="宋体" w:eastAsia="宋体" w:cs="宋体"/>
          <w:color w:val="auto"/>
          <w:sz w:val="23"/>
          <w:szCs w:val="23"/>
          <w:highlight w:val="none"/>
          <w:shd w:val="clear" w:color="auto" w:fill="auto"/>
        </w:rPr>
        <w:fldChar w:fldCharType="end"/>
      </w:r>
    </w:p>
    <w:p w14:paraId="73310821">
      <w:pPr>
        <w:tabs>
          <w:tab w:val="right" w:leader="dot" w:pos="8305"/>
        </w:tabs>
        <w:spacing w:line="460" w:lineRule="exact"/>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"_bookmark4"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第二节投标人须知</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t>1</w:t>
      </w:r>
      <w:r>
        <w:rPr>
          <w:rFonts w:hint="eastAsia" w:ascii="宋体" w:hAnsi="宋体" w:eastAsia="宋体" w:cs="宋体"/>
          <w:color w:val="auto"/>
          <w:sz w:val="23"/>
          <w:szCs w:val="23"/>
          <w:highlight w:val="none"/>
          <w:shd w:val="clear" w:color="auto" w:fill="auto"/>
        </w:rPr>
        <w:fldChar w:fldCharType="end"/>
      </w:r>
      <w:r>
        <w:rPr>
          <w:rFonts w:hint="eastAsia" w:ascii="宋体" w:hAnsi="宋体" w:eastAsia="宋体" w:cs="宋体"/>
          <w:color w:val="auto"/>
          <w:sz w:val="23"/>
          <w:szCs w:val="23"/>
          <w:highlight w:val="none"/>
          <w:shd w:val="clear" w:color="auto" w:fill="auto"/>
        </w:rPr>
        <w:t>2</w:t>
      </w:r>
    </w:p>
    <w:p w14:paraId="41927DEA">
      <w:pPr>
        <w:tabs>
          <w:tab w:val="right" w:leader="dot" w:pos="8305"/>
        </w:tabs>
        <w:spacing w:line="460" w:lineRule="exact"/>
        <w:ind w:firstLine="707" w:firstLineChars="33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"_bookmark5"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附表一：开标记录表</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fldChar w:fldCharType="end"/>
      </w:r>
      <w:r>
        <w:rPr>
          <w:rFonts w:hint="eastAsia" w:ascii="宋体" w:hAnsi="宋体" w:eastAsia="宋体" w:cs="宋体"/>
          <w:color w:val="auto"/>
          <w:sz w:val="23"/>
          <w:szCs w:val="23"/>
          <w:highlight w:val="none"/>
          <w:shd w:val="clear" w:color="auto" w:fill="auto"/>
        </w:rPr>
        <w:t>21</w:t>
      </w:r>
    </w:p>
    <w:p w14:paraId="4E1D3290">
      <w:pPr>
        <w:tabs>
          <w:tab w:val="right" w:leader="dot" w:pos="8305"/>
        </w:tabs>
        <w:spacing w:line="460" w:lineRule="exact"/>
        <w:ind w:firstLine="707" w:firstLineChars="33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"_bookmark6"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附表二：问题澄清通知</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fldChar w:fldCharType="end"/>
      </w:r>
      <w:r>
        <w:rPr>
          <w:rFonts w:hint="eastAsia" w:ascii="宋体" w:hAnsi="宋体" w:eastAsia="宋体" w:cs="宋体"/>
          <w:color w:val="auto"/>
          <w:sz w:val="23"/>
          <w:szCs w:val="23"/>
          <w:highlight w:val="none"/>
          <w:shd w:val="clear" w:color="auto" w:fill="auto"/>
        </w:rPr>
        <w:t>22</w:t>
      </w:r>
    </w:p>
    <w:p w14:paraId="0F0B8AE5">
      <w:pPr>
        <w:tabs>
          <w:tab w:val="right" w:leader="dot" w:pos="8305"/>
        </w:tabs>
        <w:spacing w:line="460" w:lineRule="exact"/>
        <w:ind w:firstLine="707" w:firstLineChars="33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"_bookmark7"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附表三：问题的澄清</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fldChar w:fldCharType="end"/>
      </w:r>
      <w:r>
        <w:rPr>
          <w:rFonts w:hint="eastAsia" w:ascii="宋体" w:hAnsi="宋体" w:eastAsia="宋体" w:cs="宋体"/>
          <w:color w:val="auto"/>
          <w:sz w:val="23"/>
          <w:szCs w:val="23"/>
          <w:highlight w:val="none"/>
          <w:shd w:val="clear" w:color="auto" w:fill="auto"/>
        </w:rPr>
        <w:t>23</w:t>
      </w:r>
    </w:p>
    <w:p w14:paraId="05B80DAC">
      <w:pPr>
        <w:tabs>
          <w:tab w:val="right" w:leader="dot" w:pos="8305"/>
        </w:tabs>
        <w:spacing w:line="460" w:lineRule="exact"/>
        <w:ind w:firstLine="707" w:firstLineChars="33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"_bookmark8"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附表四：中标通知书</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fldChar w:fldCharType="end"/>
      </w:r>
      <w:r>
        <w:rPr>
          <w:rFonts w:hint="eastAsia" w:ascii="宋体" w:hAnsi="宋体" w:eastAsia="宋体" w:cs="宋体"/>
          <w:color w:val="auto"/>
          <w:sz w:val="23"/>
          <w:szCs w:val="23"/>
          <w:highlight w:val="none"/>
          <w:shd w:val="clear" w:color="auto" w:fill="auto"/>
        </w:rPr>
        <w:t>24</w:t>
      </w:r>
    </w:p>
    <w:p w14:paraId="0300B56A">
      <w:pPr>
        <w:tabs>
          <w:tab w:val="right" w:leader="dot" w:pos="8305"/>
        </w:tabs>
        <w:spacing w:line="460" w:lineRule="exact"/>
        <w:ind w:firstLine="707" w:firstLineChars="33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"_bookmark10"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附表五：确认通知</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t>25</w:t>
      </w:r>
      <w:r>
        <w:rPr>
          <w:rFonts w:hint="eastAsia" w:ascii="宋体" w:hAnsi="宋体" w:eastAsia="宋体" w:cs="宋体"/>
          <w:color w:val="auto"/>
          <w:sz w:val="23"/>
          <w:szCs w:val="23"/>
          <w:highlight w:val="none"/>
          <w:shd w:val="clear" w:color="auto" w:fill="auto"/>
        </w:rPr>
        <w:fldChar w:fldCharType="end"/>
      </w:r>
    </w:p>
    <w:p w14:paraId="3C238C3A">
      <w:pPr>
        <w:tabs>
          <w:tab w:val="right" w:leader="dot" w:pos="8305"/>
        </w:tabs>
        <w:spacing w:line="460" w:lineRule="exact"/>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"_bookmark11"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第三章评标定标办法</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t>2</w:t>
      </w:r>
      <w:r>
        <w:rPr>
          <w:rFonts w:hint="eastAsia" w:ascii="宋体" w:hAnsi="宋体" w:eastAsia="宋体" w:cs="宋体"/>
          <w:color w:val="auto"/>
          <w:sz w:val="23"/>
          <w:szCs w:val="23"/>
          <w:highlight w:val="none"/>
          <w:shd w:val="clear" w:color="auto" w:fill="auto"/>
        </w:rPr>
        <w:fldChar w:fldCharType="end"/>
      </w:r>
      <w:r>
        <w:rPr>
          <w:rFonts w:hint="eastAsia" w:ascii="宋体" w:hAnsi="宋体" w:eastAsia="宋体" w:cs="宋体"/>
          <w:color w:val="auto"/>
          <w:sz w:val="23"/>
          <w:szCs w:val="23"/>
          <w:highlight w:val="none"/>
          <w:shd w:val="clear" w:color="auto" w:fill="auto"/>
        </w:rPr>
        <w:t>6</w:t>
      </w:r>
    </w:p>
    <w:p w14:paraId="7B7858E5">
      <w:pPr>
        <w:tabs>
          <w:tab w:val="right" w:leader="dot" w:pos="8305"/>
        </w:tabs>
        <w:spacing w:line="460" w:lineRule="exact"/>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"_bookmark12"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第四章合同条款及格式</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t>3</w:t>
      </w:r>
      <w:r>
        <w:rPr>
          <w:rFonts w:hint="eastAsia" w:ascii="宋体" w:hAnsi="宋体" w:eastAsia="宋体" w:cs="宋体"/>
          <w:color w:val="auto"/>
          <w:sz w:val="23"/>
          <w:szCs w:val="23"/>
          <w:highlight w:val="none"/>
          <w:shd w:val="clear" w:color="auto" w:fill="auto"/>
        </w:rPr>
        <w:fldChar w:fldCharType="end"/>
      </w:r>
      <w:r>
        <w:rPr>
          <w:rFonts w:hint="eastAsia" w:ascii="宋体" w:hAnsi="宋体" w:eastAsia="宋体" w:cs="宋体"/>
          <w:color w:val="auto"/>
          <w:sz w:val="23"/>
          <w:szCs w:val="23"/>
          <w:highlight w:val="none"/>
          <w:shd w:val="clear" w:color="auto" w:fill="auto"/>
        </w:rPr>
        <w:t>5</w:t>
      </w:r>
    </w:p>
    <w:p w14:paraId="0C05FEFF">
      <w:pPr>
        <w:tabs>
          <w:tab w:val="right" w:leader="dot" w:pos="8305"/>
        </w:tabs>
        <w:spacing w:line="460" w:lineRule="exact"/>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"_bookmark13"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第五章招标内容和技术要求</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t>5</w:t>
      </w:r>
      <w:r>
        <w:rPr>
          <w:rFonts w:hint="eastAsia" w:ascii="宋体" w:hAnsi="宋体" w:eastAsia="宋体" w:cs="宋体"/>
          <w:color w:val="auto"/>
          <w:sz w:val="23"/>
          <w:szCs w:val="23"/>
          <w:highlight w:val="none"/>
          <w:shd w:val="clear" w:color="auto" w:fill="auto"/>
        </w:rPr>
        <w:fldChar w:fldCharType="end"/>
      </w:r>
      <w:r>
        <w:rPr>
          <w:rFonts w:hint="eastAsia" w:ascii="宋体" w:hAnsi="宋体" w:eastAsia="宋体" w:cs="宋体"/>
          <w:color w:val="auto"/>
          <w:sz w:val="23"/>
          <w:szCs w:val="23"/>
          <w:highlight w:val="none"/>
          <w:shd w:val="clear" w:color="auto" w:fill="auto"/>
        </w:rPr>
        <w:t>1</w:t>
      </w:r>
    </w:p>
    <w:p w14:paraId="3184A4DB">
      <w:pPr>
        <w:tabs>
          <w:tab w:val="right" w:leader="dot" w:pos="8305"/>
        </w:tabs>
        <w:spacing w:line="460" w:lineRule="exact"/>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"_bookmark14"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第六章投标文件格式</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t>5</w:t>
      </w:r>
      <w:r>
        <w:rPr>
          <w:rFonts w:hint="eastAsia" w:ascii="宋体" w:hAnsi="宋体" w:eastAsia="宋体" w:cs="宋体"/>
          <w:color w:val="auto"/>
          <w:sz w:val="23"/>
          <w:szCs w:val="23"/>
          <w:highlight w:val="none"/>
          <w:shd w:val="clear" w:color="auto" w:fill="auto"/>
        </w:rPr>
        <w:fldChar w:fldCharType="end"/>
      </w:r>
      <w:r>
        <w:rPr>
          <w:rFonts w:hint="eastAsia" w:ascii="宋体" w:hAnsi="宋体" w:eastAsia="宋体" w:cs="宋体"/>
          <w:color w:val="auto"/>
          <w:sz w:val="23"/>
          <w:szCs w:val="23"/>
          <w:highlight w:val="none"/>
          <w:shd w:val="clear" w:color="auto" w:fill="auto"/>
        </w:rPr>
        <w:t>2</w:t>
      </w:r>
    </w:p>
    <w:p w14:paraId="1D8B0942">
      <w:pPr>
        <w:tabs>
          <w:tab w:val="right" w:leader="dot" w:pos="8305"/>
        </w:tabs>
        <w:spacing w:line="460" w:lineRule="exact"/>
        <w:ind w:firstLine="707" w:firstLineChars="33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"_bookmark15"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格式一：投标函</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t>53</w:t>
      </w:r>
      <w:r>
        <w:rPr>
          <w:rFonts w:hint="eastAsia" w:ascii="宋体" w:hAnsi="宋体" w:eastAsia="宋体" w:cs="宋体"/>
          <w:color w:val="auto"/>
          <w:sz w:val="23"/>
          <w:szCs w:val="23"/>
          <w:highlight w:val="none"/>
          <w:shd w:val="clear" w:color="auto" w:fill="auto"/>
        </w:rPr>
        <w:fldChar w:fldCharType="end"/>
      </w:r>
    </w:p>
    <w:p w14:paraId="1168B10B">
      <w:pPr>
        <w:tabs>
          <w:tab w:val="right" w:leader="dot" w:pos="8305"/>
        </w:tabs>
        <w:spacing w:line="460" w:lineRule="exact"/>
        <w:ind w:firstLine="707" w:firstLineChars="33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"_bookmark16"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格式二：法定代表人身份证明</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t>54</w:t>
      </w:r>
      <w:r>
        <w:rPr>
          <w:rFonts w:hint="eastAsia" w:ascii="宋体" w:hAnsi="宋体" w:eastAsia="宋体" w:cs="宋体"/>
          <w:color w:val="auto"/>
          <w:sz w:val="23"/>
          <w:szCs w:val="23"/>
          <w:highlight w:val="none"/>
          <w:shd w:val="clear" w:color="auto" w:fill="auto"/>
        </w:rPr>
        <w:fldChar w:fldCharType="end"/>
      </w:r>
    </w:p>
    <w:p w14:paraId="0BDC3BB3">
      <w:pPr>
        <w:tabs>
          <w:tab w:val="right" w:leader="dot" w:pos="8305"/>
        </w:tabs>
        <w:spacing w:line="460" w:lineRule="exact"/>
        <w:ind w:firstLine="707" w:firstLineChars="33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"_bookmark17"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格式三：</w:t>
      </w:r>
      <w:r>
        <w:rPr>
          <w:rFonts w:hint="eastAsia" w:ascii="宋体" w:hAnsi="宋体" w:eastAsia="宋体" w:cs="宋体"/>
          <w:color w:val="auto"/>
          <w:sz w:val="24"/>
          <w:szCs w:val="24"/>
          <w:highlight w:val="none"/>
          <w:shd w:val="clear" w:color="auto" w:fill="auto"/>
        </w:rPr>
        <w:t>法定代表人</w:t>
      </w:r>
      <w:r>
        <w:rPr>
          <w:rFonts w:hint="eastAsia" w:ascii="宋体" w:hAnsi="宋体" w:eastAsia="宋体" w:cs="宋体"/>
          <w:color w:val="auto"/>
          <w:sz w:val="23"/>
          <w:szCs w:val="23"/>
          <w:highlight w:val="none"/>
          <w:shd w:val="clear" w:color="auto" w:fill="auto"/>
        </w:rPr>
        <w:t>授权委托书</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fldChar w:fldCharType="end"/>
      </w:r>
      <w:r>
        <w:rPr>
          <w:rFonts w:hint="eastAsia" w:ascii="宋体" w:hAnsi="宋体" w:eastAsia="宋体" w:cs="宋体"/>
          <w:color w:val="auto"/>
          <w:sz w:val="23"/>
          <w:szCs w:val="23"/>
          <w:highlight w:val="none"/>
          <w:shd w:val="clear" w:color="auto" w:fill="auto"/>
        </w:rPr>
        <w:t>55</w:t>
      </w:r>
    </w:p>
    <w:p w14:paraId="30B0CB76">
      <w:pPr>
        <w:tabs>
          <w:tab w:val="right" w:leader="dot" w:pos="8305"/>
        </w:tabs>
        <w:spacing w:line="460" w:lineRule="exact"/>
        <w:ind w:firstLine="707" w:firstLineChars="33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"_bookmark18"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格式四：投标报价表</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t>5</w:t>
      </w:r>
      <w:r>
        <w:rPr>
          <w:rFonts w:hint="eastAsia" w:ascii="宋体" w:hAnsi="宋体" w:eastAsia="宋体" w:cs="宋体"/>
          <w:color w:val="auto"/>
          <w:sz w:val="23"/>
          <w:szCs w:val="23"/>
          <w:highlight w:val="none"/>
          <w:shd w:val="clear" w:color="auto" w:fill="auto"/>
        </w:rPr>
        <w:fldChar w:fldCharType="end"/>
      </w:r>
      <w:r>
        <w:rPr>
          <w:rFonts w:hint="eastAsia" w:ascii="宋体" w:hAnsi="宋体" w:eastAsia="宋体" w:cs="宋体"/>
          <w:color w:val="auto"/>
          <w:sz w:val="23"/>
          <w:szCs w:val="23"/>
          <w:highlight w:val="none"/>
          <w:shd w:val="clear" w:color="auto" w:fill="auto"/>
        </w:rPr>
        <w:t>6</w:t>
      </w:r>
    </w:p>
    <w:p w14:paraId="03BB4F66">
      <w:pPr>
        <w:tabs>
          <w:tab w:val="right" w:leader="dot" w:pos="8305"/>
        </w:tabs>
        <w:spacing w:line="460" w:lineRule="exact"/>
        <w:ind w:firstLine="707" w:firstLineChars="33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"_bookmark19"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格式五：资料一览表</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t>5</w:t>
      </w:r>
      <w:r>
        <w:rPr>
          <w:rFonts w:hint="eastAsia" w:ascii="宋体" w:hAnsi="宋体" w:eastAsia="宋体" w:cs="宋体"/>
          <w:color w:val="auto"/>
          <w:sz w:val="23"/>
          <w:szCs w:val="23"/>
          <w:highlight w:val="none"/>
          <w:shd w:val="clear" w:color="auto" w:fill="auto"/>
        </w:rPr>
        <w:fldChar w:fldCharType="end"/>
      </w:r>
      <w:r>
        <w:rPr>
          <w:rFonts w:hint="eastAsia" w:ascii="宋体" w:hAnsi="宋体" w:eastAsia="宋体" w:cs="宋体"/>
          <w:color w:val="auto"/>
          <w:sz w:val="23"/>
          <w:szCs w:val="23"/>
          <w:highlight w:val="none"/>
          <w:shd w:val="clear" w:color="auto" w:fill="auto"/>
        </w:rPr>
        <w:t>7</w:t>
      </w:r>
    </w:p>
    <w:p w14:paraId="441B41B0">
      <w:pPr>
        <w:tabs>
          <w:tab w:val="right" w:leader="dot" w:pos="8305"/>
        </w:tabs>
        <w:spacing w:line="460" w:lineRule="exact"/>
        <w:ind w:firstLine="707" w:firstLineChars="33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"_bookmark20"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格式六：打分资料一览表</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t>5</w:t>
      </w:r>
      <w:r>
        <w:rPr>
          <w:rFonts w:hint="eastAsia" w:ascii="宋体" w:hAnsi="宋体" w:eastAsia="宋体" w:cs="宋体"/>
          <w:color w:val="auto"/>
          <w:sz w:val="23"/>
          <w:szCs w:val="23"/>
          <w:highlight w:val="none"/>
          <w:shd w:val="clear" w:color="auto" w:fill="auto"/>
        </w:rPr>
        <w:fldChar w:fldCharType="end"/>
      </w:r>
      <w:r>
        <w:rPr>
          <w:rFonts w:hint="eastAsia" w:ascii="宋体" w:hAnsi="宋体" w:eastAsia="宋体" w:cs="宋体"/>
          <w:color w:val="auto"/>
          <w:sz w:val="23"/>
          <w:szCs w:val="23"/>
          <w:highlight w:val="none"/>
          <w:shd w:val="clear" w:color="auto" w:fill="auto"/>
        </w:rPr>
        <w:t>8</w:t>
      </w:r>
    </w:p>
    <w:p w14:paraId="33613EE1">
      <w:pPr>
        <w:tabs>
          <w:tab w:val="right" w:leader="dot" w:pos="8305"/>
        </w:tabs>
        <w:spacing w:line="460" w:lineRule="exact"/>
        <w:ind w:firstLine="707" w:firstLineChars="33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"_bookmark20"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3"/>
          <w:szCs w:val="23"/>
          <w:highlight w:val="none"/>
          <w:shd w:val="clear" w:color="auto" w:fill="auto"/>
        </w:rPr>
        <w:t>格式七：投标人基本情况</w:t>
      </w:r>
      <w:r>
        <w:rPr>
          <w:rFonts w:hint="eastAsia" w:ascii="宋体" w:hAnsi="宋体" w:eastAsia="宋体" w:cs="宋体"/>
          <w:color w:val="auto"/>
          <w:sz w:val="23"/>
          <w:szCs w:val="23"/>
          <w:highlight w:val="none"/>
          <w:shd w:val="clear" w:color="auto" w:fill="auto"/>
        </w:rPr>
        <w:tab/>
      </w:r>
      <w:r>
        <w:rPr>
          <w:rFonts w:hint="eastAsia" w:ascii="宋体" w:hAnsi="宋体" w:eastAsia="宋体" w:cs="宋体"/>
          <w:color w:val="auto"/>
          <w:sz w:val="23"/>
          <w:szCs w:val="23"/>
          <w:highlight w:val="none"/>
          <w:shd w:val="clear" w:color="auto" w:fill="auto"/>
        </w:rPr>
        <w:t>5</w:t>
      </w:r>
      <w:r>
        <w:rPr>
          <w:rFonts w:hint="eastAsia" w:ascii="宋体" w:hAnsi="宋体" w:eastAsia="宋体" w:cs="宋体"/>
          <w:color w:val="auto"/>
          <w:sz w:val="23"/>
          <w:szCs w:val="23"/>
          <w:highlight w:val="none"/>
          <w:shd w:val="clear" w:color="auto" w:fill="auto"/>
        </w:rPr>
        <w:fldChar w:fldCharType="end"/>
      </w:r>
      <w:r>
        <w:rPr>
          <w:rFonts w:hint="eastAsia" w:ascii="宋体" w:hAnsi="宋体" w:eastAsia="宋体" w:cs="宋体"/>
          <w:color w:val="auto"/>
          <w:sz w:val="23"/>
          <w:szCs w:val="23"/>
          <w:highlight w:val="none"/>
          <w:shd w:val="clear" w:color="auto" w:fill="auto"/>
        </w:rPr>
        <w:t>9</w:t>
      </w:r>
    </w:p>
    <w:p w14:paraId="388F356D">
      <w:pPr>
        <w:jc w:val="both"/>
        <w:rPr>
          <w:rFonts w:hint="eastAsia" w:ascii="宋体" w:hAnsi="宋体" w:eastAsia="宋体" w:cs="宋体"/>
          <w:color w:val="auto"/>
          <w:highlight w:val="none"/>
          <w:shd w:val="clear" w:color="auto" w:fill="auto"/>
        </w:rPr>
        <w:sectPr>
          <w:footerReference r:id="rId4" w:type="default"/>
          <w:pgSz w:w="11906" w:h="16839"/>
          <w:pgMar w:top="1418" w:right="1559" w:bottom="1418" w:left="1474" w:header="0" w:footer="0" w:gutter="0"/>
          <w:cols w:space="720" w:num="1"/>
        </w:sectPr>
      </w:pPr>
    </w:p>
    <w:p w14:paraId="5E0D2660">
      <w:pPr>
        <w:spacing w:line="245" w:lineRule="auto"/>
        <w:jc w:val="both"/>
        <w:rPr>
          <w:rFonts w:hint="eastAsia" w:ascii="宋体" w:hAnsi="宋体" w:eastAsia="宋体" w:cs="宋体"/>
          <w:color w:val="auto"/>
          <w:highlight w:val="none"/>
          <w:shd w:val="clear" w:color="auto" w:fill="auto"/>
        </w:rPr>
      </w:pPr>
    </w:p>
    <w:p w14:paraId="300DEEF5">
      <w:pPr>
        <w:spacing w:before="101" w:line="224" w:lineRule="auto"/>
        <w:ind w:left="3173"/>
        <w:jc w:val="both"/>
        <w:outlineLvl w:val="0"/>
        <w:rPr>
          <w:rFonts w:hint="eastAsia" w:ascii="宋体" w:hAnsi="宋体" w:eastAsia="宋体" w:cs="宋体"/>
          <w:color w:val="auto"/>
          <w:sz w:val="31"/>
          <w:szCs w:val="31"/>
          <w:highlight w:val="none"/>
          <w:shd w:val="clear" w:color="auto" w:fill="auto"/>
        </w:rPr>
      </w:pPr>
      <w:bookmarkStart w:id="0" w:name="_bookmark1"/>
      <w:bookmarkEnd w:id="0"/>
      <w:r>
        <w:rPr>
          <w:rFonts w:hint="eastAsia" w:ascii="宋体" w:hAnsi="宋体" w:eastAsia="宋体" w:cs="宋体"/>
          <w:color w:val="auto"/>
          <w:sz w:val="31"/>
          <w:szCs w:val="31"/>
          <w:highlight w:val="none"/>
          <w:shd w:val="clear" w:color="auto" w:fill="auto"/>
        </w:rPr>
        <w:t>第一章</w:t>
      </w:r>
      <w:r>
        <w:rPr>
          <w:rFonts w:hint="eastAsia" w:ascii="宋体" w:hAnsi="宋体" w:cs="宋体"/>
          <w:color w:val="auto"/>
          <w:sz w:val="31"/>
          <w:szCs w:val="31"/>
          <w:highlight w:val="none"/>
          <w:shd w:val="clear" w:color="auto" w:fill="auto"/>
          <w:lang w:val="en-US" w:eastAsia="zh-CN"/>
        </w:rPr>
        <w:t xml:space="preserve">  </w:t>
      </w:r>
      <w:r>
        <w:rPr>
          <w:rFonts w:hint="eastAsia" w:ascii="宋体" w:hAnsi="宋体" w:eastAsia="宋体" w:cs="宋体"/>
          <w:color w:val="auto"/>
          <w:sz w:val="31"/>
          <w:szCs w:val="31"/>
          <w:highlight w:val="none"/>
          <w:shd w:val="clear" w:color="auto" w:fill="auto"/>
        </w:rPr>
        <w:t>招标公告</w:t>
      </w:r>
    </w:p>
    <w:p w14:paraId="42E1BD88">
      <w:pPr>
        <w:spacing w:before="125" w:line="353" w:lineRule="auto"/>
        <w:ind w:right="65"/>
        <w:jc w:val="right"/>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项目编号：</w:t>
      </w:r>
      <w:r>
        <w:rPr>
          <w:rFonts w:hint="eastAsia" w:ascii="宋体" w:hAnsi="宋体" w:eastAsia="宋体" w:cs="宋体"/>
          <w:color w:val="auto"/>
          <w:highlight w:val="none"/>
          <w:u w:val="single"/>
          <w:shd w:val="clear" w:color="auto" w:fill="auto"/>
          <w:lang w:val="en-US" w:eastAsia="zh-CN"/>
        </w:rPr>
        <w:t>ZJZY-2025-SWCY0501</w:t>
      </w:r>
    </w:p>
    <w:p w14:paraId="475DA6DE">
      <w:pPr>
        <w:keepNext w:val="0"/>
        <w:keepLines w:val="0"/>
        <w:pageBreakBefore w:val="0"/>
        <w:wordWrap/>
        <w:overflowPunct/>
        <w:topLinePunct w:val="0"/>
        <w:bidi w:val="0"/>
        <w:spacing w:line="440" w:lineRule="exact"/>
        <w:ind w:firstLine="420" w:firstLineChars="200"/>
        <w:rPr>
          <w:rFonts w:hint="eastAsia" w:ascii="宋体" w:hAnsi="宋体" w:eastAsia="宋体" w:cs="宋体"/>
          <w:color w:val="auto"/>
          <w:position w:val="2"/>
          <w:sz w:val="21"/>
          <w:szCs w:val="21"/>
          <w:highlight w:val="none"/>
          <w:shd w:val="clear" w:color="auto" w:fill="auto"/>
          <w:lang w:eastAsia="zh-CN"/>
        </w:rPr>
      </w:pPr>
      <w:r>
        <w:rPr>
          <w:rFonts w:hint="eastAsia" w:ascii="宋体" w:hAnsi="宋体" w:eastAsia="宋体" w:cs="宋体"/>
          <w:color w:val="auto"/>
          <w:sz w:val="21"/>
          <w:szCs w:val="21"/>
          <w:highlight w:val="none"/>
          <w:u w:val="none"/>
          <w:shd w:val="clear" w:color="auto" w:fill="auto"/>
        </w:rPr>
        <w:t xml:space="preserve">本次招标项目 </w:t>
      </w:r>
      <w:r>
        <w:rPr>
          <w:rFonts w:hint="eastAsia" w:ascii="宋体" w:hAnsi="宋体" w:eastAsia="宋体" w:cs="宋体"/>
          <w:color w:val="auto"/>
          <w:sz w:val="21"/>
          <w:szCs w:val="21"/>
          <w:highlight w:val="none"/>
          <w:u w:val="single"/>
          <w:shd w:val="clear" w:color="auto" w:fill="auto"/>
        </w:rPr>
        <w:t>绍兴市水务产业有限公司二次供水设备年度采购项目</w:t>
      </w:r>
      <w:r>
        <w:rPr>
          <w:rFonts w:hint="eastAsia" w:ascii="宋体" w:hAnsi="宋体" w:eastAsia="宋体" w:cs="宋体"/>
          <w:color w:val="auto"/>
          <w:sz w:val="21"/>
          <w:szCs w:val="21"/>
          <w:highlight w:val="none"/>
          <w:u w:val="none"/>
          <w:shd w:val="clear" w:color="auto" w:fill="auto"/>
        </w:rPr>
        <w:t>（项目名称），已由</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rPr>
        <w:t>（项目审批、核准或备案机关名称）以</w:t>
      </w:r>
      <w:r>
        <w:rPr>
          <w:rFonts w:hint="eastAsia" w:ascii="宋体" w:hAnsi="宋体" w:eastAsia="宋体" w:cs="宋体"/>
          <w:color w:val="auto"/>
          <w:sz w:val="21"/>
          <w:szCs w:val="21"/>
          <w:highlight w:val="none"/>
          <w:u w:val="single"/>
          <w:shd w:val="clear" w:color="auto" w:fill="auto"/>
          <w:lang w:val="en-US" w:eastAsia="zh-CN"/>
        </w:rPr>
        <w:t xml:space="preserve">  /  </w:t>
      </w:r>
      <w:r>
        <w:rPr>
          <w:rFonts w:hint="eastAsia" w:ascii="宋体" w:hAnsi="宋体" w:eastAsia="宋体" w:cs="宋体"/>
          <w:color w:val="auto"/>
          <w:sz w:val="21"/>
          <w:szCs w:val="21"/>
          <w:highlight w:val="none"/>
          <w:u w:val="none"/>
          <w:shd w:val="clear" w:color="auto" w:fill="auto"/>
        </w:rPr>
        <w:t>（批文名称及编号）批准建设，项目业主为</w:t>
      </w:r>
      <w:r>
        <w:rPr>
          <w:rFonts w:hint="eastAsia" w:ascii="宋体" w:hAnsi="宋体" w:eastAsia="宋体" w:cs="宋体"/>
          <w:color w:val="auto"/>
          <w:sz w:val="21"/>
          <w:szCs w:val="21"/>
          <w:highlight w:val="none"/>
          <w:u w:val="single"/>
          <w:shd w:val="clear" w:color="auto" w:fill="auto"/>
        </w:rPr>
        <w:t xml:space="preserve"> 绍兴市水务产业有限公司 </w:t>
      </w:r>
      <w:r>
        <w:rPr>
          <w:rFonts w:hint="eastAsia" w:ascii="宋体" w:hAnsi="宋体" w:eastAsia="宋体" w:cs="宋体"/>
          <w:color w:val="auto"/>
          <w:sz w:val="21"/>
          <w:szCs w:val="21"/>
          <w:highlight w:val="none"/>
          <w:u w:val="none"/>
          <w:shd w:val="clear" w:color="auto" w:fill="auto"/>
        </w:rPr>
        <w:t>，建设资金</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自筹</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rPr>
        <w:t>（资金来源），招标人为</w:t>
      </w:r>
      <w:r>
        <w:rPr>
          <w:rFonts w:hint="eastAsia" w:ascii="宋体" w:hAnsi="宋体" w:eastAsia="宋体" w:cs="宋体"/>
          <w:color w:val="auto"/>
          <w:sz w:val="21"/>
          <w:szCs w:val="21"/>
          <w:highlight w:val="none"/>
          <w:u w:val="single"/>
          <w:shd w:val="clear" w:color="auto" w:fill="auto"/>
        </w:rPr>
        <w:t xml:space="preserve">  绍兴市水务产业有限公司。</w:t>
      </w:r>
      <w:r>
        <w:rPr>
          <w:rFonts w:hint="eastAsia" w:ascii="宋体" w:hAnsi="宋体" w:eastAsia="宋体" w:cs="宋体"/>
          <w:color w:val="auto"/>
          <w:sz w:val="21"/>
          <w:szCs w:val="21"/>
          <w:highlight w:val="none"/>
          <w:u w:val="none"/>
          <w:shd w:val="clear" w:color="auto" w:fill="auto"/>
        </w:rPr>
        <w:t>项目已具备招标条件，现对该项目的</w:t>
      </w:r>
      <w:r>
        <w:rPr>
          <w:rFonts w:hint="eastAsia" w:ascii="宋体" w:hAnsi="宋体" w:eastAsia="宋体" w:cs="宋体"/>
          <w:color w:val="auto"/>
          <w:sz w:val="21"/>
          <w:szCs w:val="21"/>
          <w:highlight w:val="none"/>
          <w:u w:val="single"/>
          <w:shd w:val="clear" w:color="auto" w:fill="auto"/>
        </w:rPr>
        <w:t xml:space="preserve"> 绍兴市水务产业有限公司二次供水设备年度采购项目</w:t>
      </w:r>
      <w:r>
        <w:rPr>
          <w:rFonts w:hint="eastAsia" w:ascii="宋体" w:hAnsi="宋体" w:eastAsia="宋体" w:cs="宋体"/>
          <w:color w:val="auto"/>
          <w:sz w:val="21"/>
          <w:szCs w:val="21"/>
          <w:highlight w:val="none"/>
          <w:u w:val="none"/>
          <w:shd w:val="clear" w:color="auto" w:fill="auto"/>
        </w:rPr>
        <w:t>进行公开招标</w:t>
      </w:r>
      <w:r>
        <w:rPr>
          <w:rFonts w:hint="eastAsia" w:ascii="宋体" w:hAnsi="宋体" w:eastAsia="宋体" w:cs="宋体"/>
          <w:color w:val="auto"/>
          <w:sz w:val="21"/>
          <w:szCs w:val="21"/>
          <w:highlight w:val="none"/>
          <w:u w:val="none"/>
          <w:shd w:val="clear" w:color="auto" w:fill="auto"/>
          <w:lang w:eastAsia="zh-CN"/>
        </w:rPr>
        <w:t>。</w:t>
      </w:r>
    </w:p>
    <w:p w14:paraId="21FB7178">
      <w:pPr>
        <w:keepNext w:val="0"/>
        <w:keepLines w:val="0"/>
        <w:pageBreakBefore w:val="0"/>
        <w:wordWrap/>
        <w:overflowPunct/>
        <w:topLinePunct w:val="0"/>
        <w:bidi w:val="0"/>
        <w:spacing w:line="440" w:lineRule="exact"/>
        <w:ind w:left="493"/>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position w:val="2"/>
          <w:sz w:val="21"/>
          <w:szCs w:val="21"/>
          <w:highlight w:val="none"/>
          <w:shd w:val="clear" w:color="auto" w:fill="auto"/>
        </w:rPr>
        <w:t>一、本次招标内容</w:t>
      </w:r>
    </w:p>
    <w:p w14:paraId="747468C9">
      <w:pPr>
        <w:keepNext w:val="0"/>
        <w:keepLines w:val="0"/>
        <w:pageBreakBefore w:val="0"/>
        <w:tabs>
          <w:tab w:val="left" w:pos="3725"/>
        </w:tabs>
        <w:wordWrap/>
        <w:overflowPunct/>
        <w:topLinePunct w:val="0"/>
        <w:bidi w:val="0"/>
        <w:spacing w:line="440" w:lineRule="exact"/>
        <w:ind w:left="1"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w:t>
      </w:r>
      <w:r>
        <w:rPr>
          <w:rFonts w:hint="eastAsia" w:ascii="宋体" w:hAnsi="宋体" w:eastAsia="宋体" w:cs="宋体"/>
          <w:color w:val="auto"/>
          <w:sz w:val="21"/>
          <w:szCs w:val="21"/>
          <w:highlight w:val="none"/>
          <w:u w:val="single"/>
          <w:shd w:val="clear" w:color="auto" w:fill="auto"/>
        </w:rPr>
        <w:t>按照招标人要求完成供水设备、水质检测设备、远传监控设备供应和安装及质保期内的维护内容，具体详见招标文件</w:t>
      </w:r>
      <w:r>
        <w:rPr>
          <w:rFonts w:hint="eastAsia" w:ascii="宋体" w:hAnsi="宋体" w:eastAsia="宋体" w:cs="宋体"/>
          <w:color w:val="auto"/>
          <w:sz w:val="21"/>
          <w:szCs w:val="21"/>
          <w:highlight w:val="none"/>
          <w:shd w:val="clear" w:color="auto" w:fill="auto"/>
        </w:rPr>
        <w:t>，本次招标范围内的工程</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估算(或□概算)造</w:t>
      </w:r>
      <w:r>
        <w:rPr>
          <w:rFonts w:hint="eastAsia" w:ascii="宋体" w:hAnsi="宋体" w:eastAsia="宋体" w:cs="宋体"/>
          <w:color w:val="auto"/>
          <w:sz w:val="21"/>
          <w:szCs w:val="21"/>
          <w:highlight w:val="none"/>
          <w:shd w:val="clear" w:color="auto" w:fill="auto"/>
        </w:rPr>
        <w:t>价</w:t>
      </w:r>
      <w:r>
        <w:rPr>
          <w:rFonts w:hint="eastAsia" w:ascii="宋体" w:hAnsi="宋体" w:cs="宋体"/>
          <w:color w:val="auto"/>
          <w:sz w:val="21"/>
          <w:szCs w:val="21"/>
          <w:highlight w:val="none"/>
          <w:u w:val="single"/>
          <w:shd w:val="clear" w:color="auto" w:fill="auto"/>
          <w:lang w:val="en-US" w:eastAsia="zh-CN"/>
        </w:rPr>
        <w:t>2372.154</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万</w:t>
      </w:r>
      <w:r>
        <w:rPr>
          <w:rFonts w:hint="eastAsia" w:ascii="宋体" w:hAnsi="宋体" w:eastAsia="宋体" w:cs="宋体"/>
          <w:color w:val="auto"/>
          <w:sz w:val="21"/>
          <w:szCs w:val="21"/>
          <w:highlight w:val="none"/>
          <w:shd w:val="clear" w:color="auto" w:fill="auto"/>
        </w:rPr>
        <w:t>元，</w:t>
      </w:r>
      <w:r>
        <w:rPr>
          <w:rFonts w:hint="eastAsia" w:ascii="宋体" w:hAnsi="宋体" w:eastAsia="宋体" w:cs="宋体"/>
          <w:color w:val="auto"/>
          <w:sz w:val="21"/>
          <w:szCs w:val="21"/>
          <w:highlight w:val="none"/>
          <w:shd w:val="clear" w:color="auto" w:fill="auto"/>
        </w:rPr>
        <w:t>采用投标资格后审方式招标。</w:t>
      </w:r>
    </w:p>
    <w:p w14:paraId="7B1B79B6">
      <w:pPr>
        <w:keepNext w:val="0"/>
        <w:keepLines w:val="0"/>
        <w:pageBreakBefore w:val="0"/>
        <w:wordWrap/>
        <w:overflowPunct/>
        <w:topLinePunct w:val="0"/>
        <w:bidi w:val="0"/>
        <w:spacing w:line="440" w:lineRule="exact"/>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1.2是否属于政府采购工程</w:t>
      </w:r>
      <w:r>
        <w:rPr>
          <w:rFonts w:hint="eastAsia" w:ascii="宋体" w:hAnsi="宋体" w:eastAsia="宋体" w:cs="宋体"/>
          <w:color w:val="auto"/>
          <w:sz w:val="21"/>
          <w:szCs w:val="21"/>
          <w:highlight w:val="none"/>
          <w:shd w:val="clear" w:color="auto" w:fill="auto"/>
        </w:rPr>
        <w:tab/>
      </w:r>
      <w:r>
        <w:rPr>
          <w:rFonts w:hint="eastAsia" w:ascii="宋体" w:hAnsi="宋体" w:eastAsia="宋体" w:cs="宋体"/>
          <w:color w:val="auto"/>
          <w:sz w:val="21"/>
          <w:szCs w:val="21"/>
          <w:highlight w:val="none"/>
          <w:shd w:val="clear" w:color="auto" w:fill="auto"/>
        </w:rPr>
        <w:t>□是</w:t>
      </w:r>
      <w:r>
        <w:rPr>
          <w:rFonts w:hint="eastAsia" w:ascii="宋体" w:hAnsi="宋体" w:eastAsia="宋体" w:cs="宋体"/>
          <w:color w:val="auto"/>
          <w:sz w:val="21"/>
          <w:szCs w:val="21"/>
          <w:highlight w:val="none"/>
          <w:shd w:val="clear" w:color="auto" w:fill="auto"/>
        </w:rPr>
        <w:tab/>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否</w:t>
      </w:r>
    </w:p>
    <w:p w14:paraId="456068C5">
      <w:pPr>
        <w:keepNext w:val="0"/>
        <w:keepLines w:val="0"/>
        <w:pageBreakBefore w:val="0"/>
        <w:wordWrap/>
        <w:overflowPunct/>
        <w:topLinePunct w:val="0"/>
        <w:bidi w:val="0"/>
        <w:spacing w:line="440" w:lineRule="exact"/>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1.3是否专门面向中小企业预留</w:t>
      </w:r>
    </w:p>
    <w:p w14:paraId="2B63FEAE">
      <w:pPr>
        <w:keepNext w:val="0"/>
        <w:keepLines w:val="0"/>
        <w:pageBreakBefore w:val="0"/>
        <w:wordWrap/>
        <w:overflowPunct/>
        <w:topLinePunct w:val="0"/>
        <w:bidi w:val="0"/>
        <w:spacing w:line="440" w:lineRule="exact"/>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sym w:font="Wingdings 2" w:char="00A3"/>
      </w:r>
      <w:r>
        <w:rPr>
          <w:rFonts w:hint="eastAsia" w:ascii="宋体" w:hAnsi="宋体" w:eastAsia="宋体" w:cs="宋体"/>
          <w:color w:val="auto"/>
          <w:sz w:val="21"/>
          <w:szCs w:val="21"/>
          <w:highlight w:val="none"/>
          <w:shd w:val="clear" w:color="auto" w:fill="auto"/>
        </w:rPr>
        <w:t>是</w:t>
      </w:r>
    </w:p>
    <w:p w14:paraId="2F7985C4">
      <w:pPr>
        <w:keepNext w:val="0"/>
        <w:keepLines w:val="0"/>
        <w:pageBreakBefore w:val="0"/>
        <w:wordWrap/>
        <w:overflowPunct/>
        <w:topLinePunct w:val="0"/>
        <w:bidi w:val="0"/>
        <w:spacing w:line="440" w:lineRule="exact"/>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sym w:font="Wingdings 2" w:char="0052"/>
      </w:r>
      <w:r>
        <w:rPr>
          <w:rFonts w:hint="eastAsia" w:ascii="宋体" w:hAnsi="宋体" w:eastAsia="宋体" w:cs="宋体"/>
          <w:color w:val="auto"/>
          <w:sz w:val="21"/>
          <w:szCs w:val="21"/>
          <w:highlight w:val="none"/>
          <w:shd w:val="clear" w:color="auto" w:fill="auto"/>
        </w:rPr>
        <w:t>否（不专门面向中小企业采购的原因及适用条款）</w:t>
      </w:r>
    </w:p>
    <w:p w14:paraId="76B6D7F3">
      <w:pPr>
        <w:keepNext w:val="0"/>
        <w:keepLines w:val="0"/>
        <w:pageBreakBefore w:val="0"/>
        <w:wordWrap/>
        <w:overflowPunct/>
        <w:topLinePunct w:val="0"/>
        <w:bidi w:val="0"/>
        <w:spacing w:line="440" w:lineRule="exact"/>
        <w:ind w:firstLine="420" w:firstLineChars="200"/>
        <w:rPr>
          <w:rFonts w:hint="eastAsia" w:ascii="宋体" w:hAnsi="宋体" w:eastAsia="宋体" w:cs="宋体"/>
          <w:strike/>
          <w:dstrike w:val="0"/>
          <w:color w:val="auto"/>
          <w:sz w:val="21"/>
          <w:szCs w:val="21"/>
          <w:highlight w:val="none"/>
          <w:shd w:val="clear" w:color="auto" w:fill="auto"/>
        </w:rPr>
      </w:pPr>
      <w:r>
        <w:rPr>
          <w:rFonts w:hint="eastAsia" w:ascii="宋体" w:hAnsi="宋体" w:eastAsia="宋体" w:cs="宋体"/>
          <w:strike/>
          <w:dstrike w:val="0"/>
          <w:color w:val="auto"/>
          <w:sz w:val="21"/>
          <w:szCs w:val="21"/>
          <w:highlight w:val="none"/>
          <w:shd w:val="clear" w:color="auto" w:fill="auto"/>
        </w:rPr>
        <w:t>1.4专门面向中小企业预留的实施方式</w:t>
      </w:r>
    </w:p>
    <w:p w14:paraId="7A04004C">
      <w:pPr>
        <w:keepNext w:val="0"/>
        <w:keepLines w:val="0"/>
        <w:pageBreakBefore w:val="0"/>
        <w:wordWrap/>
        <w:overflowPunct/>
        <w:topLinePunct w:val="0"/>
        <w:bidi w:val="0"/>
        <w:spacing w:line="440" w:lineRule="exact"/>
        <w:ind w:firstLine="420" w:firstLineChars="200"/>
        <w:rPr>
          <w:rFonts w:hint="eastAsia" w:ascii="宋体" w:hAnsi="宋体" w:eastAsia="宋体" w:cs="宋体"/>
          <w:strike/>
          <w:dstrike w:val="0"/>
          <w:color w:val="auto"/>
          <w:sz w:val="21"/>
          <w:szCs w:val="21"/>
          <w:highlight w:val="none"/>
          <w:shd w:val="clear" w:color="auto" w:fill="auto"/>
        </w:rPr>
      </w:pPr>
      <w:r>
        <w:rPr>
          <w:rFonts w:hint="eastAsia" w:ascii="宋体" w:hAnsi="宋体" w:eastAsia="宋体" w:cs="宋体"/>
          <w:strike/>
          <w:dstrike w:val="0"/>
          <w:color w:val="auto"/>
          <w:sz w:val="21"/>
          <w:szCs w:val="21"/>
          <w:highlight w:val="none"/>
          <w:shd w:val="clear" w:color="auto" w:fill="auto"/>
        </w:rPr>
        <w:sym w:font="Wingdings 2" w:char="00A3"/>
      </w:r>
      <w:r>
        <w:rPr>
          <w:rFonts w:hint="eastAsia" w:ascii="宋体" w:hAnsi="宋体" w:eastAsia="宋体" w:cs="宋体"/>
          <w:strike/>
          <w:dstrike w:val="0"/>
          <w:color w:val="auto"/>
          <w:sz w:val="21"/>
          <w:szCs w:val="21"/>
          <w:highlight w:val="none"/>
          <w:shd w:val="clear" w:color="auto" w:fill="auto"/>
        </w:rPr>
        <w:t>1.4.1本标段整体面向中小企业；</w:t>
      </w:r>
    </w:p>
    <w:p w14:paraId="1A92DB11">
      <w:pPr>
        <w:keepNext w:val="0"/>
        <w:keepLines w:val="0"/>
        <w:pageBreakBefore w:val="0"/>
        <w:tabs>
          <w:tab w:val="left" w:pos="3725"/>
        </w:tabs>
        <w:wordWrap/>
        <w:overflowPunct/>
        <w:topLinePunct w:val="0"/>
        <w:bidi w:val="0"/>
        <w:spacing w:line="440" w:lineRule="exact"/>
        <w:ind w:left="1" w:firstLine="420" w:firstLineChars="200"/>
        <w:jc w:val="both"/>
        <w:rPr>
          <w:rFonts w:hint="eastAsia" w:ascii="宋体" w:hAnsi="宋体" w:eastAsia="宋体" w:cs="宋体"/>
          <w:strike/>
          <w:dstrike w:val="0"/>
          <w:color w:val="auto"/>
          <w:sz w:val="21"/>
          <w:szCs w:val="21"/>
          <w:highlight w:val="none"/>
          <w:shd w:val="clear" w:color="auto" w:fill="auto"/>
        </w:rPr>
      </w:pPr>
      <w:r>
        <w:rPr>
          <w:rFonts w:hint="eastAsia" w:ascii="宋体" w:hAnsi="宋体" w:eastAsia="宋体" w:cs="宋体"/>
          <w:strike/>
          <w:dstrike w:val="0"/>
          <w:color w:val="auto"/>
          <w:sz w:val="21"/>
          <w:szCs w:val="21"/>
          <w:highlight w:val="none"/>
          <w:shd w:val="clear" w:color="auto" w:fill="auto"/>
        </w:rPr>
        <w:sym w:font="Wingdings 2" w:char="00A3"/>
      </w:r>
      <w:r>
        <w:rPr>
          <w:rFonts w:hint="eastAsia" w:ascii="宋体" w:hAnsi="宋体" w:eastAsia="宋体" w:cs="宋体"/>
          <w:strike/>
          <w:dstrike w:val="0"/>
          <w:color w:val="auto"/>
          <w:sz w:val="21"/>
          <w:szCs w:val="21"/>
          <w:highlight w:val="none"/>
          <w:shd w:val="clear" w:color="auto" w:fill="auto"/>
        </w:rPr>
        <w:t>1.4.2本标段联合体形式面向中小企业，以联合体形式参加本次投标的，联合体中中小企业承担的合同份额需达到（不低于40%）以上。</w:t>
      </w:r>
    </w:p>
    <w:p w14:paraId="77FD32F4">
      <w:pPr>
        <w:keepNext w:val="0"/>
        <w:keepLines w:val="0"/>
        <w:pageBreakBefore w:val="0"/>
        <w:wordWrap/>
        <w:overflowPunct/>
        <w:topLinePunct w:val="0"/>
        <w:bidi w:val="0"/>
        <w:spacing w:line="440" w:lineRule="exact"/>
        <w:ind w:left="493"/>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position w:val="1"/>
          <w:sz w:val="21"/>
          <w:szCs w:val="21"/>
          <w:highlight w:val="none"/>
          <w:shd w:val="clear" w:color="auto" w:fill="auto"/>
        </w:rPr>
        <w:t>二、投标资格条件、要求</w:t>
      </w:r>
    </w:p>
    <w:p w14:paraId="6C2CB978">
      <w:pPr>
        <w:keepNext w:val="0"/>
        <w:keepLines w:val="0"/>
        <w:pageBreakBefore w:val="0"/>
        <w:wordWrap/>
        <w:overflowPunct/>
        <w:topLinePunct w:val="0"/>
        <w:bidi w:val="0"/>
        <w:spacing w:line="440" w:lineRule="exact"/>
        <w:ind w:left="10" w:right="65" w:firstLine="497"/>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1.投标人及其拟派项目负责人自</w:t>
      </w:r>
      <w:r>
        <w:rPr>
          <w:rFonts w:hint="eastAsia" w:ascii="宋体" w:hAnsi="宋体" w:eastAsia="宋体" w:cs="宋体"/>
          <w:color w:val="auto"/>
          <w:sz w:val="21"/>
          <w:szCs w:val="21"/>
          <w:highlight w:val="none"/>
          <w:shd w:val="clear" w:color="auto" w:fill="auto"/>
          <w:lang w:val="en-US" w:eastAsia="zh-CN"/>
        </w:rPr>
        <w:t>2020</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日起至投标截止日止无行贿犯罪记录；</w:t>
      </w:r>
    </w:p>
    <w:p w14:paraId="28FB392E">
      <w:pPr>
        <w:keepNext w:val="0"/>
        <w:keepLines w:val="0"/>
        <w:pageBreakBefore w:val="0"/>
        <w:wordWrap/>
        <w:overflowPunct/>
        <w:topLinePunct w:val="0"/>
        <w:bidi w:val="0"/>
        <w:spacing w:line="440" w:lineRule="exact"/>
        <w:ind w:left="15" w:right="154" w:firstLine="498"/>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sym w:font="Wingdings 2" w:char="0052"/>
      </w:r>
      <w:r>
        <w:rPr>
          <w:rFonts w:hint="eastAsia" w:ascii="宋体" w:hAnsi="宋体" w:eastAsia="宋体" w:cs="宋体"/>
          <w:color w:val="auto"/>
          <w:sz w:val="21"/>
          <w:szCs w:val="21"/>
          <w:highlight w:val="none"/>
          <w:shd w:val="clear" w:color="auto" w:fill="auto"/>
        </w:rPr>
        <w:t>2.投标人及其拟派项目负责人未被列入建筑市场严重失信名单（以全国建筑市场监管公共服务平台黑名单记录、失信联合惩戒记录和浙江省建筑市场监管公共服务系统严重失信名单的信息为准）；</w:t>
      </w:r>
    </w:p>
    <w:p w14:paraId="251C5878">
      <w:pPr>
        <w:keepNext w:val="0"/>
        <w:keepLines w:val="0"/>
        <w:pageBreakBefore w:val="0"/>
        <w:wordWrap/>
        <w:overflowPunct/>
        <w:topLinePunct w:val="0"/>
        <w:bidi w:val="0"/>
        <w:spacing w:line="440" w:lineRule="exact"/>
        <w:ind w:left="14" w:right="63" w:firstLine="474"/>
        <w:jc w:val="both"/>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3.本次招标(□接受</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不接受)联合体投标，联合体投标的，应满足下列要求：</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w:t>
      </w:r>
      <w:r>
        <w:rPr>
          <w:rFonts w:hint="eastAsia" w:ascii="宋体" w:hAnsi="宋体" w:eastAsia="宋体" w:cs="宋体"/>
          <w:color w:val="auto"/>
          <w:sz w:val="21"/>
          <w:szCs w:val="21"/>
          <w:highlight w:val="none"/>
          <w:u w:val="single"/>
          <w:shd w:val="clear" w:color="auto" w:fill="auto"/>
        </w:rPr>
        <w:t xml:space="preserve">  ；</w:t>
      </w:r>
    </w:p>
    <w:p w14:paraId="699CED93">
      <w:pPr>
        <w:keepNext w:val="0"/>
        <w:keepLines w:val="0"/>
        <w:pageBreakBefore w:val="0"/>
        <w:wordWrap/>
        <w:overflowPunct/>
        <w:topLinePunct w:val="0"/>
        <w:bidi w:val="0"/>
        <w:spacing w:line="440" w:lineRule="exact"/>
        <w:ind w:firstLine="420" w:firstLineChars="200"/>
        <w:rPr>
          <w:rFonts w:hint="eastAsia" w:ascii="宋体" w:hAnsi="宋体" w:eastAsia="宋体" w:cs="宋体"/>
          <w:strike/>
          <w:dstrike w:val="0"/>
          <w:color w:val="auto"/>
          <w:sz w:val="21"/>
          <w:szCs w:val="21"/>
          <w:highlight w:val="none"/>
          <w:shd w:val="clear" w:color="auto" w:fill="auto"/>
        </w:rPr>
      </w:pPr>
      <w:r>
        <w:rPr>
          <w:rFonts w:hint="eastAsia" w:ascii="宋体" w:hAnsi="宋体" w:eastAsia="宋体" w:cs="宋体"/>
          <w:strike/>
          <w:dstrike w:val="0"/>
          <w:color w:val="auto"/>
          <w:sz w:val="21"/>
          <w:szCs w:val="21"/>
          <w:highlight w:val="none"/>
          <w:shd w:val="clear" w:color="auto" w:fill="auto"/>
        </w:rPr>
        <w:t>□4.面向中小企业招标的，投标人（或联合体中的中小企业）须为中小企业，并提供《中小企业声明函》。</w:t>
      </w:r>
    </w:p>
    <w:p w14:paraId="14330B3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both"/>
        <w:textAlignment w:val="baseline"/>
        <w:rPr>
          <w:rFonts w:hint="eastAsia" w:ascii="宋体" w:hAnsi="宋体" w:eastAsia="宋体" w:cs="宋体"/>
          <w:color w:val="auto"/>
          <w:sz w:val="21"/>
          <w:szCs w:val="21"/>
          <w:highlight w:val="none"/>
          <w:u w:val="single"/>
          <w:shd w:val="clear" w:color="auto" w:fill="auto"/>
          <w:lang w:val="en-US" w:eastAsia="zh-CN"/>
        </w:rPr>
      </w:pPr>
      <w:r>
        <w:rPr>
          <w:rFonts w:hint="eastAsia" w:ascii="宋体" w:hAnsi="宋体" w:eastAsia="宋体" w:cs="宋体"/>
          <w:color w:val="auto"/>
          <w:sz w:val="21"/>
          <w:szCs w:val="21"/>
          <w:highlight w:val="none"/>
          <w:shd w:val="clear" w:color="auto" w:fill="auto"/>
        </w:rPr>
        <w:sym w:font="Wingdings 2" w:char="0052"/>
      </w:r>
      <w:r>
        <w:rPr>
          <w:rFonts w:hint="eastAsia" w:ascii="宋体" w:hAnsi="宋体" w:eastAsia="宋体" w:cs="宋体"/>
          <w:color w:val="auto"/>
          <w:sz w:val="21"/>
          <w:szCs w:val="21"/>
          <w:highlight w:val="none"/>
          <w:shd w:val="clear" w:color="auto" w:fill="auto"/>
        </w:rPr>
        <w:t>5.</w:t>
      </w:r>
      <w:r>
        <w:rPr>
          <w:rFonts w:hint="eastAsia" w:ascii="宋体" w:hAnsi="宋体" w:eastAsia="宋体" w:cs="宋体"/>
          <w:color w:val="auto"/>
          <w:sz w:val="21"/>
          <w:szCs w:val="21"/>
          <w:highlight w:val="none"/>
          <w:u w:val="single"/>
          <w:shd w:val="clear" w:color="auto" w:fill="auto"/>
          <w:lang w:val="en-US" w:eastAsia="zh-CN"/>
        </w:rPr>
        <w:t>5.1投标人为二次供水设备制造商或二次供水设备制造商授权的代理商（一个制造商仅能委托一个代理商参加投标）；</w:t>
      </w:r>
    </w:p>
    <w:p w14:paraId="733A0E7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jc w:val="both"/>
        <w:textAlignment w:val="baseline"/>
        <w:rPr>
          <w:rFonts w:hint="eastAsia" w:ascii="宋体" w:hAnsi="宋体" w:eastAsia="宋体" w:cs="宋体"/>
          <w:color w:val="auto"/>
          <w:sz w:val="21"/>
          <w:szCs w:val="21"/>
          <w:highlight w:val="none"/>
          <w:u w:val="single"/>
          <w:shd w:val="clear" w:color="auto" w:fill="auto"/>
          <w:lang w:val="en-US" w:eastAsia="zh-CN"/>
        </w:rPr>
      </w:pPr>
      <w:r>
        <w:rPr>
          <w:rFonts w:hint="eastAsia" w:ascii="宋体" w:hAnsi="宋体" w:eastAsia="宋体" w:cs="宋体"/>
          <w:color w:val="auto"/>
          <w:sz w:val="21"/>
          <w:szCs w:val="21"/>
          <w:highlight w:val="none"/>
          <w:u w:val="single"/>
          <w:shd w:val="clear" w:color="auto" w:fill="auto"/>
          <w:lang w:val="en-US" w:eastAsia="zh-CN"/>
        </w:rPr>
        <w:t>5.2二次供水设备制造商具有省级及以上卫生部门颁发的供水设备饮用水卫生安全产品卫生许可批件；如部分省份因省级及以上卫生部门下放了“部分涉及饮用水卫生安全产品行政审批项目权限”的，提供下放职能文件的复印件或提供卫生部门系统官网的文件截图，允许提供符合下放职能文件要求的“涉及饮用水卫生安全产品卫生许可批件”。</w:t>
      </w:r>
    </w:p>
    <w:p w14:paraId="73C8A4A7">
      <w:pPr>
        <w:keepNext w:val="0"/>
        <w:keepLines w:val="0"/>
        <w:pageBreakBefore w:val="0"/>
        <w:wordWrap/>
        <w:overflowPunct/>
        <w:topLinePunct w:val="0"/>
        <w:bidi w:val="0"/>
        <w:spacing w:line="440" w:lineRule="exact"/>
        <w:ind w:left="49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position w:val="1"/>
          <w:sz w:val="21"/>
          <w:szCs w:val="21"/>
          <w:highlight w:val="none"/>
          <w:shd w:val="clear" w:color="auto" w:fill="auto"/>
        </w:rPr>
        <w:t>三、招标文件的获取</w:t>
      </w:r>
    </w:p>
    <w:p w14:paraId="686EE0B3">
      <w:pPr>
        <w:keepNext w:val="0"/>
        <w:keepLines w:val="0"/>
        <w:pageBreakBefore w:val="0"/>
        <w:widowControl/>
        <w:tabs>
          <w:tab w:val="left" w:pos="952"/>
        </w:tabs>
        <w:kinsoku/>
        <w:wordWrap/>
        <w:overflowPunct/>
        <w:topLinePunct w:val="0"/>
        <w:autoSpaceDE/>
        <w:autoSpaceDN/>
        <w:bidi w:val="0"/>
        <w:adjustRightInd/>
        <w:spacing w:line="440" w:lineRule="exact"/>
        <w:ind w:firstLine="424" w:firstLineChars="202"/>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1、招标文件获取时间：</w:t>
      </w:r>
      <w:r>
        <w:rPr>
          <w:rFonts w:hint="eastAsia" w:ascii="宋体" w:hAnsi="宋体" w:eastAsia="宋体" w:cs="宋体"/>
          <w:color w:val="auto"/>
          <w:kern w:val="0"/>
          <w:sz w:val="21"/>
          <w:szCs w:val="21"/>
          <w:highlight w:val="none"/>
          <w:shd w:val="clear" w:color="auto" w:fill="auto"/>
          <w:lang w:eastAsia="zh-CN"/>
        </w:rPr>
        <w:t>2025</w:t>
      </w:r>
      <w:r>
        <w:rPr>
          <w:rFonts w:hint="eastAsia" w:ascii="宋体" w:hAnsi="宋体" w:eastAsia="宋体" w:cs="宋体"/>
          <w:color w:val="auto"/>
          <w:kern w:val="0"/>
          <w:sz w:val="21"/>
          <w:szCs w:val="21"/>
          <w:highlight w:val="none"/>
          <w:shd w:val="clear" w:color="auto" w:fill="auto"/>
        </w:rPr>
        <w:t>年</w:t>
      </w:r>
      <w:r>
        <w:rPr>
          <w:rFonts w:hint="eastAsia" w:ascii="宋体" w:hAnsi="宋体" w:eastAsia="宋体" w:cs="宋体"/>
          <w:color w:val="auto"/>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shd w:val="clear" w:color="auto" w:fill="auto"/>
        </w:rPr>
        <w:t>月</w:t>
      </w:r>
      <w:r>
        <w:rPr>
          <w:rFonts w:hint="eastAsia" w:ascii="宋体" w:hAnsi="宋体" w:eastAsia="宋体" w:cs="宋体"/>
          <w:color w:val="auto"/>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shd w:val="clear" w:color="auto" w:fill="auto"/>
        </w:rPr>
        <w:t>日至</w:t>
      </w:r>
      <w:r>
        <w:rPr>
          <w:rFonts w:hint="eastAsia" w:ascii="宋体" w:hAnsi="宋体" w:eastAsia="宋体" w:cs="宋体"/>
          <w:color w:val="auto"/>
          <w:kern w:val="0"/>
          <w:sz w:val="21"/>
          <w:szCs w:val="21"/>
          <w:highlight w:val="none"/>
          <w:shd w:val="clear" w:color="auto" w:fill="auto"/>
          <w:lang w:eastAsia="zh-CN"/>
        </w:rPr>
        <w:t>2025</w:t>
      </w:r>
      <w:r>
        <w:rPr>
          <w:rFonts w:hint="eastAsia" w:ascii="宋体" w:hAnsi="宋体" w:eastAsia="宋体" w:cs="宋体"/>
          <w:color w:val="auto"/>
          <w:kern w:val="0"/>
          <w:sz w:val="21"/>
          <w:szCs w:val="21"/>
          <w:highlight w:val="none"/>
          <w:shd w:val="clear" w:color="auto" w:fill="auto"/>
        </w:rPr>
        <w:t>年</w:t>
      </w:r>
      <w:r>
        <w:rPr>
          <w:rFonts w:hint="eastAsia" w:ascii="宋体" w:hAnsi="宋体" w:eastAsia="宋体" w:cs="宋体"/>
          <w:color w:val="auto"/>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shd w:val="clear" w:color="auto" w:fill="auto"/>
        </w:rPr>
        <w:t>月</w:t>
      </w:r>
      <w:r>
        <w:rPr>
          <w:rFonts w:hint="eastAsia" w:ascii="宋体" w:hAnsi="宋体" w:eastAsia="宋体" w:cs="宋体"/>
          <w:color w:val="auto"/>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shd w:val="clear" w:color="auto" w:fill="auto"/>
        </w:rPr>
        <w:t>日(双休日及法定节假日除外)上午：8：30-12：00，下午：14：00-17：00。</w:t>
      </w:r>
    </w:p>
    <w:p w14:paraId="67985EFA">
      <w:pPr>
        <w:keepNext w:val="0"/>
        <w:keepLines w:val="0"/>
        <w:pageBreakBefore w:val="0"/>
        <w:widowControl/>
        <w:tabs>
          <w:tab w:val="left" w:pos="952"/>
        </w:tabs>
        <w:kinsoku/>
        <w:wordWrap/>
        <w:overflowPunct/>
        <w:topLinePunct w:val="0"/>
        <w:autoSpaceDE/>
        <w:autoSpaceDN/>
        <w:bidi w:val="0"/>
        <w:adjustRightInd/>
        <w:spacing w:line="440" w:lineRule="exact"/>
        <w:ind w:firstLine="424" w:firstLineChars="202"/>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2、资料要求：本项目在规定时间内获取招标文件，并将下列加盖单位公章的资料扫描件以邮件形式发至3771052270@qq.com邮箱内，资料：（1）企业营业执照复印件</w:t>
      </w:r>
      <w:r>
        <w:rPr>
          <w:rFonts w:hint="eastAsia" w:ascii="宋体" w:hAnsi="宋体" w:eastAsia="宋体" w:cs="宋体"/>
          <w:color w:val="auto"/>
          <w:kern w:val="0"/>
          <w:sz w:val="21"/>
          <w:szCs w:val="21"/>
          <w:highlight w:val="none"/>
          <w:shd w:val="clear" w:color="auto" w:fill="auto"/>
          <w:lang w:eastAsia="zh-CN"/>
        </w:rPr>
        <w:t>；</w:t>
      </w:r>
      <w:r>
        <w:rPr>
          <w:rFonts w:hint="eastAsia" w:ascii="宋体" w:hAnsi="宋体" w:eastAsia="宋体" w:cs="宋体"/>
          <w:color w:val="auto"/>
          <w:kern w:val="0"/>
          <w:sz w:val="21"/>
          <w:szCs w:val="21"/>
          <w:highlight w:val="none"/>
          <w:shd w:val="clear" w:color="auto" w:fill="auto"/>
        </w:rPr>
        <w:t>（2）联系人的授权委托书及本人身份证复印件、授权委托人（</w:t>
      </w:r>
      <w:r>
        <w:rPr>
          <w:rFonts w:hint="eastAsia" w:ascii="宋体" w:hAnsi="宋体" w:eastAsia="宋体" w:cs="宋体"/>
          <w:color w:val="auto"/>
          <w:kern w:val="0"/>
          <w:sz w:val="21"/>
          <w:szCs w:val="21"/>
          <w:highlight w:val="none"/>
          <w:shd w:val="clear" w:color="auto" w:fill="auto"/>
          <w:lang w:eastAsia="zh-CN"/>
        </w:rPr>
        <w:t>2025</w:t>
      </w:r>
      <w:r>
        <w:rPr>
          <w:rFonts w:hint="eastAsia" w:ascii="宋体" w:hAnsi="宋体" w:eastAsia="宋体" w:cs="宋体"/>
          <w:color w:val="auto"/>
          <w:kern w:val="0"/>
          <w:sz w:val="21"/>
          <w:szCs w:val="21"/>
          <w:highlight w:val="none"/>
          <w:shd w:val="clear" w:color="auto" w:fill="auto"/>
        </w:rPr>
        <w:t>年   月至202</w:t>
      </w: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年   月）的社保证明；（3）省级及以上卫生部门颁发的供水设备饮用水卫生安全产品卫生许可批件复印件；如部分省份因省级及以上卫生部门下放了“部分涉及饮用水卫生安全产品行政审批项目权限”的，提供下放职能文件的复印件或提供卫生部门系统官网的文件截图，允许提供符合下放职能文件要求的“涉及饮用水卫生安全产品卫生许可批件”；（4）投标产品制造商的有效授权书和制造商的营业执照复印件。截止期后不再受理资料，不得获取招标文件。</w:t>
      </w:r>
    </w:p>
    <w:p w14:paraId="59AD7AEA">
      <w:pPr>
        <w:keepNext w:val="0"/>
        <w:keepLines w:val="0"/>
        <w:pageBreakBefore w:val="0"/>
        <w:widowControl/>
        <w:tabs>
          <w:tab w:val="left" w:pos="952"/>
        </w:tabs>
        <w:kinsoku/>
        <w:wordWrap/>
        <w:overflowPunct/>
        <w:topLinePunct w:val="0"/>
        <w:autoSpaceDE/>
        <w:autoSpaceDN/>
        <w:bidi w:val="0"/>
        <w:adjustRightInd/>
        <w:spacing w:line="440" w:lineRule="exact"/>
        <w:ind w:firstLine="424" w:firstLineChars="202"/>
        <w:textAlignment w:val="auto"/>
        <w:rPr>
          <w:rFonts w:hint="eastAsia" w:ascii="宋体" w:hAnsi="宋体" w:eastAsia="宋体" w:cs="宋体"/>
          <w:snapToGrid/>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3、招标文件售价(元)：0元。</w:t>
      </w:r>
    </w:p>
    <w:p w14:paraId="36AD7FE3">
      <w:pPr>
        <w:keepNext w:val="0"/>
        <w:keepLines w:val="0"/>
        <w:pageBreakBefore w:val="0"/>
        <w:wordWrap/>
        <w:overflowPunct/>
        <w:topLinePunct w:val="0"/>
        <w:bidi w:val="0"/>
        <w:spacing w:line="440" w:lineRule="exact"/>
        <w:ind w:left="501"/>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四、投标保证金</w:t>
      </w:r>
    </w:p>
    <w:p w14:paraId="0076C489">
      <w:pPr>
        <w:keepNext w:val="0"/>
        <w:keepLines w:val="0"/>
        <w:pageBreakBefore w:val="0"/>
        <w:widowControl w:val="0"/>
        <w:kinsoku/>
        <w:wordWrap/>
        <w:overflowPunct/>
        <w:topLinePunct w:val="0"/>
        <w:autoSpaceDE/>
        <w:autoSpaceDN/>
        <w:bidi w:val="0"/>
        <w:adjustRightInd/>
        <w:snapToGrid/>
        <w:spacing w:line="440" w:lineRule="exact"/>
        <w:ind w:firstLine="369" w:firstLineChars="176"/>
        <w:jc w:val="both"/>
        <w:textAlignment w:val="auto"/>
        <w:rPr>
          <w:rFonts w:hint="eastAsia" w:ascii="宋体" w:hAnsi="宋体" w:eastAsia="宋体" w:cs="宋体"/>
          <w:b/>
          <w:bCs/>
          <w:snapToGrid/>
          <w:color w:val="auto"/>
          <w:kern w:val="2"/>
          <w:sz w:val="21"/>
          <w:szCs w:val="21"/>
          <w:highlight w:val="none"/>
          <w:shd w:val="clear" w:color="auto" w:fill="auto"/>
        </w:rPr>
      </w:pPr>
      <w:r>
        <w:rPr>
          <w:rFonts w:hint="eastAsia" w:ascii="宋体" w:hAnsi="宋体" w:eastAsia="宋体" w:cs="宋体"/>
          <w:snapToGrid/>
          <w:color w:val="auto"/>
          <w:kern w:val="2"/>
          <w:sz w:val="21"/>
          <w:szCs w:val="21"/>
          <w:highlight w:val="none"/>
          <w:shd w:val="clear" w:color="auto" w:fill="auto"/>
        </w:rPr>
        <w:t>1.金额：</w:t>
      </w:r>
    </w:p>
    <w:p w14:paraId="186CF8C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sz w:val="21"/>
          <w:szCs w:val="21"/>
          <w:highlight w:val="none"/>
          <w:shd w:val="clear" w:color="auto" w:fill="auto"/>
        </w:rPr>
      </w:pPr>
      <w:r>
        <w:rPr>
          <w:rFonts w:hint="eastAsia" w:ascii="宋体" w:hAnsi="宋体" w:eastAsia="宋体" w:cs="宋体"/>
          <w:snapToGrid/>
          <w:color w:val="auto"/>
          <w:sz w:val="21"/>
          <w:szCs w:val="21"/>
          <w:highlight w:val="none"/>
          <w:shd w:val="clear" w:color="auto" w:fill="auto"/>
        </w:rPr>
        <w:t>□本项目不缴纳投标保证金。</w:t>
      </w:r>
    </w:p>
    <w:p w14:paraId="63ADEFD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shd w:val="clear" w:color="auto" w:fill="auto"/>
        </w:rPr>
      </w:pPr>
      <w:r>
        <w:rPr>
          <w:rFonts w:hint="eastAsia" w:ascii="宋体" w:hAnsi="宋体" w:eastAsia="宋体" w:cs="宋体"/>
          <w:snapToGrid/>
          <w:color w:val="auto"/>
          <w:sz w:val="21"/>
          <w:szCs w:val="21"/>
          <w:highlight w:val="none"/>
          <w:shd w:val="clear" w:color="auto" w:fill="auto"/>
          <w:lang w:eastAsia="zh-CN"/>
        </w:rPr>
        <w:t>☑</w:t>
      </w:r>
      <w:r>
        <w:rPr>
          <w:rFonts w:hint="eastAsia" w:ascii="宋体" w:hAnsi="宋体" w:eastAsia="宋体" w:cs="宋体"/>
          <w:snapToGrid/>
          <w:color w:val="auto"/>
          <w:kern w:val="2"/>
          <w:sz w:val="21"/>
          <w:szCs w:val="21"/>
          <w:highlight w:val="none"/>
          <w:shd w:val="clear" w:color="auto" w:fill="auto"/>
        </w:rPr>
        <w:t>本项目需缴纳投标保证金</w:t>
      </w:r>
      <w:r>
        <w:rPr>
          <w:rFonts w:hint="eastAsia" w:ascii="宋体" w:hAnsi="宋体" w:eastAsia="宋体" w:cs="宋体"/>
          <w:snapToGrid/>
          <w:color w:val="auto"/>
          <w:kern w:val="2"/>
          <w:sz w:val="21"/>
          <w:szCs w:val="21"/>
          <w:highlight w:val="none"/>
          <w:u w:val="single"/>
          <w:shd w:val="clear" w:color="auto" w:fill="auto"/>
        </w:rPr>
        <w:t xml:space="preserve"> </w:t>
      </w:r>
      <w:r>
        <w:rPr>
          <w:rFonts w:hint="eastAsia" w:ascii="宋体" w:hAnsi="宋体" w:eastAsia="宋体" w:cs="宋体"/>
          <w:snapToGrid/>
          <w:color w:val="auto"/>
          <w:kern w:val="2"/>
          <w:sz w:val="21"/>
          <w:szCs w:val="21"/>
          <w:highlight w:val="none"/>
          <w:u w:val="single"/>
          <w:shd w:val="clear" w:color="auto" w:fill="auto"/>
          <w:lang w:val="en-US" w:eastAsia="zh-CN"/>
        </w:rPr>
        <w:t>15</w:t>
      </w:r>
      <w:r>
        <w:rPr>
          <w:rFonts w:hint="eastAsia" w:ascii="宋体" w:hAnsi="宋体" w:eastAsia="宋体" w:cs="宋体"/>
          <w:snapToGrid/>
          <w:color w:val="auto"/>
          <w:kern w:val="2"/>
          <w:sz w:val="21"/>
          <w:szCs w:val="21"/>
          <w:highlight w:val="none"/>
          <w:shd w:val="clear" w:color="auto" w:fill="auto"/>
        </w:rPr>
        <w:t>万元，投标保证金</w:t>
      </w:r>
      <w:r>
        <w:rPr>
          <w:rFonts w:hint="eastAsia" w:ascii="宋体" w:hAnsi="宋体" w:eastAsia="宋体" w:cs="宋体"/>
          <w:snapToGrid/>
          <w:color w:val="auto"/>
          <w:kern w:val="2"/>
          <w:sz w:val="21"/>
          <w:szCs w:val="21"/>
          <w:highlight w:val="none"/>
          <w:shd w:val="clear" w:color="auto" w:fill="auto"/>
        </w:rPr>
        <w:t>在投标人获取招标文件后，在</w:t>
      </w:r>
      <w:r>
        <w:rPr>
          <w:rFonts w:hint="eastAsia" w:ascii="宋体" w:hAnsi="宋体" w:eastAsia="宋体" w:cs="宋体"/>
          <w:b/>
          <w:bCs/>
          <w:snapToGrid/>
          <w:color w:val="auto"/>
          <w:kern w:val="2"/>
          <w:sz w:val="21"/>
          <w:szCs w:val="21"/>
          <w:highlight w:val="none"/>
          <w:shd w:val="clear" w:color="auto" w:fill="auto"/>
        </w:rPr>
        <w:t>投标文件递交截止时间</w:t>
      </w:r>
      <w:r>
        <w:rPr>
          <w:rFonts w:hint="eastAsia" w:ascii="宋体" w:hAnsi="宋体" w:eastAsia="宋体" w:cs="宋体"/>
          <w:snapToGrid/>
          <w:color w:val="auto"/>
          <w:kern w:val="2"/>
          <w:sz w:val="21"/>
          <w:szCs w:val="21"/>
          <w:highlight w:val="none"/>
          <w:shd w:val="clear" w:color="auto" w:fill="auto"/>
        </w:rPr>
        <w:t>前缴纳（以入账时间为准），汇款时请备注项目名称。</w:t>
      </w:r>
    </w:p>
    <w:p w14:paraId="35FE7EA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shd w:val="clear" w:color="auto" w:fill="auto"/>
        </w:rPr>
      </w:pPr>
      <w:r>
        <w:rPr>
          <w:rFonts w:hint="eastAsia" w:ascii="宋体" w:hAnsi="宋体" w:eastAsia="宋体" w:cs="宋体"/>
          <w:snapToGrid/>
          <w:color w:val="auto"/>
          <w:kern w:val="2"/>
          <w:sz w:val="21"/>
          <w:szCs w:val="21"/>
          <w:highlight w:val="none"/>
          <w:shd w:val="clear" w:color="auto" w:fill="auto"/>
        </w:rPr>
        <w:t>2.缴纳方式：投标人基本账户银行转出的转账/</w:t>
      </w:r>
      <w:r>
        <w:rPr>
          <w:rFonts w:hint="eastAsia" w:ascii="宋体" w:hAnsi="宋体" w:eastAsia="宋体" w:cs="宋体"/>
          <w:snapToGrid/>
          <w:color w:val="auto"/>
          <w:kern w:val="2"/>
          <w:sz w:val="21"/>
          <w:szCs w:val="21"/>
          <w:highlight w:val="none"/>
          <w:shd w:val="clear" w:color="auto" w:fill="auto"/>
          <w:lang w:val="en-US" w:eastAsia="zh-CN"/>
        </w:rPr>
        <w:t>电汇</w:t>
      </w:r>
      <w:r>
        <w:rPr>
          <w:rFonts w:hint="eastAsia" w:ascii="宋体" w:hAnsi="宋体" w:eastAsia="宋体" w:cs="宋体"/>
          <w:snapToGrid/>
          <w:color w:val="auto"/>
          <w:kern w:val="2"/>
          <w:sz w:val="21"/>
          <w:szCs w:val="21"/>
          <w:highlight w:val="none"/>
          <w:shd w:val="clear" w:color="auto" w:fill="auto"/>
        </w:rPr>
        <w:t>(不包括现金）。</w:t>
      </w:r>
    </w:p>
    <w:p w14:paraId="126AC13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shd w:val="clear" w:color="auto" w:fill="auto"/>
        </w:rPr>
      </w:pPr>
      <w:r>
        <w:rPr>
          <w:rFonts w:hint="eastAsia" w:ascii="宋体" w:hAnsi="宋体" w:eastAsia="宋体" w:cs="宋体"/>
          <w:snapToGrid/>
          <w:color w:val="auto"/>
          <w:kern w:val="2"/>
          <w:sz w:val="21"/>
          <w:szCs w:val="21"/>
          <w:highlight w:val="none"/>
          <w:shd w:val="clear" w:color="auto" w:fill="auto"/>
        </w:rPr>
        <w:t>2.1缴纳要求：</w:t>
      </w:r>
    </w:p>
    <w:p w14:paraId="0AD97C2B">
      <w:pPr>
        <w:keepNext w:val="0"/>
        <w:keepLines w:val="0"/>
        <w:pageBreakBefore w:val="0"/>
        <w:wordWrap/>
        <w:overflowPunct/>
        <w:topLinePunct w:val="0"/>
        <w:bidi w:val="0"/>
        <w:spacing w:line="440" w:lineRule="exact"/>
        <w:ind w:firstLine="420" w:firstLineChars="200"/>
        <w:rPr>
          <w:rFonts w:hint="eastAsia" w:ascii="宋体" w:hAnsi="宋体" w:eastAsia="宋体" w:cs="宋体"/>
          <w:snapToGrid/>
          <w:color w:val="auto"/>
          <w:kern w:val="2"/>
          <w:sz w:val="21"/>
          <w:szCs w:val="21"/>
          <w:highlight w:val="none"/>
          <w:shd w:val="clear" w:color="auto" w:fill="auto"/>
        </w:rPr>
      </w:pPr>
      <w:r>
        <w:rPr>
          <w:rFonts w:hint="eastAsia" w:ascii="宋体" w:hAnsi="宋体" w:eastAsia="宋体" w:cs="宋体"/>
          <w:snapToGrid/>
          <w:color w:val="auto"/>
          <w:kern w:val="2"/>
          <w:sz w:val="21"/>
          <w:szCs w:val="21"/>
          <w:highlight w:val="none"/>
          <w:shd w:val="clear" w:color="auto" w:fill="auto"/>
        </w:rPr>
        <w:t>开户单位名称：</w:t>
      </w:r>
      <w:r>
        <w:rPr>
          <w:rFonts w:hint="eastAsia" w:ascii="宋体" w:hAnsi="宋体" w:eastAsia="宋体" w:cs="宋体"/>
          <w:color w:val="auto"/>
          <w:sz w:val="21"/>
          <w:szCs w:val="21"/>
          <w:highlight w:val="none"/>
          <w:u w:val="single"/>
          <w:shd w:val="clear" w:color="auto" w:fill="auto"/>
        </w:rPr>
        <w:t>浙江致远工程管理有限公司</w:t>
      </w:r>
      <w:r>
        <w:rPr>
          <w:rFonts w:hint="eastAsia" w:ascii="宋体" w:hAnsi="宋体" w:eastAsia="宋体" w:cs="宋体"/>
          <w:color w:val="auto"/>
          <w:sz w:val="21"/>
          <w:szCs w:val="21"/>
          <w:highlight w:val="none"/>
          <w:u w:val="none"/>
          <w:shd w:val="clear" w:color="auto" w:fill="auto"/>
        </w:rPr>
        <w:t>，开户行</w:t>
      </w:r>
      <w:r>
        <w:rPr>
          <w:rFonts w:hint="eastAsia" w:ascii="宋体" w:hAnsi="宋体" w:eastAsia="宋体" w:cs="宋体"/>
          <w:color w:val="auto"/>
          <w:sz w:val="21"/>
          <w:szCs w:val="21"/>
          <w:highlight w:val="none"/>
          <w:u w:val="none"/>
          <w:shd w:val="clear" w:color="auto" w:fill="auto"/>
          <w:lang w:eastAsia="zh-CN"/>
        </w:rPr>
        <w:t>：</w:t>
      </w:r>
      <w:r>
        <w:rPr>
          <w:rFonts w:hint="eastAsia" w:ascii="宋体" w:hAnsi="宋体" w:eastAsia="宋体" w:cs="宋体"/>
          <w:color w:val="auto"/>
          <w:sz w:val="21"/>
          <w:szCs w:val="21"/>
          <w:highlight w:val="none"/>
          <w:u w:val="single"/>
          <w:shd w:val="clear" w:color="auto" w:fill="auto"/>
        </w:rPr>
        <w:t>工行金华铁岭头支行</w:t>
      </w:r>
      <w:r>
        <w:rPr>
          <w:rFonts w:hint="eastAsia" w:ascii="宋体" w:hAnsi="宋体" w:eastAsia="宋体" w:cs="宋体"/>
          <w:snapToGrid/>
          <w:color w:val="auto"/>
          <w:kern w:val="2"/>
          <w:sz w:val="21"/>
          <w:szCs w:val="21"/>
          <w:highlight w:val="none"/>
          <w:shd w:val="clear" w:color="auto" w:fill="auto"/>
        </w:rPr>
        <w:t>；账号</w:t>
      </w:r>
      <w:r>
        <w:rPr>
          <w:rFonts w:hint="eastAsia" w:ascii="宋体" w:hAnsi="宋体" w:eastAsia="宋体" w:cs="宋体"/>
          <w:snapToGrid/>
          <w:color w:val="auto"/>
          <w:kern w:val="2"/>
          <w:sz w:val="21"/>
          <w:szCs w:val="21"/>
          <w:highlight w:val="none"/>
          <w:shd w:val="clear" w:color="auto" w:fill="auto"/>
          <w:lang w:eastAsia="zh-CN"/>
        </w:rPr>
        <w:t>：</w:t>
      </w:r>
      <w:r>
        <w:rPr>
          <w:rFonts w:hint="eastAsia" w:ascii="宋体" w:hAnsi="宋体" w:eastAsia="宋体" w:cs="宋体"/>
          <w:snapToGrid/>
          <w:color w:val="auto"/>
          <w:kern w:val="2"/>
          <w:sz w:val="21"/>
          <w:szCs w:val="21"/>
          <w:highlight w:val="none"/>
          <w:u w:val="single"/>
          <w:shd w:val="clear" w:color="auto" w:fill="auto"/>
        </w:rPr>
        <w:t>1208013019200027913</w:t>
      </w:r>
      <w:r>
        <w:rPr>
          <w:rFonts w:hint="eastAsia" w:ascii="宋体" w:hAnsi="宋体" w:eastAsia="宋体" w:cs="宋体"/>
          <w:snapToGrid/>
          <w:color w:val="auto"/>
          <w:kern w:val="2"/>
          <w:sz w:val="21"/>
          <w:szCs w:val="21"/>
          <w:highlight w:val="none"/>
          <w:shd w:val="clear" w:color="auto" w:fill="auto"/>
        </w:rPr>
        <w:t>；</w:t>
      </w:r>
    </w:p>
    <w:p w14:paraId="2960CB72">
      <w:pPr>
        <w:keepNext w:val="0"/>
        <w:keepLines w:val="0"/>
        <w:pageBreakBefore w:val="0"/>
        <w:wordWrap/>
        <w:overflowPunct/>
        <w:topLinePunct w:val="0"/>
        <w:bidi w:val="0"/>
        <w:spacing w:line="440" w:lineRule="exact"/>
        <w:ind w:left="501"/>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五、投标文件递交</w:t>
      </w:r>
    </w:p>
    <w:p w14:paraId="68575886">
      <w:pPr>
        <w:keepNext w:val="0"/>
        <w:keepLines w:val="0"/>
        <w:pageBreakBefore w:val="0"/>
        <w:wordWrap/>
        <w:overflowPunct/>
        <w:topLinePunct w:val="0"/>
        <w:bidi w:val="0"/>
        <w:spacing w:line="440" w:lineRule="exact"/>
        <w:ind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1.投标文件递交截止时间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2025</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时</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分；</w:t>
      </w:r>
    </w:p>
    <w:p w14:paraId="40D67FDA">
      <w:pPr>
        <w:pStyle w:val="22"/>
        <w:keepNext w:val="0"/>
        <w:keepLines w:val="0"/>
        <w:pageBreakBefore w:val="0"/>
        <w:wordWrap/>
        <w:overflowPunct/>
        <w:topLinePunct w:val="0"/>
        <w:bidi w:val="0"/>
        <w:spacing w:after="0" w:line="440" w:lineRule="exact"/>
        <w:ind w:left="0" w:firstLine="424" w:firstLineChars="202"/>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2.投标文件递交方式：</w:t>
      </w:r>
    </w:p>
    <w:p w14:paraId="08D557B8">
      <w:pPr>
        <w:pStyle w:val="22"/>
        <w:keepNext w:val="0"/>
        <w:keepLines w:val="0"/>
        <w:pageBreakBefore w:val="0"/>
        <w:wordWrap/>
        <w:overflowPunct/>
        <w:topLinePunct w:val="0"/>
        <w:bidi w:val="0"/>
        <w:spacing w:after="0" w:line="440" w:lineRule="exact"/>
        <w:ind w:left="0" w:firstLine="424" w:firstLineChars="202"/>
        <w:rPr>
          <w:rFonts w:hint="eastAsia" w:ascii="宋体" w:hAnsi="宋体" w:eastAsia="宋体" w:cs="宋体"/>
          <w:strike/>
          <w:dstrike w:val="0"/>
          <w:color w:val="auto"/>
          <w:sz w:val="21"/>
          <w:szCs w:val="21"/>
          <w:highlight w:val="none"/>
          <w:shd w:val="clear" w:color="auto" w:fill="auto"/>
        </w:rPr>
      </w:pPr>
      <w:r>
        <w:rPr>
          <w:rFonts w:hint="eastAsia" w:ascii="宋体" w:hAnsi="宋体" w:eastAsia="宋体" w:cs="宋体"/>
          <w:strike/>
          <w:dstrike w:val="0"/>
          <w:color w:val="auto"/>
          <w:sz w:val="21"/>
          <w:szCs w:val="21"/>
          <w:highlight w:val="none"/>
          <w:shd w:val="clear" w:color="auto" w:fill="auto"/>
        </w:rPr>
        <w:t>□2.1电子招标投标交易平台：</w:t>
      </w:r>
      <w:r>
        <w:rPr>
          <w:rFonts w:hint="eastAsia" w:ascii="宋体" w:hAnsi="宋体" w:eastAsia="宋体" w:cs="宋体"/>
          <w:strike/>
          <w:dstrike w:val="0"/>
          <w:color w:val="auto"/>
          <w:sz w:val="21"/>
          <w:szCs w:val="21"/>
          <w:highlight w:val="none"/>
          <w:u w:val="single"/>
          <w:shd w:val="clear" w:color="auto" w:fill="auto"/>
        </w:rPr>
        <w:t xml:space="preserve">                                     </w:t>
      </w:r>
      <w:r>
        <w:rPr>
          <w:rFonts w:hint="eastAsia" w:ascii="宋体" w:hAnsi="宋体" w:eastAsia="宋体" w:cs="宋体"/>
          <w:strike/>
          <w:dstrike w:val="0"/>
          <w:color w:val="auto"/>
          <w:sz w:val="21"/>
          <w:szCs w:val="21"/>
          <w:highlight w:val="none"/>
          <w:shd w:val="clear" w:color="auto" w:fill="auto"/>
        </w:rPr>
        <w:t>。</w:t>
      </w:r>
    </w:p>
    <w:p w14:paraId="49FF5C94">
      <w:pPr>
        <w:pStyle w:val="22"/>
        <w:keepNext w:val="0"/>
        <w:keepLines w:val="0"/>
        <w:pageBreakBefore w:val="0"/>
        <w:wordWrap/>
        <w:overflowPunct/>
        <w:topLinePunct w:val="0"/>
        <w:bidi w:val="0"/>
        <w:spacing w:after="0" w:line="440" w:lineRule="exact"/>
        <w:ind w:left="0" w:firstLine="424" w:firstLineChars="202"/>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2.2纸质标书递交，地点为：</w:t>
      </w:r>
    </w:p>
    <w:p w14:paraId="05108462">
      <w:pPr>
        <w:keepNext w:val="0"/>
        <w:keepLines w:val="0"/>
        <w:pageBreakBefore w:val="0"/>
        <w:widowControl/>
        <w:tabs>
          <w:tab w:val="left" w:pos="60"/>
          <w:tab w:val="left" w:pos="9050"/>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投标人可以采用现场递交或邮寄标书递交。</w:t>
      </w:r>
    </w:p>
    <w:p w14:paraId="1251E635">
      <w:pPr>
        <w:keepNext w:val="0"/>
        <w:keepLines w:val="0"/>
        <w:pageBreakBefore w:val="0"/>
        <w:widowControl/>
        <w:tabs>
          <w:tab w:val="left" w:pos="60"/>
          <w:tab w:val="left" w:pos="9050"/>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采用现场递交的，将密封的标书在本项目开标时间前半小时内递交至</w:t>
      </w:r>
      <w:r>
        <w:rPr>
          <w:rFonts w:hint="eastAsia" w:ascii="宋体" w:hAnsi="宋体" w:eastAsia="宋体" w:cs="宋体"/>
          <w:color w:val="auto"/>
          <w:kern w:val="0"/>
          <w:sz w:val="21"/>
          <w:szCs w:val="21"/>
          <w:highlight w:val="none"/>
          <w:u w:val="single"/>
          <w:shd w:val="clear" w:color="auto" w:fill="auto"/>
        </w:rPr>
        <w:t>绍兴市越城区解放大道308号二楼招投标中心  号开标室</w:t>
      </w:r>
      <w:r>
        <w:rPr>
          <w:rFonts w:hint="eastAsia" w:ascii="宋体" w:hAnsi="宋体" w:eastAsia="宋体" w:cs="宋体"/>
          <w:color w:val="auto"/>
          <w:kern w:val="0"/>
          <w:sz w:val="21"/>
          <w:szCs w:val="21"/>
          <w:highlight w:val="none"/>
          <w:shd w:val="clear" w:color="auto" w:fill="auto"/>
        </w:rPr>
        <w:t>，递交标书后即交即走。采用邮寄标书递交的，将密封的标书在本项目开标前一天的17：00前（以送达时间为准）邮寄至</w:t>
      </w:r>
      <w:r>
        <w:rPr>
          <w:rFonts w:hint="eastAsia" w:ascii="宋体" w:hAnsi="宋体" w:eastAsia="宋体" w:cs="宋体"/>
          <w:color w:val="auto"/>
          <w:kern w:val="0"/>
          <w:sz w:val="21"/>
          <w:szCs w:val="21"/>
          <w:highlight w:val="none"/>
          <w:u w:val="single"/>
          <w:shd w:val="clear" w:color="auto" w:fill="auto"/>
        </w:rPr>
        <w:t>绍兴市越城区玛格丽特商业中心东区4栋9-2号，联系人：吕建忠，电话：19560223560</w:t>
      </w:r>
      <w:r>
        <w:rPr>
          <w:rFonts w:hint="eastAsia" w:ascii="宋体" w:hAnsi="宋体" w:eastAsia="宋体" w:cs="宋体"/>
          <w:color w:val="auto"/>
          <w:kern w:val="0"/>
          <w:sz w:val="21"/>
          <w:szCs w:val="21"/>
          <w:highlight w:val="none"/>
          <w:shd w:val="clear" w:color="auto" w:fill="auto"/>
        </w:rPr>
        <w:t>，建议采用顺丰邮寄。采取邮寄投标文件的，投标文件邮寄过程中发生的包封缺损或保管过程中发生的一切事宜均由投标人自行承担。代理机构将拒绝接受未及时获取招标文件投标人的投标文件。</w:t>
      </w:r>
    </w:p>
    <w:p w14:paraId="3827D5B2">
      <w:pPr>
        <w:keepNext w:val="0"/>
        <w:keepLines w:val="0"/>
        <w:pageBreakBefore w:val="0"/>
        <w:wordWrap/>
        <w:overflowPunct/>
        <w:topLinePunct w:val="0"/>
        <w:bidi w:val="0"/>
        <w:spacing w:line="440" w:lineRule="exact"/>
        <w:ind w:firstLine="485"/>
        <w:jc w:val="both"/>
        <w:rPr>
          <w:rFonts w:hint="eastAsia" w:ascii="宋体" w:hAnsi="宋体" w:eastAsia="宋体" w:cs="宋体"/>
          <w:strike/>
          <w:dstrike w:val="0"/>
          <w:color w:val="auto"/>
          <w:sz w:val="21"/>
          <w:szCs w:val="21"/>
          <w:highlight w:val="none"/>
          <w:shd w:val="clear" w:color="auto" w:fill="auto"/>
        </w:rPr>
      </w:pPr>
      <w:r>
        <w:rPr>
          <w:rFonts w:hint="eastAsia" w:ascii="宋体" w:hAnsi="宋体" w:eastAsia="宋体" w:cs="宋体"/>
          <w:strike/>
          <w:dstrike w:val="0"/>
          <w:color w:val="auto"/>
          <w:sz w:val="21"/>
          <w:szCs w:val="21"/>
          <w:highlight w:val="none"/>
          <w:shd w:val="clear" w:color="auto" w:fill="auto"/>
        </w:rPr>
        <w:t>3.□招标文件要求递交的光盘、样品等材料，投标人应在投标截止时间前递交至</w:t>
      </w:r>
      <w:r>
        <w:rPr>
          <w:rFonts w:hint="eastAsia" w:ascii="宋体" w:hAnsi="宋体" w:eastAsia="宋体" w:cs="宋体"/>
          <w:strike/>
          <w:dstrike w:val="0"/>
          <w:color w:val="auto"/>
          <w:sz w:val="21"/>
          <w:szCs w:val="21"/>
          <w:highlight w:val="none"/>
          <w:u w:val="single"/>
          <w:shd w:val="clear" w:color="auto" w:fill="auto"/>
        </w:rPr>
        <w:t>（招标人指定地点）</w:t>
      </w:r>
      <w:r>
        <w:rPr>
          <w:rFonts w:hint="eastAsia" w:ascii="宋体" w:hAnsi="宋体" w:eastAsia="宋体" w:cs="宋体"/>
          <w:strike/>
          <w:dstrike w:val="0"/>
          <w:color w:val="auto"/>
          <w:sz w:val="21"/>
          <w:szCs w:val="21"/>
          <w:highlight w:val="none"/>
          <w:shd w:val="clear" w:color="auto" w:fill="auto"/>
        </w:rPr>
        <w:t>。递交光盘、样品等材料时应同时携带递交人法定代表人授权委托书及身份证原件(法定代表人递交的仅需提供身份证原件)。</w:t>
      </w:r>
    </w:p>
    <w:p w14:paraId="1C4A9B18">
      <w:pPr>
        <w:keepNext w:val="0"/>
        <w:keepLines w:val="0"/>
        <w:pageBreakBefore w:val="0"/>
        <w:wordWrap/>
        <w:overflowPunct/>
        <w:topLinePunct w:val="0"/>
        <w:bidi w:val="0"/>
        <w:spacing w:line="440" w:lineRule="exact"/>
        <w:ind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六、发布公告的媒介</w:t>
      </w:r>
    </w:p>
    <w:p w14:paraId="12CC46ED">
      <w:pPr>
        <w:keepNext w:val="0"/>
        <w:keepLines w:val="0"/>
        <w:pageBreakBefore w:val="0"/>
        <w:wordWrap/>
        <w:overflowPunct/>
        <w:topLinePunct w:val="0"/>
        <w:bidi w:val="0"/>
        <w:spacing w:line="440" w:lineRule="exact"/>
        <w:ind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本次招标公告同时在</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绍兴公共资源交易网、绍兴市公用事业集团有限公司官网</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（发布公告的媒介名称）上发布。</w:t>
      </w:r>
    </w:p>
    <w:p w14:paraId="659B656D">
      <w:pPr>
        <w:keepNext w:val="0"/>
        <w:keepLines w:val="0"/>
        <w:pageBreakBefore w:val="0"/>
        <w:wordWrap/>
        <w:overflowPunct/>
        <w:topLinePunct w:val="0"/>
        <w:bidi w:val="0"/>
        <w:spacing w:line="440" w:lineRule="exact"/>
        <w:ind w:firstLine="420" w:firstLineChars="20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七、</w:t>
      </w:r>
      <w:r>
        <w:rPr>
          <w:rFonts w:hint="eastAsia" w:ascii="宋体" w:hAnsi="宋体" w:eastAsia="宋体" w:cs="宋体"/>
          <w:color w:val="auto"/>
          <w:sz w:val="21"/>
          <w:szCs w:val="21"/>
          <w:highlight w:val="none"/>
          <w:shd w:val="clear" w:color="auto" w:fill="auto"/>
        </w:rPr>
        <w:t>监督单位（投诉质疑受理）：绍兴市公用事业集团有限公司</w:t>
      </w:r>
      <w:r>
        <w:rPr>
          <w:rFonts w:hint="eastAsia" w:ascii="宋体" w:hAnsi="宋体" w:eastAsia="宋体" w:cs="宋体"/>
          <w:color w:val="auto"/>
          <w:sz w:val="21"/>
          <w:szCs w:val="21"/>
          <w:highlight w:val="none"/>
          <w:shd w:val="clear" w:color="auto" w:fill="auto"/>
          <w:lang w:val="en-US" w:eastAsia="zh-CN"/>
        </w:rPr>
        <w:t xml:space="preserve">  陈工  电话：0575-88050323</w:t>
      </w:r>
    </w:p>
    <w:p w14:paraId="01F16F80">
      <w:pPr>
        <w:keepNext w:val="0"/>
        <w:keepLines w:val="0"/>
        <w:pageBreakBefore w:val="0"/>
        <w:wordWrap/>
        <w:overflowPunct/>
        <w:topLinePunct w:val="0"/>
        <w:bidi w:val="0"/>
        <w:spacing w:line="440" w:lineRule="exact"/>
        <w:ind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八、联系方式</w:t>
      </w:r>
    </w:p>
    <w:p w14:paraId="5576B5E4">
      <w:pPr>
        <w:keepNext w:val="0"/>
        <w:keepLines w:val="0"/>
        <w:pageBreakBefore w:val="0"/>
        <w:wordWrap/>
        <w:overflowPunct/>
        <w:topLinePunct w:val="0"/>
        <w:bidi w:val="0"/>
        <w:spacing w:line="440" w:lineRule="exact"/>
        <w:ind w:left="48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招标人：</w:t>
      </w:r>
      <w:r>
        <w:rPr>
          <w:rFonts w:hint="eastAsia" w:ascii="宋体" w:hAnsi="宋体" w:eastAsia="宋体" w:cs="宋体"/>
          <w:color w:val="auto"/>
          <w:sz w:val="21"/>
          <w:szCs w:val="21"/>
          <w:highlight w:val="none"/>
          <w:u w:val="single"/>
          <w:shd w:val="clear" w:color="auto" w:fill="auto"/>
        </w:rPr>
        <w:t xml:space="preserve">绍兴市水务产业有限公司 </w:t>
      </w:r>
      <w:r>
        <w:rPr>
          <w:rFonts w:hint="eastAsia" w:ascii="宋体" w:hAnsi="宋体" w:eastAsia="宋体" w:cs="宋体"/>
          <w:color w:val="auto"/>
          <w:sz w:val="21"/>
          <w:szCs w:val="21"/>
          <w:highlight w:val="none"/>
          <w:u w:val="none"/>
          <w:shd w:val="clear" w:color="auto" w:fill="auto"/>
        </w:rPr>
        <w:t xml:space="preserve">  </w:t>
      </w:r>
      <w:r>
        <w:rPr>
          <w:rFonts w:hint="eastAsia" w:ascii="宋体" w:hAnsi="宋体" w:eastAsia="宋体" w:cs="宋体"/>
          <w:color w:val="auto"/>
          <w:sz w:val="21"/>
          <w:szCs w:val="21"/>
          <w:highlight w:val="none"/>
          <w:shd w:val="clear" w:color="auto" w:fill="auto"/>
        </w:rPr>
        <w:t>招标代理机构：</w:t>
      </w:r>
      <w:r>
        <w:rPr>
          <w:rFonts w:hint="eastAsia" w:ascii="宋体" w:hAnsi="宋体" w:eastAsia="宋体" w:cs="宋体"/>
          <w:color w:val="auto"/>
          <w:sz w:val="21"/>
          <w:szCs w:val="21"/>
          <w:highlight w:val="none"/>
          <w:u w:val="single"/>
          <w:shd w:val="clear" w:color="auto" w:fill="auto"/>
        </w:rPr>
        <w:t>浙江致远工程管理有限公司</w:t>
      </w:r>
    </w:p>
    <w:p w14:paraId="4CF9ED22">
      <w:pPr>
        <w:keepNext w:val="0"/>
        <w:keepLines w:val="0"/>
        <w:pageBreakBefore w:val="0"/>
        <w:wordWrap/>
        <w:overflowPunct/>
        <w:topLinePunct w:val="0"/>
        <w:bidi w:val="0"/>
        <w:spacing w:line="440" w:lineRule="exact"/>
        <w:ind w:left="484"/>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联系人：</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柳建平</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联系人：</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吕建忠</w:t>
      </w:r>
      <w:r>
        <w:rPr>
          <w:rFonts w:hint="eastAsia" w:ascii="宋体" w:hAnsi="宋体" w:eastAsia="宋体" w:cs="宋体"/>
          <w:color w:val="auto"/>
          <w:sz w:val="21"/>
          <w:szCs w:val="21"/>
          <w:highlight w:val="none"/>
          <w:u w:val="single"/>
          <w:shd w:val="clear" w:color="auto" w:fill="auto"/>
          <w:lang w:val="en-US" w:eastAsia="zh-CN"/>
        </w:rPr>
        <w:t xml:space="preserve">            </w:t>
      </w:r>
    </w:p>
    <w:p w14:paraId="495D3220">
      <w:pPr>
        <w:keepNext w:val="0"/>
        <w:keepLines w:val="0"/>
        <w:pageBreakBefore w:val="0"/>
        <w:wordWrap/>
        <w:overflowPunct/>
        <w:topLinePunct w:val="0"/>
        <w:bidi w:val="0"/>
        <w:spacing w:line="440" w:lineRule="exact"/>
        <w:ind w:left="484"/>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联系电话：</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13754395726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联系电话：</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19560223560</w:t>
      </w:r>
      <w:r>
        <w:rPr>
          <w:rFonts w:hint="eastAsia" w:ascii="宋体" w:hAnsi="宋体" w:eastAsia="宋体" w:cs="宋体"/>
          <w:color w:val="auto"/>
          <w:sz w:val="21"/>
          <w:szCs w:val="21"/>
          <w:highlight w:val="none"/>
          <w:u w:val="single"/>
          <w:shd w:val="clear" w:color="auto" w:fill="auto"/>
          <w:lang w:val="en-US" w:eastAsia="zh-CN"/>
        </w:rPr>
        <w:t xml:space="preserve">         </w:t>
      </w:r>
    </w:p>
    <w:p w14:paraId="2F280BAD">
      <w:pPr>
        <w:keepNext w:val="0"/>
        <w:keepLines w:val="0"/>
        <w:pageBreakBefore w:val="0"/>
        <w:wordWrap/>
        <w:overflowPunct/>
        <w:topLinePunct w:val="0"/>
        <w:bidi w:val="0"/>
        <w:spacing w:line="440" w:lineRule="exact"/>
        <w:ind w:left="483"/>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地址：</w:t>
      </w:r>
      <w:r>
        <w:rPr>
          <w:rFonts w:hint="eastAsia" w:ascii="宋体" w:hAnsi="宋体" w:eastAsia="宋体" w:cs="宋体"/>
          <w:color w:val="auto"/>
          <w:sz w:val="21"/>
          <w:szCs w:val="21"/>
          <w:highlight w:val="none"/>
          <w:u w:val="single"/>
          <w:shd w:val="clear" w:color="auto" w:fill="auto"/>
        </w:rPr>
        <w:t>绍兴市越城区解放大道308号</w:t>
      </w:r>
      <w:r>
        <w:rPr>
          <w:rFonts w:hint="eastAsia" w:ascii="宋体" w:hAnsi="宋体" w:eastAsia="宋体" w:cs="宋体"/>
          <w:color w:val="auto"/>
          <w:sz w:val="21"/>
          <w:szCs w:val="21"/>
          <w:highlight w:val="none"/>
          <w:u w:val="none"/>
          <w:shd w:val="clear" w:color="auto" w:fill="auto"/>
        </w:rPr>
        <w:t xml:space="preserve">  </w:t>
      </w:r>
      <w:r>
        <w:rPr>
          <w:rFonts w:hint="eastAsia" w:ascii="宋体" w:hAnsi="宋体" w:eastAsia="宋体" w:cs="宋体"/>
          <w:color w:val="auto"/>
          <w:sz w:val="21"/>
          <w:szCs w:val="21"/>
          <w:highlight w:val="none"/>
          <w:shd w:val="clear" w:color="auto" w:fill="auto"/>
        </w:rPr>
        <w:t>地址：</w:t>
      </w:r>
      <w:r>
        <w:rPr>
          <w:rFonts w:hint="eastAsia" w:ascii="宋体" w:hAnsi="宋体" w:eastAsia="宋体" w:cs="宋体"/>
          <w:color w:val="auto"/>
          <w:sz w:val="21"/>
          <w:szCs w:val="21"/>
          <w:highlight w:val="none"/>
          <w:u w:val="single"/>
          <w:shd w:val="clear" w:color="auto" w:fill="auto"/>
        </w:rPr>
        <w:t>绍兴市越城区玛格丽特商业中心东区4栋9-2号</w:t>
      </w:r>
    </w:p>
    <w:p w14:paraId="35923384">
      <w:pPr>
        <w:keepNext w:val="0"/>
        <w:keepLines w:val="0"/>
        <w:pageBreakBefore w:val="0"/>
        <w:wordWrap/>
        <w:overflowPunct/>
        <w:topLinePunct w:val="0"/>
        <w:bidi w:val="0"/>
        <w:spacing w:line="440" w:lineRule="exact"/>
        <w:ind w:left="483"/>
        <w:jc w:val="both"/>
        <w:rPr>
          <w:rFonts w:hint="eastAsia" w:ascii="宋体" w:hAnsi="宋体" w:eastAsia="宋体" w:cs="宋体"/>
          <w:color w:val="auto"/>
          <w:sz w:val="21"/>
          <w:szCs w:val="21"/>
          <w:highlight w:val="none"/>
          <w:shd w:val="clear" w:color="auto" w:fill="auto"/>
        </w:rPr>
      </w:pPr>
    </w:p>
    <w:p w14:paraId="7C1FD28A">
      <w:pPr>
        <w:keepNext w:val="0"/>
        <w:keepLines w:val="0"/>
        <w:pageBreakBefore w:val="0"/>
        <w:tabs>
          <w:tab w:val="left" w:pos="6089"/>
        </w:tabs>
        <w:wordWrap/>
        <w:overflowPunct/>
        <w:topLinePunct w:val="0"/>
        <w:bidi w:val="0"/>
        <w:spacing w:line="440" w:lineRule="exact"/>
        <w:ind w:left="5597"/>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single"/>
          <w:shd w:val="clear" w:color="auto" w:fill="auto"/>
          <w:lang w:val="en-US" w:eastAsia="zh-CN"/>
        </w:rPr>
        <w:t>2025</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206070FC">
      <w:pPr>
        <w:spacing w:line="265" w:lineRule="auto"/>
        <w:jc w:val="both"/>
        <w:rPr>
          <w:rFonts w:hint="eastAsia" w:ascii="宋体" w:hAnsi="宋体" w:eastAsia="宋体" w:cs="宋体"/>
          <w:color w:val="auto"/>
          <w:highlight w:val="none"/>
          <w:shd w:val="clear" w:color="auto" w:fill="auto"/>
        </w:rPr>
      </w:pPr>
    </w:p>
    <w:p w14:paraId="1C5CECB6">
      <w:pPr>
        <w:spacing w:line="265" w:lineRule="auto"/>
        <w:jc w:val="both"/>
        <w:rPr>
          <w:rFonts w:hint="eastAsia" w:ascii="宋体" w:hAnsi="宋体" w:eastAsia="宋体" w:cs="宋体"/>
          <w:color w:val="auto"/>
          <w:highlight w:val="none"/>
          <w:shd w:val="clear" w:color="auto" w:fill="auto"/>
        </w:rPr>
      </w:pPr>
    </w:p>
    <w:p w14:paraId="75903CB5">
      <w:pPr>
        <w:spacing w:line="265" w:lineRule="auto"/>
        <w:jc w:val="both"/>
        <w:rPr>
          <w:rFonts w:hint="eastAsia" w:ascii="宋体" w:hAnsi="宋体" w:eastAsia="宋体" w:cs="宋体"/>
          <w:color w:val="auto"/>
          <w:highlight w:val="none"/>
          <w:shd w:val="clear" w:color="auto" w:fill="auto"/>
        </w:rPr>
      </w:pPr>
    </w:p>
    <w:p w14:paraId="6B04E59B">
      <w:pPr>
        <w:spacing w:line="265" w:lineRule="auto"/>
        <w:jc w:val="both"/>
        <w:rPr>
          <w:rFonts w:hint="eastAsia" w:ascii="宋体" w:hAnsi="宋体" w:eastAsia="宋体" w:cs="宋体"/>
          <w:color w:val="auto"/>
          <w:highlight w:val="none"/>
          <w:shd w:val="clear" w:color="auto" w:fill="auto"/>
        </w:rPr>
      </w:pPr>
    </w:p>
    <w:p w14:paraId="1AA075C5">
      <w:pPr>
        <w:spacing w:line="265" w:lineRule="auto"/>
        <w:jc w:val="both"/>
        <w:rPr>
          <w:rFonts w:hint="eastAsia" w:ascii="宋体" w:hAnsi="宋体" w:eastAsia="宋体" w:cs="宋体"/>
          <w:color w:val="auto"/>
          <w:highlight w:val="none"/>
          <w:shd w:val="clear" w:color="auto" w:fill="auto"/>
        </w:rPr>
      </w:pPr>
    </w:p>
    <w:p w14:paraId="6FF4EF6E">
      <w:pPr>
        <w:jc w:val="both"/>
        <w:rPr>
          <w:rFonts w:hint="eastAsia" w:ascii="宋体" w:hAnsi="宋体" w:eastAsia="宋体" w:cs="宋体"/>
          <w:color w:val="auto"/>
          <w:highlight w:val="none"/>
          <w:shd w:val="clear" w:color="auto" w:fill="auto"/>
        </w:rPr>
        <w:sectPr>
          <w:footerReference r:id="rId5" w:type="default"/>
          <w:pgSz w:w="11906" w:h="16839"/>
          <w:pgMar w:top="1418" w:right="1559" w:bottom="1418" w:left="1474" w:header="0" w:footer="1032" w:gutter="0"/>
          <w:pgNumType w:start="1"/>
          <w:cols w:space="720" w:num="1"/>
        </w:sectPr>
      </w:pPr>
    </w:p>
    <w:p w14:paraId="7BD2ED86">
      <w:pPr>
        <w:spacing w:before="318" w:line="225" w:lineRule="auto"/>
        <w:ind w:left="3604"/>
        <w:jc w:val="both"/>
        <w:outlineLvl w:val="0"/>
        <w:rPr>
          <w:rFonts w:hint="eastAsia" w:ascii="宋体" w:hAnsi="宋体" w:eastAsia="宋体" w:cs="宋体"/>
          <w:color w:val="auto"/>
          <w:sz w:val="31"/>
          <w:szCs w:val="31"/>
          <w:highlight w:val="none"/>
          <w:shd w:val="clear" w:color="auto" w:fill="auto"/>
        </w:rPr>
      </w:pPr>
      <w:bookmarkStart w:id="1" w:name="_bookmark2"/>
      <w:bookmarkEnd w:id="1"/>
      <w:r>
        <w:rPr>
          <w:rFonts w:hint="eastAsia" w:ascii="宋体" w:hAnsi="宋体" w:eastAsia="宋体" w:cs="宋体"/>
          <w:color w:val="auto"/>
          <w:sz w:val="31"/>
          <w:szCs w:val="31"/>
          <w:highlight w:val="none"/>
          <w:shd w:val="clear" w:color="auto" w:fill="auto"/>
        </w:rPr>
        <w:t>第二章投标人须知</w:t>
      </w:r>
    </w:p>
    <w:p w14:paraId="6DB09A62">
      <w:pPr>
        <w:spacing w:before="236" w:line="220" w:lineRule="auto"/>
        <w:ind w:left="3329"/>
        <w:jc w:val="both"/>
        <w:outlineLvl w:val="1"/>
        <w:rPr>
          <w:rFonts w:hint="eastAsia" w:ascii="宋体" w:hAnsi="宋体" w:eastAsia="宋体" w:cs="宋体"/>
          <w:color w:val="auto"/>
          <w:sz w:val="28"/>
          <w:szCs w:val="28"/>
          <w:highlight w:val="none"/>
          <w:shd w:val="clear" w:color="auto" w:fill="auto"/>
        </w:rPr>
      </w:pPr>
      <w:bookmarkStart w:id="2" w:name="_bookmark3"/>
      <w:bookmarkEnd w:id="2"/>
      <w:r>
        <w:rPr>
          <w:rFonts w:hint="eastAsia" w:ascii="宋体" w:hAnsi="宋体" w:eastAsia="宋体" w:cs="宋体"/>
          <w:color w:val="auto"/>
          <w:sz w:val="28"/>
          <w:szCs w:val="28"/>
          <w:highlight w:val="none"/>
          <w:shd w:val="clear" w:color="auto" w:fill="auto"/>
        </w:rPr>
        <w:t>第一节投标人须知前附表</w:t>
      </w:r>
    </w:p>
    <w:p w14:paraId="7561AFDE">
      <w:pPr>
        <w:spacing w:line="170" w:lineRule="exact"/>
        <w:jc w:val="both"/>
        <w:rPr>
          <w:rFonts w:hint="eastAsia" w:ascii="宋体" w:hAnsi="宋体" w:eastAsia="宋体" w:cs="宋体"/>
          <w:color w:val="auto"/>
          <w:highlight w:val="none"/>
          <w:shd w:val="clear" w:color="auto" w:fill="auto"/>
        </w:rPr>
      </w:pPr>
    </w:p>
    <w:tbl>
      <w:tblPr>
        <w:tblStyle w:val="42"/>
        <w:tblW w:w="91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7"/>
        <w:gridCol w:w="2055"/>
        <w:gridCol w:w="5535"/>
      </w:tblGrid>
      <w:tr w14:paraId="6BEAB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blHeader/>
        </w:trPr>
        <w:tc>
          <w:tcPr>
            <w:tcW w:w="1577" w:type="dxa"/>
            <w:noWrap w:val="0"/>
            <w:vAlign w:val="center"/>
          </w:tcPr>
          <w:p w14:paraId="52976795">
            <w:pPr>
              <w:keepNext w:val="0"/>
              <w:keepLines w:val="0"/>
              <w:pageBreakBefore w:val="0"/>
              <w:overflowPunct/>
              <w:bidi w:val="0"/>
              <w:spacing w:line="320" w:lineRule="exact"/>
              <w:ind w:left="105" w:leftChars="50" w:right="105" w:rightChars="50"/>
              <w:jc w:val="center"/>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条款号</w:t>
            </w:r>
          </w:p>
        </w:tc>
        <w:tc>
          <w:tcPr>
            <w:tcW w:w="2055" w:type="dxa"/>
            <w:noWrap w:val="0"/>
            <w:vAlign w:val="center"/>
          </w:tcPr>
          <w:p w14:paraId="4242C6E4">
            <w:pPr>
              <w:keepNext w:val="0"/>
              <w:keepLines w:val="0"/>
              <w:pageBreakBefore w:val="0"/>
              <w:tabs>
                <w:tab w:val="left" w:pos="1480"/>
              </w:tabs>
              <w:overflowPunct/>
              <w:bidi w:val="0"/>
              <w:spacing w:line="320" w:lineRule="exact"/>
              <w:ind w:left="105" w:leftChars="50" w:right="105" w:rightChars="50"/>
              <w:jc w:val="center"/>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条款名称</w:t>
            </w:r>
          </w:p>
        </w:tc>
        <w:tc>
          <w:tcPr>
            <w:tcW w:w="5535" w:type="dxa"/>
            <w:noWrap w:val="0"/>
            <w:vAlign w:val="center"/>
          </w:tcPr>
          <w:p w14:paraId="693740EE">
            <w:pPr>
              <w:keepNext w:val="0"/>
              <w:keepLines w:val="0"/>
              <w:pageBreakBefore w:val="0"/>
              <w:tabs>
                <w:tab w:val="left" w:pos="5680"/>
              </w:tabs>
              <w:overflowPunct/>
              <w:bidi w:val="0"/>
              <w:spacing w:line="320" w:lineRule="exact"/>
              <w:ind w:left="105" w:leftChars="50" w:right="105" w:rightChars="50"/>
              <w:jc w:val="center"/>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编列内容</w:t>
            </w:r>
          </w:p>
        </w:tc>
      </w:tr>
      <w:tr w14:paraId="6928B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5841484C">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1.1.2</w:t>
            </w:r>
          </w:p>
        </w:tc>
        <w:tc>
          <w:tcPr>
            <w:tcW w:w="2055" w:type="dxa"/>
            <w:noWrap w:val="0"/>
            <w:vAlign w:val="center"/>
          </w:tcPr>
          <w:p w14:paraId="0CDFC568">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招标人</w:t>
            </w:r>
          </w:p>
        </w:tc>
        <w:tc>
          <w:tcPr>
            <w:tcW w:w="5535" w:type="dxa"/>
            <w:noWrap w:val="0"/>
            <w:vAlign w:val="center"/>
          </w:tcPr>
          <w:p w14:paraId="6D13863E">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名称：绍兴市水务产业有限公司</w:t>
            </w:r>
          </w:p>
          <w:p w14:paraId="1D954120">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地址：绍兴市越城区解放大道308号</w:t>
            </w:r>
          </w:p>
          <w:p w14:paraId="69DC52C6">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联系人：</w:t>
            </w:r>
            <w:r>
              <w:rPr>
                <w:rFonts w:hint="eastAsia" w:ascii="宋体" w:hAnsi="宋体" w:eastAsia="宋体" w:cs="宋体"/>
                <w:color w:val="auto"/>
                <w:spacing w:val="0"/>
                <w:position w:val="0"/>
                <w:sz w:val="21"/>
                <w:szCs w:val="21"/>
                <w:highlight w:val="none"/>
                <w:shd w:val="clear" w:color="auto" w:fill="auto"/>
                <w:lang w:eastAsia="zh-CN"/>
              </w:rPr>
              <w:t>柳建平</w:t>
            </w:r>
          </w:p>
          <w:p w14:paraId="2E3CA986">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联系电话：</w:t>
            </w:r>
            <w:r>
              <w:rPr>
                <w:rFonts w:hint="eastAsia" w:ascii="宋体" w:hAnsi="宋体" w:eastAsia="宋体" w:cs="宋体"/>
                <w:color w:val="auto"/>
                <w:spacing w:val="0"/>
                <w:position w:val="0"/>
                <w:sz w:val="21"/>
                <w:szCs w:val="21"/>
                <w:highlight w:val="none"/>
                <w:shd w:val="clear" w:color="auto" w:fill="auto"/>
                <w:lang w:eastAsia="zh-CN"/>
              </w:rPr>
              <w:t>13</w:t>
            </w:r>
            <w:r>
              <w:rPr>
                <w:rFonts w:hint="eastAsia" w:ascii="宋体" w:hAnsi="宋体" w:eastAsia="宋体" w:cs="宋体"/>
                <w:color w:val="auto"/>
                <w:spacing w:val="0"/>
                <w:position w:val="0"/>
                <w:sz w:val="21"/>
                <w:szCs w:val="21"/>
                <w:highlight w:val="none"/>
                <w:shd w:val="clear" w:color="auto" w:fill="auto"/>
                <w:lang w:val="en-US" w:eastAsia="zh-CN"/>
              </w:rPr>
              <w:t>754395726</w:t>
            </w:r>
          </w:p>
          <w:p w14:paraId="58EFBC8A">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lang w:val="en-US" w:eastAsia="zh-CN"/>
              </w:rPr>
            </w:pPr>
            <w:r>
              <w:rPr>
                <w:rFonts w:hint="eastAsia" w:ascii="宋体" w:hAnsi="宋体" w:eastAsia="宋体" w:cs="宋体"/>
                <w:color w:val="auto"/>
                <w:spacing w:val="0"/>
                <w:position w:val="0"/>
                <w:sz w:val="21"/>
                <w:szCs w:val="21"/>
                <w:highlight w:val="none"/>
                <w:shd w:val="clear" w:color="auto" w:fill="auto"/>
              </w:rPr>
              <w:t>电子邮箱：</w:t>
            </w:r>
            <w:r>
              <w:rPr>
                <w:rFonts w:hint="eastAsia" w:ascii="宋体" w:hAnsi="宋体" w:eastAsia="宋体" w:cs="宋体"/>
                <w:color w:val="auto"/>
                <w:spacing w:val="0"/>
                <w:position w:val="0"/>
                <w:sz w:val="21"/>
                <w:szCs w:val="21"/>
                <w:highlight w:val="none"/>
                <w:shd w:val="clear" w:color="auto" w:fill="auto"/>
                <w:lang w:val="en-US" w:eastAsia="zh-CN"/>
              </w:rPr>
              <w:t>/</w:t>
            </w:r>
          </w:p>
        </w:tc>
      </w:tr>
      <w:tr w14:paraId="78FB7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62A7FE5F">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1.1.3</w:t>
            </w:r>
          </w:p>
        </w:tc>
        <w:tc>
          <w:tcPr>
            <w:tcW w:w="2055" w:type="dxa"/>
            <w:noWrap w:val="0"/>
            <w:vAlign w:val="center"/>
          </w:tcPr>
          <w:p w14:paraId="79A75ECA">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招标代理机构</w:t>
            </w:r>
          </w:p>
        </w:tc>
        <w:tc>
          <w:tcPr>
            <w:tcW w:w="5535" w:type="dxa"/>
            <w:noWrap w:val="0"/>
            <w:vAlign w:val="center"/>
          </w:tcPr>
          <w:p w14:paraId="28889835">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名称：浙江致远工程管理有限公司</w:t>
            </w:r>
          </w:p>
          <w:p w14:paraId="2743A2D4">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地址：绍兴市越城区玛格丽特商业中心东区4栋9-2号</w:t>
            </w:r>
          </w:p>
          <w:p w14:paraId="45ED6AF3">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联系人：吕建忠</w:t>
            </w:r>
          </w:p>
          <w:p w14:paraId="4638E1D2">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联系电话：19560223560</w:t>
            </w:r>
          </w:p>
          <w:p w14:paraId="0797602B">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电子邮箱：3771052270@qq.com</w:t>
            </w:r>
          </w:p>
        </w:tc>
      </w:tr>
      <w:tr w14:paraId="69E5A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4B203A6D">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1.1.4</w:t>
            </w:r>
          </w:p>
        </w:tc>
        <w:tc>
          <w:tcPr>
            <w:tcW w:w="2055" w:type="dxa"/>
            <w:noWrap w:val="0"/>
            <w:vAlign w:val="center"/>
          </w:tcPr>
          <w:p w14:paraId="71132DF0">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项目名称</w:t>
            </w:r>
          </w:p>
        </w:tc>
        <w:tc>
          <w:tcPr>
            <w:tcW w:w="5535" w:type="dxa"/>
            <w:noWrap w:val="0"/>
            <w:vAlign w:val="center"/>
          </w:tcPr>
          <w:p w14:paraId="7B7D828B">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b w:val="0"/>
                <w:bCs w:val="0"/>
                <w:color w:val="auto"/>
                <w:spacing w:val="0"/>
                <w:position w:val="0"/>
                <w:sz w:val="21"/>
                <w:szCs w:val="21"/>
                <w:highlight w:val="none"/>
                <w:shd w:val="clear" w:color="auto" w:fill="auto"/>
              </w:rPr>
            </w:pPr>
            <w:r>
              <w:rPr>
                <w:rFonts w:hint="eastAsia" w:ascii="宋体" w:hAnsi="宋体" w:eastAsia="宋体" w:cs="宋体"/>
                <w:b w:val="0"/>
                <w:bCs w:val="0"/>
                <w:color w:val="auto"/>
                <w:spacing w:val="0"/>
                <w:kern w:val="44"/>
                <w:position w:val="0"/>
                <w:sz w:val="21"/>
                <w:szCs w:val="21"/>
                <w:highlight w:val="none"/>
                <w:shd w:val="clear" w:color="auto" w:fill="auto"/>
                <w:lang w:val="zh-CN"/>
              </w:rPr>
              <w:t>绍兴市水务产业有限公司二次供水设备年度采购项目</w:t>
            </w:r>
          </w:p>
        </w:tc>
      </w:tr>
      <w:tr w14:paraId="37366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1978B9D2">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1.1.5</w:t>
            </w:r>
          </w:p>
        </w:tc>
        <w:tc>
          <w:tcPr>
            <w:tcW w:w="2055" w:type="dxa"/>
            <w:noWrap w:val="0"/>
            <w:vAlign w:val="center"/>
          </w:tcPr>
          <w:p w14:paraId="6563E2D0">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建设地点</w:t>
            </w:r>
          </w:p>
        </w:tc>
        <w:tc>
          <w:tcPr>
            <w:tcW w:w="5535" w:type="dxa"/>
            <w:noWrap w:val="0"/>
            <w:vAlign w:val="center"/>
          </w:tcPr>
          <w:p w14:paraId="396B453F">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kern w:val="0"/>
                <w:position w:val="0"/>
                <w:sz w:val="21"/>
                <w:szCs w:val="21"/>
                <w:highlight w:val="none"/>
                <w:u w:val="single"/>
                <w:shd w:val="clear" w:color="auto" w:fill="auto"/>
              </w:rPr>
              <w:t>绍兴市越城区</w:t>
            </w:r>
          </w:p>
        </w:tc>
      </w:tr>
      <w:tr w14:paraId="058FD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1220772E">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1.2.1</w:t>
            </w:r>
          </w:p>
        </w:tc>
        <w:tc>
          <w:tcPr>
            <w:tcW w:w="2055" w:type="dxa"/>
            <w:noWrap w:val="0"/>
            <w:vAlign w:val="center"/>
          </w:tcPr>
          <w:p w14:paraId="13A86A44">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资金来源</w:t>
            </w:r>
          </w:p>
          <w:p w14:paraId="52C20AF9">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及比例</w:t>
            </w:r>
          </w:p>
        </w:tc>
        <w:tc>
          <w:tcPr>
            <w:tcW w:w="5535" w:type="dxa"/>
            <w:noWrap w:val="0"/>
            <w:vAlign w:val="center"/>
          </w:tcPr>
          <w:p w14:paraId="73F2C92E">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lang w:val="en-US" w:eastAsia="zh-CN"/>
              </w:rPr>
            </w:pPr>
            <w:r>
              <w:rPr>
                <w:rFonts w:hint="eastAsia" w:ascii="宋体" w:hAnsi="宋体" w:eastAsia="宋体" w:cs="宋体"/>
                <w:color w:val="auto"/>
                <w:spacing w:val="0"/>
                <w:position w:val="0"/>
                <w:sz w:val="21"/>
                <w:szCs w:val="21"/>
                <w:highlight w:val="none"/>
                <w:shd w:val="clear" w:color="auto" w:fill="auto"/>
                <w:lang w:val="en-US" w:eastAsia="zh-CN"/>
              </w:rPr>
              <w:t>自筹100%</w:t>
            </w:r>
          </w:p>
        </w:tc>
      </w:tr>
      <w:tr w14:paraId="55624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52B8BC4F">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1.2.2</w:t>
            </w:r>
          </w:p>
        </w:tc>
        <w:tc>
          <w:tcPr>
            <w:tcW w:w="2055" w:type="dxa"/>
            <w:noWrap w:val="0"/>
            <w:vAlign w:val="center"/>
          </w:tcPr>
          <w:p w14:paraId="501FF63D">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资金落实情况</w:t>
            </w:r>
          </w:p>
        </w:tc>
        <w:tc>
          <w:tcPr>
            <w:tcW w:w="5535" w:type="dxa"/>
            <w:noWrap w:val="0"/>
            <w:vAlign w:val="center"/>
          </w:tcPr>
          <w:p w14:paraId="318D3CD8">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lang w:val="en-US" w:eastAsia="zh-CN"/>
              </w:rPr>
            </w:pPr>
            <w:r>
              <w:rPr>
                <w:rFonts w:hint="eastAsia" w:ascii="宋体" w:hAnsi="宋体" w:eastAsia="宋体" w:cs="宋体"/>
                <w:color w:val="auto"/>
                <w:spacing w:val="0"/>
                <w:position w:val="0"/>
                <w:sz w:val="21"/>
                <w:szCs w:val="21"/>
                <w:highlight w:val="none"/>
                <w:shd w:val="clear" w:color="auto" w:fill="auto"/>
                <w:lang w:val="en-US" w:eastAsia="zh-CN"/>
              </w:rPr>
              <w:t>已落实</w:t>
            </w:r>
          </w:p>
        </w:tc>
      </w:tr>
      <w:tr w14:paraId="1BADB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56781C00">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1.3.1</w:t>
            </w:r>
          </w:p>
        </w:tc>
        <w:tc>
          <w:tcPr>
            <w:tcW w:w="2055" w:type="dxa"/>
            <w:noWrap w:val="0"/>
            <w:vAlign w:val="center"/>
          </w:tcPr>
          <w:p w14:paraId="1C012EED">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招标范围</w:t>
            </w:r>
          </w:p>
        </w:tc>
        <w:tc>
          <w:tcPr>
            <w:tcW w:w="5535" w:type="dxa"/>
            <w:noWrap w:val="0"/>
            <w:vAlign w:val="center"/>
          </w:tcPr>
          <w:p w14:paraId="569B456D">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见招标公告内容</w:t>
            </w:r>
          </w:p>
        </w:tc>
      </w:tr>
      <w:tr w14:paraId="2B14E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68C917A0">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1.3.2</w:t>
            </w:r>
          </w:p>
        </w:tc>
        <w:tc>
          <w:tcPr>
            <w:tcW w:w="2055" w:type="dxa"/>
            <w:noWrap w:val="0"/>
            <w:vAlign w:val="center"/>
          </w:tcPr>
          <w:p w14:paraId="29681D29">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交货期</w:t>
            </w:r>
          </w:p>
        </w:tc>
        <w:tc>
          <w:tcPr>
            <w:tcW w:w="5535" w:type="dxa"/>
            <w:noWrap w:val="0"/>
            <w:vAlign w:val="center"/>
          </w:tcPr>
          <w:p w14:paraId="1D71A14D">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val="en-US" w:eastAsia="zh-CN"/>
              </w:rPr>
              <w:t>总供货周期两年，</w:t>
            </w:r>
            <w:r>
              <w:rPr>
                <w:rFonts w:hint="eastAsia" w:ascii="宋体" w:hAnsi="宋体" w:eastAsia="宋体" w:cs="宋体"/>
                <w:color w:val="auto"/>
                <w:spacing w:val="0"/>
                <w:position w:val="0"/>
                <w:sz w:val="21"/>
                <w:szCs w:val="21"/>
                <w:highlight w:val="none"/>
                <w:shd w:val="clear" w:color="auto" w:fill="auto"/>
              </w:rPr>
              <w:t>单个项目合同签订后40日历天内完成供货及安装调试</w:t>
            </w:r>
            <w:r>
              <w:rPr>
                <w:rFonts w:hint="eastAsia" w:ascii="宋体" w:hAnsi="宋体" w:eastAsia="宋体" w:cs="宋体"/>
                <w:color w:val="auto"/>
                <w:spacing w:val="0"/>
                <w:position w:val="0"/>
                <w:sz w:val="21"/>
                <w:szCs w:val="21"/>
                <w:highlight w:val="none"/>
                <w:shd w:val="clear" w:color="auto" w:fill="auto"/>
                <w:lang w:val="en-US" w:eastAsia="zh-CN"/>
              </w:rPr>
              <w:t>。</w:t>
            </w:r>
          </w:p>
        </w:tc>
      </w:tr>
      <w:tr w14:paraId="1EA77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2C228C08">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1.3.3</w:t>
            </w:r>
          </w:p>
        </w:tc>
        <w:tc>
          <w:tcPr>
            <w:tcW w:w="2055" w:type="dxa"/>
            <w:noWrap w:val="0"/>
            <w:vAlign w:val="center"/>
          </w:tcPr>
          <w:p w14:paraId="32E2651C">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质量保证期</w:t>
            </w:r>
          </w:p>
        </w:tc>
        <w:tc>
          <w:tcPr>
            <w:tcW w:w="5535" w:type="dxa"/>
            <w:noWrap w:val="0"/>
            <w:vAlign w:val="center"/>
          </w:tcPr>
          <w:p w14:paraId="05F633C5">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不少于</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u w:val="single"/>
                <w:shd w:val="clear" w:color="auto" w:fill="auto"/>
                <w:lang w:val="en-US" w:eastAsia="zh-CN"/>
              </w:rPr>
              <w:t xml:space="preserve">24 </w:t>
            </w:r>
            <w:r>
              <w:rPr>
                <w:rFonts w:hint="eastAsia" w:ascii="宋体" w:hAnsi="宋体" w:eastAsia="宋体" w:cs="宋体"/>
                <w:color w:val="auto"/>
                <w:spacing w:val="0"/>
                <w:position w:val="0"/>
                <w:sz w:val="21"/>
                <w:szCs w:val="21"/>
                <w:highlight w:val="none"/>
                <w:shd w:val="clear" w:color="auto" w:fill="auto"/>
              </w:rPr>
              <w:t>个月，时间从</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u w:val="single"/>
                <w:shd w:val="clear" w:color="auto" w:fill="auto"/>
                <w:lang w:val="en-US" w:eastAsia="zh-CN"/>
              </w:rPr>
              <w:t>经调试、试运行、验收合格后</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shd w:val="clear" w:color="auto" w:fill="auto"/>
              </w:rPr>
              <w:t>起算。</w:t>
            </w:r>
          </w:p>
        </w:tc>
      </w:tr>
      <w:tr w14:paraId="46D92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7291FFF1">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1.4.1</w:t>
            </w:r>
          </w:p>
        </w:tc>
        <w:tc>
          <w:tcPr>
            <w:tcW w:w="2055" w:type="dxa"/>
            <w:noWrap w:val="0"/>
            <w:vAlign w:val="center"/>
          </w:tcPr>
          <w:p w14:paraId="4CB5889C">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投标人资格条件、要求</w:t>
            </w:r>
          </w:p>
        </w:tc>
        <w:tc>
          <w:tcPr>
            <w:tcW w:w="5535" w:type="dxa"/>
            <w:noWrap w:val="0"/>
            <w:vAlign w:val="center"/>
          </w:tcPr>
          <w:p w14:paraId="471601A1">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见招标公告内容</w:t>
            </w:r>
          </w:p>
        </w:tc>
      </w:tr>
      <w:tr w14:paraId="2275D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5DC1E2AB">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1.4.2</w:t>
            </w:r>
          </w:p>
        </w:tc>
        <w:tc>
          <w:tcPr>
            <w:tcW w:w="2055" w:type="dxa"/>
            <w:noWrap w:val="0"/>
            <w:vAlign w:val="center"/>
          </w:tcPr>
          <w:p w14:paraId="502F3031">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是否接受联合体投标</w:t>
            </w:r>
          </w:p>
        </w:tc>
        <w:tc>
          <w:tcPr>
            <w:tcW w:w="5535" w:type="dxa"/>
            <w:noWrap w:val="0"/>
            <w:vAlign w:val="center"/>
          </w:tcPr>
          <w:p w14:paraId="6A29B232">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rPr>
              <w:t>不接受</w:t>
            </w:r>
          </w:p>
          <w:p w14:paraId="05754AE5">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□接受，应满足下列要求：</w:t>
            </w:r>
          </w:p>
        </w:tc>
      </w:tr>
      <w:tr w14:paraId="17364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655E67A3">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1.9.1</w:t>
            </w:r>
          </w:p>
        </w:tc>
        <w:tc>
          <w:tcPr>
            <w:tcW w:w="2055" w:type="dxa"/>
            <w:noWrap w:val="0"/>
            <w:vAlign w:val="center"/>
          </w:tcPr>
          <w:p w14:paraId="63B2D181">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踏勘现场</w:t>
            </w:r>
          </w:p>
        </w:tc>
        <w:tc>
          <w:tcPr>
            <w:tcW w:w="5535" w:type="dxa"/>
            <w:noWrap w:val="0"/>
            <w:vAlign w:val="center"/>
          </w:tcPr>
          <w:p w14:paraId="3EA880DE">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rPr>
              <w:t>不组织。</w:t>
            </w:r>
          </w:p>
          <w:p w14:paraId="5B5DF363">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□组织。联系人：</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shd w:val="clear" w:color="auto" w:fill="auto"/>
              </w:rPr>
              <w:t>联系电话：</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shd w:val="clear" w:color="auto" w:fill="auto"/>
              </w:rPr>
              <w:t>踏勘时间：</w:t>
            </w:r>
            <w:r>
              <w:rPr>
                <w:rFonts w:hint="eastAsia" w:ascii="宋体" w:hAnsi="宋体" w:eastAsia="宋体" w:cs="宋体"/>
                <w:color w:val="auto"/>
                <w:spacing w:val="0"/>
                <w:position w:val="0"/>
                <w:sz w:val="21"/>
                <w:szCs w:val="21"/>
                <w:highlight w:val="none"/>
                <w:u w:val="single"/>
                <w:shd w:val="clear" w:color="auto" w:fill="auto"/>
              </w:rPr>
              <w:t xml:space="preserve">                  </w:t>
            </w:r>
          </w:p>
          <w:p w14:paraId="1525D583">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踏勘集中地点：</w:t>
            </w:r>
            <w:r>
              <w:rPr>
                <w:rFonts w:hint="eastAsia" w:ascii="宋体" w:hAnsi="宋体" w:eastAsia="宋体" w:cs="宋体"/>
                <w:color w:val="auto"/>
                <w:spacing w:val="0"/>
                <w:position w:val="0"/>
                <w:sz w:val="21"/>
                <w:szCs w:val="21"/>
                <w:highlight w:val="none"/>
                <w:u w:val="single"/>
                <w:shd w:val="clear" w:color="auto" w:fill="auto"/>
              </w:rPr>
              <w:t xml:space="preserve">                  </w:t>
            </w:r>
          </w:p>
        </w:tc>
      </w:tr>
      <w:tr w14:paraId="6D81F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27FC5C9A">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1.10.1</w:t>
            </w:r>
          </w:p>
        </w:tc>
        <w:tc>
          <w:tcPr>
            <w:tcW w:w="2055" w:type="dxa"/>
            <w:noWrap w:val="0"/>
            <w:vAlign w:val="center"/>
          </w:tcPr>
          <w:p w14:paraId="59854D2D">
            <w:pPr>
              <w:keepNext w:val="0"/>
              <w:keepLines w:val="0"/>
              <w:pageBreakBefore w:val="0"/>
              <w:widowControl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投标预备会</w:t>
            </w:r>
          </w:p>
        </w:tc>
        <w:tc>
          <w:tcPr>
            <w:tcW w:w="5535" w:type="dxa"/>
            <w:noWrap w:val="0"/>
            <w:vAlign w:val="center"/>
          </w:tcPr>
          <w:p w14:paraId="309BE0F4">
            <w:pPr>
              <w:keepNext w:val="0"/>
              <w:keepLines w:val="0"/>
              <w:pageBreakBefore w:val="0"/>
              <w:widowControl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rPr>
              <w:t>不召开。</w:t>
            </w:r>
          </w:p>
          <w:p w14:paraId="4CE906D7">
            <w:pPr>
              <w:keepNext w:val="0"/>
              <w:keepLines w:val="0"/>
              <w:pageBreakBefore w:val="0"/>
              <w:widowControl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□召开。召开时间：</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shd w:val="clear" w:color="auto" w:fill="auto"/>
              </w:rPr>
              <w:t>召开地点：</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shd w:val="clear" w:color="auto" w:fill="auto"/>
              </w:rPr>
              <w:t xml:space="preserve"> </w:t>
            </w:r>
          </w:p>
        </w:tc>
      </w:tr>
      <w:tr w14:paraId="5659C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7B5F1F05">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1.10.2</w:t>
            </w:r>
          </w:p>
        </w:tc>
        <w:tc>
          <w:tcPr>
            <w:tcW w:w="2055" w:type="dxa"/>
            <w:noWrap w:val="0"/>
            <w:vAlign w:val="center"/>
          </w:tcPr>
          <w:p w14:paraId="74D8C75B">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投标人提出问题的截止时间、上传疑问方式</w:t>
            </w:r>
          </w:p>
        </w:tc>
        <w:tc>
          <w:tcPr>
            <w:tcW w:w="5535" w:type="dxa"/>
            <w:noWrap w:val="0"/>
            <w:vAlign w:val="center"/>
          </w:tcPr>
          <w:p w14:paraId="01C216DA">
            <w:pPr>
              <w:keepNext w:val="0"/>
              <w:keepLines w:val="0"/>
              <w:pageBreakBefore w:val="0"/>
              <w:overflowPunct/>
              <w:bidi w:val="0"/>
              <w:snapToGrid/>
              <w:spacing w:line="320" w:lineRule="exact"/>
              <w:jc w:val="left"/>
              <w:rPr>
                <w:rFonts w:hint="eastAsia" w:ascii="宋体" w:hAnsi="宋体" w:eastAsia="宋体" w:cs="宋体"/>
                <w:color w:val="auto"/>
                <w:spacing w:val="0"/>
                <w:position w:val="0"/>
                <w:sz w:val="21"/>
                <w:szCs w:val="21"/>
                <w:highlight w:val="none"/>
                <w:u w:val="single"/>
                <w:shd w:val="clear" w:color="auto" w:fill="auto"/>
              </w:rPr>
            </w:pPr>
            <w:r>
              <w:rPr>
                <w:rFonts w:hint="eastAsia" w:ascii="宋体" w:hAnsi="宋体" w:eastAsia="宋体" w:cs="宋体"/>
                <w:color w:val="auto"/>
                <w:spacing w:val="0"/>
                <w:position w:val="0"/>
                <w:sz w:val="21"/>
                <w:szCs w:val="21"/>
                <w:highlight w:val="none"/>
                <w:shd w:val="clear" w:color="auto" w:fill="auto"/>
              </w:rPr>
              <w:t>提问截止时间：</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u w:val="single"/>
                <w:shd w:val="clear" w:color="auto" w:fill="auto"/>
                <w:lang w:val="en-US" w:eastAsia="zh-CN"/>
              </w:rPr>
              <w:t xml:space="preserve">2025 </w:t>
            </w:r>
            <w:r>
              <w:rPr>
                <w:rFonts w:hint="eastAsia" w:ascii="宋体" w:hAnsi="宋体" w:eastAsia="宋体" w:cs="宋体"/>
                <w:color w:val="auto"/>
                <w:spacing w:val="0"/>
                <w:position w:val="0"/>
                <w:sz w:val="21"/>
                <w:szCs w:val="21"/>
                <w:highlight w:val="none"/>
                <w:shd w:val="clear" w:color="auto" w:fill="auto"/>
              </w:rPr>
              <w:t>年</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shd w:val="clear" w:color="auto" w:fill="auto"/>
              </w:rPr>
              <w:t>月</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shd w:val="clear" w:color="auto" w:fill="auto"/>
              </w:rPr>
              <w:t>日</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shd w:val="clear" w:color="auto" w:fill="auto"/>
              </w:rPr>
              <w:t>时</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shd w:val="clear" w:color="auto" w:fill="auto"/>
              </w:rPr>
              <w:t>分。（投标人在截止时间以后提出的澄清招标文件的要求，招标人可以拒绝受理），提交方式:</w:t>
            </w:r>
            <w:r>
              <w:rPr>
                <w:rFonts w:hint="eastAsia" w:ascii="宋体" w:hAnsi="宋体" w:eastAsia="宋体" w:cs="宋体"/>
                <w:i/>
                <w:color w:val="auto"/>
                <w:spacing w:val="0"/>
                <w:position w:val="0"/>
                <w:sz w:val="21"/>
                <w:szCs w:val="21"/>
                <w:highlight w:val="none"/>
                <w:u w:val="single"/>
                <w:shd w:val="clear" w:color="auto" w:fill="auto"/>
              </w:rPr>
              <w:t>请在上述时间截止前将加盖公章的PDF电子格式的投标提问书发送至3771052270@qq.com。</w:t>
            </w:r>
          </w:p>
          <w:p w14:paraId="3F471943">
            <w:pPr>
              <w:keepNext w:val="0"/>
              <w:keepLines w:val="0"/>
              <w:pageBreakBefore w:val="0"/>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联系方式：</w:t>
            </w:r>
            <w:r>
              <w:rPr>
                <w:rFonts w:hint="eastAsia" w:ascii="宋体" w:hAnsi="宋体" w:eastAsia="宋体" w:cs="宋体"/>
                <w:color w:val="auto"/>
                <w:spacing w:val="0"/>
                <w:position w:val="0"/>
                <w:sz w:val="21"/>
                <w:szCs w:val="21"/>
                <w:highlight w:val="none"/>
                <w:u w:val="single"/>
                <w:shd w:val="clear" w:color="auto" w:fill="auto"/>
                <w:lang w:val="en-US" w:eastAsia="zh-CN"/>
              </w:rPr>
              <w:t xml:space="preserve">19560223560 </w:t>
            </w:r>
            <w:r>
              <w:rPr>
                <w:rFonts w:hint="eastAsia" w:ascii="宋体" w:hAnsi="宋体" w:eastAsia="宋体" w:cs="宋体"/>
                <w:i/>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shd w:val="clear" w:color="auto" w:fill="auto"/>
              </w:rPr>
              <w:t>联系人：</w:t>
            </w:r>
            <w:r>
              <w:rPr>
                <w:rFonts w:hint="eastAsia" w:ascii="宋体" w:hAnsi="宋体" w:eastAsia="宋体" w:cs="宋体"/>
                <w:color w:val="auto"/>
                <w:spacing w:val="0"/>
                <w:position w:val="0"/>
                <w:sz w:val="21"/>
                <w:szCs w:val="21"/>
                <w:highlight w:val="none"/>
                <w:u w:val="single"/>
                <w:shd w:val="clear" w:color="auto" w:fill="auto"/>
                <w:lang w:val="en-US" w:eastAsia="zh-CN"/>
              </w:rPr>
              <w:t>吕建忠</w:t>
            </w:r>
            <w:r>
              <w:rPr>
                <w:rFonts w:hint="eastAsia" w:ascii="宋体" w:hAnsi="宋体" w:eastAsia="宋体" w:cs="宋体"/>
                <w:i/>
                <w:color w:val="auto"/>
                <w:spacing w:val="0"/>
                <w:position w:val="0"/>
                <w:sz w:val="21"/>
                <w:szCs w:val="21"/>
                <w:highlight w:val="none"/>
                <w:u w:val="single"/>
                <w:shd w:val="clear" w:color="auto" w:fill="auto"/>
              </w:rPr>
              <w:t>。</w:t>
            </w:r>
          </w:p>
        </w:tc>
      </w:tr>
      <w:tr w14:paraId="325F5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14DE3302">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1.10.3</w:t>
            </w:r>
          </w:p>
        </w:tc>
        <w:tc>
          <w:tcPr>
            <w:tcW w:w="2055" w:type="dxa"/>
            <w:noWrap w:val="0"/>
            <w:vAlign w:val="center"/>
          </w:tcPr>
          <w:p w14:paraId="37F0B21F">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招标文件的澄清、补充、修改的时间，澄清、修改、补充文件的下载网址</w:t>
            </w:r>
          </w:p>
        </w:tc>
        <w:tc>
          <w:tcPr>
            <w:tcW w:w="5535" w:type="dxa"/>
            <w:noWrap w:val="0"/>
            <w:vAlign w:val="center"/>
          </w:tcPr>
          <w:p w14:paraId="1ECCF765">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招标人可以对已发出的招标文件进行必要的澄清或者修改。澄清或者修改的内容可能影响投标文件编制的，招标人应当在投标截止时间至少15日前，以书面形式通知所有获取招标文件的潜在投标人；不足15日的，招标人应当顺延投标文件的截止时间。</w:t>
            </w:r>
          </w:p>
          <w:p w14:paraId="04E21179">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澄清、补充、修改的内容不影响投标文件编制的，将在投标文件递交截止时间</w:t>
            </w:r>
            <w:r>
              <w:rPr>
                <w:rFonts w:hint="eastAsia" w:ascii="宋体" w:hAnsi="宋体" w:eastAsia="宋体" w:cs="宋体"/>
                <w:color w:val="auto"/>
                <w:spacing w:val="0"/>
                <w:position w:val="0"/>
                <w:sz w:val="21"/>
                <w:szCs w:val="21"/>
                <w:highlight w:val="none"/>
                <w:u w:val="single"/>
                <w:shd w:val="clear" w:color="auto" w:fill="auto"/>
                <w:lang w:val="en-US" w:eastAsia="zh-CN"/>
              </w:rPr>
              <w:t xml:space="preserve"> 15</w:t>
            </w:r>
            <w:r>
              <w:rPr>
                <w:rFonts w:hint="eastAsia" w:ascii="宋体" w:hAnsi="宋体" w:eastAsia="宋体" w:cs="宋体"/>
                <w:color w:val="auto"/>
                <w:spacing w:val="0"/>
                <w:position w:val="0"/>
                <w:sz w:val="21"/>
                <w:szCs w:val="21"/>
                <w:highlight w:val="none"/>
                <w:shd w:val="clear" w:color="auto" w:fill="auto"/>
              </w:rPr>
              <w:t>天前，以上款相同的形式发布。</w:t>
            </w:r>
          </w:p>
          <w:p w14:paraId="3348FB73">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潜在投标人应自行关注绍兴公共资源交易网，招标人不再逐一通知。投标人因自身贻误行为导致投标失败的，责任自负。</w:t>
            </w:r>
          </w:p>
          <w:p w14:paraId="23657ED4">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lang w:eastAsia="zh-CN"/>
              </w:rPr>
            </w:pPr>
            <w:r>
              <w:rPr>
                <w:rFonts w:hint="eastAsia" w:ascii="宋体" w:hAnsi="宋体" w:eastAsia="宋体" w:cs="宋体"/>
                <w:color w:val="auto"/>
                <w:spacing w:val="0"/>
                <w:position w:val="0"/>
                <w:sz w:val="21"/>
                <w:szCs w:val="21"/>
                <w:highlight w:val="none"/>
                <w:shd w:val="clear" w:color="auto" w:fill="auto"/>
              </w:rPr>
              <w:t>公布、下载网址：</w:t>
            </w:r>
            <w:r>
              <w:rPr>
                <w:rFonts w:hint="eastAsia" w:ascii="宋体" w:hAnsi="宋体" w:eastAsia="宋体" w:cs="宋体"/>
                <w:color w:val="auto"/>
                <w:spacing w:val="0"/>
                <w:position w:val="0"/>
                <w:sz w:val="21"/>
                <w:szCs w:val="21"/>
                <w:highlight w:val="none"/>
                <w:shd w:val="clear" w:color="auto" w:fill="auto"/>
              </w:rPr>
              <w:t>绍兴公共资源交易网</w:t>
            </w:r>
            <w:r>
              <w:rPr>
                <w:rFonts w:hint="eastAsia" w:ascii="宋体" w:hAnsi="宋体" w:eastAsia="宋体" w:cs="宋体"/>
                <w:color w:val="auto"/>
                <w:spacing w:val="0"/>
                <w:position w:val="0"/>
                <w:sz w:val="21"/>
                <w:szCs w:val="21"/>
                <w:highlight w:val="none"/>
                <w:shd w:val="clear" w:color="auto" w:fill="auto"/>
                <w:lang w:eastAsia="zh-CN"/>
              </w:rPr>
              <w:t>（https://ggb.sx.gov.cn/）</w:t>
            </w:r>
          </w:p>
        </w:tc>
      </w:tr>
      <w:tr w14:paraId="22ED6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428B3529">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1.11</w:t>
            </w:r>
          </w:p>
        </w:tc>
        <w:tc>
          <w:tcPr>
            <w:tcW w:w="2055" w:type="dxa"/>
            <w:noWrap w:val="0"/>
            <w:vAlign w:val="center"/>
          </w:tcPr>
          <w:p w14:paraId="03B01AAE">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分包</w:t>
            </w:r>
          </w:p>
        </w:tc>
        <w:tc>
          <w:tcPr>
            <w:tcW w:w="5535" w:type="dxa"/>
            <w:noWrap w:val="0"/>
            <w:vAlign w:val="center"/>
          </w:tcPr>
          <w:p w14:paraId="7FA286A6">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不允许</w:t>
            </w:r>
          </w:p>
        </w:tc>
      </w:tr>
      <w:tr w14:paraId="7A9A3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113313CC">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1.12</w:t>
            </w:r>
          </w:p>
        </w:tc>
        <w:tc>
          <w:tcPr>
            <w:tcW w:w="2055" w:type="dxa"/>
            <w:noWrap w:val="0"/>
            <w:vAlign w:val="center"/>
          </w:tcPr>
          <w:p w14:paraId="110C0CE8">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偏离</w:t>
            </w:r>
          </w:p>
        </w:tc>
        <w:tc>
          <w:tcPr>
            <w:tcW w:w="5535" w:type="dxa"/>
            <w:noWrap w:val="0"/>
            <w:vAlign w:val="center"/>
          </w:tcPr>
          <w:p w14:paraId="767AEA66">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□不允许。</w:t>
            </w:r>
          </w:p>
          <w:p w14:paraId="653E2A66">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rPr>
              <w:t>允许。允许偏离的内容、偏离范围和幅度：</w:t>
            </w:r>
            <w:r>
              <w:rPr>
                <w:rFonts w:hint="eastAsia" w:ascii="宋体" w:hAnsi="宋体" w:eastAsia="宋体" w:cs="宋体"/>
                <w:color w:val="auto"/>
                <w:spacing w:val="0"/>
                <w:position w:val="0"/>
                <w:sz w:val="21"/>
                <w:szCs w:val="21"/>
                <w:highlight w:val="none"/>
                <w:u w:val="single"/>
                <w:shd w:val="clear" w:color="auto" w:fill="auto"/>
              </w:rPr>
              <w:t>实质性要求允许正偏离</w:t>
            </w:r>
          </w:p>
        </w:tc>
      </w:tr>
      <w:tr w14:paraId="2753E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0193BF61">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2.1</w:t>
            </w:r>
          </w:p>
        </w:tc>
        <w:tc>
          <w:tcPr>
            <w:tcW w:w="2055" w:type="dxa"/>
            <w:noWrap w:val="0"/>
            <w:vAlign w:val="center"/>
          </w:tcPr>
          <w:p w14:paraId="51A3EBF2">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构成招标文件的其他材料</w:t>
            </w:r>
          </w:p>
        </w:tc>
        <w:tc>
          <w:tcPr>
            <w:tcW w:w="5535" w:type="dxa"/>
            <w:noWrap w:val="0"/>
            <w:vAlign w:val="center"/>
          </w:tcPr>
          <w:p w14:paraId="461556B5">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lang w:val="en-US" w:eastAsia="zh-CN"/>
              </w:rPr>
            </w:pPr>
            <w:r>
              <w:rPr>
                <w:rFonts w:hint="eastAsia" w:ascii="宋体" w:hAnsi="宋体" w:eastAsia="宋体" w:cs="宋体"/>
                <w:color w:val="auto"/>
                <w:spacing w:val="0"/>
                <w:position w:val="0"/>
                <w:sz w:val="21"/>
                <w:szCs w:val="21"/>
                <w:highlight w:val="none"/>
                <w:shd w:val="clear" w:color="auto" w:fill="auto"/>
                <w:lang w:val="en-US" w:eastAsia="zh-CN"/>
              </w:rPr>
              <w:t>/</w:t>
            </w:r>
          </w:p>
        </w:tc>
      </w:tr>
      <w:tr w14:paraId="03CD6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5A582704">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2.2.1</w:t>
            </w:r>
          </w:p>
        </w:tc>
        <w:tc>
          <w:tcPr>
            <w:tcW w:w="2055" w:type="dxa"/>
            <w:noWrap w:val="0"/>
            <w:vAlign w:val="center"/>
          </w:tcPr>
          <w:p w14:paraId="27879ABA">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投标人要求澄清招标文件的截止时间</w:t>
            </w:r>
          </w:p>
        </w:tc>
        <w:tc>
          <w:tcPr>
            <w:tcW w:w="5535" w:type="dxa"/>
            <w:noWrap w:val="0"/>
            <w:vAlign w:val="center"/>
          </w:tcPr>
          <w:p w14:paraId="054C3454">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同投标人须知前附表第1.10.2项</w:t>
            </w:r>
          </w:p>
        </w:tc>
      </w:tr>
      <w:tr w14:paraId="71EB4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173D045A">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2.2.2</w:t>
            </w:r>
          </w:p>
        </w:tc>
        <w:tc>
          <w:tcPr>
            <w:tcW w:w="2055" w:type="dxa"/>
            <w:noWrap w:val="0"/>
            <w:vAlign w:val="center"/>
          </w:tcPr>
          <w:p w14:paraId="5E4C2D37">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投标截止时间</w:t>
            </w:r>
          </w:p>
        </w:tc>
        <w:tc>
          <w:tcPr>
            <w:tcW w:w="5535" w:type="dxa"/>
            <w:noWrap w:val="0"/>
            <w:vAlign w:val="center"/>
          </w:tcPr>
          <w:p w14:paraId="323928D5">
            <w:pPr>
              <w:keepNext w:val="0"/>
              <w:keepLines w:val="0"/>
              <w:pageBreakBefore w:val="0"/>
              <w:tabs>
                <w:tab w:val="left" w:pos="558"/>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lang w:val="en-US" w:eastAsia="zh-CN"/>
              </w:rPr>
            </w:pPr>
            <w:r>
              <w:rPr>
                <w:rFonts w:hint="eastAsia" w:ascii="宋体" w:hAnsi="宋体" w:eastAsia="宋体" w:cs="宋体"/>
                <w:color w:val="auto"/>
                <w:spacing w:val="0"/>
                <w:position w:val="0"/>
                <w:sz w:val="21"/>
                <w:szCs w:val="21"/>
                <w:highlight w:val="none"/>
                <w:shd w:val="clear" w:color="auto" w:fill="auto"/>
                <w:lang w:val="en-US" w:eastAsia="zh-CN"/>
              </w:rPr>
              <w:t>详见招标公告</w:t>
            </w:r>
          </w:p>
        </w:tc>
      </w:tr>
      <w:tr w14:paraId="1454F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68685606">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2.2.3</w:t>
            </w:r>
          </w:p>
        </w:tc>
        <w:tc>
          <w:tcPr>
            <w:tcW w:w="2055" w:type="dxa"/>
            <w:noWrap w:val="0"/>
            <w:vAlign w:val="center"/>
          </w:tcPr>
          <w:p w14:paraId="62727FCC">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投标人确认收到招标文件澄清的时间</w:t>
            </w:r>
          </w:p>
        </w:tc>
        <w:tc>
          <w:tcPr>
            <w:tcW w:w="5535" w:type="dxa"/>
            <w:noWrap w:val="0"/>
            <w:vAlign w:val="center"/>
          </w:tcPr>
          <w:p w14:paraId="3D669CDB">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潜在投标人应自行关注绍兴公共资源交易网</w:t>
            </w:r>
            <w:r>
              <w:rPr>
                <w:rFonts w:hint="eastAsia" w:ascii="宋体" w:hAnsi="宋体" w:eastAsia="宋体" w:cs="宋体"/>
                <w:color w:val="auto"/>
                <w:spacing w:val="0"/>
                <w:position w:val="0"/>
                <w:sz w:val="21"/>
                <w:szCs w:val="21"/>
                <w:highlight w:val="none"/>
                <w:shd w:val="clear" w:color="auto" w:fill="auto"/>
              </w:rPr>
              <w:t>(http://ggb.sx.gov.cn/)，招标人不再一一</w:t>
            </w:r>
            <w:r>
              <w:rPr>
                <w:rFonts w:hint="eastAsia" w:ascii="宋体" w:hAnsi="宋体" w:eastAsia="宋体" w:cs="宋体"/>
                <w:color w:val="auto"/>
                <w:spacing w:val="0"/>
                <w:position w:val="0"/>
                <w:sz w:val="21"/>
                <w:szCs w:val="21"/>
                <w:highlight w:val="none"/>
                <w:shd w:val="clear" w:color="auto" w:fill="auto"/>
              </w:rPr>
              <w:t>通知。</w:t>
            </w:r>
            <w:r>
              <w:rPr>
                <w:rFonts w:hint="eastAsia" w:ascii="宋体" w:hAnsi="宋体" w:eastAsia="宋体" w:cs="宋体"/>
                <w:color w:val="auto"/>
                <w:spacing w:val="0"/>
                <w:position w:val="0"/>
                <w:sz w:val="21"/>
                <w:szCs w:val="21"/>
                <w:highlight w:val="none"/>
                <w:shd w:val="clear" w:color="auto" w:fill="auto"/>
              </w:rPr>
              <w:t>投标人因自身贻误行为导致投标失败的，责任自负。</w:t>
            </w:r>
          </w:p>
        </w:tc>
      </w:tr>
      <w:tr w14:paraId="2D7EF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0842C3E6">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3.1</w:t>
            </w:r>
          </w:p>
        </w:tc>
        <w:tc>
          <w:tcPr>
            <w:tcW w:w="2055" w:type="dxa"/>
            <w:noWrap w:val="0"/>
            <w:vAlign w:val="center"/>
          </w:tcPr>
          <w:p w14:paraId="5EBB7C5A">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构成投标文件</w:t>
            </w:r>
          </w:p>
          <w:p w14:paraId="45C34D1B">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其他材料</w:t>
            </w:r>
          </w:p>
        </w:tc>
        <w:tc>
          <w:tcPr>
            <w:tcW w:w="5535" w:type="dxa"/>
            <w:noWrap w:val="0"/>
            <w:vAlign w:val="center"/>
          </w:tcPr>
          <w:p w14:paraId="5176C220">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lang w:val="en-US" w:eastAsia="zh-CN"/>
              </w:rPr>
            </w:pPr>
            <w:r>
              <w:rPr>
                <w:rFonts w:hint="eastAsia" w:ascii="宋体" w:hAnsi="宋体" w:eastAsia="宋体" w:cs="宋体"/>
                <w:color w:val="auto"/>
                <w:spacing w:val="0"/>
                <w:position w:val="0"/>
                <w:sz w:val="21"/>
                <w:szCs w:val="21"/>
                <w:highlight w:val="none"/>
                <w:shd w:val="clear" w:color="auto" w:fill="auto"/>
                <w:lang w:val="en-US" w:eastAsia="zh-CN"/>
              </w:rPr>
              <w:t>/</w:t>
            </w:r>
          </w:p>
        </w:tc>
      </w:tr>
      <w:tr w14:paraId="6CCA5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79BA02CB">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3.2.3</w:t>
            </w:r>
          </w:p>
        </w:tc>
        <w:tc>
          <w:tcPr>
            <w:tcW w:w="2055" w:type="dxa"/>
            <w:noWrap w:val="0"/>
            <w:vAlign w:val="center"/>
          </w:tcPr>
          <w:p w14:paraId="1F6C1DF0">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最高投标限价</w:t>
            </w:r>
          </w:p>
        </w:tc>
        <w:tc>
          <w:tcPr>
            <w:tcW w:w="5535" w:type="dxa"/>
            <w:noWrap w:val="0"/>
            <w:vAlign w:val="center"/>
          </w:tcPr>
          <w:p w14:paraId="71271859">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rPr>
              <w:t>本次招标最高投标限价为：</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cs="宋体"/>
                <w:color w:val="auto"/>
                <w:spacing w:val="0"/>
                <w:position w:val="0"/>
                <w:sz w:val="21"/>
                <w:szCs w:val="21"/>
                <w:highlight w:val="none"/>
                <w:u w:val="single"/>
                <w:shd w:val="clear" w:color="auto" w:fill="auto"/>
                <w:lang w:val="en-US" w:eastAsia="zh-CN"/>
              </w:rPr>
              <w:t>2372.154</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shd w:val="clear" w:color="auto" w:fill="auto"/>
              </w:rPr>
              <w:t>万元</w:t>
            </w:r>
          </w:p>
          <w:p w14:paraId="1EC4145B">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□在投标截止时间15个日历天前以补充文件的形式公布</w:t>
            </w:r>
          </w:p>
          <w:p w14:paraId="3B3A6672">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□本次招标最高投标限价的计算方法：</w:t>
            </w:r>
            <w:r>
              <w:rPr>
                <w:rFonts w:hint="eastAsia" w:ascii="宋体" w:hAnsi="宋体" w:eastAsia="宋体" w:cs="宋体"/>
                <w:color w:val="auto"/>
                <w:spacing w:val="0"/>
                <w:position w:val="0"/>
                <w:sz w:val="21"/>
                <w:szCs w:val="21"/>
                <w:highlight w:val="none"/>
                <w:u w:val="single"/>
                <w:shd w:val="clear" w:color="auto" w:fill="auto"/>
                <w:lang w:val="en-US" w:eastAsia="zh-CN"/>
              </w:rPr>
              <w:t xml:space="preserve">      </w:t>
            </w:r>
            <w:r>
              <w:rPr>
                <w:rFonts w:hint="eastAsia" w:ascii="宋体" w:hAnsi="宋体" w:eastAsia="宋体" w:cs="宋体"/>
                <w:color w:val="auto"/>
                <w:spacing w:val="0"/>
                <w:position w:val="0"/>
                <w:sz w:val="21"/>
                <w:szCs w:val="21"/>
                <w:highlight w:val="none"/>
                <w:shd w:val="clear" w:color="auto" w:fill="auto"/>
              </w:rPr>
              <w:t>。</w:t>
            </w:r>
          </w:p>
        </w:tc>
      </w:tr>
      <w:tr w14:paraId="22A69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6EDCED62">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3.2.4</w:t>
            </w:r>
          </w:p>
        </w:tc>
        <w:tc>
          <w:tcPr>
            <w:tcW w:w="2055" w:type="dxa"/>
            <w:noWrap w:val="0"/>
            <w:vAlign w:val="center"/>
          </w:tcPr>
          <w:p w14:paraId="15DA0E94">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投标报价的</w:t>
            </w:r>
          </w:p>
          <w:p w14:paraId="100BED03">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其他要求</w:t>
            </w:r>
          </w:p>
        </w:tc>
        <w:tc>
          <w:tcPr>
            <w:tcW w:w="5535" w:type="dxa"/>
            <w:noWrap w:val="0"/>
            <w:vAlign w:val="center"/>
          </w:tcPr>
          <w:p w14:paraId="681ECADC">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lang w:val="en-US" w:eastAsia="zh-CN"/>
              </w:rPr>
            </w:pPr>
            <w:r>
              <w:rPr>
                <w:rFonts w:hint="eastAsia" w:ascii="宋体" w:hAnsi="宋体" w:eastAsia="宋体" w:cs="宋体"/>
                <w:color w:val="auto"/>
                <w:spacing w:val="0"/>
                <w:position w:val="0"/>
                <w:sz w:val="21"/>
                <w:szCs w:val="21"/>
                <w:highlight w:val="none"/>
                <w:shd w:val="clear" w:color="auto" w:fill="auto"/>
                <w:lang w:val="en-US" w:eastAsia="zh-CN"/>
              </w:rPr>
              <w:t>一、投标总价应为投标人为完成本项目所发生的一切费用，投标人在投标报价表中填报的综合单价指货物及运至招标人指定地的所有</w:t>
            </w:r>
            <w:r>
              <w:rPr>
                <w:rFonts w:hint="eastAsia" w:ascii="宋体" w:hAnsi="宋体" w:eastAsia="宋体" w:cs="宋体"/>
                <w:color w:val="auto"/>
                <w:spacing w:val="0"/>
                <w:position w:val="0"/>
                <w:sz w:val="21"/>
                <w:szCs w:val="21"/>
                <w:highlight w:val="none"/>
                <w:shd w:val="clear" w:color="auto" w:fill="auto"/>
                <w:lang w:val="en-US" w:eastAsia="zh-CN"/>
              </w:rPr>
              <w:t>费用，</w:t>
            </w:r>
            <w:r>
              <w:rPr>
                <w:rFonts w:hint="eastAsia" w:ascii="宋体" w:hAnsi="宋体" w:eastAsia="宋体" w:cs="宋体"/>
                <w:color w:val="auto"/>
                <w:spacing w:val="0"/>
                <w:position w:val="0"/>
                <w:sz w:val="21"/>
                <w:szCs w:val="21"/>
                <w:highlight w:val="none"/>
                <w:shd w:val="clear" w:color="auto" w:fill="auto"/>
                <w:lang w:val="en-US" w:eastAsia="zh-CN"/>
              </w:rPr>
              <w:t>包括但不限于供应、安装、运输、装卸、质检、验收、交付使用、质保、技术指导及售后服务等履行合同标的全过程产生的所有成本</w:t>
            </w:r>
            <w:r>
              <w:rPr>
                <w:rFonts w:hint="eastAsia" w:ascii="宋体" w:hAnsi="宋体" w:eastAsia="宋体" w:cs="宋体"/>
                <w:color w:val="auto"/>
                <w:spacing w:val="0"/>
                <w:position w:val="0"/>
                <w:sz w:val="21"/>
                <w:szCs w:val="21"/>
                <w:highlight w:val="none"/>
                <w:shd w:val="clear" w:color="auto" w:fill="auto"/>
                <w:lang w:val="en-US" w:eastAsia="zh-CN"/>
              </w:rPr>
              <w:t>和费用以及投标人应承担的一切税费。</w:t>
            </w:r>
          </w:p>
          <w:p w14:paraId="196903AF">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val="en-US" w:eastAsia="zh-CN"/>
              </w:rPr>
              <w:t>二、投标人应按“投标报价表”的要求报价，在投标报价表上写明拟提供货物的单价和总价。</w:t>
            </w:r>
          </w:p>
          <w:p w14:paraId="741DA26B">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val="en-US" w:eastAsia="zh-CN"/>
              </w:rPr>
              <w:t>三、如果投标人认为为圆满完成本项目还有其他需要单独计价的配合工作，则应列明具体的细目和金额。所有与本项目有关的未列入“投标报价表”的工作内容，均被认为已经包含在其他细目及投标总价中。</w:t>
            </w:r>
          </w:p>
          <w:p w14:paraId="715AE2C9">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val="en-US" w:eastAsia="zh-CN"/>
              </w:rPr>
              <w:t>四、投标人所报的投标单价（不含税价)在合同执行过程中是固定不变的，不得以任何理由予以变更，投标人应充分考虑各种风险因素(如合同履行期延长、合同履行过程中的增购和变更等)。</w:t>
            </w:r>
          </w:p>
          <w:p w14:paraId="72D2F543">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val="en-US" w:eastAsia="zh-CN"/>
              </w:rPr>
              <w:t>五、本项目的招标代理服务费由中标单位在领取中标通知书时一次性支付。</w:t>
            </w:r>
          </w:p>
        </w:tc>
      </w:tr>
      <w:tr w14:paraId="31F32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31E5A80D">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3.3.1</w:t>
            </w:r>
          </w:p>
        </w:tc>
        <w:tc>
          <w:tcPr>
            <w:tcW w:w="2055" w:type="dxa"/>
            <w:noWrap w:val="0"/>
            <w:vAlign w:val="center"/>
          </w:tcPr>
          <w:p w14:paraId="4ACC1FD8">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投标有效期</w:t>
            </w:r>
          </w:p>
        </w:tc>
        <w:tc>
          <w:tcPr>
            <w:tcW w:w="5535" w:type="dxa"/>
            <w:noWrap w:val="0"/>
            <w:vAlign w:val="center"/>
          </w:tcPr>
          <w:p w14:paraId="1597CD56">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不少于</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u w:val="single"/>
                <w:shd w:val="clear" w:color="auto" w:fill="auto"/>
                <w:lang w:val="en-US" w:eastAsia="zh-CN"/>
              </w:rPr>
              <w:t>90</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shd w:val="clear" w:color="auto" w:fill="auto"/>
              </w:rPr>
              <w:t>个日历天(从投标截止之日起算)。</w:t>
            </w:r>
          </w:p>
        </w:tc>
      </w:tr>
      <w:tr w14:paraId="2D534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463BE450">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3.4</w:t>
            </w:r>
          </w:p>
        </w:tc>
        <w:tc>
          <w:tcPr>
            <w:tcW w:w="2055" w:type="dxa"/>
            <w:noWrap w:val="0"/>
            <w:vAlign w:val="center"/>
          </w:tcPr>
          <w:p w14:paraId="7F407B80">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投标保证金数额</w:t>
            </w:r>
          </w:p>
        </w:tc>
        <w:tc>
          <w:tcPr>
            <w:tcW w:w="5535" w:type="dxa"/>
            <w:noWrap w:val="0"/>
            <w:vAlign w:val="center"/>
          </w:tcPr>
          <w:p w14:paraId="5ECA15DA">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投标保证金的金额与形式：见公告。</w:t>
            </w:r>
          </w:p>
        </w:tc>
      </w:tr>
      <w:tr w14:paraId="32242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1E9A482E">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3.5.2</w:t>
            </w:r>
          </w:p>
        </w:tc>
        <w:tc>
          <w:tcPr>
            <w:tcW w:w="2055" w:type="dxa"/>
            <w:noWrap w:val="0"/>
            <w:vAlign w:val="center"/>
          </w:tcPr>
          <w:p w14:paraId="0FD863CA">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近年财务状况的年份要求</w:t>
            </w:r>
          </w:p>
        </w:tc>
        <w:tc>
          <w:tcPr>
            <w:tcW w:w="5535" w:type="dxa"/>
            <w:noWrap w:val="0"/>
            <w:vAlign w:val="center"/>
          </w:tcPr>
          <w:p w14:paraId="65DEE76A">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lang w:val="en-US" w:eastAsia="zh-CN"/>
              </w:rPr>
            </w:pPr>
            <w:r>
              <w:rPr>
                <w:rFonts w:hint="eastAsia" w:ascii="宋体" w:hAnsi="宋体" w:eastAsia="宋体" w:cs="宋体"/>
                <w:color w:val="auto"/>
                <w:spacing w:val="0"/>
                <w:position w:val="0"/>
                <w:sz w:val="21"/>
                <w:szCs w:val="21"/>
                <w:highlight w:val="none"/>
                <w:shd w:val="clear" w:color="auto" w:fill="auto"/>
                <w:lang w:val="en-US" w:eastAsia="zh-CN"/>
              </w:rPr>
              <w:t>/</w:t>
            </w:r>
          </w:p>
        </w:tc>
      </w:tr>
      <w:tr w14:paraId="0612F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73618B7A">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3.5.3</w:t>
            </w:r>
          </w:p>
        </w:tc>
        <w:tc>
          <w:tcPr>
            <w:tcW w:w="2055" w:type="dxa"/>
            <w:noWrap w:val="0"/>
            <w:vAlign w:val="center"/>
          </w:tcPr>
          <w:p w14:paraId="7B5119A9">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近年完成的类似项目的年份要求</w:t>
            </w:r>
          </w:p>
        </w:tc>
        <w:tc>
          <w:tcPr>
            <w:tcW w:w="5535" w:type="dxa"/>
            <w:noWrap w:val="0"/>
            <w:vAlign w:val="center"/>
          </w:tcPr>
          <w:p w14:paraId="69469F44">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lang w:val="en-US" w:eastAsia="zh-CN"/>
              </w:rPr>
            </w:pPr>
            <w:r>
              <w:rPr>
                <w:rFonts w:hint="eastAsia" w:ascii="宋体" w:hAnsi="宋体" w:eastAsia="宋体" w:cs="宋体"/>
                <w:color w:val="auto"/>
                <w:spacing w:val="0"/>
                <w:position w:val="0"/>
                <w:sz w:val="21"/>
                <w:szCs w:val="21"/>
                <w:highlight w:val="none"/>
                <w:shd w:val="clear" w:color="auto" w:fill="auto"/>
                <w:lang w:val="en-US" w:eastAsia="zh-CN"/>
              </w:rPr>
              <w:t>详见评标办法</w:t>
            </w:r>
          </w:p>
        </w:tc>
      </w:tr>
      <w:tr w14:paraId="562BC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4B6D390C">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3.5.5</w:t>
            </w:r>
          </w:p>
        </w:tc>
        <w:tc>
          <w:tcPr>
            <w:tcW w:w="2055" w:type="dxa"/>
            <w:noWrap w:val="0"/>
            <w:vAlign w:val="center"/>
          </w:tcPr>
          <w:p w14:paraId="3C5A6835">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近年发生的重大诉讼及仲裁情况的年份要求</w:t>
            </w:r>
          </w:p>
        </w:tc>
        <w:tc>
          <w:tcPr>
            <w:tcW w:w="5535" w:type="dxa"/>
            <w:noWrap w:val="0"/>
            <w:vAlign w:val="center"/>
          </w:tcPr>
          <w:p w14:paraId="1CD810D1">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lang w:val="en-US" w:eastAsia="zh-CN"/>
              </w:rPr>
            </w:pPr>
            <w:r>
              <w:rPr>
                <w:rFonts w:hint="eastAsia" w:ascii="宋体" w:hAnsi="宋体" w:eastAsia="宋体" w:cs="宋体"/>
                <w:color w:val="auto"/>
                <w:spacing w:val="0"/>
                <w:position w:val="0"/>
                <w:sz w:val="21"/>
                <w:szCs w:val="21"/>
                <w:highlight w:val="none"/>
                <w:shd w:val="clear" w:color="auto" w:fill="auto"/>
                <w:lang w:val="en-US" w:eastAsia="zh-CN"/>
              </w:rPr>
              <w:t>/</w:t>
            </w:r>
          </w:p>
        </w:tc>
      </w:tr>
      <w:tr w14:paraId="1B3F9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79E07753">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3.5.7</w:t>
            </w:r>
          </w:p>
        </w:tc>
        <w:tc>
          <w:tcPr>
            <w:tcW w:w="2055" w:type="dxa"/>
            <w:noWrap w:val="0"/>
            <w:vAlign w:val="center"/>
          </w:tcPr>
          <w:p w14:paraId="71135FC6">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实质性响应招标文件及评审打分资料</w:t>
            </w:r>
          </w:p>
        </w:tc>
        <w:tc>
          <w:tcPr>
            <w:tcW w:w="5535" w:type="dxa"/>
            <w:noWrap w:val="0"/>
            <w:vAlign w:val="center"/>
          </w:tcPr>
          <w:p w14:paraId="33D81B26">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一、实质性响应招标文件资料</w:t>
            </w:r>
          </w:p>
          <w:p w14:paraId="7015D6C4">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1.企业法人营业执照；</w:t>
            </w:r>
          </w:p>
          <w:p w14:paraId="7A96D572">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2.法定代表人授权委托书(投标文件委托代理人签字的提供)；</w:t>
            </w:r>
          </w:p>
          <w:p w14:paraId="4EFD7F8B">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□3.联合体各方签订的共同投标协议(联合体投标的提供)；</w:t>
            </w:r>
          </w:p>
          <w:p w14:paraId="281A1D03">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4.投标保证金缴纳证明资料</w:t>
            </w:r>
            <w:r>
              <w:rPr>
                <w:rFonts w:hint="eastAsia" w:ascii="宋体" w:hAnsi="宋体" w:eastAsia="宋体" w:cs="宋体"/>
                <w:bCs/>
                <w:color w:val="auto"/>
                <w:sz w:val="21"/>
                <w:szCs w:val="21"/>
                <w:highlight w:val="none"/>
                <w:u w:val="none"/>
                <w:shd w:val="clear" w:color="auto" w:fill="auto"/>
              </w:rPr>
              <w:t>（缴纳单位和投标单位名称必须一致，缴纳方式详见招标公告，附基本账户开户证明）</w:t>
            </w:r>
            <w:r>
              <w:rPr>
                <w:rFonts w:hint="eastAsia" w:ascii="宋体" w:hAnsi="宋体" w:eastAsia="宋体" w:cs="宋体"/>
                <w:color w:val="auto"/>
                <w:spacing w:val="0"/>
                <w:position w:val="0"/>
                <w:sz w:val="21"/>
                <w:szCs w:val="21"/>
                <w:highlight w:val="none"/>
                <w:shd w:val="clear" w:color="auto" w:fill="auto"/>
              </w:rPr>
              <w:t>；</w:t>
            </w:r>
          </w:p>
          <w:p w14:paraId="46E19AD8">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5.中小企业声明函；</w:t>
            </w:r>
          </w:p>
          <w:p w14:paraId="612C42B6">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lang w:val="en-US" w:eastAsia="zh-CN"/>
              </w:rPr>
            </w:pPr>
            <w:r>
              <w:rPr>
                <w:rFonts w:hint="eastAsia" w:ascii="宋体" w:hAnsi="宋体" w:eastAsia="宋体" w:cs="宋体"/>
                <w:color w:val="auto"/>
                <w:spacing w:val="0"/>
                <w:position w:val="0"/>
                <w:sz w:val="21"/>
                <w:szCs w:val="21"/>
                <w:highlight w:val="none"/>
                <w:shd w:val="clear" w:color="auto" w:fill="auto"/>
                <w:lang w:val="en-US" w:eastAsia="zh-CN"/>
              </w:rPr>
              <w:t>6.投标承诺书</w:t>
            </w:r>
            <w:r>
              <w:rPr>
                <w:rFonts w:hint="eastAsia" w:ascii="宋体" w:hAnsi="宋体" w:eastAsia="宋体" w:cs="宋体"/>
                <w:color w:val="auto"/>
                <w:spacing w:val="0"/>
                <w:position w:val="0"/>
                <w:sz w:val="21"/>
                <w:szCs w:val="21"/>
                <w:highlight w:val="none"/>
                <w:shd w:val="clear" w:color="auto" w:fill="auto"/>
                <w:lang w:eastAsia="zh-CN"/>
              </w:rPr>
              <w:t>；</w:t>
            </w:r>
          </w:p>
          <w:p w14:paraId="7A85DE9C">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u w:val="none"/>
                <w:shd w:val="clear" w:color="auto" w:fill="auto"/>
                <w:lang w:eastAsia="zh-CN"/>
              </w:rPr>
            </w:pPr>
            <w:r>
              <w:rPr>
                <w:rFonts w:hint="eastAsia" w:ascii="宋体" w:hAnsi="宋体" w:eastAsia="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lang w:val="en-US" w:eastAsia="zh-CN"/>
              </w:rPr>
              <w:t>7</w:t>
            </w:r>
            <w:r>
              <w:rPr>
                <w:rFonts w:hint="eastAsia" w:ascii="宋体" w:hAnsi="宋体" w:eastAsia="宋体" w:cs="宋体"/>
                <w:color w:val="auto"/>
                <w:spacing w:val="0"/>
                <w:position w:val="0"/>
                <w:sz w:val="21"/>
                <w:szCs w:val="21"/>
                <w:highlight w:val="none"/>
                <w:shd w:val="clear" w:color="auto" w:fill="auto"/>
              </w:rPr>
              <w:t>.</w:t>
            </w:r>
            <w:r>
              <w:rPr>
                <w:rFonts w:hint="eastAsia" w:ascii="宋体" w:hAnsi="宋体" w:eastAsia="宋体" w:cs="宋体"/>
                <w:bCs/>
                <w:color w:val="auto"/>
                <w:sz w:val="21"/>
                <w:szCs w:val="21"/>
                <w:highlight w:val="none"/>
                <w:u w:val="none"/>
                <w:shd w:val="clear" w:color="auto" w:fill="auto"/>
              </w:rPr>
              <w:t>省级及以上卫生部门颁发的设备制造商的供水设备饮用水卫生安全产品卫生许可批件；如部分省份因省级及以上卫生部门下放了“部分涉及饮用水卫生安全产品行政审批项目权限”的，提供下放职能文件或提供卫生部门系统官网的文件截图，允许提供符合下放职能文件要求的“涉及饮用水卫生安全产品卫生许可批件”</w:t>
            </w:r>
            <w:r>
              <w:rPr>
                <w:rFonts w:hint="eastAsia" w:ascii="宋体" w:hAnsi="宋体" w:eastAsia="宋体" w:cs="宋体"/>
                <w:bCs/>
                <w:color w:val="auto"/>
                <w:sz w:val="21"/>
                <w:szCs w:val="21"/>
                <w:highlight w:val="none"/>
                <w:u w:val="none"/>
                <w:shd w:val="clear" w:color="auto" w:fill="auto"/>
                <w:lang w:eastAsia="zh-CN"/>
              </w:rPr>
              <w:t>；</w:t>
            </w:r>
          </w:p>
          <w:p w14:paraId="73D4C66A">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lang w:val="en-US" w:eastAsia="zh-CN"/>
              </w:rPr>
            </w:pPr>
            <w:r>
              <w:rPr>
                <w:rFonts w:hint="eastAsia" w:ascii="宋体" w:hAnsi="宋体" w:eastAsia="宋体" w:cs="宋体"/>
                <w:color w:val="auto"/>
                <w:spacing w:val="0"/>
                <w:position w:val="0"/>
                <w:sz w:val="21"/>
                <w:szCs w:val="21"/>
                <w:highlight w:val="none"/>
                <w:u w:val="none"/>
                <w:shd w:val="clear" w:color="auto" w:fill="auto"/>
                <w:lang w:val="en-US" w:eastAsia="zh-CN"/>
              </w:rPr>
              <w:t>8.</w:t>
            </w:r>
            <w:r>
              <w:rPr>
                <w:rFonts w:hint="eastAsia" w:ascii="宋体" w:hAnsi="宋体" w:eastAsia="宋体" w:cs="宋体"/>
                <w:bCs/>
                <w:color w:val="auto"/>
                <w:sz w:val="21"/>
                <w:szCs w:val="21"/>
                <w:highlight w:val="none"/>
                <w:u w:val="none"/>
                <w:shd w:val="clear" w:color="auto" w:fill="auto"/>
              </w:rPr>
              <w:t>投标产品制造商的有效授权书和制造商的营业执照（仅经销商提供）</w:t>
            </w:r>
            <w:r>
              <w:rPr>
                <w:rFonts w:hint="eastAsia" w:ascii="宋体" w:hAnsi="宋体" w:eastAsia="宋体" w:cs="宋体"/>
                <w:bCs/>
                <w:color w:val="auto"/>
                <w:sz w:val="21"/>
                <w:szCs w:val="21"/>
                <w:highlight w:val="none"/>
                <w:u w:val="none"/>
                <w:shd w:val="clear" w:color="auto" w:fill="auto"/>
                <w:lang w:eastAsia="zh-CN"/>
              </w:rPr>
              <w:t>。</w:t>
            </w:r>
          </w:p>
          <w:p w14:paraId="3AE95A00">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二、评审打分资料</w:t>
            </w:r>
          </w:p>
          <w:p w14:paraId="5190020D">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w:t>
            </w:r>
            <w:r>
              <w:rPr>
                <w:rFonts w:hint="eastAsia" w:ascii="宋体" w:hAnsi="宋体" w:eastAsia="宋体" w:cs="宋体"/>
                <w:color w:val="auto"/>
                <w:spacing w:val="0"/>
                <w:position w:val="0"/>
                <w:sz w:val="21"/>
                <w:szCs w:val="21"/>
                <w:highlight w:val="none"/>
                <w:shd w:val="clear" w:color="auto" w:fill="auto"/>
                <w:lang w:val="en-US" w:eastAsia="zh-CN"/>
              </w:rPr>
              <w:t>详见评标办法</w:t>
            </w:r>
            <w:r>
              <w:rPr>
                <w:rFonts w:hint="eastAsia" w:ascii="宋体" w:hAnsi="宋体" w:eastAsia="宋体" w:cs="宋体"/>
                <w:color w:val="auto"/>
                <w:spacing w:val="0"/>
                <w:position w:val="0"/>
                <w:sz w:val="21"/>
                <w:szCs w:val="21"/>
                <w:highlight w:val="none"/>
                <w:shd w:val="clear" w:color="auto" w:fill="auto"/>
              </w:rPr>
              <w:t>。</w:t>
            </w:r>
          </w:p>
          <w:p w14:paraId="302F7602">
            <w:pPr>
              <w:keepNext w:val="0"/>
              <w:keepLines w:val="0"/>
              <w:pageBreakBefore w:val="0"/>
              <w:tabs>
                <w:tab w:val="left" w:pos="5680"/>
              </w:tabs>
              <w:overflowPunct/>
              <w:bidi w:val="0"/>
              <w:spacing w:line="320" w:lineRule="exact"/>
              <w:ind w:right="105" w:rightChars="50" w:firstLine="420" w:firstLineChars="20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以上一、二条涉及证书、资料应在投标文件中附复制件，并加盖投标人公章。上述证书、资料均应在有效期内，已在有效期外尚在办理延期过程中</w:t>
            </w:r>
            <w:r>
              <w:rPr>
                <w:rFonts w:hint="eastAsia" w:ascii="宋体" w:hAnsi="宋体" w:eastAsia="宋体" w:cs="宋体"/>
                <w:color w:val="auto"/>
                <w:spacing w:val="0"/>
                <w:position w:val="0"/>
                <w:sz w:val="21"/>
                <w:szCs w:val="21"/>
                <w:highlight w:val="none"/>
                <w:shd w:val="clear" w:color="auto" w:fill="auto"/>
              </w:rPr>
              <w:t>的视为无效。评标专家评标时，可要求投标人在规定时间内澄清，但提供的资料不得超出投标文件的范围或改变投标文件实质性内容。</w:t>
            </w:r>
          </w:p>
        </w:tc>
      </w:tr>
      <w:tr w14:paraId="7F4DA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30B27BFA">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3.6</w:t>
            </w:r>
          </w:p>
        </w:tc>
        <w:tc>
          <w:tcPr>
            <w:tcW w:w="2055" w:type="dxa"/>
            <w:noWrap w:val="0"/>
            <w:vAlign w:val="center"/>
          </w:tcPr>
          <w:p w14:paraId="73D33096">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是否允许递交</w:t>
            </w:r>
          </w:p>
          <w:p w14:paraId="5F542195">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备选投标方案</w:t>
            </w:r>
          </w:p>
        </w:tc>
        <w:tc>
          <w:tcPr>
            <w:tcW w:w="5535" w:type="dxa"/>
            <w:noWrap w:val="0"/>
            <w:vAlign w:val="center"/>
          </w:tcPr>
          <w:p w14:paraId="514A91C3">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rPr>
              <w:t>不允许。</w:t>
            </w:r>
          </w:p>
          <w:p w14:paraId="752ADC4F">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□允许。</w:t>
            </w:r>
          </w:p>
        </w:tc>
      </w:tr>
      <w:tr w14:paraId="0C6E7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0B01B791">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3.7.3（1）</w:t>
            </w:r>
          </w:p>
        </w:tc>
        <w:tc>
          <w:tcPr>
            <w:tcW w:w="2055" w:type="dxa"/>
            <w:noWrap w:val="0"/>
            <w:vAlign w:val="center"/>
          </w:tcPr>
          <w:p w14:paraId="5A34C2F0">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rPr>
              <w:t>纸质投标文件签字或盖章要求</w:t>
            </w:r>
          </w:p>
        </w:tc>
        <w:tc>
          <w:tcPr>
            <w:tcW w:w="5535" w:type="dxa"/>
            <w:noWrap w:val="0"/>
            <w:vAlign w:val="center"/>
          </w:tcPr>
          <w:p w14:paraId="655DC326">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按招标文件要求盖单位公章、法定代表人签字或盖章。委托代理人签字的，投标文件应附法定代表人签署的授权委托书。</w:t>
            </w:r>
          </w:p>
        </w:tc>
      </w:tr>
      <w:tr w14:paraId="6827E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vMerge w:val="restart"/>
            <w:noWrap w:val="0"/>
            <w:vAlign w:val="center"/>
          </w:tcPr>
          <w:p w14:paraId="30947D21">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3.7.3（2）</w:t>
            </w:r>
          </w:p>
        </w:tc>
        <w:tc>
          <w:tcPr>
            <w:tcW w:w="2055" w:type="dxa"/>
            <w:noWrap w:val="0"/>
            <w:vAlign w:val="center"/>
          </w:tcPr>
          <w:p w14:paraId="0D8CBC73">
            <w:pPr>
              <w:pStyle w:val="45"/>
              <w:keepNext w:val="0"/>
              <w:keepLines w:val="0"/>
              <w:pageBreakBefore w:val="0"/>
              <w:overflowPunct/>
              <w:bidi w:val="0"/>
              <w:spacing w:line="320" w:lineRule="exac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电子投标文件盖章要求</w:t>
            </w:r>
          </w:p>
        </w:tc>
        <w:tc>
          <w:tcPr>
            <w:tcW w:w="5535" w:type="dxa"/>
            <w:noWrap w:val="0"/>
            <w:vAlign w:val="center"/>
          </w:tcPr>
          <w:p w14:paraId="78BB0C9A">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1.投标文件格式文件要求投标人盖章、法定代表人签字或盖章的地方，投标人均应使用CA数字证书加盖投标人的单位电子印章、法定代表人个人电子印章。联合体投标的，除联合体协议书格式之外的仅由联合体牵头人加盖单位电子印章、法定代表人个人电子印章即可。</w:t>
            </w:r>
          </w:p>
          <w:p w14:paraId="6D057388">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2.</w:t>
            </w: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投标文件所附证书证件、业绩证明文件、投标保证金等证明材料用原件扫描件并加盖投标单位电子印章；</w:t>
            </w:r>
          </w:p>
        </w:tc>
      </w:tr>
      <w:tr w14:paraId="44523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vMerge w:val="continue"/>
            <w:noWrap w:val="0"/>
            <w:vAlign w:val="center"/>
          </w:tcPr>
          <w:p w14:paraId="1478565A">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p>
        </w:tc>
        <w:tc>
          <w:tcPr>
            <w:tcW w:w="2055" w:type="dxa"/>
            <w:noWrap w:val="0"/>
            <w:vAlign w:val="center"/>
          </w:tcPr>
          <w:p w14:paraId="2BBE22FF">
            <w:pPr>
              <w:pStyle w:val="45"/>
              <w:keepNext w:val="0"/>
              <w:keepLines w:val="0"/>
              <w:pageBreakBefore w:val="0"/>
              <w:overflowPunct/>
              <w:bidi w:val="0"/>
              <w:spacing w:line="320" w:lineRule="exac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电子投标文件加密章要求</w:t>
            </w:r>
          </w:p>
        </w:tc>
        <w:tc>
          <w:tcPr>
            <w:tcW w:w="5535" w:type="dxa"/>
            <w:noWrap w:val="0"/>
            <w:vAlign w:val="center"/>
          </w:tcPr>
          <w:p w14:paraId="7D65CF64">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电子投标的项目，在投标截止时间前，将由投标工具软件制作生成的加密投标文件上传至绍兴市公共资源交易中心电子招投标交易平台。</w:t>
            </w:r>
          </w:p>
          <w:p w14:paraId="3A446753">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其他：/。</w:t>
            </w:r>
          </w:p>
        </w:tc>
      </w:tr>
      <w:tr w14:paraId="32884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2421432F">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3.7.4</w:t>
            </w:r>
          </w:p>
        </w:tc>
        <w:tc>
          <w:tcPr>
            <w:tcW w:w="2055" w:type="dxa"/>
            <w:noWrap w:val="0"/>
            <w:vAlign w:val="center"/>
          </w:tcPr>
          <w:p w14:paraId="073AC3B5">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投标文件份数</w:t>
            </w:r>
          </w:p>
        </w:tc>
        <w:tc>
          <w:tcPr>
            <w:tcW w:w="5535" w:type="dxa"/>
            <w:noWrap w:val="0"/>
            <w:vAlign w:val="center"/>
          </w:tcPr>
          <w:p w14:paraId="25E3132C">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商务标一式 </w:t>
            </w:r>
            <w:r>
              <w:rPr>
                <w:rFonts w:hint="eastAsia" w:ascii="宋体" w:hAnsi="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rPr>
              <w:t xml:space="preserve"> 份，其中正本1份，副本 </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 xml:space="preserve"> 份；</w:t>
            </w:r>
          </w:p>
          <w:p w14:paraId="145FF2C9">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技术标一式 </w:t>
            </w:r>
            <w:r>
              <w:rPr>
                <w:rFonts w:hint="eastAsia" w:ascii="宋体" w:hAnsi="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rPr>
              <w:t xml:space="preserve"> 份，其中正本1份，副本 </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 xml:space="preserve"> 份；</w:t>
            </w:r>
          </w:p>
          <w:p w14:paraId="387C62D4">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资格审查资料一式 </w:t>
            </w:r>
            <w:r>
              <w:rPr>
                <w:rFonts w:hint="eastAsia" w:ascii="宋体" w:hAnsi="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rPr>
              <w:t xml:space="preserve"> 份，其中正本1份，副本 </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 xml:space="preserve"> 份。</w:t>
            </w:r>
          </w:p>
          <w:p w14:paraId="6029AA53">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电子文档</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u w:val="single"/>
                <w:shd w:val="clear" w:color="auto" w:fill="auto"/>
              </w:rPr>
              <w:t>另提供</w:t>
            </w:r>
            <w:r>
              <w:rPr>
                <w:rFonts w:hint="eastAsia" w:ascii="宋体" w:hAnsi="宋体" w:eastAsia="宋体" w:cs="宋体"/>
                <w:color w:val="auto"/>
                <w:sz w:val="21"/>
                <w:szCs w:val="21"/>
                <w:highlight w:val="none"/>
                <w:u w:val="single"/>
                <w:shd w:val="clear" w:color="auto" w:fill="auto"/>
                <w:lang w:val="en-US" w:eastAsia="zh-CN"/>
              </w:rPr>
              <w:t>商务标、</w:t>
            </w:r>
            <w:r>
              <w:rPr>
                <w:rFonts w:hint="eastAsia" w:ascii="宋体" w:hAnsi="宋体" w:eastAsia="宋体" w:cs="宋体"/>
                <w:color w:val="auto"/>
                <w:sz w:val="21"/>
                <w:szCs w:val="21"/>
                <w:highlight w:val="none"/>
                <w:u w:val="single"/>
                <w:shd w:val="clear" w:color="auto" w:fill="auto"/>
              </w:rPr>
              <w:t>技术标、资格审查资料加盖公章的PDF格式彩色扫描件</w:t>
            </w:r>
            <w:r>
              <w:rPr>
                <w:rFonts w:hint="eastAsia" w:ascii="宋体" w:hAnsi="宋体" w:eastAsia="宋体" w:cs="宋体"/>
                <w:color w:val="auto"/>
                <w:sz w:val="21"/>
                <w:szCs w:val="21"/>
                <w:highlight w:val="none"/>
                <w:u w:val="single"/>
                <w:shd w:val="clear" w:color="auto" w:fill="auto"/>
                <w:lang w:val="en-US" w:eastAsia="zh-CN"/>
              </w:rPr>
              <w:t>或</w:t>
            </w:r>
            <w:r>
              <w:rPr>
                <w:rFonts w:hint="eastAsia" w:ascii="宋体" w:hAnsi="宋体" w:eastAsia="宋体" w:cs="宋体"/>
                <w:color w:val="auto"/>
                <w:sz w:val="21"/>
                <w:szCs w:val="21"/>
                <w:highlight w:val="none"/>
                <w:u w:val="single"/>
                <w:shd w:val="clear" w:color="auto" w:fill="auto"/>
              </w:rPr>
              <w:t>CA电子签章版的电子文档光盘或U盘一份。</w:t>
            </w:r>
          </w:p>
          <w:p w14:paraId="68A599DF">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z w:val="21"/>
                <w:szCs w:val="21"/>
                <w:highlight w:val="none"/>
                <w:shd w:val="clear" w:color="auto" w:fill="auto"/>
              </w:rPr>
            </w:pPr>
            <w:r>
              <w:rPr>
                <w:rFonts w:hint="eastAsia" w:ascii="宋体" w:hAnsi="宋体" w:cs="宋体"/>
                <w:b w:val="0"/>
                <w:bCs w:val="0"/>
                <w:color w:val="auto"/>
                <w:sz w:val="21"/>
                <w:szCs w:val="21"/>
                <w:highlight w:val="none"/>
                <w:shd w:val="clear" w:color="auto" w:fill="auto"/>
                <w:lang w:val="en-US" w:eastAsia="zh-CN"/>
              </w:rPr>
              <w:t>纸质</w:t>
            </w:r>
            <w:r>
              <w:rPr>
                <w:rFonts w:hint="eastAsia" w:ascii="宋体" w:hAnsi="宋体" w:eastAsia="宋体" w:cs="宋体"/>
                <w:b w:val="0"/>
                <w:bCs w:val="0"/>
                <w:color w:val="auto"/>
                <w:sz w:val="21"/>
                <w:szCs w:val="21"/>
                <w:highlight w:val="none"/>
                <w:shd w:val="clear" w:color="auto" w:fill="auto"/>
                <w:lang w:val="en-US" w:eastAsia="zh-CN"/>
              </w:rPr>
              <w:t>投标文件</w:t>
            </w:r>
            <w:r>
              <w:rPr>
                <w:rFonts w:hint="eastAsia" w:ascii="宋体" w:hAnsi="宋体" w:eastAsia="宋体" w:cs="宋体"/>
                <w:color w:val="auto"/>
                <w:sz w:val="21"/>
                <w:szCs w:val="21"/>
                <w:highlight w:val="none"/>
                <w:shd w:val="clear" w:color="auto" w:fill="auto"/>
              </w:rPr>
              <w:t>正本、副本文件均须加盖投标人公章。</w:t>
            </w:r>
          </w:p>
          <w:p w14:paraId="53D1E165">
            <w:pPr>
              <w:keepNext w:val="0"/>
              <w:keepLines w:val="0"/>
              <w:pageBreakBefore w:val="0"/>
              <w:tabs>
                <w:tab w:val="left" w:pos="5680"/>
              </w:tabs>
              <w:overflowPunct/>
              <w:bidi w:val="0"/>
              <w:spacing w:line="320" w:lineRule="exact"/>
              <w:ind w:left="105" w:leftChars="50" w:right="105" w:rightChars="50"/>
              <w:jc w:val="left"/>
              <w:rPr>
                <w:rFonts w:hint="eastAsia" w:ascii="宋体" w:hAnsi="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投标文件由“资格审查资料”、“技术标”</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“商务标”和“电子文档”</w:t>
            </w:r>
            <w:r>
              <w:rPr>
                <w:rFonts w:hint="eastAsia" w:ascii="宋体" w:hAnsi="宋体" w:eastAsia="宋体" w:cs="宋体"/>
                <w:color w:val="auto"/>
                <w:sz w:val="21"/>
                <w:szCs w:val="21"/>
                <w:highlight w:val="none"/>
                <w:shd w:val="clear" w:color="auto" w:fill="auto"/>
                <w:lang w:val="en-US" w:eastAsia="zh-CN"/>
              </w:rPr>
              <w:t>四</w:t>
            </w:r>
            <w:r>
              <w:rPr>
                <w:rFonts w:hint="eastAsia" w:ascii="宋体" w:hAnsi="宋体" w:eastAsia="宋体" w:cs="宋体"/>
                <w:color w:val="auto"/>
                <w:sz w:val="21"/>
                <w:szCs w:val="21"/>
                <w:highlight w:val="none"/>
                <w:shd w:val="clear" w:color="auto" w:fill="auto"/>
              </w:rPr>
              <w:t>部分组成：上述纸质投标文件的各部分应装订成册【不允许活页装订（即不接受可以在不破坏装订外观的情况下随时拆卸和组装的装订方式）】分别单独封装</w:t>
            </w:r>
            <w:r>
              <w:rPr>
                <w:rFonts w:hint="eastAsia" w:ascii="宋体" w:hAnsi="宋体" w:cs="宋体"/>
                <w:color w:val="auto"/>
                <w:sz w:val="21"/>
                <w:szCs w:val="21"/>
                <w:highlight w:val="none"/>
                <w:shd w:val="clear" w:color="auto" w:fill="auto"/>
                <w:lang w:eastAsia="zh-CN"/>
              </w:rPr>
              <w:t>。</w:t>
            </w:r>
          </w:p>
        </w:tc>
      </w:tr>
      <w:tr w14:paraId="0D61D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7A3B72DC">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4.1</w:t>
            </w:r>
          </w:p>
        </w:tc>
        <w:tc>
          <w:tcPr>
            <w:tcW w:w="2055" w:type="dxa"/>
            <w:noWrap w:val="0"/>
            <w:vAlign w:val="center"/>
          </w:tcPr>
          <w:p w14:paraId="75809951">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光盘、样品等材料的包装和标记</w:t>
            </w:r>
          </w:p>
        </w:tc>
        <w:tc>
          <w:tcPr>
            <w:tcW w:w="5535" w:type="dxa"/>
            <w:noWrap w:val="0"/>
            <w:vAlign w:val="center"/>
          </w:tcPr>
          <w:p w14:paraId="357D1C4B">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lang w:val="en-US" w:eastAsia="zh-CN"/>
              </w:rPr>
            </w:pPr>
            <w:r>
              <w:rPr>
                <w:rFonts w:hint="eastAsia" w:ascii="宋体" w:hAnsi="宋体" w:eastAsia="宋体" w:cs="宋体"/>
                <w:color w:val="auto"/>
                <w:spacing w:val="0"/>
                <w:position w:val="0"/>
                <w:sz w:val="21"/>
                <w:szCs w:val="21"/>
                <w:highlight w:val="none"/>
                <w:shd w:val="clear" w:color="auto" w:fill="auto"/>
                <w:lang w:val="en-US" w:eastAsia="zh-CN"/>
              </w:rPr>
              <w:t>/</w:t>
            </w:r>
          </w:p>
        </w:tc>
      </w:tr>
      <w:tr w14:paraId="4D499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top"/>
          </w:tcPr>
          <w:p w14:paraId="31EAE8B6">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4.2</w:t>
            </w:r>
          </w:p>
        </w:tc>
        <w:tc>
          <w:tcPr>
            <w:tcW w:w="2055" w:type="dxa"/>
            <w:noWrap w:val="0"/>
            <w:vAlign w:val="top"/>
          </w:tcPr>
          <w:p w14:paraId="1578E186">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电子投标文件加密要求</w:t>
            </w:r>
          </w:p>
        </w:tc>
        <w:tc>
          <w:tcPr>
            <w:tcW w:w="5535" w:type="dxa"/>
            <w:noWrap w:val="0"/>
            <w:vAlign w:val="center"/>
          </w:tcPr>
          <w:p w14:paraId="12BABFD9">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使用投标工具软件编制生成的电子投标文件。</w:t>
            </w:r>
          </w:p>
        </w:tc>
      </w:tr>
      <w:tr w14:paraId="197ED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vMerge w:val="restart"/>
            <w:noWrap w:val="0"/>
            <w:vAlign w:val="center"/>
          </w:tcPr>
          <w:p w14:paraId="5877027F">
            <w:pPr>
              <w:keepNext w:val="0"/>
              <w:keepLines w:val="0"/>
              <w:pageBreakBefore w:val="0"/>
              <w:overflowPunct/>
              <w:bidi w:val="0"/>
              <w:spacing w:line="320" w:lineRule="exact"/>
              <w:ind w:right="105" w:rightChars="50" w:firstLine="210" w:firstLineChars="10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4.2.2</w:t>
            </w:r>
          </w:p>
        </w:tc>
        <w:tc>
          <w:tcPr>
            <w:tcW w:w="2055" w:type="dxa"/>
            <w:vMerge w:val="restart"/>
            <w:noWrap w:val="0"/>
            <w:vAlign w:val="center"/>
          </w:tcPr>
          <w:p w14:paraId="6ED7B982">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递交投标文件方式和地点</w:t>
            </w:r>
          </w:p>
        </w:tc>
        <w:tc>
          <w:tcPr>
            <w:tcW w:w="5535" w:type="dxa"/>
            <w:noWrap w:val="0"/>
            <w:vAlign w:val="center"/>
          </w:tcPr>
          <w:p w14:paraId="696D08B1">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lang w:val="en-US" w:eastAsia="zh-CN"/>
              </w:rPr>
            </w:pPr>
            <w:r>
              <w:rPr>
                <w:rFonts w:hint="eastAsia" w:ascii="宋体" w:hAnsi="宋体" w:eastAsia="宋体" w:cs="宋体"/>
                <w:color w:val="auto"/>
                <w:spacing w:val="0"/>
                <w:position w:val="0"/>
                <w:sz w:val="21"/>
                <w:szCs w:val="21"/>
                <w:highlight w:val="none"/>
                <w:shd w:val="clear" w:color="auto" w:fill="auto"/>
              </w:rPr>
              <w:t>截止时间：</w:t>
            </w:r>
            <w:r>
              <w:rPr>
                <w:rFonts w:hint="eastAsia" w:ascii="宋体" w:hAnsi="宋体" w:eastAsia="宋体" w:cs="宋体"/>
                <w:color w:val="auto"/>
                <w:spacing w:val="0"/>
                <w:position w:val="0"/>
                <w:sz w:val="21"/>
                <w:szCs w:val="21"/>
                <w:highlight w:val="none"/>
                <w:u w:val="none"/>
                <w:shd w:val="clear" w:color="auto" w:fill="auto"/>
                <w:lang w:val="en-US" w:eastAsia="zh-CN"/>
              </w:rPr>
              <w:t>详见招标公告</w:t>
            </w:r>
          </w:p>
        </w:tc>
      </w:tr>
      <w:tr w14:paraId="02B87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vMerge w:val="continue"/>
            <w:noWrap w:val="0"/>
            <w:vAlign w:val="center"/>
          </w:tcPr>
          <w:p w14:paraId="19F2AC78">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p>
        </w:tc>
        <w:tc>
          <w:tcPr>
            <w:tcW w:w="2055" w:type="dxa"/>
            <w:vMerge w:val="continue"/>
            <w:noWrap w:val="0"/>
            <w:vAlign w:val="center"/>
          </w:tcPr>
          <w:p w14:paraId="11187461">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p>
        </w:tc>
        <w:tc>
          <w:tcPr>
            <w:tcW w:w="5535" w:type="dxa"/>
            <w:noWrap w:val="0"/>
            <w:vAlign w:val="center"/>
          </w:tcPr>
          <w:p w14:paraId="4EBF5DE3">
            <w:pPr>
              <w:keepNext w:val="0"/>
              <w:keepLines w:val="0"/>
              <w:pageBreakBefore w:val="0"/>
              <w:tabs>
                <w:tab w:val="left" w:pos="60"/>
                <w:tab w:val="left" w:pos="9050"/>
              </w:tabs>
              <w:kinsoku/>
              <w:overflowPunct/>
              <w:autoSpaceDE/>
              <w:autoSpaceDN/>
              <w:bidi w:val="0"/>
              <w:adjustRightInd/>
              <w:spacing w:line="320" w:lineRule="exact"/>
              <w:ind w:left="0" w:leftChars="0" w:right="0" w:rightChars="0"/>
              <w:jc w:val="left"/>
              <w:textAlignment w:val="auto"/>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本项目投标文件投标人采用</w:t>
            </w:r>
            <w:r>
              <w:rPr>
                <w:rFonts w:hint="eastAsia" w:ascii="宋体" w:hAnsi="宋体" w:eastAsia="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rPr>
              <w:t>现场递交/□电子投标文件上传平台。</w:t>
            </w:r>
          </w:p>
          <w:p w14:paraId="58492262">
            <w:pPr>
              <w:tabs>
                <w:tab w:val="left" w:pos="60"/>
                <w:tab w:val="left" w:pos="9050"/>
              </w:tabs>
              <w:kinsoku/>
              <w:autoSpaceDE/>
              <w:autoSpaceDN/>
              <w:adjustRightInd/>
              <w:spacing w:line="320" w:lineRule="exact"/>
              <w:textAlignment w:val="auto"/>
              <w:rPr>
                <w:color w:val="auto"/>
                <w:highlight w:val="none"/>
                <w:shd w:val="clear" w:color="auto" w:fill="auto"/>
              </w:rPr>
            </w:pPr>
            <w:r>
              <w:rPr>
                <w:rFonts w:hint="eastAsia" w:ascii="宋体" w:hAnsi="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rPr>
              <w:t>现场递交：投标人将密封的投标文件在开标当日</w:t>
            </w:r>
            <w:r>
              <w:rPr>
                <w:rFonts w:hint="eastAsia" w:ascii="宋体" w:hAnsi="宋体" w:eastAsia="宋体" w:cs="宋体"/>
                <w:color w:val="auto"/>
                <w:sz w:val="21"/>
                <w:szCs w:val="21"/>
                <w:highlight w:val="none"/>
                <w:shd w:val="clear" w:color="auto" w:fill="auto"/>
                <w:lang w:val="zh-CN"/>
              </w:rPr>
              <w:t>开标时间前半小时内</w:t>
            </w:r>
            <w:r>
              <w:rPr>
                <w:rFonts w:hint="eastAsia" w:ascii="宋体" w:hAnsi="宋体" w:eastAsia="宋体" w:cs="宋体"/>
                <w:color w:val="auto"/>
                <w:spacing w:val="0"/>
                <w:position w:val="0"/>
                <w:sz w:val="21"/>
                <w:szCs w:val="21"/>
                <w:highlight w:val="none"/>
                <w:shd w:val="clear" w:color="auto" w:fill="auto"/>
              </w:rPr>
              <w:t>递交至</w:t>
            </w:r>
            <w:r>
              <w:rPr>
                <w:rFonts w:hint="eastAsia" w:ascii="宋体" w:hAnsi="宋体" w:eastAsia="宋体" w:cs="宋体"/>
                <w:color w:val="auto"/>
                <w:sz w:val="21"/>
                <w:szCs w:val="21"/>
                <w:highlight w:val="none"/>
                <w:u w:val="single"/>
                <w:shd w:val="clear" w:color="auto" w:fill="auto"/>
              </w:rPr>
              <w:t>绍兴市越城区解放大道308号二楼招投标中心  号开标室</w:t>
            </w:r>
            <w:r>
              <w:rPr>
                <w:rFonts w:hint="eastAsia" w:ascii="宋体" w:hAnsi="宋体" w:eastAsia="宋体" w:cs="宋体"/>
                <w:color w:val="auto"/>
                <w:spacing w:val="0"/>
                <w:position w:val="0"/>
                <w:sz w:val="21"/>
                <w:szCs w:val="21"/>
                <w:highlight w:val="none"/>
                <w:shd w:val="clear" w:color="auto" w:fill="auto"/>
              </w:rPr>
              <w:t>，投标文件递交后即交即走。投标文件递交地址：</w:t>
            </w:r>
            <w:r>
              <w:rPr>
                <w:rFonts w:hint="eastAsia" w:ascii="宋体" w:hAnsi="宋体" w:eastAsia="宋体" w:cs="宋体"/>
                <w:strike w:val="0"/>
                <w:dstrike w:val="0"/>
                <w:color w:val="auto"/>
                <w:sz w:val="21"/>
                <w:szCs w:val="21"/>
                <w:highlight w:val="none"/>
                <w:u w:val="single"/>
                <w:shd w:val="clear" w:color="auto" w:fill="auto"/>
              </w:rPr>
              <w:t>绍兴市越城区解放大道308号二楼招投标中心  号开标室</w:t>
            </w:r>
            <w:r>
              <w:rPr>
                <w:rFonts w:hint="eastAsia" w:ascii="宋体" w:hAnsi="宋体" w:eastAsia="宋体" w:cs="宋体"/>
                <w:color w:val="auto"/>
                <w:spacing w:val="0"/>
                <w:position w:val="0"/>
                <w:sz w:val="21"/>
                <w:szCs w:val="21"/>
                <w:highlight w:val="none"/>
                <w:shd w:val="clear" w:color="auto" w:fill="auto"/>
              </w:rPr>
              <w:t>。</w:t>
            </w:r>
          </w:p>
          <w:p w14:paraId="32B4E90F">
            <w:pPr>
              <w:tabs>
                <w:tab w:val="left" w:pos="60"/>
                <w:tab w:val="left" w:pos="9050"/>
              </w:tabs>
              <w:kinsoku/>
              <w:autoSpaceDE/>
              <w:autoSpaceDN/>
              <w:adjustRightInd/>
              <w:spacing w:line="320" w:lineRule="exact"/>
              <w:textAlignment w:val="auto"/>
              <w:rPr>
                <w:rFonts w:hint="eastAsia"/>
                <w:color w:val="auto"/>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也可采用</w:t>
            </w:r>
            <w:r>
              <w:rPr>
                <w:rFonts w:hint="eastAsia" w:ascii="宋体" w:hAnsi="宋体" w:eastAsia="宋体" w:cs="宋体"/>
                <w:color w:val="auto"/>
                <w:kern w:val="0"/>
                <w:sz w:val="21"/>
                <w:szCs w:val="21"/>
                <w:highlight w:val="none"/>
                <w:shd w:val="clear" w:color="auto" w:fill="auto"/>
              </w:rPr>
              <w:t>邮寄标书</w:t>
            </w:r>
            <w:r>
              <w:rPr>
                <w:rFonts w:hint="eastAsia" w:ascii="宋体" w:hAnsi="宋体" w:eastAsia="宋体" w:cs="宋体"/>
                <w:color w:val="auto"/>
                <w:kern w:val="0"/>
                <w:sz w:val="21"/>
                <w:szCs w:val="21"/>
                <w:highlight w:val="none"/>
                <w:shd w:val="clear" w:color="auto" w:fill="auto"/>
                <w:lang w:val="en-US" w:eastAsia="zh-CN"/>
              </w:rPr>
              <w:t>形式：</w:t>
            </w:r>
            <w:r>
              <w:rPr>
                <w:rFonts w:hint="eastAsia" w:ascii="宋体" w:hAnsi="宋体" w:eastAsia="宋体" w:cs="宋体"/>
                <w:color w:val="auto"/>
                <w:kern w:val="0"/>
                <w:sz w:val="21"/>
                <w:szCs w:val="21"/>
                <w:highlight w:val="none"/>
                <w:shd w:val="clear" w:color="auto" w:fill="auto"/>
              </w:rPr>
              <w:t>采用邮寄标书递交的，将密封的标书在本项目开标前一天的17：00前（以送达时间为准）邮寄至</w:t>
            </w:r>
            <w:r>
              <w:rPr>
                <w:rFonts w:hint="eastAsia" w:ascii="宋体" w:hAnsi="宋体" w:eastAsia="宋体" w:cs="宋体"/>
                <w:color w:val="auto"/>
                <w:kern w:val="0"/>
                <w:sz w:val="21"/>
                <w:szCs w:val="21"/>
                <w:highlight w:val="none"/>
                <w:u w:val="single"/>
                <w:shd w:val="clear" w:color="auto" w:fill="auto"/>
              </w:rPr>
              <w:t>绍兴市越城区玛格丽特商业中心东区4栋9-2号，联系人：吕建忠，电话：19560223560</w:t>
            </w:r>
            <w:r>
              <w:rPr>
                <w:rFonts w:hint="eastAsia" w:ascii="宋体" w:hAnsi="宋体" w:eastAsia="宋体" w:cs="宋体"/>
                <w:color w:val="auto"/>
                <w:kern w:val="0"/>
                <w:sz w:val="21"/>
                <w:szCs w:val="21"/>
                <w:highlight w:val="none"/>
                <w:shd w:val="clear" w:color="auto" w:fill="auto"/>
              </w:rPr>
              <w:t>，建议采用顺丰邮寄。采取邮寄投标文件的，投标文件邮寄过程中发生的包封缺损或保管过程中发生的一切事宜均由投标人自行承担。代理机构将拒绝接受未及时获取招标文件投标人的投标文件。</w:t>
            </w:r>
          </w:p>
        </w:tc>
      </w:tr>
      <w:tr w14:paraId="5FABD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vMerge w:val="continue"/>
            <w:noWrap w:val="0"/>
            <w:vAlign w:val="center"/>
          </w:tcPr>
          <w:p w14:paraId="23E96556">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p>
        </w:tc>
        <w:tc>
          <w:tcPr>
            <w:tcW w:w="2055" w:type="dxa"/>
            <w:vMerge w:val="continue"/>
            <w:noWrap w:val="0"/>
            <w:vAlign w:val="center"/>
          </w:tcPr>
          <w:p w14:paraId="122C37DC">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p>
        </w:tc>
        <w:tc>
          <w:tcPr>
            <w:tcW w:w="5535" w:type="dxa"/>
            <w:noWrap w:val="0"/>
            <w:vAlign w:val="center"/>
          </w:tcPr>
          <w:p w14:paraId="03BD055F">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□使用专用密钥上传至 绍兴市公共资源交易中心电子招投标交易平台（http://oa.ggb.sx.gov.cn/TPBidder-ztk/）</w:t>
            </w:r>
          </w:p>
        </w:tc>
      </w:tr>
      <w:tr w14:paraId="66F04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1B8DDF09">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4.2.3</w:t>
            </w:r>
          </w:p>
        </w:tc>
        <w:tc>
          <w:tcPr>
            <w:tcW w:w="2055" w:type="dxa"/>
            <w:noWrap w:val="0"/>
            <w:vAlign w:val="center"/>
          </w:tcPr>
          <w:p w14:paraId="26E989C2">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是否退还投标文件</w:t>
            </w:r>
          </w:p>
        </w:tc>
        <w:tc>
          <w:tcPr>
            <w:tcW w:w="5535" w:type="dxa"/>
            <w:noWrap w:val="0"/>
            <w:vAlign w:val="center"/>
          </w:tcPr>
          <w:p w14:paraId="3F597DEB">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rPr>
              <w:t>否</w:t>
            </w:r>
          </w:p>
          <w:p w14:paraId="62DE099A">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□是。未中标的投标文件将予以退还。</w:t>
            </w:r>
          </w:p>
        </w:tc>
      </w:tr>
      <w:tr w14:paraId="73523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vMerge w:val="restart"/>
            <w:noWrap w:val="0"/>
            <w:vAlign w:val="center"/>
          </w:tcPr>
          <w:p w14:paraId="4FE3A373">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4.4</w:t>
            </w:r>
          </w:p>
        </w:tc>
        <w:tc>
          <w:tcPr>
            <w:tcW w:w="2055" w:type="dxa"/>
            <w:noWrap w:val="0"/>
            <w:vAlign w:val="center"/>
          </w:tcPr>
          <w:p w14:paraId="45FE998B">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rPr>
              <w:t>投标文件的拒收</w:t>
            </w:r>
          </w:p>
          <w:p w14:paraId="65993885">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情形</w:t>
            </w:r>
          </w:p>
        </w:tc>
        <w:tc>
          <w:tcPr>
            <w:tcW w:w="5535" w:type="dxa"/>
            <w:noWrap w:val="0"/>
            <w:vAlign w:val="center"/>
          </w:tcPr>
          <w:p w14:paraId="019EA5F4">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一、投标人未按规定密封或封套外信息与所投标段内容不符的投标文件。</w:t>
            </w:r>
          </w:p>
          <w:p w14:paraId="0C703D5D">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二、未在投标截止时间前递交的投标文件。</w:t>
            </w:r>
          </w:p>
        </w:tc>
      </w:tr>
      <w:tr w14:paraId="6BA7A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vMerge w:val="continue"/>
            <w:noWrap w:val="0"/>
            <w:vAlign w:val="center"/>
          </w:tcPr>
          <w:p w14:paraId="1656110A">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p>
        </w:tc>
        <w:tc>
          <w:tcPr>
            <w:tcW w:w="2055" w:type="dxa"/>
            <w:noWrap w:val="0"/>
            <w:vAlign w:val="center"/>
          </w:tcPr>
          <w:p w14:paraId="1E9F8701">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□电子投标文件的拒收情形</w:t>
            </w:r>
          </w:p>
        </w:tc>
        <w:tc>
          <w:tcPr>
            <w:tcW w:w="5535" w:type="dxa"/>
            <w:noWrap w:val="0"/>
            <w:vAlign w:val="center"/>
          </w:tcPr>
          <w:p w14:paraId="598FCD24">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1.投标截止时间后送达（上传）的投标文件、未按招标文件要求上传的；</w:t>
            </w:r>
          </w:p>
          <w:p w14:paraId="5D5512B1">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2.投标人未按规定加密的投标文件，应当拒收并提示。</w:t>
            </w:r>
            <w:r>
              <w:rPr>
                <w:rFonts w:hint="eastAsia" w:ascii="宋体" w:hAnsi="宋体" w:eastAsia="宋体" w:cs="宋体"/>
                <w:strike/>
                <w:dstrike w:val="0"/>
                <w:color w:val="auto"/>
                <w:spacing w:val="0"/>
                <w:position w:val="0"/>
                <w:sz w:val="21"/>
                <w:szCs w:val="21"/>
                <w:highlight w:val="none"/>
                <w:shd w:val="clear" w:color="auto" w:fill="auto"/>
              </w:rPr>
              <w:br w:type="textWrapping"/>
            </w:r>
            <w:r>
              <w:rPr>
                <w:rFonts w:hint="eastAsia" w:ascii="宋体" w:hAnsi="宋体" w:eastAsia="宋体" w:cs="宋体"/>
                <w:strike/>
                <w:dstrike w:val="0"/>
                <w:color w:val="auto"/>
                <w:spacing w:val="0"/>
                <w:position w:val="0"/>
                <w:sz w:val="21"/>
                <w:szCs w:val="21"/>
                <w:highlight w:val="none"/>
                <w:shd w:val="clear" w:color="auto" w:fill="auto"/>
              </w:rPr>
              <w:t>3.存在下列情况之一的，视为拒收：</w:t>
            </w:r>
          </w:p>
          <w:p w14:paraId="6320B91A">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（1）电子投标文件无法解密的；</w:t>
            </w:r>
          </w:p>
          <w:p w14:paraId="6D9DFB47">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（2）电子投标文件解密后无法正确读取的；</w:t>
            </w:r>
          </w:p>
          <w:p w14:paraId="38621348">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（3）电子投标文件无法导入成功的；</w:t>
            </w:r>
          </w:p>
          <w:p w14:paraId="64FD726E">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4.□未被邀请的申请人提交的投标文件</w:t>
            </w:r>
          </w:p>
          <w:p w14:paraId="3571D4E5">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5.其他:  法律、法规所规定的其他情形   。</w:t>
            </w:r>
          </w:p>
        </w:tc>
      </w:tr>
      <w:tr w14:paraId="07B28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444C0A76">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5.1</w:t>
            </w:r>
          </w:p>
        </w:tc>
        <w:tc>
          <w:tcPr>
            <w:tcW w:w="2055" w:type="dxa"/>
            <w:noWrap w:val="0"/>
            <w:vAlign w:val="center"/>
          </w:tcPr>
          <w:p w14:paraId="63BB89EA">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开标时间和地点、参加开标会议的要求</w:t>
            </w:r>
          </w:p>
        </w:tc>
        <w:tc>
          <w:tcPr>
            <w:tcW w:w="5535" w:type="dxa"/>
            <w:noWrap w:val="0"/>
            <w:vAlign w:val="center"/>
          </w:tcPr>
          <w:p w14:paraId="5CD569EF">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一、开标时间：同投标截止时间。</w:t>
            </w:r>
          </w:p>
          <w:p w14:paraId="5B3C0080">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二、开标地点：</w:t>
            </w:r>
            <w:r>
              <w:rPr>
                <w:rFonts w:hint="eastAsia" w:ascii="宋体" w:hAnsi="宋体" w:eastAsia="宋体" w:cs="宋体"/>
                <w:color w:val="auto"/>
                <w:spacing w:val="0"/>
                <w:position w:val="0"/>
                <w:sz w:val="21"/>
                <w:szCs w:val="21"/>
                <w:highlight w:val="none"/>
                <w:u w:val="single"/>
                <w:shd w:val="clear" w:color="auto" w:fill="auto"/>
                <w:lang w:eastAsia="zh-CN"/>
              </w:rPr>
              <w:t>绍兴市越城区解放大道308号二楼招投标中心  号开标室</w:t>
            </w:r>
            <w:r>
              <w:rPr>
                <w:rFonts w:hint="eastAsia" w:ascii="宋体" w:hAnsi="宋体" w:eastAsia="宋体" w:cs="宋体"/>
                <w:color w:val="auto"/>
                <w:spacing w:val="0"/>
                <w:position w:val="0"/>
                <w:sz w:val="21"/>
                <w:szCs w:val="21"/>
                <w:highlight w:val="none"/>
                <w:shd w:val="clear" w:color="auto" w:fill="auto"/>
              </w:rPr>
              <w:t>。</w:t>
            </w:r>
          </w:p>
          <w:p w14:paraId="44B904B0">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□三、开标平台:绍兴市公共资源交易中心电子招投标交易平台</w:t>
            </w:r>
          </w:p>
          <w:p w14:paraId="008BEDCF">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i/>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四、参加开标会议的要求</w:t>
            </w:r>
            <w:r>
              <w:rPr>
                <w:rFonts w:hint="eastAsia" w:ascii="宋体" w:hAnsi="宋体" w:eastAsia="宋体" w:cs="宋体"/>
                <w:i/>
                <w:color w:val="auto"/>
                <w:spacing w:val="0"/>
                <w:position w:val="0"/>
                <w:sz w:val="21"/>
                <w:szCs w:val="21"/>
                <w:highlight w:val="none"/>
                <w:shd w:val="clear" w:color="auto" w:fill="auto"/>
              </w:rPr>
              <w:t>（各区县市可根据时间情况修改）</w:t>
            </w:r>
          </w:p>
          <w:p w14:paraId="00CE0EB6">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投标人的法定代表人或授权代表等均可不参加开标会议，招标文件中相关要求作相应调整。若投标人法定代表人或授权代表不在现场参加开标会议的，投标人需向招标代理机构工作人员告知其联系方式，以备询标等事宜；</w:t>
            </w:r>
          </w:p>
          <w:p w14:paraId="3B7BDD19">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2、开标过程中要求投标人进行澄清、说明或者补正的，须通过指定的电子邮箱3771052270@qq.com作出澄清、说明或者补正，提交澄清、说明或补正的时间为接到工作人员电话通知后半小时内。请投标单位期间电话保持畅通，如未及时接听电话，视为放弃澄清、说明或补正的权利；</w:t>
            </w:r>
          </w:p>
          <w:p w14:paraId="38D6A555">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3、取消投标人法定代表人或授权委托人到场签字要求，取消开标记录表签字要求；</w:t>
            </w:r>
          </w:p>
          <w:p w14:paraId="765825F5">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i/>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4、由代理机构工作人员现场</w:t>
            </w:r>
            <w:r>
              <w:rPr>
                <w:rFonts w:hint="eastAsia" w:ascii="宋体" w:hAnsi="宋体" w:eastAsia="宋体" w:cs="宋体"/>
                <w:color w:val="auto"/>
                <w:spacing w:val="0"/>
                <w:position w:val="0"/>
                <w:sz w:val="21"/>
                <w:szCs w:val="21"/>
                <w:highlight w:val="none"/>
                <w:shd w:val="clear" w:color="auto" w:fill="auto"/>
              </w:rPr>
              <w:t>在监督</w:t>
            </w:r>
            <w:r>
              <w:rPr>
                <w:rFonts w:hint="eastAsia" w:ascii="宋体" w:hAnsi="宋体" w:eastAsia="宋体" w:cs="宋体"/>
                <w:color w:val="auto"/>
                <w:spacing w:val="0"/>
                <w:position w:val="0"/>
                <w:sz w:val="21"/>
                <w:szCs w:val="21"/>
                <w:highlight w:val="none"/>
                <w:shd w:val="clear" w:color="auto" w:fill="auto"/>
              </w:rPr>
              <w:t>部门监督下</w:t>
            </w:r>
            <w:r>
              <w:rPr>
                <w:rFonts w:hint="eastAsia" w:ascii="宋体" w:hAnsi="宋体" w:eastAsia="宋体" w:cs="宋体"/>
                <w:color w:val="auto"/>
                <w:spacing w:val="0"/>
                <w:position w:val="0"/>
                <w:sz w:val="21"/>
                <w:szCs w:val="21"/>
                <w:highlight w:val="none"/>
                <w:shd w:val="clear" w:color="auto" w:fill="auto"/>
              </w:rPr>
              <w:t>核验投</w:t>
            </w:r>
            <w:r>
              <w:rPr>
                <w:rFonts w:hint="eastAsia" w:ascii="宋体" w:hAnsi="宋体" w:eastAsia="宋体" w:cs="宋体"/>
                <w:color w:val="auto"/>
                <w:spacing w:val="0"/>
                <w:position w:val="0"/>
                <w:sz w:val="21"/>
                <w:szCs w:val="21"/>
                <w:highlight w:val="none"/>
                <w:shd w:val="clear" w:color="auto" w:fill="auto"/>
              </w:rPr>
              <w:t>标文件密封性并开启投标文件，组织评审，并对开评标活动进行全程录音录像。</w:t>
            </w:r>
          </w:p>
        </w:tc>
      </w:tr>
      <w:tr w14:paraId="26A03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26A40164">
            <w:pPr>
              <w:pStyle w:val="45"/>
              <w:keepNext w:val="0"/>
              <w:keepLines w:val="0"/>
              <w:pageBreakBefore w:val="0"/>
              <w:overflowPunct/>
              <w:bidi w:val="0"/>
              <w:spacing w:line="320" w:lineRule="exac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5.4</w:t>
            </w:r>
          </w:p>
        </w:tc>
        <w:tc>
          <w:tcPr>
            <w:tcW w:w="2055" w:type="dxa"/>
            <w:noWrap w:val="0"/>
            <w:vAlign w:val="center"/>
          </w:tcPr>
          <w:p w14:paraId="1F413D12">
            <w:pPr>
              <w:pStyle w:val="45"/>
              <w:keepNext w:val="0"/>
              <w:keepLines w:val="0"/>
              <w:pageBreakBefore w:val="0"/>
              <w:overflowPunct/>
              <w:bidi w:val="0"/>
              <w:spacing w:line="320" w:lineRule="exac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特殊情况处置</w:t>
            </w:r>
          </w:p>
        </w:tc>
        <w:tc>
          <w:tcPr>
            <w:tcW w:w="5535" w:type="dxa"/>
            <w:noWrap w:val="0"/>
            <w:vAlign w:val="center"/>
          </w:tcPr>
          <w:p w14:paraId="7E8FD877">
            <w:pPr>
              <w:keepNext w:val="0"/>
              <w:keepLines w:val="0"/>
              <w:pageBreakBefore w:val="0"/>
              <w:tabs>
                <w:tab w:val="left" w:pos="5680"/>
              </w:tabs>
              <w:overflowPunct/>
              <w:bidi w:val="0"/>
              <w:spacing w:line="320" w:lineRule="exact"/>
              <w:ind w:left="105" w:leftChars="50" w:right="105" w:rightChars="50"/>
              <w:jc w:val="left"/>
              <w:textAlignment w:val="auto"/>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1.因网络、系统、电力等不可抗力因素延期开标的，需更新制作投标文件并按招标文件要求重新递交。</w:t>
            </w:r>
          </w:p>
          <w:p w14:paraId="02C7B99D">
            <w:pPr>
              <w:keepNext w:val="0"/>
              <w:keepLines w:val="0"/>
              <w:pageBreakBefore w:val="0"/>
              <w:tabs>
                <w:tab w:val="left" w:pos="5680"/>
              </w:tabs>
              <w:overflowPunct/>
              <w:bidi w:val="0"/>
              <w:spacing w:line="320" w:lineRule="exact"/>
              <w:ind w:left="105" w:leftChars="50" w:right="105" w:rightChars="50"/>
              <w:jc w:val="left"/>
              <w:textAlignment w:val="auto"/>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2.开标特别说明：（1）因投标人原因造成其电子投标文件未解密的，视为撤销其投标文件；投标截止时间前未完成投标文件传输的，视为撤回投标文件；因投标人之外的原因造成电子投标文件未解密的，视为撤回其投标文件。</w:t>
            </w:r>
          </w:p>
          <w:p w14:paraId="4F07FE1C">
            <w:pPr>
              <w:keepNext w:val="0"/>
              <w:keepLines w:val="0"/>
              <w:pageBreakBefore w:val="0"/>
              <w:tabs>
                <w:tab w:val="left" w:pos="5680"/>
              </w:tabs>
              <w:overflowPunct/>
              <w:bidi w:val="0"/>
              <w:spacing w:line="320" w:lineRule="exact"/>
              <w:ind w:left="105" w:leftChars="50" w:right="105" w:rightChars="50"/>
              <w:jc w:val="left"/>
              <w:textAlignment w:val="auto"/>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（2）投标人必须使用生成电子投标文件的CA数字证书加密电子投标文件，未加密的视为撤销其投标文件。</w:t>
            </w:r>
          </w:p>
          <w:p w14:paraId="3148C697">
            <w:pPr>
              <w:keepNext w:val="0"/>
              <w:keepLines w:val="0"/>
              <w:pageBreakBefore w:val="0"/>
              <w:tabs>
                <w:tab w:val="left" w:pos="5680"/>
              </w:tabs>
              <w:overflowPunct/>
              <w:bidi w:val="0"/>
              <w:spacing w:line="320" w:lineRule="exact"/>
              <w:ind w:left="105" w:leftChars="50" w:right="105" w:rightChars="50"/>
              <w:jc w:val="left"/>
              <w:textAlignment w:val="auto"/>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3.其他：电子投标项目开标的其他相关程序按照我市相关规定《绍兴市区工程建设项目电子招标投标管理暂行办法》执行 。</w:t>
            </w:r>
          </w:p>
        </w:tc>
      </w:tr>
      <w:tr w14:paraId="369B4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3A1D82BC">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6.1.1</w:t>
            </w:r>
          </w:p>
        </w:tc>
        <w:tc>
          <w:tcPr>
            <w:tcW w:w="2055" w:type="dxa"/>
            <w:noWrap w:val="0"/>
            <w:vAlign w:val="center"/>
          </w:tcPr>
          <w:p w14:paraId="467AF723">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评标委员会的组建</w:t>
            </w:r>
          </w:p>
        </w:tc>
        <w:tc>
          <w:tcPr>
            <w:tcW w:w="5535" w:type="dxa"/>
            <w:noWrap w:val="0"/>
            <w:vAlign w:val="center"/>
          </w:tcPr>
          <w:p w14:paraId="30CBF3CE">
            <w:pPr>
              <w:keepNext w:val="0"/>
              <w:keepLines w:val="0"/>
              <w:pageBreakBefore w:val="0"/>
              <w:overflowPunct/>
              <w:bidi w:val="0"/>
              <w:spacing w:line="320" w:lineRule="exact"/>
              <w:ind w:left="525" w:hanging="525" w:hangingChars="2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评标委员会共</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cs="宋体"/>
                <w:color w:val="auto"/>
                <w:spacing w:val="0"/>
                <w:position w:val="0"/>
                <w:sz w:val="21"/>
                <w:szCs w:val="21"/>
                <w:highlight w:val="none"/>
                <w:u w:val="single"/>
                <w:shd w:val="clear" w:color="auto" w:fill="auto"/>
                <w:lang w:val="en-US" w:eastAsia="zh-CN"/>
              </w:rPr>
              <w:t>7</w:t>
            </w:r>
            <w:r>
              <w:rPr>
                <w:rFonts w:hint="eastAsia" w:ascii="宋体" w:hAnsi="宋体" w:eastAsia="宋体" w:cs="宋体"/>
                <w:color w:val="auto"/>
                <w:spacing w:val="0"/>
                <w:position w:val="0"/>
                <w:sz w:val="21"/>
                <w:szCs w:val="21"/>
                <w:highlight w:val="none"/>
                <w:u w:val="single"/>
                <w:shd w:val="clear" w:color="auto" w:fill="auto"/>
                <w:lang w:val="en-US" w:eastAsia="zh-CN"/>
              </w:rPr>
              <w:t xml:space="preserve"> </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shd w:val="clear" w:color="auto" w:fill="auto"/>
              </w:rPr>
              <w:t>人。</w:t>
            </w:r>
          </w:p>
          <w:p w14:paraId="5F2E238D">
            <w:pPr>
              <w:keepNext w:val="0"/>
              <w:keepLines w:val="0"/>
              <w:pageBreakBefore w:val="0"/>
              <w:overflowPunct/>
              <w:bidi w:val="0"/>
              <w:spacing w:line="320" w:lineRule="exact"/>
              <w:ind w:left="525" w:hanging="525" w:hangingChars="2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其中招标人代表</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u w:val="single"/>
                <w:shd w:val="clear" w:color="auto" w:fill="auto"/>
                <w:lang w:val="en-US" w:eastAsia="zh-CN"/>
              </w:rPr>
              <w:t xml:space="preserve">2 </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shd w:val="clear" w:color="auto" w:fill="auto"/>
              </w:rPr>
              <w:t>人；专家</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u w:val="single"/>
                <w:shd w:val="clear" w:color="auto" w:fill="auto"/>
                <w:lang w:val="en-US" w:eastAsia="zh-CN"/>
              </w:rPr>
              <w:t xml:space="preserve">5 </w:t>
            </w:r>
            <w:r>
              <w:rPr>
                <w:rFonts w:hint="eastAsia" w:ascii="宋体" w:hAnsi="宋体" w:eastAsia="宋体" w:cs="宋体"/>
                <w:color w:val="auto"/>
                <w:spacing w:val="0"/>
                <w:position w:val="0"/>
                <w:sz w:val="21"/>
                <w:szCs w:val="21"/>
                <w:highlight w:val="none"/>
                <w:u w:val="single"/>
                <w:shd w:val="clear" w:color="auto" w:fill="auto"/>
              </w:rPr>
              <w:t xml:space="preserve"> </w:t>
            </w:r>
            <w:r>
              <w:rPr>
                <w:rFonts w:hint="eastAsia" w:ascii="宋体" w:hAnsi="宋体" w:eastAsia="宋体" w:cs="宋体"/>
                <w:color w:val="auto"/>
                <w:spacing w:val="0"/>
                <w:position w:val="0"/>
                <w:sz w:val="21"/>
                <w:szCs w:val="21"/>
                <w:highlight w:val="none"/>
                <w:shd w:val="clear" w:color="auto" w:fill="auto"/>
              </w:rPr>
              <w:t>人。</w:t>
            </w:r>
          </w:p>
          <w:p w14:paraId="4DD98973">
            <w:pPr>
              <w:keepNext w:val="0"/>
              <w:keepLines w:val="0"/>
              <w:pageBreakBefore w:val="0"/>
              <w:tabs>
                <w:tab w:val="left" w:pos="5680"/>
              </w:tabs>
              <w:overflowPunct/>
              <w:bidi w:val="0"/>
              <w:spacing w:line="320" w:lineRule="exact"/>
              <w:ind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评标专家确定方</w:t>
            </w:r>
            <w:r>
              <w:rPr>
                <w:rFonts w:hint="eastAsia" w:ascii="宋体" w:hAnsi="宋体" w:eastAsia="宋体" w:cs="宋体"/>
                <w:color w:val="auto"/>
                <w:spacing w:val="0"/>
                <w:position w:val="0"/>
                <w:sz w:val="21"/>
                <w:szCs w:val="21"/>
                <w:highlight w:val="none"/>
                <w:shd w:val="clear" w:color="auto" w:fill="auto"/>
              </w:rPr>
              <w:t>式：</w:t>
            </w:r>
            <w:r>
              <w:rPr>
                <w:rFonts w:hint="eastAsia" w:ascii="宋体" w:hAnsi="宋体" w:eastAsia="宋体" w:cs="宋体"/>
                <w:color w:val="auto"/>
                <w:spacing w:val="0"/>
                <w:position w:val="0"/>
                <w:sz w:val="21"/>
                <w:szCs w:val="21"/>
                <w:highlight w:val="none"/>
                <w:u w:val="single"/>
                <w:shd w:val="clear" w:color="auto" w:fill="auto"/>
                <w:lang w:val="en-US" w:eastAsia="zh-CN"/>
              </w:rPr>
              <w:t>按规定确定</w:t>
            </w:r>
            <w:r>
              <w:rPr>
                <w:rFonts w:hint="eastAsia" w:ascii="宋体" w:hAnsi="宋体" w:eastAsia="宋体" w:cs="宋体"/>
                <w:color w:val="auto"/>
                <w:spacing w:val="0"/>
                <w:position w:val="0"/>
                <w:sz w:val="21"/>
                <w:szCs w:val="21"/>
                <w:highlight w:val="none"/>
                <w:shd w:val="clear" w:color="auto" w:fill="auto"/>
              </w:rPr>
              <w:t>。</w:t>
            </w:r>
          </w:p>
        </w:tc>
      </w:tr>
      <w:tr w14:paraId="29FF6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1C7E0085">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6.3</w:t>
            </w:r>
          </w:p>
        </w:tc>
        <w:tc>
          <w:tcPr>
            <w:tcW w:w="2055" w:type="dxa"/>
            <w:noWrap w:val="0"/>
            <w:vAlign w:val="center"/>
          </w:tcPr>
          <w:p w14:paraId="05E8F02B">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评标方法</w:t>
            </w:r>
          </w:p>
        </w:tc>
        <w:tc>
          <w:tcPr>
            <w:tcW w:w="5535" w:type="dxa"/>
            <w:noWrap w:val="0"/>
            <w:vAlign w:val="center"/>
          </w:tcPr>
          <w:p w14:paraId="02F878FD">
            <w:pPr>
              <w:keepNext w:val="0"/>
              <w:keepLines w:val="0"/>
              <w:pageBreakBefore w:val="0"/>
              <w:widowControl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w:t>
            </w:r>
            <w:r>
              <w:rPr>
                <w:rFonts w:hint="eastAsia" w:ascii="宋体" w:hAnsi="宋体" w:eastAsia="宋体" w:cs="宋体"/>
                <w:color w:val="auto"/>
                <w:spacing w:val="0"/>
                <w:position w:val="0"/>
                <w:sz w:val="21"/>
                <w:szCs w:val="21"/>
                <w:highlight w:val="none"/>
                <w:shd w:val="clear" w:color="auto" w:fill="auto"/>
              </w:rPr>
              <w:fldChar w:fldCharType="begin"/>
            </w:r>
            <w:r>
              <w:rPr>
                <w:rFonts w:hint="eastAsia" w:ascii="宋体" w:hAnsi="宋体" w:eastAsia="宋体" w:cs="宋体"/>
                <w:color w:val="auto"/>
                <w:spacing w:val="0"/>
                <w:position w:val="0"/>
                <w:sz w:val="21"/>
                <w:szCs w:val="21"/>
                <w:highlight w:val="none"/>
                <w:shd w:val="clear" w:color="auto" w:fill="auto"/>
              </w:rPr>
              <w:instrText xml:space="preserve"> HYPERLINK "http://218.108.28.22/zjgcjy/infodetail/?infoid=25b0d8ef-782f-44f1-a7c2-cdfa059b2aa2&amp;siteid=1&amp;categoryNum=032003" </w:instrText>
            </w:r>
            <w:r>
              <w:rPr>
                <w:rFonts w:hint="eastAsia" w:ascii="宋体" w:hAnsi="宋体" w:eastAsia="宋体" w:cs="宋体"/>
                <w:color w:val="auto"/>
                <w:spacing w:val="0"/>
                <w:position w:val="0"/>
                <w:sz w:val="21"/>
                <w:szCs w:val="21"/>
                <w:highlight w:val="none"/>
                <w:shd w:val="clear" w:color="auto" w:fill="auto"/>
              </w:rPr>
              <w:fldChar w:fldCharType="separate"/>
            </w:r>
            <w:r>
              <w:rPr>
                <w:rFonts w:hint="eastAsia" w:ascii="宋体" w:hAnsi="宋体" w:eastAsia="宋体" w:cs="宋体"/>
                <w:color w:val="auto"/>
                <w:spacing w:val="0"/>
                <w:position w:val="0"/>
                <w:sz w:val="21"/>
                <w:szCs w:val="21"/>
                <w:highlight w:val="none"/>
                <w:shd w:val="clear" w:color="auto" w:fill="auto"/>
              </w:rPr>
              <w:t>经评审的最低投标价法</w:t>
            </w:r>
            <w:r>
              <w:rPr>
                <w:rFonts w:hint="eastAsia" w:ascii="宋体" w:hAnsi="宋体" w:eastAsia="宋体" w:cs="宋体"/>
                <w:color w:val="auto"/>
                <w:spacing w:val="0"/>
                <w:position w:val="0"/>
                <w:sz w:val="21"/>
                <w:szCs w:val="21"/>
                <w:highlight w:val="none"/>
                <w:shd w:val="clear" w:color="auto" w:fill="auto"/>
              </w:rPr>
              <w:fldChar w:fldCharType="end"/>
            </w:r>
            <w:r>
              <w:rPr>
                <w:rFonts w:hint="eastAsia" w:ascii="宋体" w:hAnsi="宋体" w:eastAsia="宋体" w:cs="宋体"/>
                <w:color w:val="auto"/>
                <w:spacing w:val="0"/>
                <w:position w:val="0"/>
                <w:sz w:val="21"/>
                <w:szCs w:val="21"/>
                <w:highlight w:val="none"/>
                <w:shd w:val="clear" w:color="auto" w:fill="auto"/>
              </w:rPr>
              <w:t>。</w:t>
            </w:r>
          </w:p>
          <w:p w14:paraId="02BF5F8C">
            <w:pPr>
              <w:keepNext w:val="0"/>
              <w:keepLines w:val="0"/>
              <w:pageBreakBefore w:val="0"/>
              <w:widowControl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rPr>
              <w:fldChar w:fldCharType="begin"/>
            </w:r>
            <w:r>
              <w:rPr>
                <w:rFonts w:hint="eastAsia" w:ascii="宋体" w:hAnsi="宋体" w:eastAsia="宋体" w:cs="宋体"/>
                <w:color w:val="auto"/>
                <w:spacing w:val="0"/>
                <w:position w:val="0"/>
                <w:sz w:val="21"/>
                <w:szCs w:val="21"/>
                <w:highlight w:val="none"/>
                <w:shd w:val="clear" w:color="auto" w:fill="auto"/>
              </w:rPr>
              <w:instrText xml:space="preserve"> HYPERLINK "http://218.108.28.22/zjgcjy/infodetail/?infoid=3561d4c5-1965-4914-8d10-bfd371957ee6&amp;siteid=1&amp;categoryNum=032003" </w:instrText>
            </w:r>
            <w:r>
              <w:rPr>
                <w:rFonts w:hint="eastAsia" w:ascii="宋体" w:hAnsi="宋体" w:eastAsia="宋体" w:cs="宋体"/>
                <w:color w:val="auto"/>
                <w:spacing w:val="0"/>
                <w:position w:val="0"/>
                <w:sz w:val="21"/>
                <w:szCs w:val="21"/>
                <w:highlight w:val="none"/>
                <w:shd w:val="clear" w:color="auto" w:fill="auto"/>
              </w:rPr>
              <w:fldChar w:fldCharType="separate"/>
            </w:r>
            <w:r>
              <w:rPr>
                <w:rFonts w:hint="eastAsia" w:ascii="宋体" w:hAnsi="宋体" w:eastAsia="宋体" w:cs="宋体"/>
                <w:color w:val="auto"/>
                <w:spacing w:val="0"/>
                <w:position w:val="0"/>
                <w:sz w:val="21"/>
                <w:szCs w:val="21"/>
                <w:highlight w:val="none"/>
                <w:shd w:val="clear" w:color="auto" w:fill="auto"/>
              </w:rPr>
              <w:t>综合评估法</w:t>
            </w:r>
            <w:r>
              <w:rPr>
                <w:rFonts w:hint="eastAsia" w:ascii="宋体" w:hAnsi="宋体" w:eastAsia="宋体" w:cs="宋体"/>
                <w:color w:val="auto"/>
                <w:spacing w:val="0"/>
                <w:position w:val="0"/>
                <w:sz w:val="21"/>
                <w:szCs w:val="21"/>
                <w:highlight w:val="none"/>
                <w:shd w:val="clear" w:color="auto" w:fill="auto"/>
              </w:rPr>
              <w:fldChar w:fldCharType="end"/>
            </w:r>
            <w:r>
              <w:rPr>
                <w:rFonts w:hint="eastAsia" w:ascii="宋体" w:hAnsi="宋体" w:eastAsia="宋体" w:cs="宋体"/>
                <w:color w:val="auto"/>
                <w:spacing w:val="0"/>
                <w:position w:val="0"/>
                <w:sz w:val="21"/>
                <w:szCs w:val="21"/>
                <w:highlight w:val="none"/>
                <w:shd w:val="clear" w:color="auto" w:fill="auto"/>
              </w:rPr>
              <w:t>。</w:t>
            </w:r>
            <w:r>
              <w:rPr>
                <w:rFonts w:hint="eastAsia" w:ascii="宋体" w:hAnsi="宋体" w:eastAsia="宋体" w:cs="宋体"/>
                <w:color w:val="auto"/>
                <w:spacing w:val="0"/>
                <w:position w:val="0"/>
                <w:sz w:val="21"/>
                <w:szCs w:val="21"/>
                <w:highlight w:val="none"/>
                <w:shd w:val="clear" w:color="auto" w:fill="auto"/>
              </w:rPr>
              <w:fldChar w:fldCharType="begin"/>
            </w:r>
            <w:r>
              <w:rPr>
                <w:rFonts w:hint="eastAsia" w:ascii="宋体" w:hAnsi="宋体" w:eastAsia="宋体" w:cs="宋体"/>
                <w:color w:val="auto"/>
                <w:spacing w:val="0"/>
                <w:position w:val="0"/>
                <w:sz w:val="21"/>
                <w:szCs w:val="21"/>
                <w:highlight w:val="none"/>
                <w:shd w:val="clear" w:color="auto" w:fill="auto"/>
              </w:rPr>
              <w:instrText xml:space="preserve"> HYPERLINK "http://218.108.28.22/zjgcjy/infodetail/?infoid=3561d4c5-1965-4914-8d10-bfd371957ee6&amp;siteid=1&amp;categoryNum=032003" </w:instrText>
            </w:r>
            <w:r>
              <w:rPr>
                <w:rFonts w:hint="eastAsia" w:ascii="宋体" w:hAnsi="宋体" w:eastAsia="宋体" w:cs="宋体"/>
                <w:color w:val="auto"/>
                <w:spacing w:val="0"/>
                <w:position w:val="0"/>
                <w:sz w:val="21"/>
                <w:szCs w:val="21"/>
                <w:highlight w:val="none"/>
                <w:shd w:val="clear" w:color="auto" w:fill="auto"/>
              </w:rPr>
              <w:fldChar w:fldCharType="separate"/>
            </w:r>
            <w:r>
              <w:rPr>
                <w:rFonts w:hint="eastAsia" w:ascii="宋体" w:hAnsi="宋体" w:eastAsia="宋体" w:cs="宋体"/>
                <w:color w:val="auto"/>
                <w:spacing w:val="0"/>
                <w:position w:val="0"/>
                <w:sz w:val="21"/>
                <w:szCs w:val="21"/>
                <w:highlight w:val="none"/>
                <w:shd w:val="clear" w:color="auto" w:fill="auto"/>
              </w:rPr>
              <w:fldChar w:fldCharType="end"/>
            </w:r>
          </w:p>
        </w:tc>
      </w:tr>
      <w:tr w14:paraId="1436A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427C58DD">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6.4.2</w:t>
            </w:r>
          </w:p>
        </w:tc>
        <w:tc>
          <w:tcPr>
            <w:tcW w:w="2055" w:type="dxa"/>
            <w:noWrap w:val="0"/>
            <w:vAlign w:val="center"/>
          </w:tcPr>
          <w:p w14:paraId="7847A9AD">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评标委员会推荐</w:t>
            </w:r>
          </w:p>
          <w:p w14:paraId="492B55A3">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中标候选人</w:t>
            </w:r>
          </w:p>
        </w:tc>
        <w:tc>
          <w:tcPr>
            <w:tcW w:w="5535" w:type="dxa"/>
            <w:noWrap w:val="0"/>
            <w:vAlign w:val="center"/>
          </w:tcPr>
          <w:p w14:paraId="5580E795">
            <w:pPr>
              <w:pStyle w:val="20"/>
              <w:keepNext w:val="0"/>
              <w:keepLines w:val="0"/>
              <w:pageBreakBefore w:val="0"/>
              <w:tabs>
                <w:tab w:val="left" w:pos="5680"/>
              </w:tabs>
              <w:overflowPunct/>
              <w:bidi w:val="0"/>
              <w:snapToGrid w:val="0"/>
              <w:spacing w:after="0"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rPr>
              <w:t>推荐的中标候选人数量：</w:t>
            </w:r>
            <w:r>
              <w:rPr>
                <w:rFonts w:hint="eastAsia" w:ascii="宋体" w:hAnsi="宋体" w:eastAsia="宋体" w:cs="宋体"/>
                <w:color w:val="auto"/>
                <w:spacing w:val="0"/>
                <w:position w:val="0"/>
                <w:sz w:val="21"/>
                <w:szCs w:val="21"/>
                <w:highlight w:val="none"/>
                <w:u w:val="single"/>
                <w:shd w:val="clear" w:color="auto" w:fill="auto"/>
                <w:lang w:val="en-US" w:eastAsia="zh-CN"/>
              </w:rPr>
              <w:t>3</w:t>
            </w:r>
            <w:r>
              <w:rPr>
                <w:rFonts w:hint="eastAsia" w:ascii="宋体" w:hAnsi="宋体" w:eastAsia="宋体" w:cs="宋体"/>
                <w:color w:val="auto"/>
                <w:spacing w:val="0"/>
                <w:position w:val="0"/>
                <w:sz w:val="21"/>
                <w:szCs w:val="21"/>
                <w:highlight w:val="none"/>
                <w:shd w:val="clear" w:color="auto" w:fill="auto"/>
              </w:rPr>
              <w:t>家。</w:t>
            </w:r>
          </w:p>
          <w:p w14:paraId="36E3236F">
            <w:pPr>
              <w:pStyle w:val="20"/>
              <w:keepNext w:val="0"/>
              <w:keepLines w:val="0"/>
              <w:pageBreakBefore w:val="0"/>
              <w:tabs>
                <w:tab w:val="left" w:pos="5680"/>
              </w:tabs>
              <w:overflowPunct/>
              <w:bidi w:val="0"/>
              <w:snapToGrid w:val="0"/>
              <w:spacing w:after="0"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□推荐入围定标的中标候选人：</w:t>
            </w:r>
            <w:r>
              <w:rPr>
                <w:rFonts w:hint="eastAsia" w:ascii="宋体" w:hAnsi="宋体" w:eastAsia="宋体" w:cs="宋体"/>
                <w:strike/>
                <w:dstrike w:val="0"/>
                <w:color w:val="auto"/>
                <w:spacing w:val="0"/>
                <w:position w:val="0"/>
                <w:sz w:val="21"/>
                <w:szCs w:val="21"/>
                <w:highlight w:val="none"/>
                <w:u w:val="single"/>
                <w:shd w:val="clear" w:color="auto" w:fill="auto"/>
              </w:rPr>
              <w:t xml:space="preserve">     </w:t>
            </w:r>
            <w:r>
              <w:rPr>
                <w:rFonts w:hint="eastAsia" w:ascii="宋体" w:hAnsi="宋体" w:eastAsia="宋体" w:cs="宋体"/>
                <w:strike/>
                <w:dstrike w:val="0"/>
                <w:color w:val="auto"/>
                <w:spacing w:val="0"/>
                <w:position w:val="0"/>
                <w:sz w:val="21"/>
                <w:szCs w:val="21"/>
                <w:highlight w:val="none"/>
                <w:shd w:val="clear" w:color="auto" w:fill="auto"/>
              </w:rPr>
              <w:t>人。（适用于“评定分离”。注：原则上推荐3名中标候选人，最多不超过5个。推荐名单的中标候选人不排名次。）</w:t>
            </w:r>
          </w:p>
        </w:tc>
      </w:tr>
      <w:tr w14:paraId="68FC8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1BC52DBF">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7.1</w:t>
            </w:r>
          </w:p>
        </w:tc>
        <w:tc>
          <w:tcPr>
            <w:tcW w:w="2055" w:type="dxa"/>
            <w:noWrap w:val="0"/>
            <w:vAlign w:val="center"/>
          </w:tcPr>
          <w:p w14:paraId="107D8B0E">
            <w:pPr>
              <w:pStyle w:val="45"/>
              <w:keepNext w:val="0"/>
              <w:keepLines w:val="0"/>
              <w:pageBreakBefore w:val="0"/>
              <w:overflowPunct/>
              <w:bidi w:val="0"/>
              <w:spacing w:line="320" w:lineRule="exac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确定中标人</w:t>
            </w:r>
          </w:p>
        </w:tc>
        <w:tc>
          <w:tcPr>
            <w:tcW w:w="5535" w:type="dxa"/>
            <w:noWrap w:val="0"/>
            <w:vAlign w:val="center"/>
          </w:tcPr>
          <w:p w14:paraId="2C74F366">
            <w:pPr>
              <w:pStyle w:val="45"/>
              <w:keepNext w:val="0"/>
              <w:keepLines w:val="0"/>
              <w:pageBreakBefore w:val="0"/>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□授权评标委员会确定中标人。</w:t>
            </w:r>
          </w:p>
          <w:p w14:paraId="41FA0964">
            <w:pPr>
              <w:pStyle w:val="45"/>
              <w:keepNext w:val="0"/>
              <w:keepLines w:val="0"/>
              <w:pageBreakBefore w:val="0"/>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rPr>
              <w:t>根据评标委员会推荐，由招标人确定中标人。</w:t>
            </w:r>
          </w:p>
          <w:p w14:paraId="43717F12">
            <w:pPr>
              <w:pStyle w:val="45"/>
              <w:keepNext w:val="0"/>
              <w:keepLines w:val="0"/>
              <w:pageBreakBefore w:val="0"/>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□评定分离，根据评标委员会推荐，另行组织定标会议，由定标委员会确定中标人。</w:t>
            </w:r>
          </w:p>
          <w:p w14:paraId="0BF4F4B5">
            <w:pPr>
              <w:pStyle w:val="45"/>
              <w:keepNext w:val="0"/>
              <w:keepLines w:val="0"/>
              <w:pageBreakBefore w:val="0"/>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□其他：              。</w:t>
            </w:r>
          </w:p>
        </w:tc>
      </w:tr>
      <w:tr w14:paraId="52C63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679B8316">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7.1.4</w:t>
            </w:r>
          </w:p>
        </w:tc>
        <w:tc>
          <w:tcPr>
            <w:tcW w:w="2055" w:type="dxa"/>
            <w:noWrap w:val="0"/>
            <w:vAlign w:val="center"/>
          </w:tcPr>
          <w:p w14:paraId="23BFBD21">
            <w:pPr>
              <w:pStyle w:val="45"/>
              <w:keepNext w:val="0"/>
              <w:keepLines w:val="0"/>
              <w:pageBreakBefore w:val="0"/>
              <w:overflowPunct/>
              <w:bidi w:val="0"/>
              <w:spacing w:line="320" w:lineRule="exact"/>
              <w:ind w:firstLine="0" w:firstLineChars="0"/>
              <w:rPr>
                <w:rFonts w:hint="eastAsia" w:ascii="宋体" w:hAnsi="宋体" w:eastAsia="宋体" w:cs="宋体"/>
                <w:color w:val="auto"/>
                <w:spacing w:val="0"/>
                <w:position w:val="0"/>
                <w:sz w:val="21"/>
                <w:szCs w:val="21"/>
                <w:highlight w:val="none"/>
                <w:shd w:val="clear" w:color="auto" w:fill="auto"/>
              </w:rPr>
            </w:pPr>
            <w:r>
              <w:rPr>
                <w:rFonts w:hint="eastAsia" w:ascii="宋体" w:hAnsi="宋体" w:cs="宋体"/>
                <w:snapToGrid/>
                <w:color w:val="auto"/>
                <w:spacing w:val="0"/>
                <w:position w:val="0"/>
                <w:sz w:val="21"/>
                <w:szCs w:val="21"/>
                <w:highlight w:val="none"/>
                <w:shd w:val="clear" w:color="auto" w:fill="auto"/>
                <w:lang w:eastAsia="zh-CN"/>
              </w:rPr>
              <w:t>☑</w:t>
            </w:r>
            <w:r>
              <w:rPr>
                <w:rFonts w:hint="eastAsia" w:ascii="宋体" w:hAnsi="宋体" w:eastAsia="宋体" w:cs="宋体"/>
                <w:snapToGrid/>
                <w:color w:val="auto"/>
                <w:spacing w:val="0"/>
                <w:position w:val="0"/>
                <w:sz w:val="21"/>
                <w:szCs w:val="21"/>
                <w:highlight w:val="none"/>
                <w:shd w:val="clear" w:color="auto" w:fill="auto"/>
              </w:rPr>
              <w:t>中</w:t>
            </w:r>
            <w:r>
              <w:rPr>
                <w:rFonts w:hint="eastAsia" w:ascii="宋体" w:hAnsi="宋体" w:eastAsia="宋体" w:cs="宋体"/>
                <w:color w:val="auto"/>
                <w:spacing w:val="0"/>
                <w:position w:val="0"/>
                <w:sz w:val="21"/>
                <w:szCs w:val="21"/>
                <w:highlight w:val="none"/>
                <w:shd w:val="clear" w:color="auto" w:fill="auto"/>
              </w:rPr>
              <w:t>标公告媒介及期限</w:t>
            </w:r>
          </w:p>
        </w:tc>
        <w:tc>
          <w:tcPr>
            <w:tcW w:w="5535" w:type="dxa"/>
            <w:noWrap w:val="0"/>
            <w:vAlign w:val="center"/>
          </w:tcPr>
          <w:p w14:paraId="3B43287C">
            <w:pPr>
              <w:keepNext w:val="0"/>
              <w:keepLines w:val="0"/>
              <w:pageBreakBefore w:val="0"/>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公告媒介：</w:t>
            </w:r>
            <w:r>
              <w:rPr>
                <w:rFonts w:hint="eastAsia" w:ascii="宋体" w:hAnsi="宋体" w:eastAsia="宋体" w:cs="宋体"/>
                <w:color w:val="auto"/>
                <w:sz w:val="21"/>
                <w:szCs w:val="21"/>
                <w:highlight w:val="none"/>
                <w:u w:val="single"/>
                <w:shd w:val="clear" w:color="auto" w:fill="auto"/>
                <w:lang w:val="en-US" w:eastAsia="zh-CN"/>
              </w:rPr>
              <w:t>绍兴公共资源交易网、绍兴市公用事业集团有限公司官网</w:t>
            </w:r>
          </w:p>
          <w:p w14:paraId="2155D538">
            <w:pPr>
              <w:keepNext w:val="0"/>
              <w:keepLines w:val="0"/>
              <w:pageBreakBefore w:val="0"/>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公告期限：不少于3日。如遇国家法定休假日，应顺延至法定休假日后第一个工作日。</w:t>
            </w:r>
          </w:p>
        </w:tc>
      </w:tr>
      <w:tr w14:paraId="4A806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205C2D69">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7.2.1</w:t>
            </w:r>
          </w:p>
        </w:tc>
        <w:tc>
          <w:tcPr>
            <w:tcW w:w="2055" w:type="dxa"/>
            <w:noWrap w:val="0"/>
            <w:vAlign w:val="center"/>
          </w:tcPr>
          <w:p w14:paraId="1A8E9EBD">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中标候选人公示</w:t>
            </w:r>
          </w:p>
        </w:tc>
        <w:tc>
          <w:tcPr>
            <w:tcW w:w="5535" w:type="dxa"/>
            <w:noWrap w:val="0"/>
            <w:vAlign w:val="center"/>
          </w:tcPr>
          <w:p w14:paraId="21F357C3">
            <w:pPr>
              <w:keepNext w:val="0"/>
              <w:keepLines w:val="0"/>
              <w:pageBreakBefore w:val="0"/>
              <w:tabs>
                <w:tab w:val="left" w:pos="2150"/>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对中标候选人的情况（有业绩、荣誉要求的，包括业绩、荣誉）在绍兴公共资源交易网予以公示，公示期间招标人将对业绩及相关资质、证书原件等进行核查，公示期为3日。如遇国家法定休假日，应顺延至法定休假日后第一个工作日。</w:t>
            </w:r>
          </w:p>
        </w:tc>
      </w:tr>
      <w:tr w14:paraId="24432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08908D9C">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7.4.1</w:t>
            </w:r>
          </w:p>
        </w:tc>
        <w:tc>
          <w:tcPr>
            <w:tcW w:w="2055" w:type="dxa"/>
            <w:noWrap w:val="0"/>
            <w:vAlign w:val="center"/>
          </w:tcPr>
          <w:p w14:paraId="57563273">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履约保证金</w:t>
            </w:r>
          </w:p>
        </w:tc>
        <w:tc>
          <w:tcPr>
            <w:tcW w:w="5535" w:type="dxa"/>
            <w:noWrap w:val="0"/>
            <w:vAlign w:val="center"/>
          </w:tcPr>
          <w:p w14:paraId="0A444172">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履约保证金的形式：</w:t>
            </w:r>
            <w:bookmarkStart w:id="3" w:name="EB729f8822ed244be9b6cbf8c77e802a6c"/>
            <w:r>
              <w:rPr>
                <w:rFonts w:hint="eastAsia" w:ascii="宋体" w:hAnsi="宋体" w:eastAsia="宋体" w:cs="宋体"/>
                <w:color w:val="auto"/>
                <w:spacing w:val="0"/>
                <w:position w:val="0"/>
                <w:sz w:val="21"/>
                <w:szCs w:val="21"/>
                <w:highlight w:val="none"/>
                <w:shd w:val="clear" w:color="auto" w:fill="auto"/>
              </w:rPr>
              <w:t>现金、支票、汇票、转账、银行</w:t>
            </w:r>
            <w:r>
              <w:rPr>
                <w:rFonts w:hint="eastAsia" w:ascii="宋体" w:hAnsi="宋体" w:eastAsia="宋体" w:cs="宋体"/>
                <w:color w:val="auto"/>
                <w:spacing w:val="0"/>
                <w:position w:val="0"/>
                <w:sz w:val="21"/>
                <w:szCs w:val="21"/>
                <w:highlight w:val="none"/>
                <w:shd w:val="clear" w:color="auto" w:fill="auto"/>
              </w:rPr>
              <w:t>保函。</w:t>
            </w:r>
            <w:bookmarkEnd w:id="3"/>
          </w:p>
          <w:p w14:paraId="70453D22">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履约保证金的金额：</w:t>
            </w:r>
            <w:r>
              <w:rPr>
                <w:rFonts w:hint="eastAsia" w:ascii="宋体" w:hAnsi="宋体" w:eastAsia="宋体" w:cs="宋体"/>
                <w:color w:val="auto"/>
                <w:sz w:val="21"/>
                <w:szCs w:val="21"/>
                <w:highlight w:val="none"/>
                <w:shd w:val="clear" w:color="auto" w:fill="auto"/>
                <w:lang w:val="en-US" w:eastAsia="zh-CN"/>
              </w:rPr>
              <w:t>每个</w:t>
            </w:r>
            <w:r>
              <w:rPr>
                <w:rFonts w:hint="eastAsia" w:ascii="宋体" w:hAnsi="宋体" w:eastAsia="宋体" w:cs="宋体"/>
                <w:color w:val="auto"/>
                <w:sz w:val="21"/>
                <w:szCs w:val="21"/>
                <w:highlight w:val="none"/>
                <w:shd w:val="clear" w:color="auto" w:fill="auto"/>
                <w:lang w:eastAsia="zh-CN"/>
              </w:rPr>
              <w:t>中标</w:t>
            </w:r>
            <w:r>
              <w:rPr>
                <w:rFonts w:hint="eastAsia" w:ascii="宋体" w:hAnsi="宋体" w:eastAsia="宋体" w:cs="宋体"/>
                <w:color w:val="auto"/>
                <w:sz w:val="21"/>
                <w:szCs w:val="21"/>
                <w:highlight w:val="none"/>
                <w:shd w:val="clear" w:color="auto" w:fill="auto"/>
                <w:lang w:val="en-US" w:eastAsia="zh-CN"/>
              </w:rPr>
              <w:t>单位</w:t>
            </w:r>
            <w:r>
              <w:rPr>
                <w:rFonts w:hint="eastAsia" w:ascii="宋体" w:hAnsi="宋体" w:eastAsia="宋体" w:cs="宋体"/>
                <w:color w:val="auto"/>
                <w:sz w:val="21"/>
                <w:szCs w:val="21"/>
                <w:highlight w:val="none"/>
                <w:u w:val="none"/>
                <w:shd w:val="clear" w:color="auto" w:fill="auto"/>
                <w:lang w:val="en-US" w:eastAsia="zh-CN"/>
              </w:rPr>
              <w:t>15</w:t>
            </w:r>
            <w:r>
              <w:rPr>
                <w:rFonts w:hint="eastAsia" w:ascii="宋体" w:hAnsi="宋体" w:eastAsia="宋体" w:cs="宋体"/>
                <w:color w:val="auto"/>
                <w:sz w:val="21"/>
                <w:szCs w:val="21"/>
                <w:highlight w:val="none"/>
                <w:shd w:val="clear" w:color="auto" w:fill="auto"/>
              </w:rPr>
              <w:t>万元</w:t>
            </w:r>
            <w:r>
              <w:rPr>
                <w:rFonts w:hint="eastAsia" w:ascii="宋体" w:hAnsi="宋体" w:eastAsia="宋体" w:cs="宋体"/>
                <w:color w:val="auto"/>
                <w:spacing w:val="0"/>
                <w:position w:val="0"/>
                <w:sz w:val="21"/>
                <w:szCs w:val="21"/>
                <w:highlight w:val="none"/>
                <w:shd w:val="clear" w:color="auto" w:fill="auto"/>
              </w:rPr>
              <w:t>。</w:t>
            </w:r>
          </w:p>
          <w:p w14:paraId="651AB8E5">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lang w:val="en-US" w:eastAsia="zh-CN"/>
              </w:rPr>
            </w:pPr>
            <w:r>
              <w:rPr>
                <w:rFonts w:hint="eastAsia" w:ascii="宋体" w:hAnsi="宋体" w:eastAsia="宋体" w:cs="宋体"/>
                <w:color w:val="auto"/>
                <w:spacing w:val="0"/>
                <w:position w:val="0"/>
                <w:sz w:val="21"/>
                <w:szCs w:val="21"/>
                <w:highlight w:val="none"/>
                <w:shd w:val="clear" w:color="auto" w:fill="auto"/>
                <w:lang w:val="en-US" w:eastAsia="zh-CN"/>
              </w:rPr>
              <w:t>缴纳时间：签订框架合同时缴纳</w:t>
            </w:r>
            <w:r>
              <w:rPr>
                <w:rFonts w:hint="eastAsia" w:ascii="宋体" w:hAnsi="宋体" w:cs="宋体"/>
                <w:color w:val="auto"/>
                <w:spacing w:val="0"/>
                <w:position w:val="0"/>
                <w:sz w:val="21"/>
                <w:szCs w:val="21"/>
                <w:highlight w:val="none"/>
                <w:shd w:val="clear" w:color="auto" w:fill="auto"/>
                <w:lang w:val="en-US" w:eastAsia="zh-CN"/>
              </w:rPr>
              <w:t>。</w:t>
            </w:r>
          </w:p>
        </w:tc>
      </w:tr>
      <w:tr w14:paraId="57628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73D592C9">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8.2</w:t>
            </w:r>
          </w:p>
        </w:tc>
        <w:tc>
          <w:tcPr>
            <w:tcW w:w="2055" w:type="dxa"/>
            <w:noWrap w:val="0"/>
            <w:vAlign w:val="center"/>
          </w:tcPr>
          <w:p w14:paraId="0C04B56C">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不再招标的情形</w:t>
            </w:r>
          </w:p>
        </w:tc>
        <w:tc>
          <w:tcPr>
            <w:tcW w:w="5535" w:type="dxa"/>
            <w:noWrap w:val="0"/>
            <w:vAlign w:val="center"/>
          </w:tcPr>
          <w:p w14:paraId="596D88CF">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重新招标后投标</w:t>
            </w:r>
            <w:r>
              <w:rPr>
                <w:rFonts w:hint="eastAsia" w:ascii="宋体" w:hAnsi="宋体" w:eastAsia="宋体" w:cs="宋体"/>
                <w:color w:val="auto"/>
                <w:spacing w:val="0"/>
                <w:position w:val="0"/>
                <w:sz w:val="21"/>
                <w:szCs w:val="21"/>
                <w:highlight w:val="none"/>
                <w:shd w:val="clear" w:color="auto" w:fill="auto"/>
              </w:rPr>
              <w:t>人仍少于</w:t>
            </w:r>
            <w:r>
              <w:rPr>
                <w:rFonts w:hint="eastAsia" w:ascii="宋体" w:hAnsi="宋体" w:eastAsia="宋体" w:cs="宋体"/>
                <w:color w:val="auto"/>
                <w:spacing w:val="0"/>
                <w:position w:val="0"/>
                <w:sz w:val="21"/>
                <w:szCs w:val="21"/>
                <w:highlight w:val="none"/>
                <w:shd w:val="clear" w:color="auto" w:fill="auto"/>
                <w:lang w:val="en-US" w:eastAsia="zh-CN"/>
              </w:rPr>
              <w:t>5</w:t>
            </w:r>
            <w:r>
              <w:rPr>
                <w:rFonts w:hint="eastAsia" w:ascii="宋体" w:hAnsi="宋体" w:eastAsia="宋体" w:cs="宋体"/>
                <w:color w:val="auto"/>
                <w:spacing w:val="0"/>
                <w:position w:val="0"/>
                <w:sz w:val="21"/>
                <w:szCs w:val="21"/>
                <w:highlight w:val="none"/>
                <w:shd w:val="clear" w:color="auto" w:fill="auto"/>
              </w:rPr>
              <w:t>个</w:t>
            </w:r>
            <w:r>
              <w:rPr>
                <w:rFonts w:hint="eastAsia" w:ascii="宋体" w:hAnsi="宋体" w:eastAsia="宋体" w:cs="宋体"/>
                <w:color w:val="auto"/>
                <w:spacing w:val="0"/>
                <w:position w:val="0"/>
                <w:sz w:val="21"/>
                <w:szCs w:val="21"/>
                <w:highlight w:val="none"/>
                <w:shd w:val="clear" w:color="auto" w:fill="auto"/>
              </w:rPr>
              <w:t>，属于必须审批、核准的工程建设项目，经报相关部门批准后，可以不再进行招标。</w:t>
            </w:r>
          </w:p>
        </w:tc>
      </w:tr>
      <w:tr w14:paraId="645F2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5BC929BC">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9.5</w:t>
            </w:r>
          </w:p>
        </w:tc>
        <w:tc>
          <w:tcPr>
            <w:tcW w:w="2055" w:type="dxa"/>
            <w:noWrap w:val="0"/>
            <w:vAlign w:val="center"/>
          </w:tcPr>
          <w:p w14:paraId="61352D8E">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异议和投诉</w:t>
            </w:r>
          </w:p>
        </w:tc>
        <w:tc>
          <w:tcPr>
            <w:tcW w:w="5535" w:type="dxa"/>
            <w:noWrap w:val="0"/>
            <w:vAlign w:val="center"/>
          </w:tcPr>
          <w:p w14:paraId="55BCEB59">
            <w:pPr>
              <w:keepNext w:val="0"/>
              <w:keepLines w:val="0"/>
              <w:pageBreakBefore w:val="0"/>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9.5.1异议</w:t>
            </w:r>
          </w:p>
          <w:p w14:paraId="3CF6113D">
            <w:pPr>
              <w:keepNext w:val="0"/>
              <w:keepLines w:val="0"/>
              <w:pageBreakBefore w:val="0"/>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（1）潜在投标人或者其他利害关系人对招标文件有异议的，应当在投标截止时间10日前以书面形式向招标人提出。招标人将在收到异议之日起3日内作出书面答复；作出答复前，暂停招标投标活动。</w:t>
            </w:r>
          </w:p>
          <w:p w14:paraId="5E6586B6">
            <w:pPr>
              <w:keepNext w:val="0"/>
              <w:keepLines w:val="0"/>
              <w:pageBreakBefore w:val="0"/>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（2）投标人认为开标不符合有关规定的，应当在开标时提出异议。招标人将当场对异议给予处理或者告知处理的办法。异议和答复应记入开标记录或者制作专门记录以存档备查。</w:t>
            </w:r>
          </w:p>
          <w:p w14:paraId="4C66F330">
            <w:pPr>
              <w:keepNext w:val="0"/>
              <w:keepLines w:val="0"/>
              <w:pageBreakBefore w:val="0"/>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（3）投标人及其他利害关系人对评标结果有异议的，应当在中标候选人公示期内以书面形式向招标人提出。招标人将在收到异议之日起3日内作出书面答复；作出答复前，暂停招标投标活动。</w:t>
            </w:r>
          </w:p>
          <w:p w14:paraId="6BCCEFD8">
            <w:pPr>
              <w:keepNext w:val="0"/>
              <w:keepLines w:val="0"/>
              <w:pageBreakBefore w:val="0"/>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9.5.2投诉</w:t>
            </w:r>
          </w:p>
          <w:p w14:paraId="2A2E7D3A">
            <w:pPr>
              <w:keepNext w:val="0"/>
              <w:keepLines w:val="0"/>
              <w:pageBreakBefore w:val="0"/>
              <w:overflowPunct/>
              <w:bidi w:val="0"/>
              <w:spacing w:line="320" w:lineRule="exact"/>
              <w:ind w:firstLine="420" w:firstLineChars="20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投标人或者其他利害关系人认为招标投标活动不符合法律、行政法规和招标文件规定的，可以自知道或者应当知道之日起10日内向有关行政监督部门投诉。投诉应当有明确的请求和必要的证明资料，具体要求按国家、省及当地招投标主管部门制定的规定。就招标文件、开标和评标结果投诉的，应当先向招标人提出异议，异议答复期不计算在前款规定的期限内。</w:t>
            </w:r>
          </w:p>
          <w:p w14:paraId="3910477A">
            <w:pPr>
              <w:keepNext w:val="0"/>
              <w:keepLines w:val="0"/>
              <w:pageBreakBefore w:val="0"/>
              <w:overflowPunct/>
              <w:bidi w:val="0"/>
              <w:spacing w:line="320" w:lineRule="exact"/>
              <w:ind w:firstLine="420" w:firstLineChars="200"/>
              <w:jc w:val="left"/>
              <w:rPr>
                <w:rFonts w:hint="eastAsia" w:ascii="宋体" w:hAnsi="宋体" w:eastAsia="宋体" w:cs="宋体"/>
                <w:b/>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上述时限最后一日如遇国家法定休假日的，顺延至法定休假日后的第一个工作日。</w:t>
            </w:r>
          </w:p>
        </w:tc>
      </w:tr>
      <w:tr w14:paraId="613F1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339E23FC">
            <w:pPr>
              <w:pStyle w:val="45"/>
              <w:keepNext w:val="0"/>
              <w:keepLines w:val="0"/>
              <w:pageBreakBefore w:val="0"/>
              <w:overflowPunct/>
              <w:bidi w:val="0"/>
              <w:spacing w:line="320" w:lineRule="exac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10</w:t>
            </w:r>
          </w:p>
        </w:tc>
        <w:tc>
          <w:tcPr>
            <w:tcW w:w="2055" w:type="dxa"/>
            <w:noWrap w:val="0"/>
            <w:vAlign w:val="center"/>
          </w:tcPr>
          <w:p w14:paraId="410BDD2F">
            <w:pPr>
              <w:pStyle w:val="45"/>
              <w:keepNext w:val="0"/>
              <w:keepLines w:val="0"/>
              <w:pageBreakBefore w:val="0"/>
              <w:overflowPunct/>
              <w:bidi w:val="0"/>
              <w:spacing w:line="320" w:lineRule="exact"/>
              <w:ind w:firstLine="0" w:firstLineChars="0"/>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需要补充的其他内容</w:t>
            </w:r>
          </w:p>
        </w:tc>
        <w:tc>
          <w:tcPr>
            <w:tcW w:w="5535" w:type="dxa"/>
            <w:noWrap w:val="0"/>
            <w:vAlign w:val="center"/>
          </w:tcPr>
          <w:p w14:paraId="07245955">
            <w:pPr>
              <w:keepNext w:val="0"/>
              <w:keepLines w:val="0"/>
              <w:pageBreakBefore w:val="0"/>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投诉受理的具体部门及电话</w:t>
            </w:r>
            <w:r>
              <w:rPr>
                <w:rFonts w:hint="eastAsia" w:ascii="宋体" w:hAnsi="宋体" w:eastAsia="宋体" w:cs="宋体"/>
                <w:color w:val="auto"/>
                <w:spacing w:val="0"/>
                <w:position w:val="0"/>
                <w:sz w:val="21"/>
                <w:szCs w:val="21"/>
                <w:highlight w:val="none"/>
                <w:u w:val="single"/>
                <w:shd w:val="clear" w:color="auto" w:fill="auto"/>
              </w:rPr>
              <w:t xml:space="preserve">  绍兴市公用事业集团有限公司</w:t>
            </w:r>
            <w:r>
              <w:rPr>
                <w:rFonts w:hint="eastAsia" w:ascii="宋体" w:hAnsi="宋体" w:eastAsia="宋体" w:cs="宋体"/>
                <w:color w:val="auto"/>
                <w:spacing w:val="0"/>
                <w:position w:val="0"/>
                <w:sz w:val="21"/>
                <w:szCs w:val="21"/>
                <w:highlight w:val="none"/>
                <w:u w:val="single"/>
                <w:shd w:val="clear" w:color="auto" w:fill="auto"/>
                <w:lang w:val="en-US" w:eastAsia="zh-CN"/>
              </w:rPr>
              <w:t xml:space="preserve">  陈</w:t>
            </w:r>
            <w:r>
              <w:rPr>
                <w:rFonts w:hint="eastAsia" w:ascii="宋体" w:hAnsi="宋体" w:eastAsia="宋体" w:cs="宋体"/>
                <w:color w:val="auto"/>
                <w:spacing w:val="0"/>
                <w:position w:val="0"/>
                <w:sz w:val="21"/>
                <w:szCs w:val="21"/>
                <w:highlight w:val="none"/>
                <w:u w:val="single"/>
                <w:shd w:val="clear" w:color="auto" w:fill="auto"/>
              </w:rPr>
              <w:t>工 电话：0575-88050323</w:t>
            </w:r>
            <w:r>
              <w:rPr>
                <w:rFonts w:hint="eastAsia" w:ascii="宋体" w:hAnsi="宋体" w:eastAsia="宋体" w:cs="宋体"/>
                <w:color w:val="auto"/>
                <w:spacing w:val="0"/>
                <w:position w:val="0"/>
                <w:sz w:val="21"/>
                <w:szCs w:val="21"/>
                <w:highlight w:val="none"/>
                <w:shd w:val="clear" w:color="auto" w:fill="auto"/>
              </w:rPr>
              <w:t>。</w:t>
            </w:r>
          </w:p>
        </w:tc>
      </w:tr>
      <w:tr w14:paraId="5588A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7E9A8B0B">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10.1</w:t>
            </w:r>
          </w:p>
        </w:tc>
        <w:tc>
          <w:tcPr>
            <w:tcW w:w="2055" w:type="dxa"/>
            <w:noWrap w:val="0"/>
            <w:vAlign w:val="center"/>
          </w:tcPr>
          <w:p w14:paraId="5D999EA0">
            <w:pPr>
              <w:keepNext w:val="0"/>
              <w:keepLines w:val="0"/>
              <w:pageBreakBefore w:val="0"/>
              <w:tabs>
                <w:tab w:val="left" w:pos="1480"/>
              </w:tabs>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否决投标的情形</w:t>
            </w:r>
          </w:p>
        </w:tc>
        <w:tc>
          <w:tcPr>
            <w:tcW w:w="5535" w:type="dxa"/>
            <w:noWrap w:val="0"/>
            <w:vAlign w:val="center"/>
          </w:tcPr>
          <w:p w14:paraId="65A61F0F">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一、凡评标委员会拟作出否决投标决定的，应先向投标人进行书面询问核实。未进行询问核实程序的，不得做出否决投标决定，投标人放弃接受询问核实机会的除外。在规定的时限内投标人不参加核实或不予答复的，视为放弃接受询问核实机会。</w:t>
            </w:r>
          </w:p>
          <w:p w14:paraId="63625E7C">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二、投标文件存在以下情形之一的，由评标委员会审核并经过询标程序，其投标文件将被否决：</w:t>
            </w:r>
          </w:p>
          <w:p w14:paraId="3E9867AB">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(一)符合性内容</w:t>
            </w:r>
          </w:p>
          <w:p w14:paraId="6060D975">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1.投标人的资质、业绩、人员、设备(材料)等条件未满足招标文件实质性响应要求的(以投标人须知前附表3.5.7中“一、实质性响应招标文件资料”内容为准)；</w:t>
            </w:r>
          </w:p>
          <w:p w14:paraId="3EC63F58">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2.投标文件未按招标文件的要求(以投标人须知前附表第3.7.3项规定为准)签字或盖章的；</w:t>
            </w:r>
          </w:p>
          <w:p w14:paraId="73D02FE9">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rPr>
              <w:t>3.委托代理人无有效的法定代表人授权委托书的；</w:t>
            </w:r>
          </w:p>
          <w:p w14:paraId="51C75533">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4.投标人存在投标人须知第1.4.3项和投标人须知前附表第10.3款第五点规定情形的。</w:t>
            </w:r>
          </w:p>
          <w:p w14:paraId="49B8AF34">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5.投标函载明的交货期不响应招标文件要求的；</w:t>
            </w:r>
          </w:p>
          <w:p w14:paraId="6144D433">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6.投标人不以自己的名义或未按招标文件要求提供投标保证金，或提供的投标保证金有缺陷而不能接受的；</w:t>
            </w:r>
          </w:p>
          <w:p w14:paraId="58D80423">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7.投标报价高于招标文件设定的最高投标限价的；</w:t>
            </w:r>
          </w:p>
          <w:p w14:paraId="4723FE3E">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8.改变招标人提供的设备(材料)清单内容的(货物名称、单位、数量)；</w:t>
            </w:r>
          </w:p>
          <w:p w14:paraId="2DD9EF7D">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sym w:font="Wingdings 2" w:char="0052"/>
            </w:r>
            <w:r>
              <w:rPr>
                <w:rFonts w:hint="eastAsia" w:ascii="宋体" w:hAnsi="宋体" w:eastAsia="宋体" w:cs="宋体"/>
                <w:color w:val="auto"/>
                <w:spacing w:val="0"/>
                <w:position w:val="0"/>
                <w:sz w:val="21"/>
                <w:szCs w:val="21"/>
                <w:highlight w:val="none"/>
                <w:shd w:val="clear" w:color="auto" w:fill="auto"/>
              </w:rPr>
              <w:t>9.投标人及其拟派项目负</w:t>
            </w:r>
            <w:r>
              <w:rPr>
                <w:rFonts w:hint="eastAsia" w:ascii="宋体" w:hAnsi="宋体" w:eastAsia="宋体" w:cs="宋体"/>
                <w:color w:val="auto"/>
                <w:spacing w:val="0"/>
                <w:position w:val="0"/>
                <w:sz w:val="21"/>
                <w:szCs w:val="21"/>
                <w:highlight w:val="none"/>
                <w:shd w:val="clear" w:color="auto" w:fill="auto"/>
              </w:rPr>
              <w:t>责人被</w:t>
            </w:r>
            <w:r>
              <w:rPr>
                <w:rFonts w:hint="eastAsia" w:ascii="宋体" w:hAnsi="宋体" w:eastAsia="宋体" w:cs="宋体"/>
                <w:color w:val="auto"/>
                <w:spacing w:val="0"/>
                <w:position w:val="0"/>
                <w:sz w:val="21"/>
                <w:szCs w:val="21"/>
                <w:highlight w:val="none"/>
                <w:shd w:val="clear" w:color="auto" w:fill="auto"/>
              </w:rPr>
              <w:t>列入建筑市场严重失信名单（以全国建筑市场监管公共服务平台黑名单记录、失信联合惩戒记录和浙江省建筑市场监管公共服务系统严重失信名单的信息为准）；</w:t>
            </w:r>
          </w:p>
          <w:p w14:paraId="0D172513">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10.投标人为非中小企业的，投标人未提供《中小企业声明函》或未按照招标文件所附的《中小企业声明函》格式提供的；</w:t>
            </w:r>
          </w:p>
          <w:p w14:paraId="693EDF03">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11.投标人存在行贿犯罪记录的；</w:t>
            </w:r>
          </w:p>
          <w:p w14:paraId="69FD93DA">
            <w:pPr>
              <w:pStyle w:val="44"/>
              <w:keepNext w:val="0"/>
              <w:keepLines w:val="0"/>
              <w:pageBreakBefore w:val="0"/>
              <w:tabs>
                <w:tab w:val="left" w:pos="3376"/>
                <w:tab w:val="left" w:pos="5680"/>
              </w:tabs>
              <w:overflowPunct/>
              <w:topLinePunct/>
              <w:bidi w:val="0"/>
              <w:spacing w:line="320" w:lineRule="exact"/>
              <w:ind w:left="105" w:leftChars="50" w:right="105" w:rightChars="50" w:firstLine="0" w:firstLineChars="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12.不同投标人的投标文件制作机器码、文件创建标识码一致的；（具体说明：                      ）</w:t>
            </w:r>
          </w:p>
          <w:p w14:paraId="6EDB0F02">
            <w:pPr>
              <w:pStyle w:val="44"/>
              <w:keepNext w:val="0"/>
              <w:keepLines w:val="0"/>
              <w:pageBreakBefore w:val="0"/>
              <w:tabs>
                <w:tab w:val="left" w:pos="3376"/>
                <w:tab w:val="left" w:pos="5680"/>
              </w:tabs>
              <w:overflowPunct/>
              <w:topLinePunct/>
              <w:bidi w:val="0"/>
              <w:spacing w:line="320" w:lineRule="exact"/>
              <w:ind w:left="105" w:leftChars="50" w:right="105" w:rightChars="50" w:firstLine="0" w:firstLineChars="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rPr>
              <w:t>13.投标人提供的纸质投标文件水印码与电子投标文件不一致的；</w:t>
            </w:r>
          </w:p>
          <w:p w14:paraId="4C41A39B">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□14. 经招标人核实，投标人不符合“免缴投标保证金的”的条件，视同为未缴纳投标保证金；</w:t>
            </w:r>
          </w:p>
          <w:p w14:paraId="16C88143">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val="en-US" w:eastAsia="zh-CN"/>
              </w:rPr>
              <w:t>15.</w:t>
            </w:r>
            <w:r>
              <w:rPr>
                <w:rFonts w:hint="eastAsia" w:ascii="宋体" w:hAnsi="宋体" w:eastAsia="宋体" w:cs="宋体"/>
                <w:color w:val="auto"/>
                <w:spacing w:val="0"/>
                <w:position w:val="0"/>
                <w:sz w:val="21"/>
                <w:szCs w:val="21"/>
                <w:highlight w:val="none"/>
                <w:shd w:val="clear" w:color="auto" w:fill="auto"/>
              </w:rPr>
              <w:t>列入绍兴市公用事业集团有限公司</w:t>
            </w:r>
            <w:r>
              <w:rPr>
                <w:rFonts w:hint="eastAsia" w:ascii="宋体" w:hAnsi="宋体" w:eastAsia="宋体" w:cs="宋体"/>
                <w:color w:val="auto"/>
                <w:spacing w:val="0"/>
                <w:position w:val="0"/>
                <w:sz w:val="21"/>
                <w:szCs w:val="21"/>
                <w:highlight w:val="none"/>
                <w:shd w:val="clear" w:color="auto" w:fill="auto"/>
                <w:lang w:eastAsia="zh-CN"/>
              </w:rPr>
              <w:t>、</w:t>
            </w:r>
            <w:r>
              <w:rPr>
                <w:rFonts w:hint="eastAsia" w:ascii="宋体" w:hAnsi="宋体" w:eastAsia="宋体" w:cs="宋体"/>
                <w:color w:val="auto"/>
                <w:spacing w:val="0"/>
                <w:position w:val="0"/>
                <w:sz w:val="21"/>
                <w:szCs w:val="21"/>
                <w:highlight w:val="none"/>
                <w:shd w:val="clear" w:color="auto" w:fill="auto"/>
              </w:rPr>
              <w:t>绍兴市水务产业有限公司禁止交易目录名单内的企业；</w:t>
            </w:r>
          </w:p>
          <w:p w14:paraId="58BAFD29">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lang w:val="en-US" w:eastAsia="zh-CN"/>
              </w:rPr>
              <w:t>16.</w:t>
            </w:r>
            <w:r>
              <w:rPr>
                <w:rFonts w:hint="eastAsia" w:ascii="宋体" w:hAnsi="宋体" w:eastAsia="宋体" w:cs="宋体"/>
                <w:color w:val="auto"/>
                <w:spacing w:val="0"/>
                <w:position w:val="0"/>
                <w:sz w:val="21"/>
                <w:szCs w:val="21"/>
                <w:highlight w:val="none"/>
                <w:shd w:val="clear" w:color="auto" w:fill="auto"/>
              </w:rPr>
              <w:t>未按规定提供电子光盘或U盘或电子文档无法打开的；</w:t>
            </w:r>
          </w:p>
          <w:p w14:paraId="1BFEFF65">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w:t>
            </w:r>
            <w:r>
              <w:rPr>
                <w:rFonts w:hint="eastAsia" w:ascii="宋体" w:hAnsi="宋体" w:eastAsia="宋体" w:cs="宋体"/>
                <w:color w:val="auto"/>
                <w:spacing w:val="0"/>
                <w:position w:val="0"/>
                <w:sz w:val="21"/>
                <w:szCs w:val="21"/>
                <w:highlight w:val="none"/>
                <w:shd w:val="clear" w:color="auto" w:fill="auto"/>
                <w:lang w:val="en-US" w:eastAsia="zh-CN"/>
              </w:rPr>
              <w:t>7</w:t>
            </w:r>
            <w:r>
              <w:rPr>
                <w:rFonts w:hint="eastAsia" w:ascii="宋体" w:hAnsi="宋体" w:eastAsia="宋体" w:cs="宋体"/>
                <w:color w:val="auto"/>
                <w:spacing w:val="0"/>
                <w:position w:val="0"/>
                <w:sz w:val="21"/>
                <w:szCs w:val="21"/>
                <w:highlight w:val="none"/>
                <w:shd w:val="clear" w:color="auto" w:fill="auto"/>
              </w:rPr>
              <w:t>.</w:t>
            </w:r>
            <w:r>
              <w:rPr>
                <w:rFonts w:hint="eastAsia" w:ascii="宋体" w:hAnsi="宋体" w:eastAsia="宋体" w:cs="宋体"/>
                <w:color w:val="auto"/>
                <w:spacing w:val="0"/>
                <w:position w:val="0"/>
                <w:sz w:val="21"/>
                <w:szCs w:val="21"/>
                <w:highlight w:val="none"/>
                <w:shd w:val="clear" w:color="auto" w:fill="auto"/>
              </w:rPr>
              <w:t>存在法律、法规、规章规定的其它无效投标情况的。</w:t>
            </w:r>
          </w:p>
          <w:p w14:paraId="2E3E177E">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(二)技术标内容</w:t>
            </w:r>
          </w:p>
          <w:p w14:paraId="447263A7">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1.采用的验收标准和方法、主要技术指标达不到国家强制性标准或要求的；</w:t>
            </w:r>
          </w:p>
          <w:p w14:paraId="54867E64">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strike/>
                <w:dstrike w:val="0"/>
                <w:color w:val="auto"/>
                <w:spacing w:val="0"/>
                <w:position w:val="0"/>
                <w:sz w:val="21"/>
                <w:szCs w:val="21"/>
                <w:highlight w:val="none"/>
                <w:u w:val="singl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2.不符合以下技术规格、标准或性能指标的(招标人认为需要增加的，无则删除本条)：</w:t>
            </w:r>
          </w:p>
          <w:p w14:paraId="2C5C9592">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3.投标文件载明的货物包装方式、检验标准和方法等不符合以下要求的(招标人需要增加的其他内容，无则删除本条)：</w:t>
            </w:r>
          </w:p>
          <w:p w14:paraId="5C82E3CD">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4.存在评标办法规定的否决投标情况的；</w:t>
            </w:r>
          </w:p>
          <w:p w14:paraId="04E10C84">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5.</w:t>
            </w:r>
            <w:r>
              <w:rPr>
                <w:rFonts w:hint="eastAsia" w:ascii="宋体" w:hAnsi="宋体" w:eastAsia="宋体" w:cs="宋体"/>
                <w:color w:val="auto"/>
                <w:spacing w:val="0"/>
                <w:position w:val="0"/>
                <w:sz w:val="21"/>
                <w:szCs w:val="21"/>
                <w:highlight w:val="none"/>
                <w:shd w:val="clear" w:color="auto" w:fill="auto"/>
                <w:lang w:val="en-US" w:eastAsia="zh-CN"/>
              </w:rPr>
              <w:t>评标委员会认为投标文件存在重大偏离的。</w:t>
            </w:r>
          </w:p>
          <w:p w14:paraId="0D3C4B52">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(三)商务标内容</w:t>
            </w:r>
          </w:p>
          <w:p w14:paraId="042F9461">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1.同一投标人提交两个以上不同的投标文件或者投标报价的(招标文件要求提交备选投标的除外)；</w:t>
            </w:r>
          </w:p>
          <w:p w14:paraId="68AE431D">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2.报价评审时，投标人拒绝按以下条款修正的：</w:t>
            </w:r>
          </w:p>
          <w:p w14:paraId="7C62D1AD">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3.投标函载明的投标报价或其它关键内容不全或有瑕疵的；</w:t>
            </w:r>
          </w:p>
          <w:p w14:paraId="54BA012A">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4.未按以下要求进行报价的(招标人认为需要增加的，无则删除本条)：</w:t>
            </w:r>
            <w:r>
              <w:rPr>
                <w:rFonts w:hint="eastAsia" w:ascii="宋体" w:hAnsi="宋体" w:eastAsia="宋体" w:cs="宋体"/>
                <w:color w:val="auto"/>
                <w:spacing w:val="0"/>
                <w:position w:val="0"/>
                <w:sz w:val="21"/>
                <w:szCs w:val="21"/>
                <w:highlight w:val="none"/>
                <w:shd w:val="clear" w:color="auto" w:fill="auto"/>
                <w:lang w:val="en-US" w:eastAsia="zh-CN"/>
              </w:rPr>
              <w:t>①投标人所报的投标综合单价（如有修正，按修正后的单价）在合同执行过程中是固定不变的（税率调整除外），不得以任何理由予以变更；②招标人不接受任何折扣优惠报价，不接受任何赠送和选择性报价；③投标人递交的投标函及投标报价表中的投标总价必须一致；</w:t>
            </w:r>
          </w:p>
          <w:p w14:paraId="04F7C9CC">
            <w:pPr>
              <w:keepNext w:val="0"/>
              <w:keepLines w:val="0"/>
              <w:pageBreakBefore w:val="0"/>
              <w:tabs>
                <w:tab w:val="left" w:pos="5680"/>
              </w:tabs>
              <w:overflowPunct/>
              <w:bidi w:val="0"/>
              <w:spacing w:line="320" w:lineRule="exact"/>
              <w:ind w:left="105" w:leftChars="50" w:right="105" w:rightChars="50"/>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5.</w:t>
            </w:r>
            <w:r>
              <w:rPr>
                <w:rFonts w:hint="eastAsia" w:ascii="宋体" w:hAnsi="宋体" w:eastAsia="宋体" w:cs="宋体"/>
                <w:color w:val="auto"/>
                <w:spacing w:val="0"/>
                <w:position w:val="0"/>
                <w:sz w:val="21"/>
                <w:szCs w:val="21"/>
                <w:highlight w:val="none"/>
                <w:shd w:val="clear" w:color="auto" w:fill="auto"/>
                <w:lang w:val="en-US" w:eastAsia="zh-CN"/>
              </w:rPr>
              <w:t>付款方式不响应招标文件第四章“合同条款及格式”中“付款”要求的</w:t>
            </w:r>
            <w:r>
              <w:rPr>
                <w:rFonts w:hint="eastAsia" w:ascii="宋体" w:hAnsi="宋体" w:eastAsia="宋体" w:cs="宋体"/>
                <w:color w:val="auto"/>
                <w:spacing w:val="0"/>
                <w:position w:val="0"/>
                <w:sz w:val="21"/>
                <w:szCs w:val="21"/>
                <w:highlight w:val="none"/>
                <w:shd w:val="clear" w:color="auto" w:fill="auto"/>
              </w:rPr>
              <w:t>(招标人需要增加的其他商务标内容，无则删除本条)。</w:t>
            </w:r>
          </w:p>
        </w:tc>
      </w:tr>
      <w:tr w14:paraId="7F860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27DA9B47">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10.2</w:t>
            </w:r>
          </w:p>
        </w:tc>
        <w:tc>
          <w:tcPr>
            <w:tcW w:w="2055" w:type="dxa"/>
            <w:noWrap w:val="0"/>
            <w:vAlign w:val="center"/>
          </w:tcPr>
          <w:p w14:paraId="4BF8C453">
            <w:pPr>
              <w:keepNext w:val="0"/>
              <w:keepLines w:val="0"/>
              <w:pageBreakBefore w:val="0"/>
              <w:wordWrap w:val="0"/>
              <w:overflowPunct/>
              <w:topLinePunct/>
              <w:bidi w:val="0"/>
              <w:spacing w:line="320" w:lineRule="exac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定标（适用于“评定分离”）</w:t>
            </w:r>
          </w:p>
        </w:tc>
        <w:tc>
          <w:tcPr>
            <w:tcW w:w="5535" w:type="dxa"/>
            <w:noWrap w:val="0"/>
            <w:vAlign w:val="center"/>
          </w:tcPr>
          <w:p w14:paraId="1562B429">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1.定标委员会：定标委员会由招标人负责组建，成员数量为5人及以上单数。定标委员会成员与中标候选人有利害关系的应主动说明并申请回避。</w:t>
            </w:r>
          </w:p>
          <w:p w14:paraId="69BF0967">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2.定标会议地点和时间：</w:t>
            </w:r>
          </w:p>
          <w:p w14:paraId="06B128CD">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2.1定标时间：                 。</w:t>
            </w:r>
          </w:p>
          <w:p w14:paraId="31871732">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2.2定标地点：                 。</w:t>
            </w:r>
          </w:p>
          <w:p w14:paraId="4FE35D56">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2.3招标人根据相关规定在评标结果公示结束后10日内召开定标会议。</w:t>
            </w:r>
          </w:p>
          <w:p w14:paraId="16C53553">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3.考察、质询</w:t>
            </w:r>
          </w:p>
          <w:p w14:paraId="4BCE7C67">
            <w:pPr>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3.1在定标会议前（考察、质询应给予中标候选人合理的准备时间。）对所有中标候选人进行考察、质询。</w:t>
            </w:r>
          </w:p>
          <w:p w14:paraId="7C21D900">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3.2考察、质询小组由</w:t>
            </w:r>
            <w:r>
              <w:rPr>
                <w:rFonts w:hint="eastAsia" w:ascii="宋体" w:hAnsi="宋体" w:eastAsia="宋体" w:cs="宋体"/>
                <w:i/>
                <w:iCs/>
                <w:strike/>
                <w:dstrike w:val="0"/>
                <w:color w:val="auto"/>
                <w:spacing w:val="0"/>
                <w:position w:val="0"/>
                <w:sz w:val="21"/>
                <w:szCs w:val="21"/>
                <w:highlight w:val="none"/>
                <w:u w:val="single"/>
                <w:shd w:val="clear" w:color="auto" w:fill="auto"/>
              </w:rPr>
              <w:t>（3人及以上单数）</w:t>
            </w:r>
            <w:r>
              <w:rPr>
                <w:rFonts w:hint="eastAsia" w:ascii="宋体" w:hAnsi="宋体" w:eastAsia="宋体" w:cs="宋体"/>
                <w:strike/>
                <w:dstrike w:val="0"/>
                <w:color w:val="auto"/>
                <w:spacing w:val="0"/>
                <w:position w:val="0"/>
                <w:sz w:val="21"/>
                <w:szCs w:val="21"/>
                <w:highlight w:val="none"/>
                <w:shd w:val="clear" w:color="auto" w:fill="auto"/>
              </w:rPr>
              <w:t>组成。</w:t>
            </w:r>
          </w:p>
          <w:p w14:paraId="0B47CA34">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4.现场面试</w:t>
            </w:r>
          </w:p>
          <w:p w14:paraId="60D1A1DD">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4.1面试时间：                               ；</w:t>
            </w:r>
          </w:p>
          <w:p w14:paraId="08BD6162">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4.2面试内容：                               ；</w:t>
            </w:r>
          </w:p>
          <w:p w14:paraId="525A3641">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4.3面试方式：</w:t>
            </w:r>
          </w:p>
          <w:p w14:paraId="39E9216F">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4.3.1对中标候选人（联合体投标的，为联合体牵头人）持有安全生产考核合格证书的企业主要负责人（法定代表人、企业经理、企业分管安全生产的副经理、企业技术负责人）中任一一人和拟派项目负责人开展现场面试。</w:t>
            </w:r>
          </w:p>
          <w:p w14:paraId="31D136BB">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4.3.2其他方式：                               。</w:t>
            </w:r>
          </w:p>
          <w:p w14:paraId="70E5DCE9">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5.定标要素及具体内容</w:t>
            </w:r>
          </w:p>
          <w:p w14:paraId="08969E6D">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 xml:space="preserve">5.1评标报告； </w:t>
            </w:r>
          </w:p>
          <w:p w14:paraId="661D2A4C">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5.2考察或质询情况；</w:t>
            </w:r>
          </w:p>
          <w:p w14:paraId="07239401">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5.3现场面试情况；</w:t>
            </w:r>
          </w:p>
          <w:p w14:paraId="36B112BF">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 xml:space="preserve">5.4价格因素； </w:t>
            </w:r>
          </w:p>
          <w:p w14:paraId="4F5279CA">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5.5企业实力；</w:t>
            </w:r>
          </w:p>
          <w:p w14:paraId="6DED5B36">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 xml:space="preserve">5.6企业信誉； </w:t>
            </w:r>
          </w:p>
          <w:p w14:paraId="2961D92C">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 xml:space="preserve">5.7投标方案； </w:t>
            </w:r>
          </w:p>
          <w:p w14:paraId="79823110">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 xml:space="preserve">5.8拟派团队能力与水平； </w:t>
            </w:r>
          </w:p>
          <w:p w14:paraId="0E121DFB">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 xml:space="preserve">5.9联合体投标的，联合体组成情况； </w:t>
            </w:r>
          </w:p>
          <w:p w14:paraId="3F067479">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F0A3"/>
            </w:r>
            <w:r>
              <w:rPr>
                <w:rFonts w:hint="eastAsia" w:ascii="宋体" w:hAnsi="宋体" w:eastAsia="宋体" w:cs="宋体"/>
                <w:strike/>
                <w:dstrike w:val="0"/>
                <w:color w:val="auto"/>
                <w:spacing w:val="0"/>
                <w:position w:val="0"/>
                <w:sz w:val="21"/>
                <w:szCs w:val="21"/>
                <w:highlight w:val="none"/>
                <w:shd w:val="clear" w:color="auto" w:fill="auto"/>
              </w:rPr>
              <w:t>5.10招标人认为需要考量的其他因素。</w:t>
            </w:r>
          </w:p>
          <w:p w14:paraId="169D0D14">
            <w:pPr>
              <w:pStyle w:val="45"/>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6.定标方式</w:t>
            </w:r>
          </w:p>
          <w:p w14:paraId="39A63345">
            <w:pPr>
              <w:keepNext w:val="0"/>
              <w:keepLines w:val="0"/>
              <w:pageBreakBefore w:val="0"/>
              <w:wordWrap w:val="0"/>
              <w:overflowPunct/>
              <w:topLinePunct/>
              <w:bidi w:val="0"/>
              <w:spacing w:line="320" w:lineRule="exact"/>
              <w:ind w:firstLine="420" w:firstLineChars="20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（注：定标办法按照《浙江省工程建设项目招标投标“评定分离”操作指引（试行）》（浙发改公管〔2023〕256 号）、《绍兴市工程建设项目招标投标“评定分离”试点定标操作指引（试行）》（绍市政服办〔2023〕17号）确定，由招标人在招标文件中明确）</w:t>
            </w:r>
          </w:p>
          <w:p w14:paraId="7CADBE4C">
            <w:pPr>
              <w:keepNext w:val="0"/>
              <w:keepLines w:val="0"/>
              <w:pageBreakBefore w:val="0"/>
              <w:wordWrap w:val="0"/>
              <w:overflowPunct/>
              <w:topLine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6.1票决法：由定标委员会以直接票决或者逐轮票决的方式确定中标人。</w:t>
            </w:r>
          </w:p>
          <w:p w14:paraId="4E74E37B">
            <w:pPr>
              <w:keepNext w:val="0"/>
              <w:keepLines w:val="0"/>
              <w:pageBreakBefore w:val="0"/>
              <w:wordWrap w:val="0"/>
              <w:overflowPunct/>
              <w:topLine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6.2集体议事法：由定标委员会进行集体商议，定标委员会成员各自发表意见，由定标委员会组长最终确定中标人。所有参加会议的定标委员会成员的意见应当作书面记录，并由定标委员会成员签字确认。</w:t>
            </w:r>
          </w:p>
          <w:p w14:paraId="6FC0CC26">
            <w:pPr>
              <w:pStyle w:val="45"/>
              <w:keepNext w:val="0"/>
              <w:keepLines w:val="0"/>
              <w:pageBreakBefore w:val="0"/>
              <w:overflowPunct/>
              <w:bidi w:val="0"/>
              <w:spacing w:line="320" w:lineRule="exact"/>
              <w:ind w:firstLine="0" w:firstLineChars="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sym w:font="Wingdings 2" w:char="00A3"/>
            </w:r>
            <w:r>
              <w:rPr>
                <w:rFonts w:hint="eastAsia" w:ascii="宋体" w:hAnsi="宋体" w:eastAsia="宋体" w:cs="宋体"/>
                <w:strike/>
                <w:dstrike w:val="0"/>
                <w:color w:val="auto"/>
                <w:spacing w:val="0"/>
                <w:position w:val="0"/>
                <w:sz w:val="21"/>
                <w:szCs w:val="21"/>
                <w:highlight w:val="none"/>
                <w:shd w:val="clear" w:color="auto" w:fill="auto"/>
              </w:rPr>
              <w:t>6.3其他定标办法：                             。</w:t>
            </w:r>
          </w:p>
          <w:p w14:paraId="4D104CDF">
            <w:pPr>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7.中标人公告媒介及期限</w:t>
            </w:r>
          </w:p>
          <w:p w14:paraId="500A8F6E">
            <w:pPr>
              <w:keepNext w:val="0"/>
              <w:keepLines w:val="0"/>
              <w:pageBreakBefore w:val="0"/>
              <w:overflowPunct/>
              <w:bidi w:val="0"/>
              <w:spacing w:line="320" w:lineRule="exact"/>
              <w:ind w:firstLine="420" w:firstLineChars="20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招标人应当将中标结果情况在投标须知前附表规定的媒介上公告不少于3日。</w:t>
            </w:r>
          </w:p>
          <w:p w14:paraId="3276F9D0">
            <w:pPr>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7.1定标后有下列情形之一的，招标人可以组织原定标委员会从其他中标候选人中按原定标方法确定中标人：</w:t>
            </w:r>
          </w:p>
          <w:p w14:paraId="6B4320A1">
            <w:pPr>
              <w:keepNext w:val="0"/>
              <w:keepLines w:val="0"/>
              <w:pageBreakBefore w:val="0"/>
              <w:overflowPunct/>
              <w:bidi w:val="0"/>
              <w:spacing w:line="320" w:lineRule="exact"/>
              <w:ind w:firstLine="420" w:firstLineChars="20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 xml:space="preserve">（1）中标人放弃中标资格或者拒不签订合同的； </w:t>
            </w:r>
          </w:p>
          <w:p w14:paraId="73B64658">
            <w:pPr>
              <w:keepNext w:val="0"/>
              <w:keepLines w:val="0"/>
              <w:pageBreakBefore w:val="0"/>
              <w:overflowPunct/>
              <w:bidi w:val="0"/>
              <w:spacing w:line="320" w:lineRule="exact"/>
              <w:ind w:firstLine="420" w:firstLineChars="20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 xml:space="preserve">（2）中标人被查实存在违法行为影响中标结果的； </w:t>
            </w:r>
          </w:p>
          <w:p w14:paraId="233D449E">
            <w:pPr>
              <w:keepNext w:val="0"/>
              <w:keepLines w:val="0"/>
              <w:pageBreakBefore w:val="0"/>
              <w:overflowPunct/>
              <w:bidi w:val="0"/>
              <w:spacing w:line="320" w:lineRule="exact"/>
              <w:ind w:firstLine="420" w:firstLineChars="20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 xml:space="preserve">（3）投标须知前附表规定的其他情形。 </w:t>
            </w:r>
          </w:p>
          <w:p w14:paraId="12CF3E24">
            <w:pPr>
              <w:keepNext w:val="0"/>
              <w:keepLines w:val="0"/>
              <w:pageBreakBefore w:val="0"/>
              <w:overflowPunct/>
              <w:bidi w:val="0"/>
              <w:spacing w:line="320" w:lineRule="exact"/>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 xml:space="preserve">7.2定标后有下列情形之一的，应重新定标： </w:t>
            </w:r>
          </w:p>
          <w:p w14:paraId="3F65D2E0">
            <w:pPr>
              <w:keepNext w:val="0"/>
              <w:keepLines w:val="0"/>
              <w:pageBreakBefore w:val="0"/>
              <w:overflowPunct/>
              <w:bidi w:val="0"/>
              <w:spacing w:line="320" w:lineRule="exact"/>
              <w:ind w:firstLine="420" w:firstLineChars="20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 xml:space="preserve">（1）查实定标委员会未按定标办法公正履职的； </w:t>
            </w:r>
          </w:p>
          <w:p w14:paraId="09E9B613">
            <w:pPr>
              <w:keepNext w:val="0"/>
              <w:keepLines w:val="0"/>
              <w:pageBreakBefore w:val="0"/>
              <w:overflowPunct/>
              <w:bidi w:val="0"/>
              <w:spacing w:line="320" w:lineRule="exact"/>
              <w:ind w:firstLine="420" w:firstLineChars="20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 xml:space="preserve">（2）有定标委员会成员与中标候选人有利害关系且未申请回避的； </w:t>
            </w:r>
          </w:p>
          <w:p w14:paraId="3E16D732">
            <w:pPr>
              <w:keepNext w:val="0"/>
              <w:keepLines w:val="0"/>
              <w:pageBreakBefore w:val="0"/>
              <w:overflowPunct/>
              <w:bidi w:val="0"/>
              <w:spacing w:line="320" w:lineRule="exact"/>
              <w:ind w:firstLine="420" w:firstLineChars="200"/>
              <w:jc w:val="left"/>
              <w:rPr>
                <w:rFonts w:hint="eastAsia" w:ascii="宋体" w:hAnsi="宋体" w:eastAsia="宋体" w:cs="宋体"/>
                <w:strike/>
                <w:dstrike w:val="0"/>
                <w:color w:val="auto"/>
                <w:spacing w:val="0"/>
                <w:position w:val="0"/>
                <w:sz w:val="21"/>
                <w:szCs w:val="21"/>
                <w:highlight w:val="none"/>
                <w:shd w:val="clear" w:color="auto" w:fill="auto"/>
              </w:rPr>
            </w:pPr>
            <w:r>
              <w:rPr>
                <w:rFonts w:hint="eastAsia" w:ascii="宋体" w:hAnsi="宋体" w:eastAsia="宋体" w:cs="宋体"/>
                <w:strike/>
                <w:dstrike w:val="0"/>
                <w:color w:val="auto"/>
                <w:spacing w:val="0"/>
                <w:position w:val="0"/>
                <w:sz w:val="21"/>
                <w:szCs w:val="21"/>
                <w:highlight w:val="none"/>
                <w:shd w:val="clear" w:color="auto" w:fill="auto"/>
              </w:rPr>
              <w:t>（3）投标须知前附表规定的其他情形。</w:t>
            </w:r>
          </w:p>
        </w:tc>
      </w:tr>
      <w:tr w14:paraId="31F30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3FD4287A">
            <w:pPr>
              <w:keepNext w:val="0"/>
              <w:keepLines w:val="0"/>
              <w:pageBreakBefore w:val="0"/>
              <w:overflowPunct/>
              <w:bidi w:val="0"/>
              <w:spacing w:line="320" w:lineRule="exact"/>
              <w:ind w:left="105" w:leftChars="50" w:right="105" w:rightChars="50"/>
              <w:jc w:val="both"/>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10.3</w:t>
            </w:r>
          </w:p>
        </w:tc>
        <w:tc>
          <w:tcPr>
            <w:tcW w:w="2055" w:type="dxa"/>
            <w:noWrap w:val="0"/>
            <w:vAlign w:val="center"/>
          </w:tcPr>
          <w:p w14:paraId="0573427D">
            <w:pPr>
              <w:keepNext w:val="0"/>
              <w:keepLines w:val="0"/>
              <w:pageBreakBefore w:val="0"/>
              <w:overflowPunct/>
              <w:bidi w:val="0"/>
              <w:spacing w:line="320" w:lineRule="exac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特别说明</w:t>
            </w:r>
          </w:p>
        </w:tc>
        <w:tc>
          <w:tcPr>
            <w:tcW w:w="5535" w:type="dxa"/>
            <w:noWrap w:val="0"/>
            <w:vAlign w:val="center"/>
          </w:tcPr>
          <w:p w14:paraId="5FCD0B8A">
            <w:pPr>
              <w:keepNext w:val="0"/>
              <w:keepLines w:val="0"/>
              <w:pageBreakBefore w:val="0"/>
              <w:tabs>
                <w:tab w:val="left" w:pos="5680"/>
              </w:tabs>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一、本招标文件斜体字部分是根据本次招标内容的具体情况进行的相应填写。</w:t>
            </w:r>
          </w:p>
          <w:p w14:paraId="25225C46">
            <w:pPr>
              <w:keepNext w:val="0"/>
              <w:keepLines w:val="0"/>
              <w:pageBreakBefore w:val="0"/>
              <w:tabs>
                <w:tab w:val="left" w:pos="5680"/>
              </w:tabs>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二、投标人须知具体内容如与本前附表不一致的，以本前附表为准。</w:t>
            </w:r>
          </w:p>
          <w:p w14:paraId="782150CD">
            <w:pPr>
              <w:keepNext w:val="0"/>
              <w:keepLines w:val="0"/>
              <w:pageBreakBefore w:val="0"/>
              <w:tabs>
                <w:tab w:val="left" w:pos="5680"/>
              </w:tabs>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三、投标人投标函与投标报价表不一致的，以投标人投标函为准。</w:t>
            </w:r>
          </w:p>
          <w:p w14:paraId="05F7D359">
            <w:pPr>
              <w:keepNext w:val="0"/>
              <w:keepLines w:val="0"/>
              <w:pageBreakBefore w:val="0"/>
              <w:tabs>
                <w:tab w:val="left" w:pos="5680"/>
              </w:tabs>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四、除招标文件另有规定外，投标函的投标报价与清单汇总报价不一致时，以投标函报价为准。</w:t>
            </w:r>
          </w:p>
          <w:p w14:paraId="11830FF7">
            <w:pPr>
              <w:keepNext w:val="0"/>
              <w:keepLines w:val="0"/>
              <w:pageBreakBefore w:val="0"/>
              <w:tabs>
                <w:tab w:val="left" w:pos="5680"/>
              </w:tabs>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五、评标委员会评标中，发现投标人有下列情形之一的，且经询标澄清投标人无令人信服的理由和可靠证据证明其合理性的，经半数以上成员确认，其投标文件按否决投标处理，不再对其进行评审，也不影响继续评标。评标结束后，评标委员会应将有串通投标嫌疑的投标文件以及相关评标分析材料及时移交招标投标行政监督部门作进一步的调查处理，即使最终无法认定串通投标行为成立，也不影响对其按否决投标处理的结果。</w:t>
            </w:r>
          </w:p>
          <w:p w14:paraId="118918BD">
            <w:pPr>
              <w:keepNext w:val="0"/>
              <w:keepLines w:val="0"/>
              <w:pageBreakBefore w:val="0"/>
              <w:tabs>
                <w:tab w:val="left" w:pos="5680"/>
              </w:tabs>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1.不同投标人的投标文件由同一单位或者个人编制；</w:t>
            </w:r>
          </w:p>
          <w:p w14:paraId="3B8FC6EC">
            <w:pPr>
              <w:keepNext w:val="0"/>
              <w:keepLines w:val="0"/>
              <w:pageBreakBefore w:val="0"/>
              <w:tabs>
                <w:tab w:val="left" w:pos="5680"/>
              </w:tabs>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2.不同投标人委托同一单位或者个人办理投标事宜；</w:t>
            </w:r>
          </w:p>
          <w:p w14:paraId="27A0FC44">
            <w:pPr>
              <w:keepNext w:val="0"/>
              <w:keepLines w:val="0"/>
              <w:pageBreakBefore w:val="0"/>
              <w:tabs>
                <w:tab w:val="left" w:pos="5680"/>
              </w:tabs>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3.不同投标人的投标文件载明的项目管理成员为同一人；</w:t>
            </w:r>
          </w:p>
          <w:p w14:paraId="279227B1">
            <w:pPr>
              <w:keepNext w:val="0"/>
              <w:keepLines w:val="0"/>
              <w:pageBreakBefore w:val="0"/>
              <w:tabs>
                <w:tab w:val="left" w:pos="5680"/>
              </w:tabs>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4.不同投标人的投标文件异常一致或者投标报价呈规律性差异；</w:t>
            </w:r>
          </w:p>
          <w:p w14:paraId="6238B349">
            <w:pPr>
              <w:keepNext w:val="0"/>
              <w:keepLines w:val="0"/>
              <w:pageBreakBefore w:val="0"/>
              <w:tabs>
                <w:tab w:val="left" w:pos="5680"/>
              </w:tabs>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5.不同投标人的投标文件相互混装；</w:t>
            </w:r>
          </w:p>
          <w:p w14:paraId="7D967F0E">
            <w:pPr>
              <w:keepNext w:val="0"/>
              <w:keepLines w:val="0"/>
              <w:pageBreakBefore w:val="0"/>
              <w:tabs>
                <w:tab w:val="left" w:pos="5680"/>
              </w:tabs>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6.不同投标人的投标保证金从同一单位或者个人的账户转出或者通过同一单位或者个人的账户购买电子保函；</w:t>
            </w:r>
          </w:p>
          <w:p w14:paraId="0E0C9397">
            <w:pPr>
              <w:keepNext w:val="0"/>
              <w:keepLines w:val="0"/>
              <w:pageBreakBefore w:val="0"/>
              <w:tabs>
                <w:tab w:val="left" w:pos="5680"/>
              </w:tabs>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7.投标人之间协商投标报价等投标文件的实质性内容；</w:t>
            </w:r>
          </w:p>
          <w:p w14:paraId="0088407E">
            <w:pPr>
              <w:keepNext w:val="0"/>
              <w:keepLines w:val="0"/>
              <w:pageBreakBefore w:val="0"/>
              <w:tabs>
                <w:tab w:val="left" w:pos="5680"/>
              </w:tabs>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8.投标人之间约定中标人；</w:t>
            </w:r>
          </w:p>
          <w:p w14:paraId="1B6A1E7B">
            <w:pPr>
              <w:keepNext w:val="0"/>
              <w:keepLines w:val="0"/>
              <w:pageBreakBefore w:val="0"/>
              <w:tabs>
                <w:tab w:val="left" w:pos="5680"/>
              </w:tabs>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9.投标人之间约定部分投标人放弃投标或者中标；</w:t>
            </w:r>
          </w:p>
          <w:p w14:paraId="298568A0">
            <w:pPr>
              <w:keepNext w:val="0"/>
              <w:keepLines w:val="0"/>
              <w:pageBreakBefore w:val="0"/>
              <w:tabs>
                <w:tab w:val="left" w:pos="5680"/>
              </w:tabs>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10.属于同一集团、协会、商会等组织成员的投标人按照该组织要求协同投标；</w:t>
            </w:r>
          </w:p>
          <w:p w14:paraId="0323B19B">
            <w:pPr>
              <w:keepNext w:val="0"/>
              <w:keepLines w:val="0"/>
              <w:pageBreakBefore w:val="0"/>
              <w:tabs>
                <w:tab w:val="left" w:pos="5680"/>
              </w:tabs>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11.投标人之间为谋取中标或者排斥特定投标人而采取的其他联合行动。</w:t>
            </w:r>
          </w:p>
          <w:p w14:paraId="0914D5E5">
            <w:pPr>
              <w:keepNext w:val="0"/>
              <w:keepLines w:val="0"/>
              <w:pageBreakBefore w:val="0"/>
              <w:tabs>
                <w:tab w:val="left" w:pos="5680"/>
              </w:tabs>
              <w:overflowPunct/>
              <w:bidi w:val="0"/>
              <w:spacing w:line="320" w:lineRule="exact"/>
              <w:jc w:val="left"/>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pacing w:val="0"/>
                <w:position w:val="0"/>
                <w:sz w:val="21"/>
                <w:szCs w:val="21"/>
                <w:highlight w:val="none"/>
                <w:shd w:val="clear" w:color="auto" w:fill="auto"/>
              </w:rPr>
              <w:t>12.本招标文件由招标人负责解释。</w:t>
            </w:r>
          </w:p>
        </w:tc>
      </w:tr>
      <w:tr w14:paraId="3A002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64AE720E">
            <w:pPr>
              <w:keepNext w:val="0"/>
              <w:keepLines w:val="0"/>
              <w:pageBreakBefore w:val="0"/>
              <w:tabs>
                <w:tab w:val="left" w:pos="5680"/>
              </w:tabs>
              <w:overflowPunct/>
              <w:bidi w:val="0"/>
              <w:spacing w:line="320" w:lineRule="exact"/>
              <w:jc w:val="center"/>
              <w:rPr>
                <w:rFonts w:hint="default" w:ascii="宋体" w:hAnsi="宋体" w:eastAsia="宋体" w:cs="宋体"/>
                <w:b/>
                <w:bCs/>
                <w:color w:val="auto"/>
                <w:spacing w:val="0"/>
                <w:position w:val="0"/>
                <w:sz w:val="21"/>
                <w:szCs w:val="21"/>
                <w:highlight w:val="none"/>
                <w:shd w:val="clear" w:color="auto" w:fill="auto"/>
                <w:lang w:val="en-US" w:eastAsia="zh-CN"/>
              </w:rPr>
            </w:pPr>
            <w:r>
              <w:rPr>
                <w:rFonts w:hint="eastAsia" w:ascii="宋体" w:hAnsi="宋体" w:eastAsia="宋体" w:cs="宋体"/>
                <w:b/>
                <w:bCs/>
                <w:color w:val="auto"/>
                <w:spacing w:val="0"/>
                <w:position w:val="0"/>
                <w:sz w:val="21"/>
                <w:szCs w:val="21"/>
                <w:highlight w:val="none"/>
                <w:shd w:val="clear" w:color="auto" w:fill="auto"/>
                <w:lang w:val="en-US" w:eastAsia="zh-CN"/>
              </w:rPr>
              <w:t>10.5</w:t>
            </w:r>
          </w:p>
        </w:tc>
        <w:tc>
          <w:tcPr>
            <w:tcW w:w="2055" w:type="dxa"/>
            <w:noWrap w:val="0"/>
            <w:vAlign w:val="center"/>
          </w:tcPr>
          <w:p w14:paraId="3BC01CA6">
            <w:pPr>
              <w:keepNext w:val="0"/>
              <w:keepLines w:val="0"/>
              <w:pageBreakBefore w:val="0"/>
              <w:tabs>
                <w:tab w:val="left" w:pos="5680"/>
              </w:tabs>
              <w:overflowPunct/>
              <w:bidi w:val="0"/>
              <w:spacing w:line="320" w:lineRule="exact"/>
              <w:jc w:val="center"/>
              <w:rPr>
                <w:rFonts w:hint="eastAsia" w:ascii="宋体" w:hAnsi="宋体" w:eastAsia="宋体" w:cs="宋体"/>
                <w:b/>
                <w:bCs/>
                <w:color w:val="auto"/>
                <w:spacing w:val="0"/>
                <w:position w:val="0"/>
                <w:sz w:val="21"/>
                <w:szCs w:val="21"/>
                <w:highlight w:val="none"/>
                <w:shd w:val="clear" w:color="auto" w:fill="auto"/>
              </w:rPr>
            </w:pPr>
            <w:r>
              <w:rPr>
                <w:rFonts w:hint="eastAsia" w:ascii="宋体" w:hAnsi="宋体" w:eastAsia="宋体" w:cs="宋体"/>
                <w:b/>
                <w:bCs/>
                <w:color w:val="auto"/>
                <w:spacing w:val="0"/>
                <w:position w:val="0"/>
                <w:sz w:val="21"/>
                <w:szCs w:val="21"/>
                <w:highlight w:val="none"/>
                <w:shd w:val="clear" w:color="auto" w:fill="auto"/>
                <w:lang w:val="en-US" w:eastAsia="zh-CN"/>
              </w:rPr>
              <w:t>具体项目分配</w:t>
            </w:r>
          </w:p>
        </w:tc>
        <w:tc>
          <w:tcPr>
            <w:tcW w:w="5535" w:type="dxa"/>
            <w:noWrap w:val="0"/>
            <w:vAlign w:val="center"/>
          </w:tcPr>
          <w:p w14:paraId="10BB221C">
            <w:pPr>
              <w:keepNext w:val="0"/>
              <w:keepLines w:val="0"/>
              <w:pageBreakBefore w:val="0"/>
              <w:tabs>
                <w:tab w:val="left" w:pos="5680"/>
              </w:tabs>
              <w:overflowPunct/>
              <w:bidi w:val="0"/>
              <w:spacing w:line="320" w:lineRule="exact"/>
              <w:jc w:val="left"/>
              <w:rPr>
                <w:rFonts w:hint="eastAsia" w:ascii="宋体" w:hAnsi="宋体" w:eastAsia="宋体" w:cs="宋体"/>
                <w:b/>
                <w:bCs/>
                <w:color w:val="auto"/>
                <w:spacing w:val="0"/>
                <w:position w:val="0"/>
                <w:sz w:val="21"/>
                <w:szCs w:val="21"/>
                <w:highlight w:val="none"/>
                <w:shd w:val="clear" w:color="auto" w:fill="auto"/>
                <w:lang w:val="en-US" w:eastAsia="zh-CN"/>
              </w:rPr>
            </w:pPr>
            <w:r>
              <w:rPr>
                <w:rFonts w:hint="eastAsia" w:ascii="宋体" w:hAnsi="宋体" w:eastAsia="宋体" w:cs="宋体"/>
                <w:b/>
                <w:bCs/>
                <w:color w:val="auto"/>
                <w:spacing w:val="0"/>
                <w:position w:val="0"/>
                <w:sz w:val="21"/>
                <w:szCs w:val="21"/>
                <w:highlight w:val="none"/>
                <w:shd w:val="clear" w:color="auto" w:fill="auto"/>
                <w:lang w:val="en-US" w:eastAsia="zh-CN"/>
              </w:rPr>
              <w:t>招标人根据中标人总分从高到低的顺序依次分配本项目业务，每次分配项目的合同金额不高于200万元</w:t>
            </w:r>
            <w:r>
              <w:rPr>
                <w:rFonts w:hint="eastAsia" w:ascii="宋体" w:hAnsi="宋体" w:cs="宋体"/>
                <w:b/>
                <w:bCs/>
                <w:color w:val="auto"/>
                <w:spacing w:val="0"/>
                <w:position w:val="0"/>
                <w:sz w:val="21"/>
                <w:szCs w:val="21"/>
                <w:highlight w:val="none"/>
                <w:shd w:val="clear" w:color="auto" w:fill="auto"/>
                <w:lang w:val="en-US" w:eastAsia="zh-CN"/>
              </w:rPr>
              <w:t>，</w:t>
            </w:r>
            <w:r>
              <w:rPr>
                <w:rFonts w:hint="eastAsia" w:ascii="宋体" w:hAnsi="宋体" w:cs="宋体"/>
                <w:b/>
                <w:bCs/>
                <w:color w:val="auto"/>
                <w:sz w:val="21"/>
                <w:szCs w:val="21"/>
                <w:highlight w:val="none"/>
                <w:u w:val="single"/>
                <w:shd w:val="clear" w:color="auto" w:fill="auto"/>
                <w:lang w:val="en-US" w:eastAsia="zh-CN"/>
              </w:rPr>
              <w:t>每家中标候选人合同总额不超过招标价的35%。</w:t>
            </w:r>
          </w:p>
        </w:tc>
      </w:tr>
      <w:tr w14:paraId="7BA45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7" w:type="dxa"/>
            <w:noWrap w:val="0"/>
            <w:vAlign w:val="center"/>
          </w:tcPr>
          <w:p w14:paraId="5433D8A4">
            <w:pPr>
              <w:keepNext w:val="0"/>
              <w:keepLines w:val="0"/>
              <w:pageBreakBefore w:val="0"/>
              <w:tabs>
                <w:tab w:val="left" w:pos="5680"/>
              </w:tabs>
              <w:overflowPunct/>
              <w:bidi w:val="0"/>
              <w:spacing w:line="320" w:lineRule="exact"/>
              <w:jc w:val="center"/>
              <w:rPr>
                <w:rFonts w:hint="default" w:ascii="宋体" w:hAnsi="宋体" w:eastAsia="宋体" w:cs="宋体"/>
                <w:b/>
                <w:bCs/>
                <w:color w:val="auto"/>
                <w:spacing w:val="0"/>
                <w:position w:val="0"/>
                <w:sz w:val="21"/>
                <w:szCs w:val="21"/>
                <w:highlight w:val="none"/>
                <w:shd w:val="clear" w:color="auto" w:fill="auto"/>
                <w:lang w:val="en-US" w:eastAsia="zh-CN"/>
              </w:rPr>
            </w:pPr>
            <w:r>
              <w:rPr>
                <w:rFonts w:hint="eastAsia" w:ascii="宋体" w:hAnsi="宋体" w:cs="宋体"/>
                <w:b/>
                <w:bCs/>
                <w:color w:val="auto"/>
                <w:spacing w:val="0"/>
                <w:position w:val="0"/>
                <w:sz w:val="21"/>
                <w:szCs w:val="21"/>
                <w:highlight w:val="none"/>
                <w:shd w:val="clear" w:color="auto" w:fill="auto"/>
                <w:lang w:val="en-US" w:eastAsia="zh-CN"/>
              </w:rPr>
              <w:t>10.6</w:t>
            </w:r>
          </w:p>
        </w:tc>
        <w:tc>
          <w:tcPr>
            <w:tcW w:w="2055" w:type="dxa"/>
            <w:noWrap w:val="0"/>
            <w:vAlign w:val="center"/>
          </w:tcPr>
          <w:p w14:paraId="023359C6">
            <w:pPr>
              <w:keepNext w:val="0"/>
              <w:keepLines w:val="0"/>
              <w:pageBreakBefore w:val="0"/>
              <w:tabs>
                <w:tab w:val="left" w:pos="5680"/>
              </w:tabs>
              <w:overflowPunct/>
              <w:bidi w:val="0"/>
              <w:spacing w:line="320" w:lineRule="exact"/>
              <w:jc w:val="center"/>
              <w:rPr>
                <w:rFonts w:hint="default" w:ascii="宋体" w:hAnsi="宋体" w:eastAsia="宋体" w:cs="宋体"/>
                <w:b/>
                <w:bCs/>
                <w:color w:val="auto"/>
                <w:spacing w:val="0"/>
                <w:position w:val="0"/>
                <w:sz w:val="21"/>
                <w:szCs w:val="21"/>
                <w:highlight w:val="none"/>
                <w:shd w:val="clear" w:color="auto" w:fill="auto"/>
                <w:lang w:val="en-US" w:eastAsia="zh-CN"/>
              </w:rPr>
            </w:pPr>
            <w:r>
              <w:rPr>
                <w:rFonts w:hint="eastAsia" w:ascii="宋体" w:hAnsi="宋体" w:cs="宋体"/>
                <w:b/>
                <w:bCs/>
                <w:color w:val="auto"/>
                <w:spacing w:val="0"/>
                <w:position w:val="0"/>
                <w:sz w:val="21"/>
                <w:szCs w:val="21"/>
                <w:highlight w:val="none"/>
                <w:shd w:val="clear" w:color="auto" w:fill="auto"/>
                <w:lang w:val="en-US" w:eastAsia="zh-CN"/>
              </w:rPr>
              <w:t>其他</w:t>
            </w:r>
          </w:p>
        </w:tc>
        <w:tc>
          <w:tcPr>
            <w:tcW w:w="5535" w:type="dxa"/>
            <w:noWrap w:val="0"/>
            <w:vAlign w:val="center"/>
          </w:tcPr>
          <w:p w14:paraId="0728010B">
            <w:pPr>
              <w:keepNext w:val="0"/>
              <w:keepLines w:val="0"/>
              <w:pageBreakBefore w:val="0"/>
              <w:tabs>
                <w:tab w:val="left" w:pos="5680"/>
              </w:tabs>
              <w:overflowPunct/>
              <w:bidi w:val="0"/>
              <w:spacing w:line="320" w:lineRule="exact"/>
              <w:jc w:val="left"/>
              <w:rPr>
                <w:rFonts w:hint="eastAsia" w:ascii="宋体" w:hAnsi="宋体" w:eastAsia="宋体" w:cs="宋体"/>
                <w:b/>
                <w:bCs/>
                <w:color w:val="auto"/>
                <w:spacing w:val="0"/>
                <w:position w:val="0"/>
                <w:sz w:val="21"/>
                <w:szCs w:val="21"/>
                <w:highlight w:val="none"/>
                <w:shd w:val="clear" w:color="auto" w:fill="auto"/>
                <w:lang w:val="en-US" w:eastAsia="zh-CN"/>
              </w:rPr>
            </w:pPr>
            <w:r>
              <w:rPr>
                <w:rFonts w:hint="eastAsia" w:ascii="宋体" w:hAnsi="宋体" w:eastAsia="宋体" w:cs="宋体"/>
                <w:b/>
                <w:bCs/>
                <w:color w:val="auto"/>
                <w:spacing w:val="0"/>
                <w:position w:val="0"/>
                <w:sz w:val="21"/>
                <w:szCs w:val="21"/>
                <w:highlight w:val="none"/>
                <w:shd w:val="clear" w:color="auto" w:fill="auto"/>
                <w:lang w:val="en-US" w:eastAsia="zh-CN"/>
              </w:rPr>
              <w:t>中标人按照中标人投标时的报价签订合同，进行结算。</w:t>
            </w:r>
          </w:p>
        </w:tc>
      </w:tr>
    </w:tbl>
    <w:p w14:paraId="6CC77FC8">
      <w:pPr>
        <w:jc w:val="both"/>
        <w:rPr>
          <w:rFonts w:hint="eastAsia" w:ascii="宋体" w:hAnsi="宋体" w:eastAsia="宋体" w:cs="宋体"/>
          <w:color w:val="auto"/>
          <w:highlight w:val="none"/>
          <w:shd w:val="clear" w:color="auto" w:fill="auto"/>
        </w:rPr>
      </w:pPr>
    </w:p>
    <w:p w14:paraId="410123BA">
      <w:pPr>
        <w:jc w:val="both"/>
        <w:rPr>
          <w:rFonts w:hint="eastAsia" w:ascii="宋体" w:hAnsi="宋体" w:eastAsia="宋体" w:cs="宋体"/>
          <w:color w:val="auto"/>
          <w:highlight w:val="none"/>
          <w:shd w:val="clear" w:color="auto" w:fill="auto"/>
        </w:rPr>
        <w:sectPr>
          <w:footerReference r:id="rId6" w:type="default"/>
          <w:pgSz w:w="11906" w:h="16839"/>
          <w:pgMar w:top="1418" w:right="1559" w:bottom="1418" w:left="1474" w:header="0" w:footer="1035" w:gutter="0"/>
          <w:cols w:space="720" w:num="1"/>
        </w:sectPr>
      </w:pPr>
    </w:p>
    <w:p w14:paraId="75919419">
      <w:pPr>
        <w:spacing w:line="287" w:lineRule="auto"/>
        <w:jc w:val="both"/>
        <w:rPr>
          <w:rFonts w:hint="eastAsia" w:ascii="宋体" w:hAnsi="宋体" w:eastAsia="宋体" w:cs="宋体"/>
          <w:color w:val="auto"/>
          <w:highlight w:val="none"/>
          <w:shd w:val="clear" w:color="auto" w:fill="auto"/>
        </w:rPr>
      </w:pPr>
    </w:p>
    <w:p w14:paraId="08A66BC5">
      <w:pPr>
        <w:spacing w:before="91" w:line="221" w:lineRule="auto"/>
        <w:ind w:left="3171"/>
        <w:jc w:val="both"/>
        <w:rPr>
          <w:rFonts w:hint="eastAsia" w:ascii="宋体" w:hAnsi="宋体" w:eastAsia="宋体" w:cs="宋体"/>
          <w:color w:val="auto"/>
          <w:sz w:val="28"/>
          <w:szCs w:val="28"/>
          <w:highlight w:val="none"/>
          <w:shd w:val="clear" w:color="auto" w:fill="auto"/>
        </w:rPr>
      </w:pPr>
      <w:bookmarkStart w:id="4" w:name="_bookmark4"/>
      <w:bookmarkEnd w:id="4"/>
      <w:r>
        <w:rPr>
          <w:rFonts w:hint="eastAsia" w:ascii="宋体" w:hAnsi="宋体" w:eastAsia="宋体" w:cs="宋体"/>
          <w:color w:val="auto"/>
          <w:sz w:val="28"/>
          <w:szCs w:val="28"/>
          <w:highlight w:val="none"/>
          <w:shd w:val="clear" w:color="auto" w:fill="auto"/>
        </w:rPr>
        <w:t>第二节投标人须知</w:t>
      </w:r>
    </w:p>
    <w:p w14:paraId="0FCBE5A4">
      <w:pPr>
        <w:pageBreakBefore w:val="0"/>
        <w:wordWrap/>
        <w:overflowPunct/>
        <w:topLinePunct w:val="0"/>
        <w:bidi w:val="0"/>
        <w:spacing w:line="440" w:lineRule="exact"/>
        <w:jc w:val="both"/>
        <w:outlineLvl w:val="2"/>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rPr>
        <w:t>总则</w:t>
      </w:r>
    </w:p>
    <w:p w14:paraId="2FE826EF">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1.1</w:t>
      </w:r>
      <w:r>
        <w:rPr>
          <w:rFonts w:hint="eastAsia" w:ascii="宋体" w:hAnsi="宋体" w:eastAsia="宋体" w:cs="宋体"/>
          <w:color w:val="auto"/>
          <w:sz w:val="24"/>
          <w:szCs w:val="24"/>
          <w:highlight w:val="none"/>
          <w:shd w:val="clear" w:color="auto" w:fill="auto"/>
        </w:rPr>
        <w:t>项目概况</w:t>
      </w:r>
    </w:p>
    <w:p w14:paraId="107122C5">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1.1.1根据《中华人民共和国招标投标法》、《中华人民共和国招标投标法实施条例》、《评标委员会和评标办法暂行规定》等有关法律、法规和规章的规定，本项目已具备招标条件，现对本货物采购标段进行招标。</w:t>
      </w:r>
    </w:p>
    <w:p w14:paraId="03EE0BF6">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1.1.2本招标项目招标人：见投标人须知前附表。</w:t>
      </w:r>
    </w:p>
    <w:p w14:paraId="500FA292">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1.1.3本招标项目招标代理机构：见投标人须知前附表。</w:t>
      </w:r>
    </w:p>
    <w:p w14:paraId="60BCEB82">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1.1.4本招标项目名称：见投标人须知前附表。</w:t>
      </w:r>
    </w:p>
    <w:p w14:paraId="3433A64D">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1.1.5本招标项目建设地点：见投标人须知前附表。</w:t>
      </w:r>
    </w:p>
    <w:p w14:paraId="0C2EE8A7">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1.2</w:t>
      </w:r>
      <w:r>
        <w:rPr>
          <w:rFonts w:hint="eastAsia" w:ascii="宋体" w:hAnsi="宋体" w:eastAsia="宋体" w:cs="宋体"/>
          <w:color w:val="auto"/>
          <w:sz w:val="24"/>
          <w:szCs w:val="24"/>
          <w:highlight w:val="none"/>
          <w:shd w:val="clear" w:color="auto" w:fill="auto"/>
        </w:rPr>
        <w:t>资金来源和落实情况</w:t>
      </w:r>
    </w:p>
    <w:p w14:paraId="6B89DBCA">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1.2.1本招标项目的资金来源及出资比例：见投标人须知前附表。</w:t>
      </w:r>
    </w:p>
    <w:p w14:paraId="42CCB013">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1.2.2本招标项目的资金落实情况：见投标人须知前附表。</w:t>
      </w:r>
    </w:p>
    <w:p w14:paraId="45C03924">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1.3</w:t>
      </w:r>
      <w:r>
        <w:rPr>
          <w:rFonts w:hint="eastAsia" w:ascii="宋体" w:hAnsi="宋体" w:eastAsia="宋体" w:cs="宋体"/>
          <w:color w:val="auto"/>
          <w:sz w:val="24"/>
          <w:szCs w:val="24"/>
          <w:highlight w:val="none"/>
          <w:shd w:val="clear" w:color="auto" w:fill="auto"/>
        </w:rPr>
        <w:t>招标范围及计划服务期</w:t>
      </w:r>
    </w:p>
    <w:p w14:paraId="6B0DB0B5">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1.3.1本次招标范围：见投标人须知前附表。</w:t>
      </w:r>
    </w:p>
    <w:p w14:paraId="719B9D98">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1.3.2本招标项目交货期：见投标人须知前附表。</w:t>
      </w:r>
    </w:p>
    <w:p w14:paraId="69414D79">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1.3.3本招标项目质量保质期：见投标人须知前附表。</w:t>
      </w:r>
    </w:p>
    <w:p w14:paraId="044EB0AD">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1.4</w:t>
      </w:r>
      <w:r>
        <w:rPr>
          <w:rFonts w:hint="eastAsia" w:ascii="宋体" w:hAnsi="宋体" w:eastAsia="宋体" w:cs="宋体"/>
          <w:color w:val="auto"/>
          <w:sz w:val="24"/>
          <w:szCs w:val="24"/>
          <w:highlight w:val="none"/>
          <w:shd w:val="clear" w:color="auto" w:fill="auto"/>
        </w:rPr>
        <w:t>投标人资格要求</w:t>
      </w:r>
    </w:p>
    <w:p w14:paraId="31A9DBC0">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1.4.1投标人应具备承担本标段服务的资格条件、要求。</w:t>
      </w:r>
    </w:p>
    <w:p w14:paraId="7C48BA78">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(1)资质条件：见投标人须知前附表；</w:t>
      </w:r>
    </w:p>
    <w:p w14:paraId="4C449E85">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(2)业绩要求：见投标人须知前附表；</w:t>
      </w:r>
    </w:p>
    <w:p w14:paraId="5F9CDA0C">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(3)信誉要求：见投标人须知前附表；</w:t>
      </w:r>
    </w:p>
    <w:p w14:paraId="19E03C18">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(4)其他要求：见投标人须知前附表。</w:t>
      </w:r>
    </w:p>
    <w:p w14:paraId="2DA6519F">
      <w:pPr>
        <w:pageBreakBefore w:val="0"/>
        <w:wordWrap/>
        <w:overflowPunct/>
        <w:topLinePunct w:val="0"/>
        <w:bidi w:val="0"/>
        <w:spacing w:line="440" w:lineRule="exact"/>
        <w:ind w:firstLine="465" w:firstLineChars="194"/>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1.4.2投标人须知前附表规定接受联合体投标的，除应符合本章第1.4.1项和投标人须知前附表的要求外，还应遵守以下规定：</w:t>
      </w:r>
    </w:p>
    <w:p w14:paraId="627C7F7C">
      <w:pPr>
        <w:pageBreakBefore w:val="0"/>
        <w:wordWrap/>
        <w:overflowPunct/>
        <w:topLinePunct w:val="0"/>
        <w:bidi w:val="0"/>
        <w:spacing w:line="440" w:lineRule="exact"/>
        <w:ind w:firstLine="465" w:firstLineChars="194"/>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(1)联合体各方应按招标文件提供的格式签订联合体协议书，明确联合体牵头人和各方权利义务；</w:t>
      </w:r>
    </w:p>
    <w:p w14:paraId="4F3FC0AE">
      <w:pPr>
        <w:pageBreakBefore w:val="0"/>
        <w:wordWrap/>
        <w:overflowPunct/>
        <w:topLinePunct w:val="0"/>
        <w:bidi w:val="0"/>
        <w:spacing w:line="440" w:lineRule="exact"/>
        <w:ind w:firstLine="465" w:firstLineChars="194"/>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(2)由同一专业的单位组成的联合体，按照资质等级较低的单位确定资质等级；</w:t>
      </w:r>
    </w:p>
    <w:p w14:paraId="255CDDDD">
      <w:pPr>
        <w:pageBreakBefore w:val="0"/>
        <w:wordWrap/>
        <w:overflowPunct/>
        <w:topLinePunct w:val="0"/>
        <w:bidi w:val="0"/>
        <w:spacing w:line="440" w:lineRule="exact"/>
        <w:ind w:firstLine="465" w:firstLineChars="194"/>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(3)联合体各方不得再以自己名义单独或参加其他联合体在同一标段中投标。</w:t>
      </w:r>
    </w:p>
    <w:p w14:paraId="05E9B76F">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1.4.3投标人(投标人是联合体的，指联合体各方)不得存在下列情形之一：</w:t>
      </w:r>
    </w:p>
    <w:p w14:paraId="2954D61D">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sectPr>
          <w:footerReference r:id="rId7" w:type="default"/>
          <w:pgSz w:w="11906" w:h="16839"/>
          <w:pgMar w:top="1418" w:right="1559" w:bottom="1418" w:left="1474" w:header="0" w:footer="1035" w:gutter="0"/>
          <w:cols w:space="720" w:num="1"/>
        </w:sectPr>
      </w:pPr>
    </w:p>
    <w:p w14:paraId="1E48F6D7">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(1)为招标人不具有独立法人资格的附属机构(单位)；</w:t>
      </w:r>
    </w:p>
    <w:p w14:paraId="5208E793">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(2)为本标段的代建人；</w:t>
      </w:r>
    </w:p>
    <w:p w14:paraId="25F2C03D">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(3)为本标段提供招标代理服务的；</w:t>
      </w:r>
    </w:p>
    <w:p w14:paraId="7825929D">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(4)单位负责人为同一人或者存在控股、管理关系的不同单位，同时参加本标段投标的；</w:t>
      </w:r>
    </w:p>
    <w:p w14:paraId="4D642B0C">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(5)投标人及其法定代表人控股的其他公司，同时参加本标段投标的；</w:t>
      </w:r>
    </w:p>
    <w:p w14:paraId="4F82BC3B">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(6)与招标人存在利害关系可能影响招标公正性的法人、其他组织或者个人参加投标的；</w:t>
      </w:r>
    </w:p>
    <w:p w14:paraId="34208783">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(7)被责令停业的；</w:t>
      </w:r>
    </w:p>
    <w:p w14:paraId="0DD49C04">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(8)被暂停或取消投标资格的；</w:t>
      </w:r>
    </w:p>
    <w:p w14:paraId="13C0CD31">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(9)财产被接管或冻结的。</w:t>
      </w:r>
    </w:p>
    <w:p w14:paraId="0A3C65A9">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1.5</w:t>
      </w:r>
      <w:r>
        <w:rPr>
          <w:rFonts w:hint="eastAsia" w:ascii="宋体" w:hAnsi="宋体" w:eastAsia="宋体" w:cs="宋体"/>
          <w:color w:val="auto"/>
          <w:sz w:val="24"/>
          <w:szCs w:val="24"/>
          <w:highlight w:val="none"/>
          <w:shd w:val="clear" w:color="auto" w:fill="auto"/>
        </w:rPr>
        <w:t>费用承担</w:t>
      </w:r>
    </w:p>
    <w:p w14:paraId="3587C80E">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投标人准备和参加投标活动发生的费用自理。</w:t>
      </w:r>
    </w:p>
    <w:p w14:paraId="14F33D8B">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1.6</w:t>
      </w:r>
      <w:r>
        <w:rPr>
          <w:rFonts w:hint="eastAsia" w:ascii="宋体" w:hAnsi="宋体" w:eastAsia="宋体" w:cs="宋体"/>
          <w:color w:val="auto"/>
          <w:sz w:val="24"/>
          <w:szCs w:val="24"/>
          <w:highlight w:val="none"/>
          <w:shd w:val="clear" w:color="auto" w:fill="auto"/>
        </w:rPr>
        <w:t>保密</w:t>
      </w:r>
    </w:p>
    <w:p w14:paraId="1A466271">
      <w:pPr>
        <w:pageBreakBefore w:val="0"/>
        <w:wordWrap/>
        <w:overflowPunct/>
        <w:topLinePunct w:val="0"/>
        <w:bidi w:val="0"/>
        <w:spacing w:line="440" w:lineRule="exact"/>
        <w:ind w:firstLine="465" w:firstLineChars="194"/>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参与招标投标活动的各方应对招标文件和投标文件中的商业和技术等秘密保密，违者应对由此造成的后果承担法律责任。</w:t>
      </w:r>
    </w:p>
    <w:p w14:paraId="3A01CC83">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1.7</w:t>
      </w:r>
      <w:r>
        <w:rPr>
          <w:rFonts w:hint="eastAsia" w:ascii="宋体" w:hAnsi="宋体" w:eastAsia="宋体" w:cs="宋体"/>
          <w:color w:val="auto"/>
          <w:sz w:val="24"/>
          <w:szCs w:val="24"/>
          <w:highlight w:val="none"/>
          <w:shd w:val="clear" w:color="auto" w:fill="auto"/>
        </w:rPr>
        <w:t>语言文字</w:t>
      </w:r>
    </w:p>
    <w:p w14:paraId="4EC441BE">
      <w:pPr>
        <w:pageBreakBefore w:val="0"/>
        <w:wordWrap/>
        <w:overflowPunct/>
        <w:topLinePunct w:val="0"/>
        <w:bidi w:val="0"/>
        <w:spacing w:line="440" w:lineRule="exact"/>
        <w:ind w:firstLine="492"/>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除专用术语外，与招标投标有关的语言均使用中文。必要时专用术语应附有中文注释</w:t>
      </w:r>
      <w:r>
        <w:rPr>
          <w:rFonts w:hint="eastAsia" w:ascii="宋体" w:hAnsi="宋体" w:eastAsia="宋体" w:cs="宋体"/>
          <w:color w:val="auto"/>
          <w:sz w:val="24"/>
          <w:szCs w:val="24"/>
          <w:highlight w:val="none"/>
          <w:shd w:val="clear" w:color="auto" w:fill="auto"/>
        </w:rPr>
        <w:t>。</w:t>
      </w:r>
    </w:p>
    <w:p w14:paraId="5C813549">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1.8</w:t>
      </w:r>
      <w:r>
        <w:rPr>
          <w:rFonts w:hint="eastAsia" w:ascii="宋体" w:hAnsi="宋体" w:eastAsia="宋体" w:cs="宋体"/>
          <w:color w:val="auto"/>
          <w:sz w:val="24"/>
          <w:szCs w:val="24"/>
          <w:highlight w:val="none"/>
          <w:shd w:val="clear" w:color="auto" w:fill="auto"/>
        </w:rPr>
        <w:t>计量单位</w:t>
      </w:r>
    </w:p>
    <w:p w14:paraId="01F14FFF">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所有计量均采用中华人民共和国法定计量单位。</w:t>
      </w:r>
    </w:p>
    <w:p w14:paraId="14F19D10">
      <w:pPr>
        <w:pageBreakBefore w:val="0"/>
        <w:wordWrap/>
        <w:overflowPunct/>
        <w:topLinePunct w:val="0"/>
        <w:bidi w:val="0"/>
        <w:spacing w:line="440" w:lineRule="exact"/>
        <w:jc w:val="both"/>
        <w:outlineLvl w:val="3"/>
        <w:rPr>
          <w:rFonts w:hint="eastAsia" w:ascii="宋体" w:hAnsi="宋体" w:eastAsia="宋体" w:cs="宋体"/>
          <w:strike/>
          <w:dstrike w:val="0"/>
          <w:color w:val="auto"/>
          <w:sz w:val="24"/>
          <w:szCs w:val="24"/>
          <w:highlight w:val="none"/>
          <w:shd w:val="clear" w:color="auto" w:fill="auto"/>
        </w:rPr>
      </w:pPr>
      <w:r>
        <w:rPr>
          <w:rFonts w:hint="eastAsia" w:ascii="宋体" w:hAnsi="宋体" w:eastAsia="宋体" w:cs="宋体"/>
          <w:b/>
          <w:bCs/>
          <w:strike/>
          <w:dstrike w:val="0"/>
          <w:color w:val="auto"/>
          <w:sz w:val="24"/>
          <w:szCs w:val="24"/>
          <w:highlight w:val="none"/>
          <w:shd w:val="clear" w:color="auto" w:fill="auto"/>
        </w:rPr>
        <w:t>1.9</w:t>
      </w:r>
      <w:r>
        <w:rPr>
          <w:rFonts w:hint="eastAsia" w:ascii="宋体" w:hAnsi="宋体" w:eastAsia="宋体" w:cs="宋体"/>
          <w:strike/>
          <w:dstrike w:val="0"/>
          <w:color w:val="auto"/>
          <w:sz w:val="24"/>
          <w:szCs w:val="24"/>
          <w:highlight w:val="none"/>
          <w:shd w:val="clear" w:color="auto" w:fill="auto"/>
        </w:rPr>
        <w:t>踏勘现场</w:t>
      </w:r>
    </w:p>
    <w:p w14:paraId="560EB1B0">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1.9.1投标人须知前附表规定组织踏勘现场的，招标人按投标人须知前附表规定的时间、地点组织投标人踏勘项目现场。</w:t>
      </w:r>
    </w:p>
    <w:p w14:paraId="57C186A0">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1.9.2投标人踏勘现场发生的费用自理。</w:t>
      </w:r>
    </w:p>
    <w:p w14:paraId="589CF50A">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1.9.3除招标人的原因外，投标人自行负责在踏勘现场中所发生的人员伤亡和财产损失。</w:t>
      </w:r>
    </w:p>
    <w:p w14:paraId="3294461B">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1.9.4招标人在踏勘现场中介绍的工程场地和相关的周边环境情况，供投标人在编制投标文件时参考，招标人不对投标人据此作出的判断和决策负责。</w:t>
      </w:r>
    </w:p>
    <w:p w14:paraId="1DED5744">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1.9.5招标人提供的本工程的相关参考资料，并不构成合同文件的组成部分，</w:t>
      </w:r>
    </w:p>
    <w:p w14:paraId="477EB854">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投标人应对上述资料的解释、推论和应用负责，招标人不对投标人据此作出的判断和决策承担任何责任。</w:t>
      </w:r>
    </w:p>
    <w:p w14:paraId="3A6155A2">
      <w:pPr>
        <w:pageBreakBefore w:val="0"/>
        <w:wordWrap/>
        <w:overflowPunct/>
        <w:topLinePunct w:val="0"/>
        <w:bidi w:val="0"/>
        <w:spacing w:line="440" w:lineRule="exact"/>
        <w:jc w:val="both"/>
        <w:outlineLvl w:val="3"/>
        <w:rPr>
          <w:rFonts w:hint="eastAsia" w:ascii="宋体" w:hAnsi="宋体" w:eastAsia="宋体" w:cs="宋体"/>
          <w:strike/>
          <w:dstrike w:val="0"/>
          <w:color w:val="auto"/>
          <w:sz w:val="24"/>
          <w:szCs w:val="24"/>
          <w:highlight w:val="none"/>
          <w:shd w:val="clear" w:color="auto" w:fill="auto"/>
        </w:rPr>
      </w:pPr>
      <w:r>
        <w:rPr>
          <w:rFonts w:hint="eastAsia" w:ascii="宋体" w:hAnsi="宋体" w:eastAsia="宋体" w:cs="宋体"/>
          <w:b/>
          <w:bCs/>
          <w:strike/>
          <w:dstrike w:val="0"/>
          <w:color w:val="auto"/>
          <w:sz w:val="24"/>
          <w:szCs w:val="24"/>
          <w:highlight w:val="none"/>
          <w:shd w:val="clear" w:color="auto" w:fill="auto"/>
        </w:rPr>
        <w:t>1.10</w:t>
      </w:r>
      <w:r>
        <w:rPr>
          <w:rFonts w:hint="eastAsia" w:ascii="宋体" w:hAnsi="宋体" w:eastAsia="宋体" w:cs="宋体"/>
          <w:strike/>
          <w:dstrike w:val="0"/>
          <w:color w:val="auto"/>
          <w:sz w:val="24"/>
          <w:szCs w:val="24"/>
          <w:highlight w:val="none"/>
          <w:shd w:val="clear" w:color="auto" w:fill="auto"/>
        </w:rPr>
        <w:t>投标预备会</w:t>
      </w:r>
    </w:p>
    <w:p w14:paraId="262442DE">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1.10.1投标人须知前附表规定召开投标预备会的，招标人按投标人须知前附表规定的时间和地点召开投标预备会，澄清投标人提出的问题。</w:t>
      </w:r>
    </w:p>
    <w:p w14:paraId="2952F1AD">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1.10.2投标人提出问题的截止时间、上传疑问方式：见投标人须知前附表。</w:t>
      </w:r>
    </w:p>
    <w:p w14:paraId="6DDB4EA7">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1.10.3招标文件的澄清、补充、修改的时间及下载网址：见投标人须知前附表。</w:t>
      </w:r>
    </w:p>
    <w:p w14:paraId="53804F75">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1.11</w:t>
      </w:r>
      <w:r>
        <w:rPr>
          <w:rFonts w:hint="eastAsia" w:ascii="宋体" w:hAnsi="宋体" w:eastAsia="宋体" w:cs="宋体"/>
          <w:color w:val="auto"/>
          <w:sz w:val="24"/>
          <w:szCs w:val="24"/>
          <w:highlight w:val="none"/>
          <w:shd w:val="clear" w:color="auto" w:fill="auto"/>
        </w:rPr>
        <w:t>分包</w:t>
      </w:r>
    </w:p>
    <w:p w14:paraId="0A67820A">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本招标项目不允许分包。</w:t>
      </w:r>
    </w:p>
    <w:p w14:paraId="29D05340">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1.12</w:t>
      </w:r>
      <w:r>
        <w:rPr>
          <w:rFonts w:hint="eastAsia" w:ascii="宋体" w:hAnsi="宋体" w:eastAsia="宋体" w:cs="宋体"/>
          <w:color w:val="auto"/>
          <w:sz w:val="24"/>
          <w:szCs w:val="24"/>
          <w:highlight w:val="none"/>
          <w:shd w:val="clear" w:color="auto" w:fill="auto"/>
        </w:rPr>
        <w:t>偏离</w:t>
      </w:r>
    </w:p>
    <w:p w14:paraId="056F4F3D">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投标人须知前附表允许投标文件偏离招标文件某些要求的，偏离应当符合招标文件规定的偏离范围和幅度。</w:t>
      </w:r>
    </w:p>
    <w:p w14:paraId="21ED835F">
      <w:pPr>
        <w:pageBreakBefore w:val="0"/>
        <w:wordWrap/>
        <w:overflowPunct/>
        <w:topLinePunct w:val="0"/>
        <w:bidi w:val="0"/>
        <w:spacing w:line="440" w:lineRule="exact"/>
        <w:jc w:val="both"/>
        <w:outlineLvl w:val="2"/>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rPr>
        <w:t>招标文件</w:t>
      </w:r>
    </w:p>
    <w:p w14:paraId="6E5A008B">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2.1</w:t>
      </w:r>
      <w:r>
        <w:rPr>
          <w:rFonts w:hint="eastAsia" w:ascii="宋体" w:hAnsi="宋体" w:eastAsia="宋体" w:cs="宋体"/>
          <w:color w:val="auto"/>
          <w:sz w:val="24"/>
          <w:szCs w:val="24"/>
          <w:highlight w:val="none"/>
          <w:shd w:val="clear" w:color="auto" w:fill="auto"/>
        </w:rPr>
        <w:t>招标文件的组成</w:t>
      </w:r>
    </w:p>
    <w:p w14:paraId="11AF582A">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本招标文件包括：</w:t>
      </w:r>
    </w:p>
    <w:p w14:paraId="6444FB69">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(1)招标公告；</w:t>
      </w:r>
    </w:p>
    <w:p w14:paraId="622560CC">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(2)投标人须知；</w:t>
      </w:r>
    </w:p>
    <w:p w14:paraId="1A990B66">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(3)评标定标办法；</w:t>
      </w:r>
    </w:p>
    <w:p w14:paraId="5B1B6584">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(4)合同条款及格式；</w:t>
      </w:r>
    </w:p>
    <w:p w14:paraId="08C82117">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(5)招标内容和技术要求；</w:t>
      </w:r>
    </w:p>
    <w:p w14:paraId="583D74A3">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(6)投标文件格式；</w:t>
      </w:r>
    </w:p>
    <w:p w14:paraId="591E50A0">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(7)投标人须知前附表规定的其他材料。</w:t>
      </w:r>
    </w:p>
    <w:p w14:paraId="56707D3B">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根据本章第1.10款、第2.2款对招标文件所作的澄清、修改，构成招标文件的组成部分。招标文件、招标文件的澄清或修改等在同一内容的表述上不一致时，以最后发出的书面文件为准。</w:t>
      </w:r>
    </w:p>
    <w:p w14:paraId="4DB675C7">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2.2招标文件的澄清和修改</w:t>
      </w:r>
    </w:p>
    <w:p w14:paraId="6B40460E">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2.2.1投标人应仔细阅读和检查招标文件的全部内容。如发现缺页或附件不全，应及时向招标人提出，以便补齐。如有疑问，应在投标人须知前附表第1.10.2项规定的时间前通过电子邮件的方式向招标人提出，要求招标人对招标文件予以澄清。</w:t>
      </w:r>
    </w:p>
    <w:p w14:paraId="0C68ACD3">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2.2.2招标文件的澄清、修改可能影响投标文件编制的，招标人将在投标人须知前附表规定的投标截止时间15个日历天前通过绍兴公共资源交易网、</w:t>
      </w:r>
      <w:r>
        <w:rPr>
          <w:rFonts w:hint="eastAsia" w:ascii="宋体" w:hAnsi="宋体" w:eastAsia="宋体" w:cs="宋体"/>
          <w:color w:val="auto"/>
          <w:position w:val="1"/>
          <w:sz w:val="24"/>
          <w:szCs w:val="24"/>
          <w:highlight w:val="none"/>
          <w:shd w:val="clear" w:color="auto" w:fill="auto"/>
        </w:rPr>
        <w:t>绍兴市公用事业集团有限公司官网进行发布，但不指明澄清问题的来源。如果</w:t>
      </w:r>
      <w:r>
        <w:rPr>
          <w:rFonts w:hint="eastAsia" w:ascii="宋体" w:hAnsi="宋体" w:eastAsia="宋体" w:cs="宋体"/>
          <w:color w:val="auto"/>
          <w:position w:val="1"/>
          <w:sz w:val="24"/>
          <w:szCs w:val="24"/>
          <w:highlight w:val="none"/>
          <w:shd w:val="clear" w:color="auto" w:fill="auto"/>
        </w:rPr>
        <w:t>澄清发出的时间距投标截止时间不足15天，相应延长投标截止时间。</w:t>
      </w:r>
    </w:p>
    <w:p w14:paraId="4A7D9DBC">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2.2.3投标人确认收到招标文件澄清和修改内容的时间：见投标人须知前附表。</w:t>
      </w:r>
    </w:p>
    <w:p w14:paraId="4C7D33C0">
      <w:pPr>
        <w:pageBreakBefore w:val="0"/>
        <w:wordWrap/>
        <w:overflowPunct/>
        <w:topLinePunct w:val="0"/>
        <w:bidi w:val="0"/>
        <w:spacing w:line="440" w:lineRule="exact"/>
        <w:jc w:val="both"/>
        <w:outlineLvl w:val="2"/>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3.</w:t>
      </w:r>
      <w:r>
        <w:rPr>
          <w:rFonts w:hint="eastAsia" w:ascii="宋体" w:hAnsi="宋体" w:eastAsia="宋体" w:cs="宋体"/>
          <w:color w:val="auto"/>
          <w:sz w:val="24"/>
          <w:szCs w:val="24"/>
          <w:highlight w:val="none"/>
          <w:shd w:val="clear" w:color="auto" w:fill="auto"/>
        </w:rPr>
        <w:t>投标文件</w:t>
      </w:r>
    </w:p>
    <w:p w14:paraId="4F4712CC">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3.1</w:t>
      </w:r>
      <w:r>
        <w:rPr>
          <w:rFonts w:hint="eastAsia" w:ascii="宋体" w:hAnsi="宋体" w:eastAsia="宋体" w:cs="宋体"/>
          <w:color w:val="auto"/>
          <w:sz w:val="24"/>
          <w:szCs w:val="24"/>
          <w:highlight w:val="none"/>
          <w:shd w:val="clear" w:color="auto" w:fill="auto"/>
        </w:rPr>
        <w:t>投标文件的组成</w:t>
      </w:r>
    </w:p>
    <w:p w14:paraId="637E1808">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3.1.1商务标部分</w:t>
      </w:r>
    </w:p>
    <w:p w14:paraId="43EF04E0">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(1)投标函(格式)；</w:t>
      </w:r>
    </w:p>
    <w:p w14:paraId="65C47704">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(2)投标报价表(格式)；</w:t>
      </w:r>
    </w:p>
    <w:p w14:paraId="370057F5">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□(3)投标分项报价表；</w:t>
      </w:r>
    </w:p>
    <w:p w14:paraId="5C5E258F">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(4)商务条款偏离表；</w:t>
      </w:r>
    </w:p>
    <w:p w14:paraId="1D488E88">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lang w:eastAsia="zh-CN"/>
        </w:rPr>
        <w:t>□</w:t>
      </w:r>
      <w:r>
        <w:rPr>
          <w:rFonts w:hint="eastAsia" w:ascii="宋体" w:hAnsi="宋体" w:eastAsia="宋体" w:cs="宋体"/>
          <w:strike/>
          <w:dstrike w:val="0"/>
          <w:color w:val="auto"/>
          <w:position w:val="1"/>
          <w:sz w:val="24"/>
          <w:szCs w:val="24"/>
          <w:highlight w:val="none"/>
          <w:shd w:val="clear" w:color="auto" w:fill="auto"/>
        </w:rPr>
        <w:t>(5)随机备品备件一览表；</w:t>
      </w:r>
    </w:p>
    <w:p w14:paraId="18FDBA5D">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lang w:eastAsia="zh-CN"/>
        </w:rPr>
        <w:t>□</w:t>
      </w:r>
      <w:r>
        <w:rPr>
          <w:rFonts w:hint="eastAsia" w:ascii="宋体" w:hAnsi="宋体" w:eastAsia="宋体" w:cs="宋体"/>
          <w:strike/>
          <w:dstrike w:val="0"/>
          <w:color w:val="auto"/>
          <w:position w:val="1"/>
          <w:sz w:val="24"/>
          <w:szCs w:val="24"/>
          <w:highlight w:val="none"/>
          <w:shd w:val="clear" w:color="auto" w:fill="auto"/>
        </w:rPr>
        <w:t>(6)供招标人选购的备品备件一览表；</w:t>
      </w:r>
    </w:p>
    <w:p w14:paraId="417A636F">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lang w:eastAsia="zh-CN"/>
        </w:rPr>
        <w:t>□</w:t>
      </w:r>
      <w:r>
        <w:rPr>
          <w:rFonts w:hint="eastAsia" w:ascii="宋体" w:hAnsi="宋体" w:eastAsia="宋体" w:cs="宋体"/>
          <w:strike/>
          <w:dstrike w:val="0"/>
          <w:color w:val="auto"/>
          <w:position w:val="1"/>
          <w:sz w:val="24"/>
          <w:szCs w:val="24"/>
          <w:highlight w:val="none"/>
          <w:shd w:val="clear" w:color="auto" w:fill="auto"/>
        </w:rPr>
        <w:t>(7)专用检测设备及专用维修工具一览表；</w:t>
      </w:r>
    </w:p>
    <w:p w14:paraId="720CE7D6">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u w:val="single"/>
          <w:shd w:val="clear" w:color="auto" w:fill="auto"/>
        </w:rPr>
        <w:t>详见第六章招标文件格式(招标人需要增加的其他商务内容)。</w:t>
      </w:r>
    </w:p>
    <w:p w14:paraId="47B7EABA">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3.1.2技术标部分</w:t>
      </w:r>
    </w:p>
    <w:p w14:paraId="1D64B6DF">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□(1)货物说明一览表；</w:t>
      </w:r>
    </w:p>
    <w:p w14:paraId="3231E5C4">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□(2)技术响应表；</w:t>
      </w:r>
    </w:p>
    <w:p w14:paraId="00935642">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□(3)主要配置说明一览表；</w:t>
      </w:r>
    </w:p>
    <w:p w14:paraId="69F6C8CA">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□(4)技术规格偏离表；</w:t>
      </w:r>
    </w:p>
    <w:p w14:paraId="360033AB">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□(5)投标方案图纸、产品详细技术规格书及所投产品的样本及本招标文件中规定的其它必须提供的文件及资料；</w:t>
      </w:r>
    </w:p>
    <w:p w14:paraId="7ACCFDFF">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□(6)产品的主要技术、结构、性能、特点和质量水平的详细描述；</w:t>
      </w:r>
    </w:p>
    <w:p w14:paraId="7224177F">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□(7)产品制造、安装、验收标准；</w:t>
      </w:r>
    </w:p>
    <w:p w14:paraId="4F51ADC8">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□(8)主要工艺装备和主要检测设施的拥有情况和现状；</w:t>
      </w:r>
    </w:p>
    <w:p w14:paraId="2986BF9A">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□(9)质量手册或关于质量管理、质量体系、质量控制、质量保证的详细介绍；</w:t>
      </w:r>
    </w:p>
    <w:p w14:paraId="2C6BA7EF">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□(10)产品的技术服务和售后服务的内容和措施；</w:t>
      </w:r>
    </w:p>
    <w:p w14:paraId="59E8D9FC">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u w:val="single"/>
          <w:shd w:val="clear" w:color="auto" w:fill="auto"/>
        </w:rPr>
        <w:t>详见第六章招标文件格式(招标人需要增加的其他技术内容)。</w:t>
      </w:r>
    </w:p>
    <w:p w14:paraId="6ABDD2D4">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3.1.3资格审查资料</w:t>
      </w:r>
    </w:p>
    <w:p w14:paraId="48B57AFA">
      <w:pPr>
        <w:pageBreakBefore w:val="0"/>
        <w:numPr>
          <w:ilvl w:val="0"/>
          <w:numId w:val="0"/>
        </w:numPr>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（1）“投标人基本情况表”应附投标人营业执照和组织机构代码证的复制件（按照“三证合一”或“五证合一”登记制度进行登记的，可仅提供营业执照复制件）等材料的复制件；</w:t>
      </w:r>
    </w:p>
    <w:p w14:paraId="6A0AFF24">
      <w:pPr>
        <w:pageBreakBefore w:val="0"/>
        <w:shd w:val="clear" w:color="auto" w:fill="FFFFFF"/>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（2）法定代表人身份证明（格式见后）；</w:t>
      </w:r>
    </w:p>
    <w:p w14:paraId="74D0A74D">
      <w:pPr>
        <w:pageBreakBefore w:val="0"/>
        <w:shd w:val="clear" w:color="auto" w:fill="FFFFFF"/>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（3）联合体协议书(如以联合体形式投标的需提供)；</w:t>
      </w:r>
    </w:p>
    <w:p w14:paraId="7F67E6E5">
      <w:pPr>
        <w:pageBreakBefore w:val="0"/>
        <w:shd w:val="clear" w:color="auto" w:fill="FFFFFF"/>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（4）法定代表人授权委托书（若有）；</w:t>
      </w:r>
    </w:p>
    <w:p w14:paraId="27B6F8AA">
      <w:pPr>
        <w:pageBreakBefore w:val="0"/>
        <w:shd w:val="clear" w:color="auto" w:fill="FFFFFF"/>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（5）投标承诺书（格式见后）；</w:t>
      </w:r>
    </w:p>
    <w:p w14:paraId="00A26CF6">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（6）投标保证金缴纳证明资料；</w:t>
      </w:r>
    </w:p>
    <w:p w14:paraId="1E752718">
      <w:pPr>
        <w:pageBreakBefore w:val="0"/>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sym w:font="Wingdings 2" w:char="00A3"/>
      </w:r>
      <w:r>
        <w:rPr>
          <w:rFonts w:hint="eastAsia" w:ascii="宋体" w:hAnsi="宋体" w:eastAsia="宋体" w:cs="宋体"/>
          <w:strike/>
          <w:dstrike w:val="0"/>
          <w:color w:val="auto"/>
          <w:position w:val="1"/>
          <w:sz w:val="24"/>
          <w:szCs w:val="24"/>
          <w:highlight w:val="none"/>
          <w:shd w:val="clear" w:color="auto" w:fill="auto"/>
        </w:rPr>
        <w:t>（</w:t>
      </w:r>
      <w:r>
        <w:rPr>
          <w:rFonts w:hint="eastAsia" w:ascii="宋体" w:hAnsi="宋体" w:eastAsia="宋体" w:cs="宋体"/>
          <w:strike/>
          <w:dstrike w:val="0"/>
          <w:color w:val="auto"/>
          <w:position w:val="1"/>
          <w:sz w:val="24"/>
          <w:szCs w:val="24"/>
          <w:highlight w:val="none"/>
          <w:shd w:val="clear" w:color="auto" w:fill="auto"/>
          <w:lang w:val="en-US" w:eastAsia="zh-CN"/>
        </w:rPr>
        <w:t>7</w:t>
      </w:r>
      <w:r>
        <w:rPr>
          <w:rFonts w:hint="eastAsia" w:ascii="宋体" w:hAnsi="宋体" w:eastAsia="宋体" w:cs="宋体"/>
          <w:strike/>
          <w:dstrike w:val="0"/>
          <w:color w:val="auto"/>
          <w:position w:val="1"/>
          <w:sz w:val="24"/>
          <w:szCs w:val="24"/>
          <w:highlight w:val="none"/>
          <w:shd w:val="clear" w:color="auto" w:fill="auto"/>
        </w:rPr>
        <w:t>）中小企业声明函。</w:t>
      </w:r>
    </w:p>
    <w:p w14:paraId="1EBAB637">
      <w:pPr>
        <w:pageBreakBefore w:val="0"/>
        <w:numPr>
          <w:ilvl w:val="0"/>
          <w:numId w:val="0"/>
        </w:numPr>
        <w:wordWrap/>
        <w:overflowPunct/>
        <w:topLinePunct w:val="0"/>
        <w:bidi w:val="0"/>
        <w:spacing w:line="440" w:lineRule="exact"/>
        <w:ind w:firstLine="480" w:firstLineChars="200"/>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snapToGrid w:val="0"/>
          <w:color w:val="auto"/>
          <w:position w:val="1"/>
          <w:sz w:val="24"/>
          <w:szCs w:val="24"/>
          <w:highlight w:val="none"/>
          <w:shd w:val="clear" w:color="auto" w:fill="auto"/>
          <w:lang w:val="en-US" w:eastAsia="zh-CN" w:bidi="ar-SA"/>
        </w:rPr>
        <w:t>（8）</w:t>
      </w:r>
      <w:r>
        <w:rPr>
          <w:rFonts w:hint="eastAsia" w:ascii="宋体" w:hAnsi="宋体" w:eastAsia="宋体" w:cs="宋体"/>
          <w:strike/>
          <w:dstrike w:val="0"/>
          <w:color w:val="auto"/>
          <w:position w:val="1"/>
          <w:sz w:val="24"/>
          <w:szCs w:val="24"/>
          <w:highlight w:val="none"/>
          <w:shd w:val="clear" w:color="auto" w:fill="auto"/>
        </w:rPr>
        <w:t>其他资料：格式自拟（若有）。</w:t>
      </w:r>
    </w:p>
    <w:p w14:paraId="07A32594">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u w:val="single"/>
          <w:shd w:val="clear" w:color="auto" w:fill="auto"/>
        </w:rPr>
      </w:pPr>
      <w:r>
        <w:rPr>
          <w:rFonts w:hint="eastAsia" w:ascii="宋体" w:hAnsi="宋体" w:eastAsia="宋体" w:cs="宋体"/>
          <w:color w:val="auto"/>
          <w:position w:val="1"/>
          <w:sz w:val="24"/>
          <w:szCs w:val="24"/>
          <w:highlight w:val="none"/>
          <w:u w:val="single"/>
          <w:shd w:val="clear" w:color="auto" w:fill="auto"/>
        </w:rPr>
        <w:t>详见第六章招标文件格式(招标人需要增加的其他技术内容)。</w:t>
      </w:r>
    </w:p>
    <w:p w14:paraId="6DC2CD1E">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3.1.</w:t>
      </w:r>
      <w:r>
        <w:rPr>
          <w:rFonts w:hint="eastAsia" w:ascii="宋体" w:hAnsi="宋体" w:cs="宋体"/>
          <w:color w:val="auto"/>
          <w:position w:val="1"/>
          <w:sz w:val="24"/>
          <w:szCs w:val="24"/>
          <w:highlight w:val="none"/>
          <w:shd w:val="clear" w:color="auto" w:fill="auto"/>
          <w:lang w:val="en-US" w:eastAsia="zh-CN"/>
        </w:rPr>
        <w:t>4</w:t>
      </w:r>
      <w:r>
        <w:rPr>
          <w:rFonts w:hint="eastAsia" w:ascii="宋体" w:hAnsi="宋体" w:eastAsia="宋体" w:cs="宋体"/>
          <w:color w:val="auto"/>
          <w:position w:val="1"/>
          <w:sz w:val="24"/>
          <w:szCs w:val="24"/>
          <w:highlight w:val="none"/>
          <w:shd w:val="clear" w:color="auto" w:fill="auto"/>
        </w:rPr>
        <w:t>电子文档</w:t>
      </w:r>
    </w:p>
    <w:p w14:paraId="2B623DAA">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u w:val="single"/>
          <w:shd w:val="clear" w:color="auto" w:fill="auto"/>
        </w:rPr>
      </w:pPr>
      <w:r>
        <w:rPr>
          <w:rFonts w:hint="eastAsia" w:ascii="宋体" w:hAnsi="宋体" w:eastAsia="宋体" w:cs="宋体"/>
          <w:color w:val="auto"/>
          <w:position w:val="1"/>
          <w:sz w:val="24"/>
          <w:szCs w:val="24"/>
          <w:highlight w:val="none"/>
          <w:u w:val="single"/>
          <w:shd w:val="clear" w:color="auto" w:fill="auto"/>
        </w:rPr>
        <w:t>内容包括：商务标、技术标、资格审查资料加盖公章的PDF格式彩色扫描件或CA电子签章版的电子文档光盘或U盘一份。</w:t>
      </w:r>
    </w:p>
    <w:p w14:paraId="4DBEED8B">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3.2</w:t>
      </w:r>
      <w:r>
        <w:rPr>
          <w:rFonts w:hint="eastAsia" w:ascii="宋体" w:hAnsi="宋体" w:eastAsia="宋体" w:cs="宋体"/>
          <w:color w:val="auto"/>
          <w:sz w:val="24"/>
          <w:szCs w:val="24"/>
          <w:highlight w:val="none"/>
          <w:shd w:val="clear" w:color="auto" w:fill="auto"/>
        </w:rPr>
        <w:t>投标报价</w:t>
      </w:r>
    </w:p>
    <w:p w14:paraId="3E58C631">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3.2.1投标人应按本招标文件中“投标文件格式”的要求填写相应表格。</w:t>
      </w:r>
    </w:p>
    <w:p w14:paraId="34BEA62A">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3.2.2投标人在投标截止时间前修改投标函中的投标总报价，应同时修改本招标文件中“投标文件格式”中的相应报价。此修改须符合本章第4.3款的有关要求。</w:t>
      </w:r>
    </w:p>
    <w:p w14:paraId="4941A73C">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3.2.3招标人设有最高投标限价的，投标人的投标报价不得超过最高投标限价，最高投标限价详见投标人须知前附表。</w:t>
      </w:r>
    </w:p>
    <w:p w14:paraId="7CD497D4">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3.2.4投标报价的其他要求详见投标人须知前附表。</w:t>
      </w:r>
    </w:p>
    <w:p w14:paraId="1EBDE320">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3.3</w:t>
      </w:r>
      <w:r>
        <w:rPr>
          <w:rFonts w:hint="eastAsia" w:ascii="宋体" w:hAnsi="宋体" w:eastAsia="宋体" w:cs="宋体"/>
          <w:color w:val="auto"/>
          <w:sz w:val="24"/>
          <w:szCs w:val="24"/>
          <w:highlight w:val="none"/>
          <w:shd w:val="clear" w:color="auto" w:fill="auto"/>
        </w:rPr>
        <w:t>投标有效期</w:t>
      </w:r>
    </w:p>
    <w:p w14:paraId="2F0CCB5F">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3.3.1在投标人须知前附表规定的投标有效期内，投标人不得撤销其投标文件。</w:t>
      </w:r>
    </w:p>
    <w:p w14:paraId="1A05A7F2">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及银行同期存款利息。</w:t>
      </w:r>
    </w:p>
    <w:p w14:paraId="54AFBAF0">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3.4</w:t>
      </w:r>
      <w:r>
        <w:rPr>
          <w:rFonts w:hint="eastAsia" w:ascii="宋体" w:hAnsi="宋体" w:eastAsia="宋体" w:cs="宋体"/>
          <w:color w:val="auto"/>
          <w:sz w:val="24"/>
          <w:szCs w:val="24"/>
          <w:highlight w:val="none"/>
          <w:shd w:val="clear" w:color="auto" w:fill="auto"/>
        </w:rPr>
        <w:t>投标保证金</w:t>
      </w:r>
    </w:p>
    <w:p w14:paraId="6192CBD2">
      <w:pPr>
        <w:pageBreakBefore w:val="0"/>
        <w:wordWrap/>
        <w:overflowPunct/>
        <w:topLinePunct w:val="0"/>
        <w:bidi w:val="0"/>
        <w:spacing w:line="440" w:lineRule="exact"/>
        <w:ind w:firstLine="479"/>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3.4.1投标人应按投标人须知前附表规定的金额、时间及形式递交投标保证金，并作为其投标文件的组成部分。</w:t>
      </w:r>
    </w:p>
    <w:p w14:paraId="29FEB27A">
      <w:pPr>
        <w:pageBreakBefore w:val="0"/>
        <w:wordWrap/>
        <w:overflowPunct/>
        <w:topLinePunct w:val="0"/>
        <w:bidi w:val="0"/>
        <w:spacing w:line="440" w:lineRule="exact"/>
        <w:ind w:firstLine="479"/>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提交投标保证金的，投标保证金须从投标人基本账户中转出</w:t>
      </w:r>
      <w:r>
        <w:rPr>
          <w:rFonts w:hint="eastAsia" w:ascii="宋体" w:hAnsi="宋体" w:eastAsia="宋体" w:cs="宋体"/>
          <w:strike/>
          <w:dstrike w:val="0"/>
          <w:color w:val="auto"/>
          <w:position w:val="1"/>
          <w:sz w:val="24"/>
          <w:szCs w:val="24"/>
          <w:highlight w:val="none"/>
          <w:shd w:val="clear" w:color="auto" w:fill="auto"/>
        </w:rPr>
        <w:t>；联合体投标的，投标保证金须从联合体牵头人基本账户中转出</w:t>
      </w:r>
      <w:r>
        <w:rPr>
          <w:rFonts w:hint="eastAsia" w:ascii="宋体" w:hAnsi="宋体" w:eastAsia="宋体" w:cs="宋体"/>
          <w:color w:val="auto"/>
          <w:position w:val="1"/>
          <w:sz w:val="24"/>
          <w:szCs w:val="24"/>
          <w:highlight w:val="none"/>
          <w:shd w:val="clear" w:color="auto" w:fill="auto"/>
        </w:rPr>
        <w:t>。投标保证金以到达指定账户内的时间为准，由于资金没有按招标文件规定时限内及时到账或未及时办理投标保证金收款或支付凭证而造成的后果，由投标人自行负责。</w:t>
      </w:r>
    </w:p>
    <w:p w14:paraId="3A2DACCA">
      <w:pPr>
        <w:pageBreakBefore w:val="0"/>
        <w:wordWrap/>
        <w:overflowPunct/>
        <w:topLinePunct w:val="0"/>
        <w:bidi w:val="0"/>
        <w:spacing w:line="440" w:lineRule="exact"/>
        <w:ind w:firstLine="479"/>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提交投标保险、保函、担保的，保险、保函、担保中的被担保人与投标人必须一致</w:t>
      </w:r>
      <w:r>
        <w:rPr>
          <w:rFonts w:hint="eastAsia" w:ascii="宋体" w:hAnsi="宋体" w:eastAsia="宋体" w:cs="宋体"/>
          <w:strike/>
          <w:dstrike w:val="0"/>
          <w:color w:val="auto"/>
          <w:position w:val="1"/>
          <w:sz w:val="24"/>
          <w:szCs w:val="24"/>
          <w:highlight w:val="none"/>
          <w:shd w:val="clear" w:color="auto" w:fill="auto"/>
        </w:rPr>
        <w:t>；联合体投标的，被担保人或投保人与联合体牵头人必须一致</w:t>
      </w:r>
      <w:r>
        <w:rPr>
          <w:rFonts w:hint="eastAsia" w:ascii="宋体" w:hAnsi="宋体" w:eastAsia="宋体" w:cs="宋体"/>
          <w:color w:val="auto"/>
          <w:position w:val="1"/>
          <w:sz w:val="24"/>
          <w:szCs w:val="24"/>
          <w:highlight w:val="none"/>
          <w:shd w:val="clear" w:color="auto" w:fill="auto"/>
        </w:rPr>
        <w:t>。保险、保函、担保中所担保的范围、金额、责任条件及有效期或保单中被保险人、保险金额、保险期限必须符合招标文件要求，否则招标人或指定机构不予接受。</w:t>
      </w:r>
    </w:p>
    <w:p w14:paraId="2EAD9787">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3.4.2投标人应按本章第3.4.1项要求提交投标保证金。</w:t>
      </w:r>
    </w:p>
    <w:p w14:paraId="7642221B">
      <w:pPr>
        <w:pageBreakBefore w:val="0"/>
        <w:wordWrap/>
        <w:overflowPunct/>
        <w:topLinePunct w:val="0"/>
        <w:bidi w:val="0"/>
        <w:spacing w:line="440" w:lineRule="exact"/>
        <w:ind w:firstLine="480" w:firstLineChars="200"/>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3.4.3投标保证金的退还：</w:t>
      </w:r>
    </w:p>
    <w:p w14:paraId="61089EC3">
      <w:pPr>
        <w:pageBreakBefore w:val="0"/>
        <w:wordWrap/>
        <w:overflowPunct/>
        <w:topLinePunct w:val="0"/>
        <w:bidi w:val="0"/>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3.4.3.1 中标人的投标保证金将在本招标项目的合同签订后5日内予以退还。</w:t>
      </w:r>
    </w:p>
    <w:p w14:paraId="7628B074">
      <w:pPr>
        <w:pageBreakBefore w:val="0"/>
        <w:wordWrap/>
        <w:overflowPunct/>
        <w:topLinePunct w:val="0"/>
        <w:bidi w:val="0"/>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3.4.3.2未中标人的投标保证金将在本招标项目中标通知书发出后5日内予以退还。</w:t>
      </w:r>
    </w:p>
    <w:p w14:paraId="15978973">
      <w:pPr>
        <w:pageBreakBefore w:val="0"/>
        <w:wordWrap/>
        <w:overflowPunct/>
        <w:topLinePunct w:val="0"/>
        <w:bidi w:val="0"/>
        <w:spacing w:line="440" w:lineRule="exact"/>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3.4.4 </w:t>
      </w:r>
      <w:r>
        <w:rPr>
          <w:rFonts w:hint="eastAsia" w:ascii="宋体" w:hAnsi="宋体" w:eastAsia="宋体" w:cs="宋体"/>
          <w:b/>
          <w:color w:val="auto"/>
          <w:sz w:val="24"/>
          <w:szCs w:val="24"/>
          <w:highlight w:val="none"/>
          <w:shd w:val="clear" w:color="auto" w:fill="auto"/>
        </w:rPr>
        <w:t xml:space="preserve">投标人有下列情况之一时，将不予退还投标保证金： </w:t>
      </w:r>
    </w:p>
    <w:p w14:paraId="3418204D">
      <w:pPr>
        <w:pageBreakBefore w:val="0"/>
        <w:wordWrap/>
        <w:overflowPunct/>
        <w:topLinePunct w:val="0"/>
        <w:bidi w:val="0"/>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3.4.4.1经查实，投标人在投标过程中存在串通投标或弄虚作假的；</w:t>
      </w:r>
    </w:p>
    <w:p w14:paraId="404EC803">
      <w:pPr>
        <w:pageBreakBefore w:val="0"/>
        <w:wordWrap/>
        <w:overflowPunct/>
        <w:topLinePunct w:val="0"/>
        <w:bidi w:val="0"/>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3.4.4.2在提交投标文件截止时间后到招标文件规定的投标有效期终止之前，投标人撤销其投标文件的；</w:t>
      </w:r>
    </w:p>
    <w:p w14:paraId="6A3B4EAC">
      <w:pPr>
        <w:pageBreakBefore w:val="0"/>
        <w:wordWrap/>
        <w:overflowPunct/>
        <w:topLinePunct w:val="0"/>
        <w:bidi w:val="0"/>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3.4.4.3中标人在收到中标通知书后，无正当理由不与招标人订立合同，在签订合同时向招标人提出附加条件，或者不按照招标文件要求提交履约保证金；</w:t>
      </w:r>
    </w:p>
    <w:p w14:paraId="43E10047">
      <w:pPr>
        <w:pageBreakBefore w:val="0"/>
        <w:wordWrap/>
        <w:overflowPunct/>
        <w:topLinePunct w:val="0"/>
        <w:bidi w:val="0"/>
        <w:spacing w:line="440" w:lineRule="exact"/>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3.4.4.4 以现金转账形式，转账现金不予退</w:t>
      </w:r>
      <w:r>
        <w:rPr>
          <w:rFonts w:hint="eastAsia" w:ascii="宋体" w:hAnsi="宋体" w:eastAsia="宋体" w:cs="宋体"/>
          <w:color w:val="auto"/>
          <w:sz w:val="24"/>
          <w:szCs w:val="24"/>
          <w:highlight w:val="none"/>
          <w:shd w:val="clear" w:color="auto" w:fill="auto"/>
        </w:rPr>
        <w:t>还</w:t>
      </w:r>
      <w:r>
        <w:rPr>
          <w:rFonts w:hint="eastAsia" w:ascii="宋体" w:hAnsi="宋体" w:eastAsia="宋体" w:cs="宋体"/>
          <w:color w:val="auto"/>
          <w:sz w:val="24"/>
          <w:szCs w:val="24"/>
          <w:highlight w:val="none"/>
          <w:shd w:val="clear" w:color="auto" w:fill="auto"/>
          <w:lang w:eastAsia="zh-CN"/>
        </w:rPr>
        <w:t>。</w:t>
      </w:r>
    </w:p>
    <w:p w14:paraId="1858A4F4">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3.5</w:t>
      </w:r>
      <w:r>
        <w:rPr>
          <w:rFonts w:hint="eastAsia" w:ascii="宋体" w:hAnsi="宋体" w:eastAsia="宋体" w:cs="宋体"/>
          <w:color w:val="auto"/>
          <w:sz w:val="24"/>
          <w:szCs w:val="24"/>
          <w:highlight w:val="none"/>
          <w:shd w:val="clear" w:color="auto" w:fill="auto"/>
        </w:rPr>
        <w:t>资格审查资料</w:t>
      </w:r>
    </w:p>
    <w:p w14:paraId="1B5CE982">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3.5.1“投标人基本情况表”应附投标人营业执照副本等材料的复制件。</w:t>
      </w:r>
    </w:p>
    <w:p w14:paraId="6AF9B265">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3.5.2“近年财务状况表”应附经会计师事务所审计出具的财务会计报告，包括资产负债表、现金流量表、利润表和财务情况说明书的复制件，具体年份要求见投标人须知前附表。格式自拟。</w:t>
      </w:r>
    </w:p>
    <w:p w14:paraId="59CB719C">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3.5.3“近年完成的类似项目情况表”应附中标通知书、委托合同的复制件，具体年份要求见投标人须知前附表。每张表格只填写一个项目，并标明序号。格式自拟。</w:t>
      </w:r>
    </w:p>
    <w:p w14:paraId="762E4804">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3.5.4“正在进行的项目和新承接的项目情况表”应附中标通知书和合同协议书复制件。每张表格只填写一个项目，并标明序号。格式自拟。</w:t>
      </w:r>
    </w:p>
    <w:p w14:paraId="36AF1A0E">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3.5.5“近年发生的诉讼及仲裁情况”应说明相关情况，并附法院或仲裁机构作出的判决、裁决等有关法律文书复制件，具体年份要求见投标人须知前附表。格式自拟。</w:t>
      </w:r>
    </w:p>
    <w:p w14:paraId="684C5F48">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3.5.6投标单位应本着诚实信用的原则，提供真实可信的资格审查资料。若投标单位提供虚假资料，一经查实，除按否决投标处理外，其投标保证金不予退还。</w:t>
      </w:r>
    </w:p>
    <w:p w14:paraId="729B76BD">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3.5.</w:t>
      </w:r>
      <w:r>
        <w:rPr>
          <w:rFonts w:hint="eastAsia" w:ascii="宋体" w:hAnsi="宋体" w:eastAsia="宋体" w:cs="宋体"/>
          <w:color w:val="auto"/>
          <w:position w:val="1"/>
          <w:sz w:val="24"/>
          <w:szCs w:val="24"/>
          <w:highlight w:val="none"/>
          <w:shd w:val="clear" w:color="auto" w:fill="auto"/>
          <w:lang w:val="en-US" w:eastAsia="zh-CN"/>
        </w:rPr>
        <w:t>7</w:t>
      </w:r>
      <w:r>
        <w:rPr>
          <w:rFonts w:hint="eastAsia" w:ascii="宋体" w:hAnsi="宋体" w:eastAsia="宋体" w:cs="宋体"/>
          <w:color w:val="auto"/>
          <w:position w:val="1"/>
          <w:sz w:val="24"/>
          <w:szCs w:val="24"/>
          <w:highlight w:val="none"/>
          <w:shd w:val="clear" w:color="auto" w:fill="auto"/>
        </w:rPr>
        <w:t>实质性响应招标文件及评审打分资料详见投标人须知前附表。</w:t>
      </w:r>
    </w:p>
    <w:p w14:paraId="5D6ED9D4">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3.6</w:t>
      </w:r>
      <w:r>
        <w:rPr>
          <w:rFonts w:hint="eastAsia" w:ascii="宋体" w:hAnsi="宋体" w:eastAsia="宋体" w:cs="宋体"/>
          <w:color w:val="auto"/>
          <w:sz w:val="24"/>
          <w:szCs w:val="24"/>
          <w:highlight w:val="none"/>
          <w:shd w:val="clear" w:color="auto" w:fill="auto"/>
        </w:rPr>
        <w:t>备选投标方案</w:t>
      </w:r>
    </w:p>
    <w:p w14:paraId="575C7DDE">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除投标人须知前附表另有规定外，投标人不得递交备选投标方案。允许投标人递交备选投标方案的，只有中标人所递交的备选方案方可予以考虑。评标委员会认为中标人的备选投标方案优于其按照招标文件要求编制的投标方案的，招标人可以接受该备选方案。</w:t>
      </w:r>
    </w:p>
    <w:p w14:paraId="13EC8584">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3.7</w:t>
      </w:r>
      <w:r>
        <w:rPr>
          <w:rFonts w:hint="eastAsia" w:ascii="宋体" w:hAnsi="宋体" w:eastAsia="宋体" w:cs="宋体"/>
          <w:color w:val="auto"/>
          <w:sz w:val="24"/>
          <w:szCs w:val="24"/>
          <w:highlight w:val="none"/>
          <w:shd w:val="clear" w:color="auto" w:fill="auto"/>
        </w:rPr>
        <w:t>投标文件的编制</w:t>
      </w:r>
    </w:p>
    <w:p w14:paraId="10FA81B7">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3.7.1投标文件应按第七章“投标文件格式”进行编写，如有必要，可以增加附页，作为投标文件的组成部分。其中，投标函在满足招标文件实质性要求的基础上，可以提出比招标文件要求更有利于招标人的承诺。</w:t>
      </w:r>
    </w:p>
    <w:p w14:paraId="7ABC6EC7">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3.7.2投标文件应当对招标文件有关工期、投标有效期、质量要求、技术标准和要求、招标范围等实质性内容作出响应。</w:t>
      </w:r>
    </w:p>
    <w:p w14:paraId="23564EE1">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3.7.3投标文件签字或盖章的具体要求见投标人须知前附表。</w:t>
      </w:r>
    </w:p>
    <w:p w14:paraId="7E5FEC0F">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3.7.4投标文件份数的具体要求见投标人须知前附表。</w:t>
      </w:r>
      <w:r>
        <w:rPr>
          <w:rFonts w:hint="eastAsia" w:ascii="宋体" w:hAnsi="宋体" w:eastAsia="宋体" w:cs="宋体"/>
          <w:color w:val="auto"/>
          <w:position w:val="1"/>
          <w:sz w:val="24"/>
          <w:szCs w:val="24"/>
          <w:highlight w:val="none"/>
          <w:shd w:val="clear" w:color="auto" w:fill="auto"/>
        </w:rPr>
        <w:t>投标文件</w:t>
      </w:r>
      <w:r>
        <w:rPr>
          <w:rFonts w:hint="eastAsia" w:ascii="宋体" w:hAnsi="宋体" w:eastAsia="宋体" w:cs="宋体"/>
          <w:color w:val="auto"/>
          <w:position w:val="1"/>
          <w:sz w:val="24"/>
          <w:szCs w:val="24"/>
          <w:highlight w:val="none"/>
          <w:shd w:val="clear" w:color="auto" w:fill="auto"/>
          <w:lang w:val="en-US" w:eastAsia="zh-CN"/>
        </w:rPr>
        <w:t>应</w:t>
      </w:r>
      <w:r>
        <w:rPr>
          <w:rFonts w:hint="eastAsia" w:ascii="宋体" w:hAnsi="宋体" w:eastAsia="宋体" w:cs="宋体"/>
          <w:color w:val="auto"/>
          <w:position w:val="1"/>
          <w:sz w:val="24"/>
          <w:szCs w:val="24"/>
          <w:highlight w:val="none"/>
          <w:shd w:val="clear" w:color="auto" w:fill="auto"/>
        </w:rPr>
        <w:t>在封面上注明“正本”和“副本”。投标文件“正本”和“副本”如有不一致之处，以“正本”为准。投标文件“正本”与“副本”均要求装订成册【不允许活页装订（即不接受可以在不破坏装订外观的情况下随时拆卸和组装的装订方式）】。</w:t>
      </w:r>
    </w:p>
    <w:p w14:paraId="76D96811">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lang w:val="en-US" w:eastAsia="zh-CN"/>
        </w:rPr>
        <w:t>3.7.5</w:t>
      </w:r>
      <w:r>
        <w:rPr>
          <w:rFonts w:hint="eastAsia" w:ascii="宋体" w:hAnsi="宋体" w:eastAsia="宋体" w:cs="宋体"/>
          <w:color w:val="auto"/>
          <w:position w:val="1"/>
          <w:sz w:val="24"/>
          <w:szCs w:val="24"/>
          <w:highlight w:val="none"/>
          <w:shd w:val="clear" w:color="auto" w:fill="auto"/>
        </w:rPr>
        <w:t>光盘或U盘内电子文稿内容和纸质投标文件内容不一致的，以纸质投标文件内容为准。</w:t>
      </w:r>
    </w:p>
    <w:p w14:paraId="22B1AEC5">
      <w:pPr>
        <w:pageBreakBefore w:val="0"/>
        <w:wordWrap/>
        <w:overflowPunct/>
        <w:topLinePunct w:val="0"/>
        <w:bidi w:val="0"/>
        <w:spacing w:line="440" w:lineRule="exact"/>
        <w:ind w:firstLine="495"/>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3.7.5电子投标的要求</w:t>
      </w:r>
    </w:p>
    <w:p w14:paraId="72E26E73">
      <w:pPr>
        <w:pageBreakBefore w:val="0"/>
        <w:wordWrap/>
        <w:overflowPunct/>
        <w:topLinePunct w:val="0"/>
        <w:bidi w:val="0"/>
        <w:spacing w:line="440" w:lineRule="exact"/>
        <w:ind w:firstLine="495"/>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（1）电子投标文件签字或盖章的具体要求见投标人须知前附表。</w:t>
      </w:r>
    </w:p>
    <w:p w14:paraId="45636B85">
      <w:pPr>
        <w:pageBreakBefore w:val="0"/>
        <w:wordWrap/>
        <w:overflowPunct/>
        <w:topLinePunct w:val="0"/>
        <w:bidi w:val="0"/>
        <w:spacing w:line="440" w:lineRule="exact"/>
        <w:ind w:firstLine="495"/>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（2）电子投标文件制作或加密要求见投标人须知前附表。</w:t>
      </w:r>
    </w:p>
    <w:p w14:paraId="7E014AF5">
      <w:pPr>
        <w:pageBreakBefore w:val="0"/>
        <w:wordWrap/>
        <w:overflowPunct/>
        <w:topLinePunct w:val="0"/>
        <w:bidi w:val="0"/>
        <w:spacing w:line="440" w:lineRule="exact"/>
        <w:ind w:firstLine="495"/>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（3）电子投标文件所附证书证件及业绩证明文件要求见投标人须知前附表规定。</w:t>
      </w:r>
    </w:p>
    <w:p w14:paraId="497052FD">
      <w:pPr>
        <w:pageBreakBefore w:val="0"/>
        <w:wordWrap/>
        <w:overflowPunct/>
        <w:topLinePunct w:val="0"/>
        <w:bidi w:val="0"/>
        <w:spacing w:line="440" w:lineRule="exact"/>
        <w:jc w:val="both"/>
        <w:outlineLvl w:val="2"/>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4.</w:t>
      </w:r>
      <w:r>
        <w:rPr>
          <w:rFonts w:hint="eastAsia" w:ascii="宋体" w:hAnsi="宋体" w:eastAsia="宋体" w:cs="宋体"/>
          <w:color w:val="auto"/>
          <w:sz w:val="24"/>
          <w:szCs w:val="24"/>
          <w:highlight w:val="none"/>
          <w:shd w:val="clear" w:color="auto" w:fill="auto"/>
        </w:rPr>
        <w:t>投标</w:t>
      </w:r>
    </w:p>
    <w:p w14:paraId="5E99AE8F">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4.1</w:t>
      </w:r>
      <w:r>
        <w:rPr>
          <w:rFonts w:hint="eastAsia" w:ascii="宋体" w:hAnsi="宋体" w:eastAsia="宋体" w:cs="宋体"/>
          <w:color w:val="auto"/>
          <w:sz w:val="24"/>
          <w:szCs w:val="24"/>
          <w:highlight w:val="none"/>
          <w:shd w:val="clear" w:color="auto" w:fill="auto"/>
        </w:rPr>
        <w:t>光盘、样品等材料的包装和标记</w:t>
      </w:r>
    </w:p>
    <w:p w14:paraId="3D0714E2">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光盘、样品等材料的外包装和要求见投标人须知前附表。</w:t>
      </w:r>
    </w:p>
    <w:p w14:paraId="4D24504F">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4.2</w:t>
      </w:r>
      <w:r>
        <w:rPr>
          <w:rFonts w:hint="eastAsia" w:ascii="宋体" w:hAnsi="宋体" w:eastAsia="宋体" w:cs="宋体"/>
          <w:color w:val="auto"/>
          <w:sz w:val="24"/>
          <w:szCs w:val="24"/>
          <w:highlight w:val="none"/>
          <w:shd w:val="clear" w:color="auto" w:fill="auto"/>
        </w:rPr>
        <w:t>投标文件的递交</w:t>
      </w:r>
    </w:p>
    <w:p w14:paraId="47238B6F">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4.2.1投标人应在前附表第2.2.2项规定的投标截止时间前递交投标文件。</w:t>
      </w:r>
    </w:p>
    <w:p w14:paraId="4F77FA09">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4.2.2投标人递交投标文件的方式：见投标人须知前附表。</w:t>
      </w:r>
    </w:p>
    <w:p w14:paraId="05BF77BE">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4.2.3除投标人须知前附表另有规定外，投标人所递交的投标文件不予退还。</w:t>
      </w:r>
    </w:p>
    <w:p w14:paraId="250878C6">
      <w:pPr>
        <w:pageBreakBefore w:val="0"/>
        <w:wordWrap/>
        <w:overflowPunct/>
        <w:topLinePunct w:val="0"/>
        <w:bidi w:val="0"/>
        <w:spacing w:line="440" w:lineRule="exact"/>
        <w:ind w:firstLine="495"/>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4.2.4电子投标文件递交要求：见投标须知前附表。</w:t>
      </w:r>
    </w:p>
    <w:p w14:paraId="2160FF87">
      <w:pPr>
        <w:pageBreakBefore w:val="0"/>
        <w:wordWrap/>
        <w:overflowPunct/>
        <w:topLinePunct w:val="0"/>
        <w:bidi w:val="0"/>
        <w:spacing w:line="440" w:lineRule="exact"/>
        <w:ind w:firstLine="495"/>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4.2.5电子投标文件的拒收情形：见投标须知前附表。</w:t>
      </w:r>
    </w:p>
    <w:p w14:paraId="0401602A">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4.3</w:t>
      </w:r>
      <w:r>
        <w:rPr>
          <w:rFonts w:hint="eastAsia" w:ascii="宋体" w:hAnsi="宋体" w:eastAsia="宋体" w:cs="宋体"/>
          <w:color w:val="auto"/>
          <w:sz w:val="24"/>
          <w:szCs w:val="24"/>
          <w:highlight w:val="none"/>
          <w:shd w:val="clear" w:color="auto" w:fill="auto"/>
        </w:rPr>
        <w:t>投标文件的修改与撤回</w:t>
      </w:r>
    </w:p>
    <w:p w14:paraId="72185095">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4.3.1在前附表第2.2.2项规定的投标截止时间前，投标人可以修改或撤回已递交的投标文件，在投标截止时间以后，不能更改投标文件。</w:t>
      </w:r>
    </w:p>
    <w:p w14:paraId="52AF1823">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4.3.2修改的内容为投标文件的组成部分。投标人的补充修改，应按规定编制、密封、标志和递交，并在包封上标明“修改”字样。</w:t>
      </w:r>
    </w:p>
    <w:p w14:paraId="712A8542">
      <w:pPr>
        <w:pageBreakBefore w:val="0"/>
        <w:wordWrap/>
        <w:overflowPunct/>
        <w:topLinePunct w:val="0"/>
        <w:bidi w:val="0"/>
        <w:spacing w:line="440" w:lineRule="exact"/>
        <w:ind w:firstLine="495"/>
        <w:jc w:val="both"/>
        <w:rPr>
          <w:rFonts w:hint="eastAsia" w:ascii="宋体" w:hAnsi="宋体" w:eastAsia="宋体" w:cs="宋体"/>
          <w:strike/>
          <w:dstrike w:val="0"/>
          <w:color w:val="auto"/>
          <w:position w:val="1"/>
          <w:sz w:val="24"/>
          <w:szCs w:val="24"/>
          <w:highlight w:val="none"/>
          <w:shd w:val="clear" w:color="auto" w:fill="auto"/>
        </w:rPr>
      </w:pPr>
      <w:r>
        <w:rPr>
          <w:rFonts w:hint="eastAsia" w:ascii="宋体" w:hAnsi="宋体" w:eastAsia="宋体" w:cs="宋体"/>
          <w:strike/>
          <w:dstrike w:val="0"/>
          <w:color w:val="auto"/>
          <w:position w:val="1"/>
          <w:sz w:val="24"/>
          <w:szCs w:val="24"/>
          <w:highlight w:val="none"/>
          <w:shd w:val="clear" w:color="auto" w:fill="auto"/>
        </w:rPr>
        <w:t>4.3.3投标人修改或撤回已递交电子投标文件的通知，应按照本章第3.7.5项的要求加盖电子印章。电子招标投标交易平台收到通知后，即时向投标人发出确认回执通知。</w:t>
      </w:r>
    </w:p>
    <w:p w14:paraId="3BE2EA5A">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4.4</w:t>
      </w:r>
      <w:r>
        <w:rPr>
          <w:rFonts w:hint="eastAsia" w:ascii="宋体" w:hAnsi="宋体" w:eastAsia="宋体" w:cs="宋体"/>
          <w:color w:val="auto"/>
          <w:sz w:val="24"/>
          <w:szCs w:val="24"/>
          <w:highlight w:val="none"/>
          <w:shd w:val="clear" w:color="auto" w:fill="auto"/>
        </w:rPr>
        <w:t>投标文件的拒收情形</w:t>
      </w:r>
    </w:p>
    <w:p w14:paraId="7E41DD2A">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详见投标人须知前附表。</w:t>
      </w:r>
    </w:p>
    <w:p w14:paraId="0033B0A5">
      <w:pPr>
        <w:pageBreakBefore w:val="0"/>
        <w:wordWrap/>
        <w:overflowPunct/>
        <w:topLinePunct w:val="0"/>
        <w:bidi w:val="0"/>
        <w:spacing w:line="440" w:lineRule="exact"/>
        <w:jc w:val="both"/>
        <w:outlineLvl w:val="2"/>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5.</w:t>
      </w:r>
      <w:r>
        <w:rPr>
          <w:rFonts w:hint="eastAsia" w:ascii="宋体" w:hAnsi="宋体" w:eastAsia="宋体" w:cs="宋体"/>
          <w:color w:val="auto"/>
          <w:sz w:val="24"/>
          <w:szCs w:val="24"/>
          <w:highlight w:val="none"/>
          <w:shd w:val="clear" w:color="auto" w:fill="auto"/>
        </w:rPr>
        <w:t>开标程序</w:t>
      </w:r>
    </w:p>
    <w:p w14:paraId="12AE3301">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5.1</w:t>
      </w:r>
      <w:r>
        <w:rPr>
          <w:rFonts w:hint="eastAsia" w:ascii="宋体" w:hAnsi="宋体" w:eastAsia="宋体" w:cs="宋体"/>
          <w:color w:val="auto"/>
          <w:sz w:val="24"/>
          <w:szCs w:val="24"/>
          <w:highlight w:val="none"/>
          <w:shd w:val="clear" w:color="auto" w:fill="auto"/>
        </w:rPr>
        <w:t>开标时间和</w:t>
      </w:r>
      <w:r>
        <w:rPr>
          <w:rFonts w:hint="eastAsia" w:ascii="宋体" w:hAnsi="宋体" w:eastAsia="宋体" w:cs="宋体"/>
          <w:color w:val="auto"/>
          <w:sz w:val="24"/>
          <w:szCs w:val="24"/>
          <w:highlight w:val="none"/>
          <w:shd w:val="clear" w:color="auto" w:fill="auto"/>
        </w:rPr>
        <w:t>地点、参加开标会议的要求</w:t>
      </w:r>
    </w:p>
    <w:p w14:paraId="4ACF1B60">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招标人在投标人须知前附表第2.2.2项规定的投标截止时间(开标时间)和投标人须知前附表规定的地点公开开标，参加开标会议的要求见投标人须知前附表。</w:t>
      </w:r>
    </w:p>
    <w:p w14:paraId="77A10272">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5.2</w:t>
      </w:r>
      <w:r>
        <w:rPr>
          <w:rFonts w:hint="eastAsia" w:ascii="宋体" w:hAnsi="宋体" w:eastAsia="宋体" w:cs="宋体"/>
          <w:color w:val="auto"/>
          <w:sz w:val="24"/>
          <w:szCs w:val="24"/>
          <w:highlight w:val="none"/>
          <w:shd w:val="clear" w:color="auto" w:fill="auto"/>
        </w:rPr>
        <w:t>开标</w:t>
      </w:r>
    </w:p>
    <w:p w14:paraId="2465C8BF">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主持人按下列程序进行开标：</w:t>
      </w:r>
    </w:p>
    <w:p w14:paraId="78EF7874">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5.2.1宣布开标开始，介绍到会单位及人员；</w:t>
      </w:r>
    </w:p>
    <w:p w14:paraId="2CA36888">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5.2.2招标人公布投标人数量及保证金缴纳情况。若递交投标文件的单位数量少于</w:t>
      </w:r>
      <w:r>
        <w:rPr>
          <w:rFonts w:hint="eastAsia" w:ascii="宋体" w:hAnsi="宋体" w:eastAsia="宋体" w:cs="宋体"/>
          <w:color w:val="auto"/>
          <w:position w:val="1"/>
          <w:sz w:val="24"/>
          <w:szCs w:val="24"/>
          <w:highlight w:val="none"/>
          <w:shd w:val="clear" w:color="auto" w:fill="auto"/>
          <w:lang w:val="en-US" w:eastAsia="zh-CN"/>
        </w:rPr>
        <w:t>5</w:t>
      </w:r>
      <w:r>
        <w:rPr>
          <w:rFonts w:hint="eastAsia" w:ascii="宋体" w:hAnsi="宋体" w:eastAsia="宋体" w:cs="宋体"/>
          <w:color w:val="auto"/>
          <w:position w:val="1"/>
          <w:sz w:val="24"/>
          <w:szCs w:val="24"/>
          <w:highlight w:val="none"/>
          <w:shd w:val="clear" w:color="auto" w:fill="auto"/>
        </w:rPr>
        <w:t>家，招标人公布已递交投标文件单位名称，宣布本次招标失败；</w:t>
      </w:r>
    </w:p>
    <w:p w14:paraId="615F9D7E">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5.2.3递交投标文件的投标人数量大于等于</w:t>
      </w:r>
      <w:r>
        <w:rPr>
          <w:rFonts w:hint="eastAsia" w:ascii="宋体" w:hAnsi="宋体" w:eastAsia="宋体" w:cs="宋体"/>
          <w:color w:val="auto"/>
          <w:position w:val="1"/>
          <w:sz w:val="24"/>
          <w:szCs w:val="24"/>
          <w:highlight w:val="none"/>
          <w:shd w:val="clear" w:color="auto" w:fill="auto"/>
          <w:lang w:val="en-US" w:eastAsia="zh-CN"/>
        </w:rPr>
        <w:t>5</w:t>
      </w:r>
      <w:r>
        <w:rPr>
          <w:rFonts w:hint="eastAsia" w:ascii="宋体" w:hAnsi="宋体" w:eastAsia="宋体" w:cs="宋体"/>
          <w:color w:val="auto"/>
          <w:position w:val="1"/>
          <w:sz w:val="24"/>
          <w:szCs w:val="24"/>
          <w:highlight w:val="none"/>
          <w:shd w:val="clear" w:color="auto" w:fill="auto"/>
        </w:rPr>
        <w:t>家，进入投标文件启封</w:t>
      </w:r>
      <w:r>
        <w:rPr>
          <w:rFonts w:hint="eastAsia" w:ascii="宋体" w:hAnsi="宋体" w:eastAsia="宋体" w:cs="宋体"/>
          <w:strike/>
          <w:dstrike w:val="0"/>
          <w:color w:val="auto"/>
          <w:position w:val="1"/>
          <w:sz w:val="24"/>
          <w:szCs w:val="24"/>
          <w:highlight w:val="none"/>
          <w:shd w:val="clear" w:color="auto" w:fill="auto"/>
        </w:rPr>
        <w:t>或投标人解密</w:t>
      </w:r>
      <w:r>
        <w:rPr>
          <w:rFonts w:hint="eastAsia" w:ascii="宋体" w:hAnsi="宋体" w:eastAsia="宋体" w:cs="宋体"/>
          <w:color w:val="auto"/>
          <w:position w:val="1"/>
          <w:sz w:val="24"/>
          <w:szCs w:val="24"/>
          <w:highlight w:val="none"/>
          <w:shd w:val="clear" w:color="auto" w:fill="auto"/>
        </w:rPr>
        <w:t>环节。</w:t>
      </w:r>
      <w:r>
        <w:rPr>
          <w:rFonts w:hint="eastAsia" w:ascii="宋体" w:hAnsi="宋体" w:eastAsia="宋体" w:cs="宋体"/>
          <w:strike/>
          <w:dstrike w:val="0"/>
          <w:color w:val="auto"/>
          <w:position w:val="1"/>
          <w:sz w:val="24"/>
          <w:szCs w:val="24"/>
          <w:highlight w:val="none"/>
          <w:shd w:val="clear" w:color="auto" w:fill="auto"/>
        </w:rPr>
        <w:t>若成功解密的投标人少于</w:t>
      </w:r>
      <w:r>
        <w:rPr>
          <w:rFonts w:hint="eastAsia" w:ascii="宋体" w:hAnsi="宋体" w:cs="宋体"/>
          <w:strike/>
          <w:dstrike w:val="0"/>
          <w:color w:val="auto"/>
          <w:position w:val="1"/>
          <w:sz w:val="24"/>
          <w:szCs w:val="24"/>
          <w:highlight w:val="none"/>
          <w:shd w:val="clear" w:color="auto" w:fill="auto"/>
          <w:lang w:val="en-US" w:eastAsia="zh-CN"/>
        </w:rPr>
        <w:t>5</w:t>
      </w:r>
      <w:r>
        <w:rPr>
          <w:rFonts w:hint="eastAsia" w:ascii="宋体" w:hAnsi="宋体" w:eastAsia="宋体" w:cs="宋体"/>
          <w:strike/>
          <w:dstrike w:val="0"/>
          <w:color w:val="auto"/>
          <w:position w:val="1"/>
          <w:sz w:val="24"/>
          <w:szCs w:val="24"/>
          <w:highlight w:val="none"/>
          <w:shd w:val="clear" w:color="auto" w:fill="auto"/>
        </w:rPr>
        <w:t>家</w:t>
      </w:r>
      <w:r>
        <w:rPr>
          <w:rFonts w:hint="eastAsia" w:ascii="宋体" w:hAnsi="宋体" w:eastAsia="宋体" w:cs="宋体"/>
          <w:strike/>
          <w:dstrike w:val="0"/>
          <w:color w:val="auto"/>
          <w:position w:val="1"/>
          <w:sz w:val="24"/>
          <w:szCs w:val="24"/>
          <w:highlight w:val="none"/>
          <w:shd w:val="clear" w:color="auto" w:fill="auto"/>
        </w:rPr>
        <w:t>，招标人宣布本次招标失败；</w:t>
      </w:r>
    </w:p>
    <w:p w14:paraId="6ACA4F05">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5.2.4评标委员会对投标人进行资格审查（资格后审）；</w:t>
      </w:r>
    </w:p>
    <w:p w14:paraId="3B8DC499">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5.2.5启封技术标，评标委员会对投标人的技术标进行综合评议并打分；</w:t>
      </w:r>
    </w:p>
    <w:p w14:paraId="6A55BABC">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5.2.6宣布各投标人技术标得分；</w:t>
      </w:r>
    </w:p>
    <w:p w14:paraId="7071D8A8">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5.2.7启封商务标，评标委员会对商务标进行评议并计算得分，宣布商务标得分；</w:t>
      </w:r>
    </w:p>
    <w:p w14:paraId="0C6CF8B3">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5.2.8宣布各投标人总得分；</w:t>
      </w:r>
    </w:p>
    <w:p w14:paraId="262C2BD4">
      <w:pPr>
        <w:pageBreakBefore w:val="0"/>
        <w:wordWrap/>
        <w:overflowPunct/>
        <w:topLinePunct w:val="0"/>
        <w:bidi w:val="0"/>
        <w:spacing w:line="440" w:lineRule="exact"/>
        <w:ind w:firstLine="495"/>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5.2.9宣布中标候选人；</w:t>
      </w:r>
    </w:p>
    <w:p w14:paraId="234254A6">
      <w:pPr>
        <w:pageBreakBefore w:val="0"/>
        <w:wordWrap/>
        <w:overflowPunct/>
        <w:topLinePunct w:val="0"/>
        <w:bidi w:val="0"/>
        <w:spacing w:line="440" w:lineRule="exact"/>
        <w:jc w:val="both"/>
        <w:outlineLvl w:val="3"/>
        <w:rPr>
          <w:rFonts w:hint="eastAsia" w:ascii="宋体" w:hAnsi="宋体" w:eastAsia="宋体" w:cs="宋体"/>
          <w:b/>
          <w:bCs/>
          <w:strike/>
          <w:dstrike w:val="0"/>
          <w:color w:val="auto"/>
          <w:sz w:val="24"/>
          <w:szCs w:val="24"/>
          <w:highlight w:val="none"/>
          <w:shd w:val="clear" w:color="auto" w:fill="auto"/>
        </w:rPr>
      </w:pPr>
      <w:r>
        <w:rPr>
          <w:rFonts w:hint="eastAsia" w:ascii="宋体" w:hAnsi="宋体" w:eastAsia="宋体" w:cs="宋体"/>
          <w:b/>
          <w:bCs/>
          <w:strike/>
          <w:dstrike w:val="0"/>
          <w:color w:val="auto"/>
          <w:sz w:val="24"/>
          <w:szCs w:val="24"/>
          <w:highlight w:val="none"/>
          <w:shd w:val="clear" w:color="auto" w:fill="auto"/>
        </w:rPr>
        <w:t>5.3不见面开标软硬件要求</w:t>
      </w:r>
    </w:p>
    <w:p w14:paraId="170CF0B5">
      <w:pPr>
        <w:pageBreakBefore w:val="0"/>
        <w:wordWrap/>
        <w:overflowPunct/>
        <w:topLinePunct w:val="0"/>
        <w:bidi w:val="0"/>
        <w:spacing w:line="440" w:lineRule="exact"/>
        <w:ind w:firstLine="480" w:firstLineChars="200"/>
        <w:rPr>
          <w:rFonts w:hint="eastAsia" w:ascii="宋体" w:hAnsi="宋体" w:eastAsia="宋体" w:cs="宋体"/>
          <w:bCs/>
          <w:strike/>
          <w:dstrike w:val="0"/>
          <w:color w:val="auto"/>
          <w:sz w:val="24"/>
          <w:szCs w:val="24"/>
          <w:highlight w:val="none"/>
          <w:shd w:val="clear" w:color="auto" w:fill="auto"/>
        </w:rPr>
      </w:pPr>
      <w:r>
        <w:rPr>
          <w:rFonts w:hint="eastAsia" w:ascii="宋体" w:hAnsi="宋体" w:eastAsia="宋体" w:cs="宋体"/>
          <w:bCs/>
          <w:strike/>
          <w:dstrike w:val="0"/>
          <w:color w:val="auto"/>
          <w:sz w:val="24"/>
          <w:szCs w:val="24"/>
          <w:highlight w:val="none"/>
          <w:shd w:val="clear" w:color="auto" w:fill="auto"/>
        </w:rPr>
        <w:t>（一）建议电脑配置：4G以上内存，MicrosoftWindows7以上操作系统，正版office软件，及相应的配套硬件设备（摄像头、耳机、麦克风等）。</w:t>
      </w:r>
    </w:p>
    <w:p w14:paraId="17C5DDDE">
      <w:pPr>
        <w:pageBreakBefore w:val="0"/>
        <w:wordWrap/>
        <w:overflowPunct/>
        <w:topLinePunct w:val="0"/>
        <w:bidi w:val="0"/>
        <w:spacing w:line="440" w:lineRule="exact"/>
        <w:ind w:firstLine="480" w:firstLineChars="200"/>
        <w:rPr>
          <w:rFonts w:hint="eastAsia" w:ascii="宋体" w:hAnsi="宋体" w:eastAsia="宋体" w:cs="宋体"/>
          <w:bCs/>
          <w:strike/>
          <w:dstrike w:val="0"/>
          <w:color w:val="auto"/>
          <w:sz w:val="24"/>
          <w:szCs w:val="24"/>
          <w:highlight w:val="none"/>
          <w:shd w:val="clear" w:color="auto" w:fill="auto"/>
        </w:rPr>
      </w:pPr>
      <w:r>
        <w:rPr>
          <w:rFonts w:hint="eastAsia" w:ascii="宋体" w:hAnsi="宋体" w:eastAsia="宋体" w:cs="宋体"/>
          <w:bCs/>
          <w:strike/>
          <w:dstrike w:val="0"/>
          <w:color w:val="auto"/>
          <w:sz w:val="24"/>
          <w:szCs w:val="24"/>
          <w:highlight w:val="none"/>
          <w:shd w:val="clear" w:color="auto" w:fill="auto"/>
        </w:rPr>
        <w:t>（二） 50M 以上网络带宽连接。</w:t>
      </w:r>
    </w:p>
    <w:p w14:paraId="7E0DD7EC">
      <w:pPr>
        <w:pageBreakBefore w:val="0"/>
        <w:wordWrap/>
        <w:overflowPunct/>
        <w:topLinePunct w:val="0"/>
        <w:bidi w:val="0"/>
        <w:spacing w:line="440" w:lineRule="exact"/>
        <w:ind w:firstLine="480" w:firstLineChars="200"/>
        <w:rPr>
          <w:rFonts w:hint="eastAsia" w:ascii="宋体" w:hAnsi="宋体" w:eastAsia="宋体" w:cs="宋体"/>
          <w:bCs/>
          <w:strike/>
          <w:dstrike w:val="0"/>
          <w:color w:val="auto"/>
          <w:sz w:val="24"/>
          <w:szCs w:val="24"/>
          <w:highlight w:val="none"/>
          <w:shd w:val="clear" w:color="auto" w:fill="auto"/>
        </w:rPr>
      </w:pPr>
      <w:r>
        <w:rPr>
          <w:rFonts w:hint="eastAsia" w:ascii="宋体" w:hAnsi="宋体" w:eastAsia="宋体" w:cs="宋体"/>
          <w:bCs/>
          <w:strike/>
          <w:dstrike w:val="0"/>
          <w:color w:val="auto"/>
          <w:sz w:val="24"/>
          <w:szCs w:val="24"/>
          <w:highlight w:val="none"/>
          <w:shd w:val="clear" w:color="auto" w:fill="auto"/>
        </w:rPr>
        <w:t>（三）安装浙江省公共资源交易CA签章互认驱动及开标大厅直播播放器。相关软件可在绍兴公共资源交易网（按各平台情况填写）下载专区页面下载。</w:t>
      </w:r>
    </w:p>
    <w:p w14:paraId="2DEAEC78">
      <w:pPr>
        <w:pageBreakBefore w:val="0"/>
        <w:wordWrap/>
        <w:overflowPunct/>
        <w:topLinePunct w:val="0"/>
        <w:bidi w:val="0"/>
        <w:spacing w:line="440" w:lineRule="exact"/>
        <w:ind w:firstLine="480" w:firstLineChars="200"/>
        <w:rPr>
          <w:rFonts w:hint="eastAsia" w:ascii="宋体" w:hAnsi="宋体" w:eastAsia="宋体" w:cs="宋体"/>
          <w:bCs/>
          <w:strike/>
          <w:dstrike w:val="0"/>
          <w:color w:val="auto"/>
          <w:sz w:val="24"/>
          <w:szCs w:val="24"/>
          <w:highlight w:val="none"/>
          <w:shd w:val="clear" w:color="auto" w:fill="auto"/>
        </w:rPr>
      </w:pPr>
      <w:r>
        <w:rPr>
          <w:rFonts w:hint="eastAsia" w:ascii="宋体" w:hAnsi="宋体" w:eastAsia="宋体" w:cs="宋体"/>
          <w:bCs/>
          <w:strike/>
          <w:dstrike w:val="0"/>
          <w:color w:val="auto"/>
          <w:sz w:val="24"/>
          <w:szCs w:val="24"/>
          <w:highlight w:val="none"/>
          <w:shd w:val="clear" w:color="auto" w:fill="auto"/>
        </w:rPr>
        <w:t>（四）使用MicrosoftInternetExplorer11（IE 11）及以上浏览器，加入可信任站点，添加兼容性视图设置修改 Activex控件和插件设置，关闭弹出窗口拦截。</w:t>
      </w:r>
    </w:p>
    <w:p w14:paraId="2A8EC80B">
      <w:pPr>
        <w:pageBreakBefore w:val="0"/>
        <w:wordWrap/>
        <w:overflowPunct/>
        <w:topLinePunct w:val="0"/>
        <w:bidi w:val="0"/>
        <w:spacing w:line="440" w:lineRule="exac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5.4特殊情况的处置</w:t>
      </w:r>
    </w:p>
    <w:p w14:paraId="1034BFD5">
      <w:pPr>
        <w:pageBreakBefore w:val="0"/>
        <w:wordWrap/>
        <w:overflowPunct/>
        <w:topLinePunct w:val="0"/>
        <w:bidi w:val="0"/>
        <w:spacing w:line="440" w:lineRule="exact"/>
        <w:ind w:firstLine="480" w:firstLineChars="200"/>
        <w:rPr>
          <w:rFonts w:hint="eastAsia" w:ascii="宋体" w:hAnsi="宋体" w:eastAsia="宋体" w:cs="宋体"/>
          <w:bCs/>
          <w:strike/>
          <w:dstrike w:val="0"/>
          <w:color w:val="auto"/>
          <w:sz w:val="24"/>
          <w:szCs w:val="24"/>
          <w:highlight w:val="none"/>
          <w:shd w:val="clear" w:color="auto" w:fill="auto"/>
        </w:rPr>
      </w:pPr>
      <w:r>
        <w:rPr>
          <w:rFonts w:hint="eastAsia" w:ascii="宋体" w:hAnsi="宋体" w:eastAsia="宋体" w:cs="宋体"/>
          <w:bCs/>
          <w:strike/>
          <w:dstrike w:val="0"/>
          <w:color w:val="auto"/>
          <w:sz w:val="24"/>
          <w:szCs w:val="24"/>
          <w:highlight w:val="none"/>
          <w:shd w:val="clear" w:color="auto" w:fill="auto"/>
        </w:rPr>
        <w:t>5.4.1特殊情况的处置</w:t>
      </w:r>
    </w:p>
    <w:p w14:paraId="316D023F">
      <w:pPr>
        <w:pageBreakBefore w:val="0"/>
        <w:wordWrap/>
        <w:overflowPunct/>
        <w:topLinePunct w:val="0"/>
        <w:bidi w:val="0"/>
        <w:spacing w:line="440" w:lineRule="exact"/>
        <w:ind w:firstLine="480" w:firstLineChars="200"/>
        <w:rPr>
          <w:rFonts w:hint="eastAsia" w:ascii="宋体" w:hAnsi="宋体" w:eastAsia="宋体" w:cs="宋体"/>
          <w:bCs/>
          <w:strike/>
          <w:dstrike w:val="0"/>
          <w:color w:val="auto"/>
          <w:sz w:val="24"/>
          <w:szCs w:val="24"/>
          <w:highlight w:val="none"/>
          <w:shd w:val="clear" w:color="auto" w:fill="auto"/>
        </w:rPr>
      </w:pPr>
      <w:r>
        <w:rPr>
          <w:rFonts w:hint="eastAsia" w:ascii="宋体" w:hAnsi="宋体" w:eastAsia="宋体" w:cs="宋体"/>
          <w:bCs/>
          <w:strike/>
          <w:dstrike w:val="0"/>
          <w:color w:val="auto"/>
          <w:sz w:val="24"/>
          <w:szCs w:val="24"/>
          <w:highlight w:val="none"/>
          <w:shd w:val="clear" w:color="auto" w:fill="auto"/>
        </w:rPr>
        <w:t>（一）因网络、系统、电力等不可抗力因素延期开标的，需更新制作投标文件并按招标文件要求重新递交。</w:t>
      </w:r>
    </w:p>
    <w:p w14:paraId="21E1987B">
      <w:pPr>
        <w:pageBreakBefore w:val="0"/>
        <w:wordWrap/>
        <w:overflowPunct/>
        <w:topLinePunct w:val="0"/>
        <w:bidi w:val="0"/>
        <w:spacing w:line="440" w:lineRule="exact"/>
        <w:ind w:firstLine="480" w:firstLineChars="200"/>
        <w:rPr>
          <w:rFonts w:hint="eastAsia" w:ascii="宋体" w:hAnsi="宋体" w:eastAsia="宋体" w:cs="宋体"/>
          <w:bCs/>
          <w:strike/>
          <w:dstrike w:val="0"/>
          <w:color w:val="auto"/>
          <w:sz w:val="24"/>
          <w:szCs w:val="24"/>
          <w:highlight w:val="none"/>
          <w:shd w:val="clear" w:color="auto" w:fill="auto"/>
        </w:rPr>
      </w:pPr>
      <w:r>
        <w:rPr>
          <w:rFonts w:hint="eastAsia" w:ascii="宋体" w:hAnsi="宋体" w:eastAsia="宋体" w:cs="宋体"/>
          <w:bCs/>
          <w:strike/>
          <w:dstrike w:val="0"/>
          <w:color w:val="auto"/>
          <w:sz w:val="24"/>
          <w:szCs w:val="24"/>
          <w:highlight w:val="none"/>
          <w:shd w:val="clear" w:color="auto" w:fill="auto"/>
        </w:rPr>
        <w:t>（二）因电子交易系统故障、投标人数量过多等非投标人原因，导致投标文件不能在规定时间内完成解密的，招标人可向监管部门申请并征得同意后延长解密时间，告知在线的投标人。</w:t>
      </w:r>
    </w:p>
    <w:p w14:paraId="0E56DEAA">
      <w:pPr>
        <w:pageBreakBefore w:val="0"/>
        <w:wordWrap/>
        <w:overflowPunct/>
        <w:topLinePunct w:val="0"/>
        <w:bidi w:val="0"/>
        <w:spacing w:line="440" w:lineRule="exact"/>
        <w:ind w:firstLine="480" w:firstLineChars="200"/>
        <w:rPr>
          <w:rFonts w:hint="eastAsia" w:ascii="宋体" w:hAnsi="宋体" w:eastAsia="宋体" w:cs="宋体"/>
          <w:bCs/>
          <w:strike/>
          <w:dstrike w:val="0"/>
          <w:color w:val="auto"/>
          <w:sz w:val="24"/>
          <w:szCs w:val="24"/>
          <w:highlight w:val="none"/>
          <w:shd w:val="clear" w:color="auto" w:fill="auto"/>
        </w:rPr>
      </w:pPr>
      <w:r>
        <w:rPr>
          <w:rFonts w:hint="eastAsia" w:ascii="宋体" w:hAnsi="宋体" w:eastAsia="宋体" w:cs="宋体"/>
          <w:bCs/>
          <w:strike/>
          <w:dstrike w:val="0"/>
          <w:color w:val="auto"/>
          <w:sz w:val="24"/>
          <w:szCs w:val="24"/>
          <w:highlight w:val="none"/>
          <w:shd w:val="clear" w:color="auto" w:fill="auto"/>
        </w:rPr>
        <w:t>（三）投标人电脑终端的硬件设备和软件系统配置必须符合不见面开标技术要求并运行正常，否则投标人自行承担不利后果。</w:t>
      </w:r>
    </w:p>
    <w:p w14:paraId="279CEED1">
      <w:pPr>
        <w:pageBreakBefore w:val="0"/>
        <w:wordWrap/>
        <w:overflowPunct/>
        <w:topLinePunct w:val="0"/>
        <w:bidi w:val="0"/>
        <w:spacing w:line="440" w:lineRule="exact"/>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5.4.2开标特别说明</w:t>
      </w:r>
    </w:p>
    <w:p w14:paraId="1A408591">
      <w:pPr>
        <w:pageBreakBefore w:val="0"/>
        <w:wordWrap/>
        <w:overflowPunct/>
        <w:topLinePunct w:val="0"/>
        <w:bidi w:val="0"/>
        <w:spacing w:line="440" w:lineRule="exact"/>
        <w:ind w:firstLine="480" w:firstLineChars="200"/>
        <w:rPr>
          <w:rFonts w:hint="eastAsia" w:ascii="宋体" w:hAnsi="宋体" w:eastAsia="宋体" w:cs="宋体"/>
          <w:bCs/>
          <w:strike/>
          <w:dstrike w:val="0"/>
          <w:color w:val="auto"/>
          <w:sz w:val="24"/>
          <w:szCs w:val="24"/>
          <w:highlight w:val="none"/>
          <w:shd w:val="clear" w:color="auto" w:fill="auto"/>
        </w:rPr>
      </w:pPr>
      <w:r>
        <w:rPr>
          <w:rFonts w:hint="eastAsia" w:ascii="宋体" w:hAnsi="宋体" w:eastAsia="宋体" w:cs="宋体"/>
          <w:bCs/>
          <w:strike/>
          <w:dstrike w:val="0"/>
          <w:color w:val="auto"/>
          <w:sz w:val="24"/>
          <w:szCs w:val="24"/>
          <w:highlight w:val="none"/>
          <w:shd w:val="clear" w:color="auto" w:fill="auto"/>
        </w:rPr>
        <w:t>（一）开标解密使用投标人上传的加密电子投标文件。</w:t>
      </w:r>
    </w:p>
    <w:p w14:paraId="252BDF1D">
      <w:pPr>
        <w:pageBreakBefore w:val="0"/>
        <w:wordWrap/>
        <w:overflowPunct/>
        <w:topLinePunct w:val="0"/>
        <w:bidi w:val="0"/>
        <w:spacing w:line="440" w:lineRule="exact"/>
        <w:ind w:firstLine="480" w:firstLineChars="200"/>
        <w:rPr>
          <w:rFonts w:hint="eastAsia" w:ascii="宋体" w:hAnsi="宋体" w:eastAsia="宋体" w:cs="宋体"/>
          <w:bCs/>
          <w:strike/>
          <w:dstrike w:val="0"/>
          <w:color w:val="auto"/>
          <w:sz w:val="24"/>
          <w:szCs w:val="24"/>
          <w:highlight w:val="none"/>
          <w:shd w:val="clear" w:color="auto" w:fill="auto"/>
        </w:rPr>
      </w:pPr>
      <w:r>
        <w:rPr>
          <w:rFonts w:hint="eastAsia" w:ascii="宋体" w:hAnsi="宋体" w:eastAsia="宋体" w:cs="宋体"/>
          <w:bCs/>
          <w:strike/>
          <w:dstrike w:val="0"/>
          <w:color w:val="auto"/>
          <w:sz w:val="24"/>
          <w:szCs w:val="24"/>
          <w:highlight w:val="none"/>
          <w:shd w:val="clear" w:color="auto" w:fill="auto"/>
        </w:rPr>
        <w:t>（二）因投标人原因造成其电子文件未解密的，视为撤销其投标文件；投标截止时间前未完成投标文件传输的，视为撤回其投标文件；因投标人之外的原因造成电子投标文件未解密的，视为撤回其投标文件。</w:t>
      </w:r>
    </w:p>
    <w:p w14:paraId="1D923649">
      <w:pPr>
        <w:pageBreakBefore w:val="0"/>
        <w:wordWrap/>
        <w:overflowPunct/>
        <w:topLinePunct w:val="0"/>
        <w:bidi w:val="0"/>
        <w:spacing w:line="440" w:lineRule="exact"/>
        <w:ind w:firstLine="480" w:firstLineChars="200"/>
        <w:rPr>
          <w:rFonts w:hint="eastAsia" w:ascii="宋体" w:hAnsi="宋体" w:eastAsia="宋体" w:cs="宋体"/>
          <w:bCs/>
          <w:strike/>
          <w:dstrike w:val="0"/>
          <w:color w:val="auto"/>
          <w:sz w:val="24"/>
          <w:szCs w:val="24"/>
          <w:highlight w:val="none"/>
          <w:shd w:val="clear" w:color="auto" w:fill="auto"/>
        </w:rPr>
      </w:pPr>
      <w:r>
        <w:rPr>
          <w:rFonts w:hint="eastAsia" w:ascii="宋体" w:hAnsi="宋体" w:eastAsia="宋体" w:cs="宋体"/>
          <w:bCs/>
          <w:strike/>
          <w:dstrike w:val="0"/>
          <w:color w:val="auto"/>
          <w:sz w:val="24"/>
          <w:szCs w:val="24"/>
          <w:highlight w:val="none"/>
          <w:shd w:val="clear" w:color="auto" w:fill="auto"/>
        </w:rPr>
        <w:t>（三）部分投标人的电子文件无法解密的，其他投标文件的开标可以继续进行。</w:t>
      </w:r>
    </w:p>
    <w:p w14:paraId="31C572E2">
      <w:pPr>
        <w:pageBreakBefore w:val="0"/>
        <w:wordWrap/>
        <w:overflowPunct/>
        <w:topLinePunct w:val="0"/>
        <w:bidi w:val="0"/>
        <w:spacing w:line="440" w:lineRule="exact"/>
        <w:ind w:firstLine="480" w:firstLineChars="200"/>
        <w:rPr>
          <w:rFonts w:hint="eastAsia" w:ascii="宋体" w:hAnsi="宋体" w:eastAsia="宋体" w:cs="宋体"/>
          <w:bCs/>
          <w:strike/>
          <w:dstrike w:val="0"/>
          <w:color w:val="auto"/>
          <w:sz w:val="24"/>
          <w:szCs w:val="24"/>
          <w:highlight w:val="none"/>
          <w:shd w:val="clear" w:color="auto" w:fill="auto"/>
        </w:rPr>
      </w:pPr>
      <w:r>
        <w:rPr>
          <w:rFonts w:hint="eastAsia" w:ascii="宋体" w:hAnsi="宋体" w:eastAsia="宋体" w:cs="宋体"/>
          <w:bCs/>
          <w:strike/>
          <w:dstrike w:val="0"/>
          <w:color w:val="auto"/>
          <w:sz w:val="24"/>
          <w:szCs w:val="24"/>
          <w:highlight w:val="none"/>
          <w:shd w:val="clear" w:color="auto" w:fill="auto"/>
        </w:rPr>
        <w:t>（四）投标人必须使用生成电子文件的CA数字证书解密电子投标文件。（投标人应特别注意CA数字证书的有效性，包括但不限于以下情形：1.介质CA数字证书延期、补办后，虽硬件介质不变但证书 Key 号发生改变，视为不同证书，会导致开标时无法解密投标文件。2.移动CA数字证书需在有效期内进行续费操作，过期后只能重新申领，重新申领的移动CA数字证书不能解密申领之前加密的投标文件。）</w:t>
      </w:r>
    </w:p>
    <w:p w14:paraId="277241EC">
      <w:pPr>
        <w:pageBreakBefore w:val="0"/>
        <w:wordWrap/>
        <w:overflowPunct/>
        <w:topLinePunct w:val="0"/>
        <w:bidi w:val="0"/>
        <w:spacing w:line="440" w:lineRule="exact"/>
        <w:ind w:firstLine="480" w:firstLineChars="200"/>
        <w:rPr>
          <w:rFonts w:hint="eastAsia" w:ascii="宋体" w:hAnsi="宋体" w:eastAsia="宋体" w:cs="宋体"/>
          <w:bCs/>
          <w:strike/>
          <w:dstrike w:val="0"/>
          <w:color w:val="auto"/>
          <w:sz w:val="24"/>
          <w:szCs w:val="24"/>
          <w:highlight w:val="none"/>
          <w:shd w:val="clear" w:color="auto" w:fill="auto"/>
        </w:rPr>
      </w:pPr>
      <w:r>
        <w:rPr>
          <w:rFonts w:hint="eastAsia" w:ascii="宋体" w:hAnsi="宋体" w:eastAsia="宋体" w:cs="宋体"/>
          <w:bCs/>
          <w:strike/>
          <w:dstrike w:val="0"/>
          <w:color w:val="auto"/>
          <w:sz w:val="24"/>
          <w:szCs w:val="24"/>
          <w:highlight w:val="none"/>
          <w:shd w:val="clear" w:color="auto" w:fill="auto"/>
        </w:rPr>
        <w:t>（五）投标人应实时关注不见面开标系统页面，观看开标全过程，并根据需要，使用不见面</w:t>
      </w:r>
    </w:p>
    <w:p w14:paraId="37223D7A">
      <w:pPr>
        <w:pageBreakBefore w:val="0"/>
        <w:wordWrap/>
        <w:overflowPunct/>
        <w:topLinePunct w:val="0"/>
        <w:bidi w:val="0"/>
        <w:spacing w:line="440" w:lineRule="exact"/>
        <w:ind w:firstLine="480" w:firstLineChars="200"/>
        <w:rPr>
          <w:rFonts w:hint="eastAsia" w:ascii="宋体" w:hAnsi="宋体" w:eastAsia="宋体" w:cs="宋体"/>
          <w:bCs/>
          <w:strike/>
          <w:dstrike w:val="0"/>
          <w:color w:val="auto"/>
          <w:sz w:val="24"/>
          <w:szCs w:val="24"/>
          <w:highlight w:val="none"/>
          <w:shd w:val="clear" w:color="auto" w:fill="auto"/>
        </w:rPr>
      </w:pPr>
      <w:r>
        <w:rPr>
          <w:rFonts w:hint="eastAsia" w:ascii="宋体" w:hAnsi="宋体" w:eastAsia="宋体" w:cs="宋体"/>
          <w:bCs/>
          <w:strike/>
          <w:dstrike w:val="0"/>
          <w:color w:val="auto"/>
          <w:sz w:val="24"/>
          <w:szCs w:val="24"/>
          <w:highlight w:val="none"/>
          <w:shd w:val="clear" w:color="auto" w:fill="auto"/>
        </w:rPr>
        <w:t>开标系统与招标人进行互动交流、澄清、异议、投标文件解密等活动。投标人登录不见面开标系统，参与在线开标活动，均被视为是投标人的法定代表人或其委托代理人，承担相应的法律责任。</w:t>
      </w:r>
    </w:p>
    <w:p w14:paraId="0491CB4D">
      <w:pPr>
        <w:pageBreakBefore w:val="0"/>
        <w:wordWrap/>
        <w:overflowPunct/>
        <w:topLinePunct w:val="0"/>
        <w:bidi w:val="0"/>
        <w:spacing w:line="440" w:lineRule="exact"/>
        <w:ind w:firstLine="480" w:firstLineChars="200"/>
        <w:rPr>
          <w:rFonts w:hint="eastAsia" w:ascii="宋体" w:hAnsi="宋体" w:eastAsia="宋体" w:cs="宋体"/>
          <w:bCs/>
          <w:strike/>
          <w:dstrike w:val="0"/>
          <w:color w:val="auto"/>
          <w:sz w:val="24"/>
          <w:szCs w:val="24"/>
          <w:highlight w:val="none"/>
          <w:shd w:val="clear" w:color="auto" w:fill="auto"/>
        </w:rPr>
      </w:pPr>
      <w:r>
        <w:rPr>
          <w:rFonts w:hint="eastAsia" w:ascii="宋体" w:hAnsi="宋体" w:eastAsia="宋体" w:cs="宋体"/>
          <w:bCs/>
          <w:strike/>
          <w:dstrike w:val="0"/>
          <w:color w:val="auto"/>
          <w:sz w:val="24"/>
          <w:szCs w:val="24"/>
          <w:highlight w:val="none"/>
          <w:shd w:val="clear" w:color="auto" w:fill="auto"/>
        </w:rPr>
        <w:t>未及时登录不见面开标系统参与在线开标，投标人将无法及时获取解密指令、废标、澄清、唱标、评审结果等实时情况。投标人应自行承担由此引起的相关风险。</w:t>
      </w:r>
    </w:p>
    <w:p w14:paraId="1436A206">
      <w:pPr>
        <w:pageBreakBefore w:val="0"/>
        <w:wordWrap/>
        <w:overflowPunct/>
        <w:topLinePunct w:val="0"/>
        <w:bidi w:val="0"/>
        <w:spacing w:line="440" w:lineRule="exact"/>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5.4.3其他:见投标人须知前附表。</w:t>
      </w:r>
    </w:p>
    <w:p w14:paraId="59510828">
      <w:pPr>
        <w:pageBreakBefore w:val="0"/>
        <w:widowControl w:val="0"/>
        <w:kinsoku/>
        <w:wordWrap/>
        <w:overflowPunct/>
        <w:topLinePunct w:val="0"/>
        <w:autoSpaceDE/>
        <w:autoSpaceDN/>
        <w:bidi w:val="0"/>
        <w:adjustRightInd/>
        <w:snapToGrid/>
        <w:spacing w:line="440" w:lineRule="exact"/>
        <w:jc w:val="both"/>
        <w:textAlignment w:val="auto"/>
        <w:outlineLvl w:val="1"/>
        <w:rPr>
          <w:rFonts w:hint="eastAsia" w:ascii="宋体" w:hAnsi="宋体" w:eastAsia="宋体" w:cs="宋体"/>
          <w:b/>
          <w:bCs/>
          <w:snapToGrid/>
          <w:color w:val="auto"/>
          <w:kern w:val="2"/>
          <w:sz w:val="24"/>
          <w:szCs w:val="24"/>
          <w:highlight w:val="none"/>
          <w:shd w:val="clear" w:color="auto" w:fill="auto"/>
        </w:rPr>
      </w:pPr>
      <w:bookmarkStart w:id="5" w:name="_Toc153981473"/>
      <w:bookmarkStart w:id="6" w:name="_Toc25932"/>
      <w:bookmarkStart w:id="7" w:name="_Toc24644"/>
      <w:bookmarkStart w:id="8" w:name="_Toc31702"/>
      <w:bookmarkStart w:id="9" w:name="_Toc24695"/>
      <w:bookmarkStart w:id="10" w:name="_Toc462184031"/>
      <w:bookmarkStart w:id="11" w:name="_Toc16092"/>
      <w:bookmarkStart w:id="12" w:name="_Toc22455"/>
      <w:bookmarkStart w:id="13" w:name="_Toc24156"/>
      <w:bookmarkStart w:id="14" w:name="_Toc27905"/>
      <w:bookmarkStart w:id="15" w:name="_Toc22922"/>
      <w:bookmarkStart w:id="16" w:name="_Toc9230"/>
      <w:bookmarkStart w:id="17" w:name="_Toc15636"/>
      <w:r>
        <w:rPr>
          <w:rFonts w:hint="eastAsia" w:ascii="宋体" w:hAnsi="宋体" w:eastAsia="宋体" w:cs="宋体"/>
          <w:b/>
          <w:bCs/>
          <w:snapToGrid/>
          <w:color w:val="auto"/>
          <w:kern w:val="2"/>
          <w:sz w:val="24"/>
          <w:szCs w:val="24"/>
          <w:highlight w:val="none"/>
          <w:shd w:val="clear" w:color="auto" w:fill="auto"/>
        </w:rPr>
        <w:t>6. 评标</w:t>
      </w:r>
      <w:bookmarkEnd w:id="5"/>
      <w:bookmarkEnd w:id="6"/>
      <w:bookmarkEnd w:id="7"/>
      <w:bookmarkEnd w:id="8"/>
      <w:bookmarkEnd w:id="9"/>
      <w:bookmarkEnd w:id="10"/>
      <w:bookmarkEnd w:id="11"/>
      <w:bookmarkEnd w:id="12"/>
      <w:bookmarkEnd w:id="13"/>
      <w:bookmarkEnd w:id="14"/>
      <w:bookmarkEnd w:id="15"/>
      <w:bookmarkEnd w:id="16"/>
      <w:bookmarkEnd w:id="17"/>
    </w:p>
    <w:p w14:paraId="0F0E74EF">
      <w:pPr>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snapToGrid/>
          <w:color w:val="auto"/>
          <w:kern w:val="2"/>
          <w:sz w:val="24"/>
          <w:szCs w:val="24"/>
          <w:highlight w:val="none"/>
          <w:shd w:val="clear" w:color="auto" w:fill="auto"/>
        </w:rPr>
      </w:pPr>
      <w:bookmarkStart w:id="18" w:name="_Toc193449944"/>
      <w:r>
        <w:rPr>
          <w:rFonts w:hint="eastAsia" w:ascii="宋体" w:hAnsi="宋体" w:eastAsia="宋体" w:cs="宋体"/>
          <w:b/>
          <w:snapToGrid/>
          <w:color w:val="auto"/>
          <w:kern w:val="2"/>
          <w:sz w:val="24"/>
          <w:szCs w:val="24"/>
          <w:highlight w:val="none"/>
          <w:shd w:val="clear" w:color="auto" w:fill="auto"/>
        </w:rPr>
        <w:t>6.1 评标委员会</w:t>
      </w:r>
      <w:bookmarkEnd w:id="18"/>
    </w:p>
    <w:p w14:paraId="2B418E83">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6.1.1评标由招标人依法组建的评标委员会负责。评标委员会由招标人代表和有关技术、经济等方面的评标专家组成。评标委员会成员人数以及技术、经济等方面专家的确定方式见投标人须知前附表规定。</w:t>
      </w:r>
    </w:p>
    <w:p w14:paraId="6C632850">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6.1.2 评标委员会成员有下列情形之一的，应当回避：</w:t>
      </w:r>
    </w:p>
    <w:p w14:paraId="14BAE759">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6.1.2.1 投标人或投标人的主要负责人及其拟派项目负责人的近亲属；</w:t>
      </w:r>
    </w:p>
    <w:p w14:paraId="5EE05EE4">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6.1.2.2 项目主管部门或者行政监督部门的人员：</w:t>
      </w:r>
    </w:p>
    <w:p w14:paraId="119C1998">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6.1.2.3 与投标人有经济利益关系，可能影响对投标公正评审的；</w:t>
      </w:r>
    </w:p>
    <w:p w14:paraId="6F2790B1">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6.1.2.4 曾因在招标、评标以及其他与招标投标有关活动中有过不良行为或从事违法行为而受过行政处罚或刑事处罚的。</w:t>
      </w:r>
    </w:p>
    <w:p w14:paraId="24DAE2BE">
      <w:pPr>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snapToGrid/>
          <w:color w:val="auto"/>
          <w:kern w:val="2"/>
          <w:sz w:val="24"/>
          <w:szCs w:val="24"/>
          <w:highlight w:val="none"/>
          <w:shd w:val="clear" w:color="auto" w:fill="auto"/>
        </w:rPr>
      </w:pPr>
      <w:bookmarkStart w:id="19" w:name="_Toc193449945"/>
      <w:r>
        <w:rPr>
          <w:rFonts w:hint="eastAsia" w:ascii="宋体" w:hAnsi="宋体" w:eastAsia="宋体" w:cs="宋体"/>
          <w:b/>
          <w:snapToGrid/>
          <w:color w:val="auto"/>
          <w:kern w:val="2"/>
          <w:sz w:val="24"/>
          <w:szCs w:val="24"/>
          <w:highlight w:val="none"/>
          <w:shd w:val="clear" w:color="auto" w:fill="auto"/>
        </w:rPr>
        <w:t xml:space="preserve">6.2 评标原则 </w:t>
      </w:r>
    </w:p>
    <w:p w14:paraId="1DCA1CBE">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评标活动遵循公平、公正、科学、择优的原则。</w:t>
      </w:r>
    </w:p>
    <w:p w14:paraId="16EDAD3E">
      <w:pPr>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snapToGrid/>
          <w:color w:val="auto"/>
          <w:kern w:val="2"/>
          <w:sz w:val="24"/>
          <w:szCs w:val="24"/>
          <w:highlight w:val="none"/>
          <w:shd w:val="clear" w:color="auto" w:fill="auto"/>
        </w:rPr>
      </w:pPr>
      <w:r>
        <w:rPr>
          <w:rFonts w:hint="eastAsia" w:ascii="宋体" w:hAnsi="宋体" w:eastAsia="宋体" w:cs="宋体"/>
          <w:b/>
          <w:snapToGrid/>
          <w:color w:val="auto"/>
          <w:kern w:val="2"/>
          <w:sz w:val="24"/>
          <w:szCs w:val="24"/>
          <w:highlight w:val="none"/>
          <w:shd w:val="clear" w:color="auto" w:fill="auto"/>
        </w:rPr>
        <w:t>6.3 评标过程的保密</w:t>
      </w:r>
      <w:bookmarkEnd w:id="19"/>
    </w:p>
    <w:p w14:paraId="32A5D865">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6.3.1 开标后，直至授予中标人合同为止，凡属于对投标文件的审查、澄清、评价和比较的有关资料，以及与评标有关的其他任何情况均应严格保密。</w:t>
      </w:r>
    </w:p>
    <w:p w14:paraId="663BF34A">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6.3.2 在投标文件的评审和比较、中标候选人推荐以及授予合同的过程中，投标人向招标人和评标委员会施加影响的任何行为，都将会导致其投标被拒绝。</w:t>
      </w:r>
    </w:p>
    <w:p w14:paraId="57E80255">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6.3.3 中标人确定后，招标人不对未中标人就评标过程以及未能中标原因作出任何解释。</w:t>
      </w:r>
    </w:p>
    <w:p w14:paraId="69BF5145">
      <w:pPr>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snapToGrid/>
          <w:color w:val="auto"/>
          <w:kern w:val="2"/>
          <w:sz w:val="24"/>
          <w:szCs w:val="24"/>
          <w:highlight w:val="none"/>
          <w:shd w:val="clear" w:color="auto" w:fill="auto"/>
        </w:rPr>
      </w:pPr>
      <w:bookmarkStart w:id="20" w:name="_Toc193449946"/>
      <w:r>
        <w:rPr>
          <w:rFonts w:hint="eastAsia" w:ascii="宋体" w:hAnsi="宋体" w:eastAsia="宋体" w:cs="宋体"/>
          <w:b/>
          <w:snapToGrid/>
          <w:color w:val="auto"/>
          <w:kern w:val="2"/>
          <w:sz w:val="24"/>
          <w:szCs w:val="24"/>
          <w:highlight w:val="none"/>
          <w:shd w:val="clear" w:color="auto" w:fill="auto"/>
        </w:rPr>
        <w:t>6.4 评标</w:t>
      </w:r>
      <w:bookmarkEnd w:id="20"/>
    </w:p>
    <w:p w14:paraId="3124E3F3">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6.4.1评标委员会按照投标人须知前附表规定的评标办法（详见第三章“评标办法”规定的方法、评审因素、标准和程序）对投标文件进行评审。第三章“评标办法”未规定的方法、评审因素和标准，不作为评标依据。</w:t>
      </w:r>
    </w:p>
    <w:p w14:paraId="193422B0">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6.4.2评标完成后，评标委员会应当向招标人提交书面评标报告和中标候选人名单。评标委员会推荐中标候选人的人数见投标人须知前附表。</w:t>
      </w:r>
    </w:p>
    <w:p w14:paraId="2FF1744C">
      <w:pPr>
        <w:keepNext/>
        <w:keepLines/>
        <w:pageBreakBefore w:val="0"/>
        <w:widowControl w:val="0"/>
        <w:kinsoku/>
        <w:wordWrap/>
        <w:overflowPunct/>
        <w:topLinePunct w:val="0"/>
        <w:autoSpaceDE/>
        <w:autoSpaceDN/>
        <w:bidi w:val="0"/>
        <w:adjustRightInd/>
        <w:snapToGrid/>
        <w:spacing w:line="440" w:lineRule="exact"/>
        <w:jc w:val="both"/>
        <w:textAlignment w:val="auto"/>
        <w:outlineLvl w:val="1"/>
        <w:rPr>
          <w:rFonts w:hint="eastAsia" w:ascii="宋体" w:hAnsi="宋体" w:eastAsia="宋体" w:cs="宋体"/>
          <w:b/>
          <w:bCs/>
          <w:snapToGrid/>
          <w:color w:val="auto"/>
          <w:kern w:val="2"/>
          <w:sz w:val="24"/>
          <w:szCs w:val="24"/>
          <w:highlight w:val="none"/>
          <w:shd w:val="clear" w:color="auto" w:fill="auto"/>
        </w:rPr>
      </w:pPr>
      <w:bookmarkStart w:id="21" w:name="_Toc21714"/>
      <w:bookmarkStart w:id="22" w:name="_Toc7704"/>
      <w:bookmarkStart w:id="23" w:name="_Toc11303"/>
      <w:bookmarkStart w:id="24" w:name="_Toc153981474"/>
      <w:bookmarkStart w:id="25" w:name="_Toc12652"/>
      <w:bookmarkStart w:id="26" w:name="_Toc17051"/>
      <w:bookmarkStart w:id="27" w:name="_Toc462184032"/>
      <w:bookmarkStart w:id="28" w:name="_Toc13493"/>
      <w:bookmarkStart w:id="29" w:name="_Toc28621"/>
      <w:bookmarkStart w:id="30" w:name="_Toc29415"/>
      <w:bookmarkStart w:id="31" w:name="_Toc28153"/>
      <w:bookmarkStart w:id="32" w:name="_Toc18956"/>
      <w:bookmarkStart w:id="33" w:name="_Toc8865"/>
      <w:r>
        <w:rPr>
          <w:rFonts w:hint="eastAsia" w:ascii="宋体" w:hAnsi="宋体" w:eastAsia="宋体" w:cs="宋体"/>
          <w:b/>
          <w:bCs/>
          <w:snapToGrid/>
          <w:color w:val="auto"/>
          <w:kern w:val="2"/>
          <w:sz w:val="24"/>
          <w:szCs w:val="24"/>
          <w:highlight w:val="none"/>
          <w:shd w:val="clear" w:color="auto" w:fill="auto"/>
        </w:rPr>
        <w:t>7. 合同授予</w:t>
      </w:r>
      <w:bookmarkEnd w:id="21"/>
      <w:bookmarkEnd w:id="22"/>
      <w:bookmarkEnd w:id="23"/>
      <w:bookmarkEnd w:id="24"/>
      <w:bookmarkEnd w:id="25"/>
      <w:bookmarkEnd w:id="26"/>
      <w:bookmarkEnd w:id="27"/>
      <w:bookmarkEnd w:id="28"/>
      <w:bookmarkEnd w:id="29"/>
      <w:bookmarkEnd w:id="30"/>
      <w:bookmarkEnd w:id="31"/>
      <w:bookmarkEnd w:id="32"/>
      <w:bookmarkEnd w:id="33"/>
      <w:bookmarkStart w:id="34" w:name="_Toc193449947"/>
    </w:p>
    <w:p w14:paraId="05DA84BC">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lang w:eastAsia="zh-CN"/>
        </w:rPr>
        <w:t>☑</w:t>
      </w:r>
      <w:r>
        <w:rPr>
          <w:rFonts w:hint="eastAsia" w:ascii="宋体" w:hAnsi="宋体" w:eastAsia="宋体" w:cs="宋体"/>
          <w:snapToGrid/>
          <w:color w:val="auto"/>
          <w:kern w:val="2"/>
          <w:sz w:val="24"/>
          <w:szCs w:val="24"/>
          <w:highlight w:val="none"/>
          <w:shd w:val="clear" w:color="auto" w:fill="auto"/>
        </w:rPr>
        <w:t>7.1 定标方式</w:t>
      </w:r>
    </w:p>
    <w:p w14:paraId="5720718F">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招标人授权评标委员会确定中标人或根据评标委员会推荐招标人确定招标人的（评定分离除外），国有资金占控股或者主导地位的依法必须进行招标的项目，招标人应当确定排名第一的中标候选人为中标人。</w:t>
      </w:r>
      <w:r>
        <w:rPr>
          <w:rFonts w:hint="eastAsia" w:ascii="宋体" w:hAnsi="宋体" w:eastAsia="宋体" w:cs="宋体"/>
          <w:snapToGrid/>
          <w:color w:val="auto"/>
          <w:kern w:val="2"/>
          <w:sz w:val="24"/>
          <w:szCs w:val="24"/>
          <w:highlight w:val="none"/>
          <w:shd w:val="clear" w:color="auto" w:fill="auto"/>
        </w:rPr>
        <w:t>确定中标候选人后，若3家中标候选人都放弃</w:t>
      </w:r>
      <w:r>
        <w:rPr>
          <w:rFonts w:hint="eastAsia" w:ascii="宋体" w:hAnsi="宋体" w:eastAsia="宋体" w:cs="宋体"/>
          <w:snapToGrid/>
          <w:color w:val="auto"/>
          <w:kern w:val="2"/>
          <w:sz w:val="24"/>
          <w:szCs w:val="24"/>
          <w:highlight w:val="none"/>
          <w:shd w:val="clear" w:color="auto" w:fill="auto"/>
          <w:lang w:eastAsia="zh-CN"/>
        </w:rPr>
        <w:t>中标资格或拒不签订合同或因</w:t>
      </w:r>
      <w:r>
        <w:rPr>
          <w:rFonts w:hint="eastAsia" w:ascii="宋体" w:hAnsi="宋体" w:eastAsia="宋体" w:cs="宋体"/>
          <w:snapToGrid/>
          <w:color w:val="auto"/>
          <w:kern w:val="2"/>
          <w:sz w:val="24"/>
          <w:szCs w:val="24"/>
          <w:highlight w:val="none"/>
          <w:shd w:val="clear" w:color="auto" w:fill="auto"/>
        </w:rPr>
        <w:t>质疑、投诉被取消预中标资格或有其他违规行为的，招标人将取消3家中标候选人中标资格，不再另行递补，重新组织招标。确定中标候选人后，若其中1家或2家中标候选人放弃</w:t>
      </w:r>
      <w:r>
        <w:rPr>
          <w:rFonts w:hint="eastAsia" w:ascii="宋体" w:hAnsi="宋体" w:eastAsia="宋体" w:cs="宋体"/>
          <w:snapToGrid/>
          <w:color w:val="auto"/>
          <w:kern w:val="2"/>
          <w:sz w:val="24"/>
          <w:szCs w:val="24"/>
          <w:highlight w:val="none"/>
          <w:shd w:val="clear" w:color="auto" w:fill="auto"/>
          <w:lang w:eastAsia="zh-CN"/>
        </w:rPr>
        <w:t>中标资格或拒不签订合同或因</w:t>
      </w:r>
      <w:r>
        <w:rPr>
          <w:rFonts w:hint="eastAsia" w:ascii="宋体" w:hAnsi="宋体" w:eastAsia="宋体" w:cs="宋体"/>
          <w:snapToGrid/>
          <w:color w:val="auto"/>
          <w:kern w:val="2"/>
          <w:sz w:val="24"/>
          <w:szCs w:val="24"/>
          <w:highlight w:val="none"/>
          <w:shd w:val="clear" w:color="auto" w:fill="auto"/>
        </w:rPr>
        <w:t>质疑、投诉被取消预中标资格或有其他违规行为的，招标人将取消该中标候选人中标资格，根据排名另行递补1名或2名中标候选人。递补的中标候选人也放弃</w:t>
      </w:r>
      <w:r>
        <w:rPr>
          <w:rFonts w:hint="eastAsia" w:ascii="宋体" w:hAnsi="宋体" w:eastAsia="宋体" w:cs="宋体"/>
          <w:snapToGrid/>
          <w:color w:val="auto"/>
          <w:kern w:val="2"/>
          <w:sz w:val="24"/>
          <w:szCs w:val="24"/>
          <w:highlight w:val="none"/>
          <w:shd w:val="clear" w:color="auto" w:fill="auto"/>
          <w:lang w:eastAsia="zh-CN"/>
        </w:rPr>
        <w:t>中标资格或拒不签订合同或因</w:t>
      </w:r>
      <w:r>
        <w:rPr>
          <w:rFonts w:hint="eastAsia" w:ascii="宋体" w:hAnsi="宋体" w:eastAsia="宋体" w:cs="宋体"/>
          <w:snapToGrid/>
          <w:color w:val="auto"/>
          <w:kern w:val="2"/>
          <w:sz w:val="24"/>
          <w:szCs w:val="24"/>
          <w:highlight w:val="none"/>
          <w:shd w:val="clear" w:color="auto" w:fill="auto"/>
        </w:rPr>
        <w:t>质疑、投诉被取消预中标资格或有其他违规行为的，招标人将取消递补中标候选人中标资格，且不再进行递补，项目重新招标。</w:t>
      </w:r>
    </w:p>
    <w:p w14:paraId="53DB29C5">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授权评标委员会推荐中标候选人的见投标人须知前附表。</w:t>
      </w:r>
    </w:p>
    <w:p w14:paraId="1D54785D">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□7.1 定标方式（适用“评定分离”）</w:t>
      </w:r>
    </w:p>
    <w:p w14:paraId="0A0CB2C5">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按照《浙江省工程建设项目招标投标“评定分离”操作指引（试行）》（浙发改公管〔2023〕256 号）、《绍兴市工程建设项目招标投标“评定分离”试点定标操作指引（试行）》（绍市政服办〔2023〕17号）确定，由招标人在招标文件中明确。</w:t>
      </w:r>
    </w:p>
    <w:p w14:paraId="010DF9AA">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7.1.1中标候选人公示</w:t>
      </w:r>
    </w:p>
    <w:p w14:paraId="426EAF92">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对中标候选人的情况（有业绩、荣誉要求的，包括业绩、荣誉）在绍兴公共资源交易网</w:t>
      </w:r>
      <w:r>
        <w:rPr>
          <w:rFonts w:hint="eastAsia" w:ascii="宋体" w:hAnsi="宋体" w:cs="宋体"/>
          <w:snapToGrid/>
          <w:color w:val="auto"/>
          <w:kern w:val="2"/>
          <w:sz w:val="24"/>
          <w:szCs w:val="24"/>
          <w:highlight w:val="none"/>
          <w:shd w:val="clear" w:color="auto" w:fill="auto"/>
          <w:lang w:eastAsia="zh-CN"/>
        </w:rPr>
        <w:t>、</w:t>
      </w:r>
      <w:r>
        <w:rPr>
          <w:rFonts w:hint="eastAsia" w:ascii="宋体" w:hAnsi="宋体" w:eastAsia="宋体" w:cs="宋体"/>
          <w:snapToGrid/>
          <w:color w:val="auto"/>
          <w:kern w:val="2"/>
          <w:sz w:val="24"/>
          <w:szCs w:val="24"/>
          <w:highlight w:val="none"/>
          <w:u w:val="none"/>
          <w:shd w:val="clear" w:color="auto" w:fill="auto"/>
          <w:lang w:val="en-US" w:eastAsia="zh-CN"/>
        </w:rPr>
        <w:t>绍兴市公用事业集团有限公司官网</w:t>
      </w:r>
      <w:r>
        <w:rPr>
          <w:rFonts w:hint="eastAsia" w:ascii="宋体" w:hAnsi="宋体" w:eastAsia="宋体" w:cs="宋体"/>
          <w:snapToGrid/>
          <w:color w:val="auto"/>
          <w:kern w:val="2"/>
          <w:sz w:val="24"/>
          <w:szCs w:val="24"/>
          <w:highlight w:val="none"/>
          <w:shd w:val="clear" w:color="auto" w:fill="auto"/>
        </w:rPr>
        <w:t>予以公示，公示期间招标人将对业绩及相关资质、证书原件等进行核查，公示期为3日。如遇国家法定休假日，应顺延至法定休假日后第一个工作日。</w:t>
      </w:r>
    </w:p>
    <w:p w14:paraId="7A3D73EA">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7.1.2定标会议时间和地点</w:t>
      </w:r>
    </w:p>
    <w:p w14:paraId="138ED258">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招标人在投标须知前附表规定的时间和地点召开定标会议，并全程录音录像。</w:t>
      </w:r>
    </w:p>
    <w:p w14:paraId="4551F792">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7.1.3 定标委员会的组成见投标人须知前附表。定标委员会成员与中标候选人有利害关系的应主动说明并申请回避，定标委员会名单在中标结果确定前保密。</w:t>
      </w:r>
    </w:p>
    <w:p w14:paraId="0ED9DA65">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7.1.4 定标要素</w:t>
      </w:r>
    </w:p>
    <w:p w14:paraId="46A89E6C">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7.1.4.1招标人可在投标须知前附表规定的时间前对所有中标候选人进行考察、质询。考察、质询小组应由投标须知前附表规定的人数组成。考察、质询小组应如实记录考察、质询情况，并出具考察、质询报告作为定标要素之一。考察、质询报告应客观公正，不得有明示或暗示中标人的内容。</w:t>
      </w:r>
    </w:p>
    <w:p w14:paraId="59B46E0C">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7.1.4.2招标人在定标阶段对中标候选人（联合体投标的，为联合体牵头人）的法定代表人、拟派项目负责人开展现场面试。现场面试由定标委员会具体实施。</w:t>
      </w:r>
    </w:p>
    <w:p w14:paraId="526C9325">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 xml:space="preserve">7.1.4.3定标要素应参考评标委员会评标报告、质询或考察报告、现场面试情况，此外，还可以包含以下要素： </w:t>
      </w:r>
    </w:p>
    <w:p w14:paraId="1240F189">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 xml:space="preserve">（1）价格因素：主要包括商务报价高低、不平衡报价情况等； </w:t>
      </w:r>
    </w:p>
    <w:p w14:paraId="0FAA6A4D">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 xml:space="preserve">（2）企业实力：主要包括企业规模、资质等级、专业技术人员规模、近年的财务状况、过往业绩（含业绩影响力、难易程度）等； </w:t>
      </w:r>
    </w:p>
    <w:p w14:paraId="5C8A34CB">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 xml:space="preserve">（3）企业信誉：主要包括企业信用情况、过往业绩履约情况、建设单位履约评价情况等（可查询全国和浙江省建筑市场监管公共服务系统等）； </w:t>
      </w:r>
    </w:p>
    <w:p w14:paraId="0B6BFCEC">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 xml:space="preserve">（4）投标方案：主要包括设计方案情况、设计重难点解决方案等； </w:t>
      </w:r>
    </w:p>
    <w:p w14:paraId="408043CA">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 xml:space="preserve">（5）拟派团队能力与水平：主要包括团队主要负责人类似工程业绩、拟派项目团队人员的资信实力等； </w:t>
      </w:r>
    </w:p>
    <w:p w14:paraId="3181FE25">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 xml:space="preserve">（6）联合体投标的，联合体组成情况； </w:t>
      </w:r>
    </w:p>
    <w:p w14:paraId="38A7136E">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（7）招标人认为需要考量的其他因素。</w:t>
      </w:r>
    </w:p>
    <w:p w14:paraId="716739C8">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 xml:space="preserve">7.1.5定标方法可采用下列方法或者下列方法的组合： </w:t>
      </w:r>
    </w:p>
    <w:p w14:paraId="4C1A963F">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 xml:space="preserve">（1）票决法。由定标委员会以直接票决或者逐轮票决的方式确定中标人。 </w:t>
      </w:r>
    </w:p>
    <w:p w14:paraId="73479F07">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 xml:space="preserve">（2）集体议事法。由定标委员会进行集体商议，定标委员会成员各自发表意见，由定标委员会组长最终确定中标人。所有参加会议的定标委员会成员的意见应当作书面记录，并由定标委员会成员签字确认。 </w:t>
      </w:r>
    </w:p>
    <w:p w14:paraId="60FCC0B2">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（3）投标须知前附表规定的其他定标办法。</w:t>
      </w:r>
    </w:p>
    <w:p w14:paraId="19EB873B">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7.1.6中标人公告媒介及期限</w:t>
      </w:r>
    </w:p>
    <w:p w14:paraId="30855276">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招标人应当将中标结果情况在投标须知前附表规定的媒介上公告不少于3日。</w:t>
      </w:r>
    </w:p>
    <w:p w14:paraId="66F18191">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7.1.7定标后有下列情形之一的，招标人可以组织原定标委员会从其他中标候选人中按原定标方法确定中标人：</w:t>
      </w:r>
    </w:p>
    <w:p w14:paraId="5E2566DD">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 xml:space="preserve">（1）中标人放弃中标资格或者拒不签订合同的； </w:t>
      </w:r>
    </w:p>
    <w:p w14:paraId="53F0962F">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 xml:space="preserve">（2）中标人被查实存在违法行为影响中标结果的； </w:t>
      </w:r>
    </w:p>
    <w:p w14:paraId="139EF16E">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 xml:space="preserve">（3）投标须知前附表规定的其他情形。 </w:t>
      </w:r>
    </w:p>
    <w:p w14:paraId="73B1FBF1">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 xml:space="preserve">7.1.8定标后有下列情形之一的，应重新定标： </w:t>
      </w:r>
    </w:p>
    <w:p w14:paraId="69A3BBC7">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 xml:space="preserve">（1）查实定标委员会未按定标办法公正履职的； </w:t>
      </w:r>
    </w:p>
    <w:p w14:paraId="6EE08200">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 xml:space="preserve">（2）有定标委员会成员与中标候选人有利害关系且未申请回避的； </w:t>
      </w:r>
    </w:p>
    <w:p w14:paraId="7A957F83">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trike/>
          <w:dstrike w:val="0"/>
          <w:snapToGrid/>
          <w:color w:val="auto"/>
          <w:kern w:val="2"/>
          <w:sz w:val="24"/>
          <w:szCs w:val="24"/>
          <w:highlight w:val="none"/>
          <w:shd w:val="clear" w:color="auto" w:fill="auto"/>
        </w:rPr>
      </w:pPr>
      <w:r>
        <w:rPr>
          <w:rFonts w:hint="eastAsia" w:ascii="宋体" w:hAnsi="宋体" w:eastAsia="宋体" w:cs="宋体"/>
          <w:strike/>
          <w:dstrike w:val="0"/>
          <w:snapToGrid/>
          <w:color w:val="auto"/>
          <w:kern w:val="2"/>
          <w:sz w:val="24"/>
          <w:szCs w:val="24"/>
          <w:highlight w:val="none"/>
          <w:shd w:val="clear" w:color="auto" w:fill="auto"/>
        </w:rPr>
        <w:t>（3）投标须知前附表规定的其他情形。</w:t>
      </w:r>
    </w:p>
    <w:p w14:paraId="0A36557D">
      <w:pPr>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snapToGrid/>
          <w:color w:val="auto"/>
          <w:kern w:val="2"/>
          <w:sz w:val="24"/>
          <w:szCs w:val="24"/>
          <w:highlight w:val="none"/>
          <w:shd w:val="clear" w:color="auto" w:fill="auto"/>
        </w:rPr>
      </w:pPr>
      <w:r>
        <w:rPr>
          <w:rFonts w:hint="eastAsia" w:ascii="宋体" w:hAnsi="宋体" w:eastAsia="宋体" w:cs="宋体"/>
          <w:b/>
          <w:snapToGrid/>
          <w:color w:val="auto"/>
          <w:kern w:val="2"/>
          <w:sz w:val="24"/>
          <w:szCs w:val="24"/>
          <w:highlight w:val="none"/>
          <w:shd w:val="clear" w:color="auto" w:fill="auto"/>
        </w:rPr>
        <w:t>7.2 合同授予</w:t>
      </w:r>
      <w:bookmarkEnd w:id="34"/>
    </w:p>
    <w:p w14:paraId="32D47EFB">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7.2.1中标候选人公示媒介及期限见投标人须知前附表。</w:t>
      </w:r>
    </w:p>
    <w:p w14:paraId="46E2FEC1">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7.2.2本招标</w:t>
      </w:r>
      <w:r>
        <w:rPr>
          <w:rFonts w:hint="eastAsia" w:ascii="宋体" w:hAnsi="宋体" w:eastAsia="宋体" w:cs="宋体"/>
          <w:snapToGrid/>
          <w:color w:val="auto"/>
          <w:kern w:val="2"/>
          <w:sz w:val="24"/>
          <w:szCs w:val="24"/>
          <w:highlight w:val="none"/>
          <w:shd w:val="clear" w:color="auto" w:fill="auto"/>
        </w:rPr>
        <w:t>项目的合同将授予按本章第7.1条款所确定的中标人</w:t>
      </w:r>
      <w:r>
        <w:rPr>
          <w:rFonts w:hint="eastAsia" w:ascii="宋体" w:hAnsi="宋体" w:eastAsia="宋体" w:cs="宋体"/>
          <w:snapToGrid/>
          <w:color w:val="auto"/>
          <w:kern w:val="2"/>
          <w:sz w:val="24"/>
          <w:szCs w:val="24"/>
          <w:highlight w:val="none"/>
          <w:shd w:val="clear" w:color="auto" w:fill="auto"/>
          <w:lang w:eastAsia="zh-CN"/>
        </w:rPr>
        <w:t>（</w:t>
      </w:r>
      <w:r>
        <w:rPr>
          <w:rFonts w:hint="eastAsia" w:ascii="宋体" w:hAnsi="宋体" w:eastAsia="宋体" w:cs="宋体"/>
          <w:snapToGrid/>
          <w:color w:val="auto"/>
          <w:kern w:val="2"/>
          <w:sz w:val="24"/>
          <w:szCs w:val="24"/>
          <w:highlight w:val="none"/>
          <w:shd w:val="clear" w:color="auto" w:fill="auto"/>
          <w:lang w:val="en-US" w:eastAsia="zh-CN"/>
        </w:rPr>
        <w:t>3家单位</w:t>
      </w:r>
      <w:r>
        <w:rPr>
          <w:rFonts w:hint="eastAsia" w:ascii="宋体" w:hAnsi="宋体" w:eastAsia="宋体" w:cs="宋体"/>
          <w:snapToGrid/>
          <w:color w:val="auto"/>
          <w:kern w:val="2"/>
          <w:sz w:val="24"/>
          <w:szCs w:val="24"/>
          <w:highlight w:val="none"/>
          <w:shd w:val="clear" w:color="auto" w:fill="auto"/>
          <w:lang w:eastAsia="zh-CN"/>
        </w:rPr>
        <w:t>）</w:t>
      </w:r>
      <w:r>
        <w:rPr>
          <w:rFonts w:hint="eastAsia" w:ascii="宋体" w:hAnsi="宋体" w:eastAsia="宋体" w:cs="宋体"/>
          <w:snapToGrid/>
          <w:color w:val="auto"/>
          <w:kern w:val="2"/>
          <w:sz w:val="24"/>
          <w:szCs w:val="24"/>
          <w:highlight w:val="none"/>
          <w:shd w:val="clear" w:color="auto" w:fill="auto"/>
        </w:rPr>
        <w:t>。</w:t>
      </w:r>
    </w:p>
    <w:p w14:paraId="3C2E30EF">
      <w:pPr>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snapToGrid/>
          <w:color w:val="auto"/>
          <w:kern w:val="2"/>
          <w:sz w:val="24"/>
          <w:szCs w:val="24"/>
          <w:highlight w:val="none"/>
          <w:shd w:val="clear" w:color="auto" w:fill="auto"/>
        </w:rPr>
      </w:pPr>
      <w:bookmarkStart w:id="35" w:name="_Toc193449949"/>
      <w:r>
        <w:rPr>
          <w:rFonts w:hint="eastAsia" w:ascii="宋体" w:hAnsi="宋体" w:eastAsia="宋体" w:cs="宋体"/>
          <w:b/>
          <w:snapToGrid/>
          <w:color w:val="auto"/>
          <w:kern w:val="2"/>
          <w:sz w:val="24"/>
          <w:szCs w:val="24"/>
          <w:highlight w:val="none"/>
          <w:shd w:val="clear" w:color="auto" w:fill="auto"/>
        </w:rPr>
        <w:t>7.3 中标通知书</w:t>
      </w:r>
      <w:bookmarkEnd w:id="35"/>
    </w:p>
    <w:p w14:paraId="09703C44">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7.3.1招标人将于中标人确定后15日内向中标人发出中标通知书</w:t>
      </w:r>
      <w:r>
        <w:rPr>
          <w:rFonts w:hint="eastAsia" w:ascii="宋体" w:hAnsi="宋体" w:eastAsia="宋体" w:cs="宋体"/>
          <w:strike/>
          <w:dstrike w:val="0"/>
          <w:snapToGrid/>
          <w:color w:val="auto"/>
          <w:kern w:val="2"/>
          <w:sz w:val="24"/>
          <w:szCs w:val="24"/>
          <w:highlight w:val="none"/>
          <w:shd w:val="clear" w:color="auto" w:fill="auto"/>
        </w:rPr>
        <w:t>并向招投标监管机构提交招标情况书面报告</w:t>
      </w:r>
      <w:r>
        <w:rPr>
          <w:rFonts w:hint="eastAsia" w:ascii="宋体" w:hAnsi="宋体" w:eastAsia="宋体" w:cs="宋体"/>
          <w:snapToGrid/>
          <w:color w:val="auto"/>
          <w:kern w:val="2"/>
          <w:sz w:val="24"/>
          <w:szCs w:val="24"/>
          <w:highlight w:val="none"/>
          <w:shd w:val="clear" w:color="auto" w:fill="auto"/>
        </w:rPr>
        <w:t>。</w:t>
      </w:r>
    </w:p>
    <w:p w14:paraId="484A623A">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7.3.2 中标通知书为合同的组成部分。</w:t>
      </w:r>
    </w:p>
    <w:p w14:paraId="164F5910">
      <w:pPr>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snapToGrid/>
          <w:color w:val="auto"/>
          <w:kern w:val="2"/>
          <w:sz w:val="24"/>
          <w:szCs w:val="24"/>
          <w:highlight w:val="none"/>
          <w:shd w:val="clear" w:color="auto" w:fill="auto"/>
        </w:rPr>
      </w:pPr>
      <w:r>
        <w:rPr>
          <w:rFonts w:hint="eastAsia" w:ascii="宋体" w:hAnsi="宋体" w:eastAsia="宋体" w:cs="宋体"/>
          <w:b/>
          <w:snapToGrid/>
          <w:color w:val="auto"/>
          <w:kern w:val="2"/>
          <w:sz w:val="24"/>
          <w:szCs w:val="24"/>
          <w:highlight w:val="none"/>
          <w:shd w:val="clear" w:color="auto" w:fill="auto"/>
        </w:rPr>
        <w:t>7.4</w:t>
      </w:r>
      <w:bookmarkStart w:id="36" w:name="_Toc193449950"/>
      <w:r>
        <w:rPr>
          <w:rFonts w:hint="eastAsia" w:ascii="宋体" w:hAnsi="宋体" w:eastAsia="宋体" w:cs="宋体"/>
          <w:b/>
          <w:snapToGrid/>
          <w:color w:val="auto"/>
          <w:kern w:val="2"/>
          <w:sz w:val="24"/>
          <w:szCs w:val="24"/>
          <w:highlight w:val="none"/>
          <w:shd w:val="clear" w:color="auto" w:fill="auto"/>
        </w:rPr>
        <w:t xml:space="preserve"> 履约</w:t>
      </w:r>
      <w:bookmarkEnd w:id="36"/>
      <w:r>
        <w:rPr>
          <w:rFonts w:hint="eastAsia" w:ascii="宋体" w:hAnsi="宋体" w:eastAsia="宋体" w:cs="宋体"/>
          <w:b/>
          <w:snapToGrid/>
          <w:color w:val="auto"/>
          <w:kern w:val="2"/>
          <w:sz w:val="24"/>
          <w:szCs w:val="24"/>
          <w:highlight w:val="none"/>
          <w:shd w:val="clear" w:color="auto" w:fill="auto"/>
        </w:rPr>
        <w:t>保证金</w:t>
      </w:r>
    </w:p>
    <w:p w14:paraId="79EE02D3">
      <w:pPr>
        <w:pageBreakBefore w:val="0"/>
        <w:widowControl w:val="0"/>
        <w:tabs>
          <w:tab w:val="left" w:pos="540"/>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7.4.1 在签订合同</w:t>
      </w:r>
      <w:r>
        <w:rPr>
          <w:rFonts w:hint="eastAsia" w:ascii="宋体" w:hAnsi="宋体" w:cs="宋体"/>
          <w:snapToGrid/>
          <w:color w:val="auto"/>
          <w:kern w:val="2"/>
          <w:sz w:val="24"/>
          <w:szCs w:val="24"/>
          <w:highlight w:val="none"/>
          <w:u w:val="none"/>
          <w:shd w:val="clear" w:color="auto" w:fill="auto"/>
          <w:lang w:eastAsia="zh-CN"/>
        </w:rPr>
        <w:t>时</w:t>
      </w:r>
      <w:r>
        <w:rPr>
          <w:rFonts w:hint="eastAsia" w:ascii="宋体" w:hAnsi="宋体" w:eastAsia="宋体" w:cs="宋体"/>
          <w:snapToGrid/>
          <w:color w:val="auto"/>
          <w:kern w:val="2"/>
          <w:sz w:val="24"/>
          <w:szCs w:val="24"/>
          <w:highlight w:val="none"/>
          <w:shd w:val="clear" w:color="auto" w:fill="auto"/>
        </w:rPr>
        <w:t>，中标人应按投标人须知前附表规定的金额、担保形式向招标人提交履约保证金。</w:t>
      </w:r>
      <w:r>
        <w:rPr>
          <w:rFonts w:hint="eastAsia" w:ascii="宋体" w:hAnsi="宋体" w:eastAsia="宋体" w:cs="宋体"/>
          <w:strike/>
          <w:dstrike w:val="0"/>
          <w:snapToGrid/>
          <w:color w:val="auto"/>
          <w:kern w:val="2"/>
          <w:sz w:val="24"/>
          <w:szCs w:val="24"/>
          <w:highlight w:val="none"/>
          <w:shd w:val="clear" w:color="auto" w:fill="auto"/>
        </w:rPr>
        <w:t>联合体中标的，其履约保证金以联合体牵头人名义提交。</w:t>
      </w:r>
      <w:r>
        <w:rPr>
          <w:rFonts w:hint="eastAsia" w:ascii="宋体" w:hAnsi="宋体" w:eastAsia="宋体" w:cs="宋体"/>
          <w:snapToGrid/>
          <w:color w:val="auto"/>
          <w:kern w:val="2"/>
          <w:sz w:val="24"/>
          <w:szCs w:val="24"/>
          <w:highlight w:val="none"/>
          <w:shd w:val="clear" w:color="auto" w:fill="auto"/>
        </w:rPr>
        <w:t>如采用履约保函形式提交担保，则中标人应提交在中国境内注册并经招标人认可的担保机构出具的银行保函。否则，招标人将不予接受。</w:t>
      </w:r>
    </w:p>
    <w:p w14:paraId="3FB8E2E4">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7.4.2 若中标人不能按本章第7.4.1条款规定提交履约保证金,招标人将有充分理由废除授标，投标保证金不予退还，给招标人造成的损失超过投标保证金金额的，还应当对超过部分予以赔偿，同时依法承担相应法律责任。</w:t>
      </w:r>
    </w:p>
    <w:p w14:paraId="4A654D0E">
      <w:pPr>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snapToGrid/>
          <w:color w:val="auto"/>
          <w:kern w:val="2"/>
          <w:sz w:val="24"/>
          <w:szCs w:val="24"/>
          <w:highlight w:val="none"/>
          <w:shd w:val="clear" w:color="auto" w:fill="auto"/>
        </w:rPr>
      </w:pPr>
      <w:bookmarkStart w:id="37" w:name="_Toc193449952"/>
      <w:r>
        <w:rPr>
          <w:rFonts w:hint="eastAsia" w:ascii="宋体" w:hAnsi="宋体" w:eastAsia="宋体" w:cs="宋体"/>
          <w:b/>
          <w:snapToGrid/>
          <w:color w:val="auto"/>
          <w:kern w:val="2"/>
          <w:sz w:val="24"/>
          <w:szCs w:val="24"/>
          <w:highlight w:val="none"/>
          <w:shd w:val="clear" w:color="auto" w:fill="auto"/>
        </w:rPr>
        <w:t xml:space="preserve">7.5 </w:t>
      </w:r>
      <w:bookmarkEnd w:id="37"/>
      <w:r>
        <w:rPr>
          <w:rFonts w:hint="eastAsia" w:ascii="宋体" w:hAnsi="宋体" w:eastAsia="宋体" w:cs="宋体"/>
          <w:b/>
          <w:snapToGrid/>
          <w:color w:val="auto"/>
          <w:kern w:val="2"/>
          <w:sz w:val="24"/>
          <w:szCs w:val="24"/>
          <w:highlight w:val="none"/>
          <w:shd w:val="clear" w:color="auto" w:fill="auto"/>
        </w:rPr>
        <w:t>签订合同</w:t>
      </w:r>
    </w:p>
    <w:p w14:paraId="47DCE668">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7.5.1 招标人与中标人将于中标通知书发出之日起30日内，根据招标文件和中标人的投标文</w:t>
      </w:r>
      <w:r>
        <w:rPr>
          <w:rFonts w:hint="eastAsia" w:ascii="宋体" w:hAnsi="宋体" w:eastAsia="宋体" w:cs="宋体"/>
          <w:snapToGrid/>
          <w:color w:val="auto"/>
          <w:kern w:val="2"/>
          <w:sz w:val="24"/>
          <w:szCs w:val="24"/>
          <w:highlight w:val="none"/>
          <w:shd w:val="clear" w:color="auto" w:fill="auto"/>
        </w:rPr>
        <w:t>件签订书面合同，</w:t>
      </w:r>
      <w:r>
        <w:rPr>
          <w:rFonts w:hint="eastAsia" w:ascii="宋体" w:hAnsi="宋体" w:eastAsia="宋体" w:cs="宋体"/>
          <w:snapToGrid/>
          <w:color w:val="auto"/>
          <w:kern w:val="2"/>
          <w:sz w:val="24"/>
          <w:szCs w:val="24"/>
          <w:highlight w:val="none"/>
          <w:shd w:val="clear" w:color="auto" w:fill="auto"/>
        </w:rPr>
        <w:t>招标人和中标人不得另行订立背离合同实质性内容的其他协议。</w:t>
      </w:r>
    </w:p>
    <w:p w14:paraId="4ED6C0D7">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7.5.2 招标人如无正当理由不按本章第7.5.1条款规定与中标人订立合同，或招标人迫使中标人订立背离合同实质性内容的协议，招标人将依法承担相应法律责任。</w:t>
      </w:r>
    </w:p>
    <w:p w14:paraId="11018A38">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7.5.3 中标人如无正当理由不按本章第7.5.1条款规定与招标人订立合同，招标人将废除授标，投标保证金不予退还，给招标人造成的损失超过投标保证金金额的，还应当对超过部分予以赔偿，同时依法承担相应法律责任。</w:t>
      </w:r>
    </w:p>
    <w:p w14:paraId="1E858E2A">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7.5.4 中标人应当按照合同约定履行义务，完成</w:t>
      </w:r>
      <w:r>
        <w:rPr>
          <w:rFonts w:hint="eastAsia" w:ascii="宋体" w:hAnsi="宋体" w:eastAsia="宋体" w:cs="宋体"/>
          <w:snapToGrid/>
          <w:color w:val="auto"/>
          <w:kern w:val="2"/>
          <w:sz w:val="24"/>
          <w:szCs w:val="24"/>
          <w:highlight w:val="none"/>
          <w:shd w:val="clear" w:color="auto" w:fill="auto"/>
        </w:rPr>
        <w:t>中标项目的</w:t>
      </w:r>
      <w:r>
        <w:rPr>
          <w:rFonts w:hint="eastAsia" w:ascii="宋体" w:hAnsi="宋体" w:eastAsia="宋体" w:cs="宋体"/>
          <w:snapToGrid/>
          <w:color w:val="auto"/>
          <w:kern w:val="2"/>
          <w:sz w:val="24"/>
          <w:szCs w:val="24"/>
          <w:highlight w:val="none"/>
          <w:shd w:val="clear" w:color="auto" w:fill="auto"/>
          <w:lang w:val="en-US" w:eastAsia="zh-CN"/>
        </w:rPr>
        <w:t>供货</w:t>
      </w:r>
      <w:r>
        <w:rPr>
          <w:rFonts w:hint="eastAsia" w:ascii="宋体" w:hAnsi="宋体" w:eastAsia="宋体" w:cs="宋体"/>
          <w:snapToGrid/>
          <w:color w:val="auto"/>
          <w:kern w:val="2"/>
          <w:sz w:val="24"/>
          <w:szCs w:val="24"/>
          <w:highlight w:val="none"/>
          <w:shd w:val="clear" w:color="auto" w:fill="auto"/>
        </w:rPr>
        <w:t>工作，不得将中标项目的</w:t>
      </w:r>
      <w:r>
        <w:rPr>
          <w:rFonts w:hint="eastAsia" w:ascii="宋体" w:hAnsi="宋体" w:eastAsia="宋体" w:cs="宋体"/>
          <w:snapToGrid/>
          <w:color w:val="auto"/>
          <w:kern w:val="2"/>
          <w:sz w:val="24"/>
          <w:szCs w:val="24"/>
          <w:highlight w:val="none"/>
          <w:shd w:val="clear" w:color="auto" w:fill="auto"/>
          <w:lang w:val="en-US" w:eastAsia="zh-CN"/>
        </w:rPr>
        <w:t>供货</w:t>
      </w:r>
      <w:r>
        <w:rPr>
          <w:rFonts w:hint="eastAsia" w:ascii="宋体" w:hAnsi="宋体" w:eastAsia="宋体" w:cs="宋体"/>
          <w:snapToGrid/>
          <w:color w:val="auto"/>
          <w:kern w:val="2"/>
          <w:sz w:val="24"/>
          <w:szCs w:val="24"/>
          <w:highlight w:val="none"/>
          <w:shd w:val="clear" w:color="auto" w:fill="auto"/>
        </w:rPr>
        <w:t>工作转委托给他人。</w:t>
      </w:r>
    </w:p>
    <w:p w14:paraId="3FE04089">
      <w:pPr>
        <w:pageBreakBefore w:val="0"/>
        <w:wordWrap/>
        <w:overflowPunct/>
        <w:topLinePunct w:val="0"/>
        <w:bidi w:val="0"/>
        <w:spacing w:line="440" w:lineRule="exact"/>
        <w:jc w:val="both"/>
        <w:outlineLvl w:val="2"/>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8.</w:t>
      </w:r>
      <w:r>
        <w:rPr>
          <w:rFonts w:hint="eastAsia" w:ascii="宋体" w:hAnsi="宋体" w:eastAsia="宋体" w:cs="宋体"/>
          <w:color w:val="auto"/>
          <w:sz w:val="24"/>
          <w:szCs w:val="24"/>
          <w:highlight w:val="none"/>
          <w:shd w:val="clear" w:color="auto" w:fill="auto"/>
        </w:rPr>
        <w:t>重新招标和不再招标</w:t>
      </w:r>
    </w:p>
    <w:p w14:paraId="5F34C8AD">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8.1</w:t>
      </w:r>
      <w:r>
        <w:rPr>
          <w:rFonts w:hint="eastAsia" w:ascii="宋体" w:hAnsi="宋体" w:eastAsia="宋体" w:cs="宋体"/>
          <w:color w:val="auto"/>
          <w:sz w:val="24"/>
          <w:szCs w:val="24"/>
          <w:highlight w:val="none"/>
          <w:shd w:val="clear" w:color="auto" w:fill="auto"/>
        </w:rPr>
        <w:t>重新招标</w:t>
      </w:r>
    </w:p>
    <w:p w14:paraId="0AA68C3A">
      <w:pPr>
        <w:pageBreakBefore w:val="0"/>
        <w:wordWrap/>
        <w:overflowPunct/>
        <w:topLinePunct w:val="0"/>
        <w:bidi w:val="0"/>
        <w:spacing w:line="440" w:lineRule="exact"/>
        <w:ind w:firstLine="312" w:firstLineChars="13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有下列情形之一的，招标人将重新招标：</w:t>
      </w:r>
    </w:p>
    <w:p w14:paraId="32345085">
      <w:pPr>
        <w:pageBreakBefore w:val="0"/>
        <w:wordWrap/>
        <w:overflowPunct/>
        <w:topLinePunct w:val="0"/>
        <w:bidi w:val="0"/>
        <w:spacing w:line="440" w:lineRule="exact"/>
        <w:ind w:firstLine="312" w:firstLineChars="13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(1)投标截止时间止，投标人少于</w:t>
      </w:r>
      <w:r>
        <w:rPr>
          <w:rFonts w:hint="eastAsia" w:ascii="宋体" w:hAnsi="宋体" w:eastAsia="宋体" w:cs="宋体"/>
          <w:color w:val="auto"/>
          <w:position w:val="1"/>
          <w:sz w:val="24"/>
          <w:szCs w:val="24"/>
          <w:highlight w:val="none"/>
          <w:shd w:val="clear" w:color="auto" w:fill="auto"/>
          <w:lang w:val="en-US" w:eastAsia="zh-CN"/>
        </w:rPr>
        <w:t>5</w:t>
      </w:r>
      <w:r>
        <w:rPr>
          <w:rFonts w:hint="eastAsia" w:ascii="宋体" w:hAnsi="宋体" w:eastAsia="宋体" w:cs="宋体"/>
          <w:color w:val="auto"/>
          <w:position w:val="1"/>
          <w:sz w:val="24"/>
          <w:szCs w:val="24"/>
          <w:highlight w:val="none"/>
          <w:shd w:val="clear" w:color="auto" w:fill="auto"/>
        </w:rPr>
        <w:t>个的；</w:t>
      </w:r>
    </w:p>
    <w:p w14:paraId="0BFC79EB">
      <w:pPr>
        <w:pageBreakBefore w:val="0"/>
        <w:wordWrap/>
        <w:overflowPunct/>
        <w:topLinePunct w:val="0"/>
        <w:bidi w:val="0"/>
        <w:spacing w:line="440" w:lineRule="exact"/>
        <w:ind w:firstLine="312" w:firstLineChars="13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(2)经评标委员会评审后否决所有投标的；</w:t>
      </w:r>
    </w:p>
    <w:p w14:paraId="7D9A23FB">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8.2</w:t>
      </w:r>
      <w:r>
        <w:rPr>
          <w:rFonts w:hint="eastAsia" w:ascii="宋体" w:hAnsi="宋体" w:eastAsia="宋体" w:cs="宋体"/>
          <w:color w:val="auto"/>
          <w:sz w:val="24"/>
          <w:szCs w:val="24"/>
          <w:highlight w:val="none"/>
          <w:shd w:val="clear" w:color="auto" w:fill="auto"/>
        </w:rPr>
        <w:t>不再招标</w:t>
      </w:r>
    </w:p>
    <w:p w14:paraId="3A10FE26">
      <w:pPr>
        <w:pageBreakBefore w:val="0"/>
        <w:wordWrap/>
        <w:overflowPunct/>
        <w:topLinePunct w:val="0"/>
        <w:bidi w:val="0"/>
        <w:spacing w:line="440" w:lineRule="exact"/>
        <w:ind w:firstLine="360" w:firstLineChars="15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重新招标后投标人仍少于</w:t>
      </w:r>
      <w:r>
        <w:rPr>
          <w:rFonts w:hint="eastAsia" w:ascii="宋体" w:hAnsi="宋体" w:eastAsia="宋体" w:cs="宋体"/>
          <w:color w:val="auto"/>
          <w:position w:val="1"/>
          <w:sz w:val="24"/>
          <w:szCs w:val="24"/>
          <w:highlight w:val="none"/>
          <w:shd w:val="clear" w:color="auto" w:fill="auto"/>
          <w:lang w:val="en-US" w:eastAsia="zh-CN"/>
        </w:rPr>
        <w:t>5</w:t>
      </w:r>
      <w:r>
        <w:rPr>
          <w:rFonts w:hint="eastAsia" w:ascii="宋体" w:hAnsi="宋体" w:eastAsia="宋体" w:cs="宋体"/>
          <w:color w:val="auto"/>
          <w:position w:val="1"/>
          <w:sz w:val="24"/>
          <w:szCs w:val="24"/>
          <w:highlight w:val="none"/>
          <w:shd w:val="clear" w:color="auto" w:fill="auto"/>
        </w:rPr>
        <w:t>个的，经原审批或核准部门批准后不再进行招标。</w:t>
      </w:r>
    </w:p>
    <w:p w14:paraId="701C6F2A">
      <w:pPr>
        <w:pageBreakBefore w:val="0"/>
        <w:wordWrap/>
        <w:overflowPunct/>
        <w:topLinePunct w:val="0"/>
        <w:bidi w:val="0"/>
        <w:spacing w:line="440" w:lineRule="exact"/>
        <w:jc w:val="both"/>
        <w:outlineLvl w:val="2"/>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9.</w:t>
      </w:r>
      <w:r>
        <w:rPr>
          <w:rFonts w:hint="eastAsia" w:ascii="宋体" w:hAnsi="宋体" w:eastAsia="宋体" w:cs="宋体"/>
          <w:color w:val="auto"/>
          <w:sz w:val="24"/>
          <w:szCs w:val="24"/>
          <w:highlight w:val="none"/>
          <w:shd w:val="clear" w:color="auto" w:fill="auto"/>
        </w:rPr>
        <w:t>纪律和监督</w:t>
      </w:r>
    </w:p>
    <w:p w14:paraId="74E722AC">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9.1</w:t>
      </w:r>
      <w:r>
        <w:rPr>
          <w:rFonts w:hint="eastAsia" w:ascii="宋体" w:hAnsi="宋体" w:eastAsia="宋体" w:cs="宋体"/>
          <w:color w:val="auto"/>
          <w:sz w:val="24"/>
          <w:szCs w:val="24"/>
          <w:highlight w:val="none"/>
          <w:shd w:val="clear" w:color="auto" w:fill="auto"/>
        </w:rPr>
        <w:t>对招标人的纪律要求</w:t>
      </w:r>
    </w:p>
    <w:p w14:paraId="565972B3">
      <w:pPr>
        <w:pageBreakBefore w:val="0"/>
        <w:wordWrap/>
        <w:overflowPunct/>
        <w:topLinePunct w:val="0"/>
        <w:bidi w:val="0"/>
        <w:spacing w:line="440" w:lineRule="exact"/>
        <w:ind w:firstLine="476"/>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招标人不得泄漏招标投标活动中应当保密的情况和资料，不得与投标人串通损害国家利益、社会公共利益或者他人合法权益</w:t>
      </w:r>
      <w:r>
        <w:rPr>
          <w:rFonts w:hint="eastAsia" w:ascii="宋体" w:hAnsi="宋体" w:eastAsia="宋体" w:cs="宋体"/>
          <w:color w:val="auto"/>
          <w:sz w:val="24"/>
          <w:szCs w:val="24"/>
          <w:highlight w:val="none"/>
          <w:shd w:val="clear" w:color="auto" w:fill="auto"/>
        </w:rPr>
        <w:t>。</w:t>
      </w:r>
    </w:p>
    <w:p w14:paraId="1A08DF6A">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9.2</w:t>
      </w:r>
      <w:r>
        <w:rPr>
          <w:rFonts w:hint="eastAsia" w:ascii="宋体" w:hAnsi="宋体" w:eastAsia="宋体" w:cs="宋体"/>
          <w:color w:val="auto"/>
          <w:sz w:val="24"/>
          <w:szCs w:val="24"/>
          <w:highlight w:val="none"/>
          <w:shd w:val="clear" w:color="auto" w:fill="auto"/>
        </w:rPr>
        <w:t>对投标人的纪律要求</w:t>
      </w:r>
    </w:p>
    <w:p w14:paraId="2AFBB797">
      <w:pPr>
        <w:pageBreakBefore w:val="0"/>
        <w:wordWrap/>
        <w:overflowPunct/>
        <w:topLinePunct w:val="0"/>
        <w:bidi w:val="0"/>
        <w:spacing w:line="440" w:lineRule="exact"/>
        <w:ind w:firstLine="483"/>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D0B95FE">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9.3</w:t>
      </w:r>
      <w:r>
        <w:rPr>
          <w:rFonts w:hint="eastAsia" w:ascii="宋体" w:hAnsi="宋体" w:eastAsia="宋体" w:cs="宋体"/>
          <w:color w:val="auto"/>
          <w:sz w:val="24"/>
          <w:szCs w:val="24"/>
          <w:highlight w:val="none"/>
          <w:shd w:val="clear" w:color="auto" w:fill="auto"/>
        </w:rPr>
        <w:t>对评标委员会成员的纪律要求</w:t>
      </w:r>
    </w:p>
    <w:p w14:paraId="6D074C2F">
      <w:pPr>
        <w:pageBreakBefore w:val="0"/>
        <w:wordWrap/>
        <w:overflowPunct/>
        <w:topLinePunct w:val="0"/>
        <w:bidi w:val="0"/>
        <w:spacing w:line="440" w:lineRule="exact"/>
        <w:ind w:firstLine="483"/>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定标办法”没有规定的评审因素和标准进行评标。</w:t>
      </w:r>
    </w:p>
    <w:p w14:paraId="3A89F1C6">
      <w:pPr>
        <w:pageBreakBefore w:val="0"/>
        <w:wordWrap/>
        <w:overflowPunct/>
        <w:topLinePunct w:val="0"/>
        <w:bidi w:val="0"/>
        <w:spacing w:line="440" w:lineRule="exact"/>
        <w:jc w:val="both"/>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9.4</w:t>
      </w:r>
      <w:r>
        <w:rPr>
          <w:rFonts w:hint="eastAsia" w:ascii="宋体" w:hAnsi="宋体" w:eastAsia="宋体" w:cs="宋体"/>
          <w:color w:val="auto"/>
          <w:sz w:val="24"/>
          <w:szCs w:val="24"/>
          <w:highlight w:val="none"/>
          <w:shd w:val="clear" w:color="auto" w:fill="auto"/>
        </w:rPr>
        <w:t>对与评标活动有关的工作人员的纪律要求</w:t>
      </w:r>
    </w:p>
    <w:p w14:paraId="4B5135ED">
      <w:pPr>
        <w:pageBreakBefore w:val="0"/>
        <w:wordWrap/>
        <w:overflowPunct/>
        <w:topLinePunct w:val="0"/>
        <w:bidi w:val="0"/>
        <w:spacing w:line="440" w:lineRule="exact"/>
        <w:ind w:firstLine="483"/>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253DC35">
      <w:pPr>
        <w:pageBreakBefore w:val="0"/>
        <w:wordWrap/>
        <w:overflowPunct/>
        <w:topLinePunct w:val="0"/>
        <w:bidi w:val="0"/>
        <w:spacing w:line="440" w:lineRule="exact"/>
        <w:jc w:val="both"/>
        <w:outlineLvl w:val="2"/>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9.5</w:t>
      </w:r>
      <w:r>
        <w:rPr>
          <w:rFonts w:hint="eastAsia" w:ascii="宋体" w:hAnsi="宋体" w:eastAsia="宋体" w:cs="宋体"/>
          <w:color w:val="auto"/>
          <w:sz w:val="24"/>
          <w:szCs w:val="24"/>
          <w:highlight w:val="none"/>
          <w:shd w:val="clear" w:color="auto" w:fill="auto"/>
        </w:rPr>
        <w:t>异议与投诉</w:t>
      </w:r>
    </w:p>
    <w:p w14:paraId="19A6B7DF">
      <w:pPr>
        <w:pageBreakBefore w:val="0"/>
        <w:wordWrap/>
        <w:overflowPunct/>
        <w:topLinePunct w:val="0"/>
        <w:bidi w:val="0"/>
        <w:spacing w:line="440" w:lineRule="exact"/>
        <w:ind w:firstLine="483"/>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投标人及其他利害关系人有提出异议与投诉的权利，但应遵守国家相关法律法规，具体要求见投标人须知前附表。</w:t>
      </w:r>
    </w:p>
    <w:p w14:paraId="7B792CBB">
      <w:pPr>
        <w:pageBreakBefore w:val="0"/>
        <w:wordWrap/>
        <w:overflowPunct/>
        <w:topLinePunct w:val="0"/>
        <w:bidi w:val="0"/>
        <w:spacing w:line="440" w:lineRule="exact"/>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10.</w:t>
      </w:r>
      <w:r>
        <w:rPr>
          <w:rFonts w:hint="eastAsia" w:ascii="宋体" w:hAnsi="宋体" w:eastAsia="宋体" w:cs="宋体"/>
          <w:color w:val="auto"/>
          <w:sz w:val="24"/>
          <w:szCs w:val="24"/>
          <w:highlight w:val="none"/>
          <w:shd w:val="clear" w:color="auto" w:fill="auto"/>
        </w:rPr>
        <w:t>需要补充的其他内容</w:t>
      </w:r>
    </w:p>
    <w:p w14:paraId="4634D64E">
      <w:pPr>
        <w:pageBreakBefore w:val="0"/>
        <w:wordWrap/>
        <w:overflowPunct/>
        <w:topLinePunct w:val="0"/>
        <w:bidi w:val="0"/>
        <w:spacing w:line="440" w:lineRule="exact"/>
        <w:ind w:firstLine="480" w:firstLineChars="200"/>
        <w:jc w:val="both"/>
        <w:rPr>
          <w:rFonts w:hint="eastAsia" w:ascii="宋体" w:hAnsi="宋体" w:eastAsia="宋体" w:cs="宋体"/>
          <w:color w:val="auto"/>
          <w:position w:val="1"/>
          <w:sz w:val="24"/>
          <w:szCs w:val="24"/>
          <w:highlight w:val="none"/>
          <w:shd w:val="clear" w:color="auto" w:fill="auto"/>
        </w:rPr>
      </w:pPr>
      <w:r>
        <w:rPr>
          <w:rFonts w:hint="eastAsia" w:ascii="宋体" w:hAnsi="宋体" w:eastAsia="宋体" w:cs="宋体"/>
          <w:color w:val="auto"/>
          <w:position w:val="1"/>
          <w:sz w:val="24"/>
          <w:szCs w:val="24"/>
          <w:highlight w:val="none"/>
          <w:shd w:val="clear" w:color="auto" w:fill="auto"/>
        </w:rPr>
        <w:t>需要补充的其他内容：见投标人须知前附表。</w:t>
      </w:r>
    </w:p>
    <w:p w14:paraId="20DB36F9">
      <w:pPr>
        <w:keepNext w:val="0"/>
        <w:keepLines w:val="0"/>
        <w:pageBreakBefore w:val="0"/>
        <w:widowControl/>
        <w:wordWrap/>
        <w:overflowPunct/>
        <w:topLinePunct w:val="0"/>
        <w:bidi w:val="0"/>
        <w:adjustRightInd w:val="0"/>
        <w:spacing w:beforeAutospacing="0" w:afterAutospacing="0" w:line="440" w:lineRule="exact"/>
        <w:jc w:val="both"/>
        <w:rPr>
          <w:rFonts w:hint="eastAsia" w:ascii="宋体" w:hAnsi="宋体" w:eastAsia="宋体" w:cs="宋体"/>
          <w:color w:val="auto"/>
          <w:position w:val="1"/>
          <w:sz w:val="24"/>
          <w:szCs w:val="24"/>
          <w:highlight w:val="none"/>
          <w:shd w:val="clear" w:color="auto" w:fill="auto"/>
          <w:lang w:val="en-US" w:eastAsia="zh-CN"/>
        </w:rPr>
      </w:pPr>
      <w:r>
        <w:rPr>
          <w:rFonts w:hint="eastAsia" w:ascii="宋体" w:hAnsi="宋体" w:eastAsia="宋体" w:cs="宋体"/>
          <w:color w:val="auto"/>
          <w:position w:val="1"/>
          <w:sz w:val="24"/>
          <w:szCs w:val="24"/>
          <w:highlight w:val="none"/>
          <w:shd w:val="clear" w:color="auto" w:fill="auto"/>
          <w:lang w:val="en-US" w:eastAsia="zh-CN"/>
        </w:rPr>
        <w:t>10.</w:t>
      </w:r>
      <w:r>
        <w:rPr>
          <w:rFonts w:hint="eastAsia" w:ascii="宋体" w:hAnsi="宋体" w:cs="宋体"/>
          <w:color w:val="auto"/>
          <w:position w:val="1"/>
          <w:sz w:val="24"/>
          <w:szCs w:val="24"/>
          <w:highlight w:val="none"/>
          <w:shd w:val="clear" w:color="auto" w:fill="auto"/>
          <w:lang w:val="en-US" w:eastAsia="zh-CN"/>
        </w:rPr>
        <w:t>1</w:t>
      </w:r>
      <w:r>
        <w:rPr>
          <w:rFonts w:hint="eastAsia" w:ascii="宋体" w:hAnsi="宋体" w:eastAsia="宋体" w:cs="宋体"/>
          <w:color w:val="auto"/>
          <w:position w:val="1"/>
          <w:sz w:val="24"/>
          <w:szCs w:val="24"/>
          <w:highlight w:val="none"/>
          <w:shd w:val="clear" w:color="auto" w:fill="auto"/>
          <w:lang w:val="en-US" w:eastAsia="zh-CN"/>
        </w:rPr>
        <w:t>招标代理服务费：</w:t>
      </w:r>
    </w:p>
    <w:p w14:paraId="5B1B4E24">
      <w:pPr>
        <w:pageBreakBefore w:val="0"/>
        <w:wordWrap/>
        <w:overflowPunct/>
        <w:topLinePunct w:val="0"/>
        <w:bidi w:val="0"/>
        <w:spacing w:line="440" w:lineRule="exact"/>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（一）中标人须向招标代理机构参照如下标准和规定交纳中标服务费</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三家中标人平均支付</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w:t>
      </w:r>
    </w:p>
    <w:p w14:paraId="596E9F83">
      <w:pPr>
        <w:pageBreakBefore w:val="0"/>
        <w:wordWrap/>
        <w:overflowPunct/>
        <w:topLinePunct w:val="0"/>
        <w:bidi w:val="0"/>
        <w:spacing w:line="440" w:lineRule="exact"/>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①招标代理服务费以中标价作为服务费的计算基数，</w:t>
      </w:r>
      <w:r>
        <w:rPr>
          <w:rFonts w:hint="eastAsia" w:ascii="宋体" w:hAnsi="宋体" w:eastAsia="宋体" w:cs="宋体"/>
          <w:color w:val="auto"/>
          <w:sz w:val="24"/>
          <w:szCs w:val="24"/>
          <w:highlight w:val="none"/>
          <w:shd w:val="clear" w:color="auto" w:fill="auto"/>
          <w:lang w:val="en-US" w:eastAsia="zh-CN"/>
        </w:rPr>
        <w:t>按差额定率累进法计算，</w:t>
      </w:r>
      <w:r>
        <w:rPr>
          <w:rFonts w:hint="eastAsia" w:ascii="宋体" w:hAnsi="宋体" w:eastAsia="宋体" w:cs="宋体"/>
          <w:color w:val="auto"/>
          <w:sz w:val="24"/>
          <w:szCs w:val="24"/>
          <w:highlight w:val="none"/>
          <w:shd w:val="clear" w:color="auto" w:fill="auto"/>
        </w:rPr>
        <w:t>具体比例按照下表标准*56%*(1-4%)执行，招标代理服务费不足4000元按4000元收取。潜在投标人应充分考虑此部分费用，参与投标活动时综合考虑在报价中</w:t>
      </w:r>
      <w:r>
        <w:rPr>
          <w:rFonts w:hint="eastAsia" w:ascii="宋体" w:hAnsi="宋体" w:eastAsia="宋体" w:cs="宋体"/>
          <w:color w:val="auto"/>
          <w:sz w:val="24"/>
          <w:szCs w:val="24"/>
          <w:highlight w:val="none"/>
          <w:shd w:val="clear" w:color="auto" w:fill="auto"/>
          <w:lang w:eastAsia="zh-CN"/>
        </w:rPr>
        <w:t>。</w:t>
      </w:r>
    </w:p>
    <w:tbl>
      <w:tblPr>
        <w:tblStyle w:val="27"/>
        <w:tblW w:w="2488"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4"/>
        <w:gridCol w:w="1451"/>
      </w:tblGrid>
      <w:tr w14:paraId="64B3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2851" w:type="dxa"/>
            <w:noWrap w:val="0"/>
            <w:vAlign w:val="center"/>
          </w:tcPr>
          <w:p w14:paraId="2A1FDC32">
            <w:pPr>
              <w:keepNext w:val="0"/>
              <w:keepLines w:val="0"/>
              <w:pageBreakBefore w:val="0"/>
              <w:widowControl/>
              <w:wordWrap/>
              <w:overflowPunct/>
              <w:topLinePunct w:val="0"/>
              <w:bidi w:val="0"/>
              <w:adjustRightInd w:val="0"/>
              <w:spacing w:beforeAutospacing="0" w:afterAutospacing="0" w:line="440" w:lineRule="exact"/>
              <w:jc w:val="center"/>
              <w:rPr>
                <w:rFonts w:hint="eastAsia" w:ascii="宋体" w:hAnsi="宋体" w:eastAsia="宋体" w:cs="宋体"/>
                <w:b w:val="0"/>
                <w:bCs w:val="0"/>
                <w:color w:val="auto"/>
                <w:kern w:val="0"/>
                <w:sz w:val="24"/>
                <w:szCs w:val="24"/>
                <w:highlight w:val="none"/>
                <w:shd w:val="clear" w:color="auto" w:fill="auto"/>
              </w:rPr>
            </w:pPr>
            <w:r>
              <w:rPr>
                <w:rFonts w:hint="eastAsia" w:ascii="宋体" w:hAnsi="宋体" w:eastAsia="宋体" w:cs="宋体"/>
                <w:b w:val="0"/>
                <w:bCs w:val="0"/>
                <w:color w:val="auto"/>
                <w:kern w:val="0"/>
                <w:sz w:val="24"/>
                <w:szCs w:val="24"/>
                <w:highlight w:val="none"/>
                <w:shd w:val="clear" w:color="auto" w:fill="auto"/>
              </w:rPr>
              <w:t>中标金额（万元）</w:t>
            </w:r>
          </w:p>
        </w:tc>
        <w:tc>
          <w:tcPr>
            <w:tcW w:w="1391" w:type="dxa"/>
            <w:noWrap w:val="0"/>
            <w:vAlign w:val="center"/>
          </w:tcPr>
          <w:p w14:paraId="19AA4603">
            <w:pPr>
              <w:keepNext w:val="0"/>
              <w:keepLines w:val="0"/>
              <w:pageBreakBefore w:val="0"/>
              <w:widowControl/>
              <w:wordWrap/>
              <w:overflowPunct/>
              <w:topLinePunct w:val="0"/>
              <w:bidi w:val="0"/>
              <w:adjustRightInd w:val="0"/>
              <w:spacing w:beforeAutospacing="0" w:afterAutospacing="0" w:line="440" w:lineRule="exact"/>
              <w:jc w:val="center"/>
              <w:rPr>
                <w:rFonts w:hint="eastAsia" w:ascii="宋体" w:hAnsi="宋体" w:eastAsia="宋体" w:cs="宋体"/>
                <w:b w:val="0"/>
                <w:bCs w:val="0"/>
                <w:color w:val="auto"/>
                <w:kern w:val="0"/>
                <w:sz w:val="24"/>
                <w:szCs w:val="24"/>
                <w:highlight w:val="none"/>
                <w:shd w:val="clear" w:color="auto" w:fill="auto"/>
              </w:rPr>
            </w:pPr>
            <w:r>
              <w:rPr>
                <w:rFonts w:hint="eastAsia" w:ascii="宋体" w:hAnsi="宋体" w:eastAsia="宋体" w:cs="宋体"/>
                <w:b w:val="0"/>
                <w:bCs w:val="0"/>
                <w:color w:val="auto"/>
                <w:kern w:val="0"/>
                <w:sz w:val="24"/>
                <w:szCs w:val="24"/>
                <w:highlight w:val="none"/>
                <w:shd w:val="clear" w:color="auto" w:fill="auto"/>
              </w:rPr>
              <w:t>货物招标</w:t>
            </w:r>
          </w:p>
        </w:tc>
      </w:tr>
      <w:tr w14:paraId="1288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2851" w:type="dxa"/>
            <w:noWrap w:val="0"/>
            <w:vAlign w:val="center"/>
          </w:tcPr>
          <w:p w14:paraId="2204D3DD">
            <w:pPr>
              <w:keepNext w:val="0"/>
              <w:keepLines w:val="0"/>
              <w:pageBreakBefore w:val="0"/>
              <w:widowControl/>
              <w:wordWrap/>
              <w:overflowPunct/>
              <w:topLinePunct w:val="0"/>
              <w:bidi w:val="0"/>
              <w:adjustRightInd w:val="0"/>
              <w:spacing w:beforeAutospacing="0" w:afterAutospacing="0" w:line="440" w:lineRule="exact"/>
              <w:jc w:val="center"/>
              <w:rPr>
                <w:rFonts w:hint="eastAsia" w:ascii="宋体" w:hAnsi="宋体" w:eastAsia="宋体" w:cs="宋体"/>
                <w:b w:val="0"/>
                <w:bCs w:val="0"/>
                <w:color w:val="auto"/>
                <w:kern w:val="0"/>
                <w:sz w:val="24"/>
                <w:szCs w:val="24"/>
                <w:highlight w:val="none"/>
                <w:shd w:val="clear" w:color="auto" w:fill="auto"/>
              </w:rPr>
            </w:pPr>
            <w:r>
              <w:rPr>
                <w:rFonts w:hint="eastAsia" w:ascii="宋体" w:hAnsi="宋体" w:eastAsia="宋体" w:cs="宋体"/>
                <w:b w:val="0"/>
                <w:bCs w:val="0"/>
                <w:color w:val="auto"/>
                <w:kern w:val="0"/>
                <w:sz w:val="24"/>
                <w:szCs w:val="24"/>
                <w:highlight w:val="none"/>
                <w:shd w:val="clear" w:color="auto" w:fill="auto"/>
              </w:rPr>
              <w:t>100以下</w:t>
            </w:r>
          </w:p>
        </w:tc>
        <w:tc>
          <w:tcPr>
            <w:tcW w:w="1391" w:type="dxa"/>
            <w:noWrap w:val="0"/>
            <w:vAlign w:val="center"/>
          </w:tcPr>
          <w:p w14:paraId="08684D71">
            <w:pPr>
              <w:keepNext w:val="0"/>
              <w:keepLines w:val="0"/>
              <w:pageBreakBefore w:val="0"/>
              <w:widowControl/>
              <w:wordWrap/>
              <w:overflowPunct/>
              <w:topLinePunct w:val="0"/>
              <w:bidi w:val="0"/>
              <w:adjustRightInd w:val="0"/>
              <w:spacing w:beforeAutospacing="0" w:afterAutospacing="0" w:line="440" w:lineRule="exact"/>
              <w:jc w:val="center"/>
              <w:rPr>
                <w:rFonts w:hint="eastAsia" w:ascii="宋体" w:hAnsi="宋体" w:eastAsia="宋体" w:cs="宋体"/>
                <w:b w:val="0"/>
                <w:bCs w:val="0"/>
                <w:color w:val="auto"/>
                <w:kern w:val="0"/>
                <w:sz w:val="24"/>
                <w:szCs w:val="24"/>
                <w:highlight w:val="none"/>
                <w:shd w:val="clear" w:color="auto" w:fill="auto"/>
              </w:rPr>
            </w:pPr>
            <w:r>
              <w:rPr>
                <w:rFonts w:hint="eastAsia" w:ascii="宋体" w:hAnsi="宋体" w:eastAsia="宋体" w:cs="宋体"/>
                <w:b w:val="0"/>
                <w:bCs w:val="0"/>
                <w:color w:val="auto"/>
                <w:kern w:val="0"/>
                <w:sz w:val="24"/>
                <w:szCs w:val="24"/>
                <w:highlight w:val="none"/>
                <w:shd w:val="clear" w:color="auto" w:fill="auto"/>
              </w:rPr>
              <w:t>1.5％</w:t>
            </w:r>
          </w:p>
        </w:tc>
      </w:tr>
      <w:tr w14:paraId="4B67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2851" w:type="dxa"/>
            <w:noWrap w:val="0"/>
            <w:vAlign w:val="center"/>
          </w:tcPr>
          <w:p w14:paraId="778E847F">
            <w:pPr>
              <w:keepNext w:val="0"/>
              <w:keepLines w:val="0"/>
              <w:pageBreakBefore w:val="0"/>
              <w:widowControl/>
              <w:wordWrap/>
              <w:overflowPunct/>
              <w:topLinePunct w:val="0"/>
              <w:bidi w:val="0"/>
              <w:adjustRightInd w:val="0"/>
              <w:spacing w:beforeAutospacing="0" w:afterAutospacing="0" w:line="440" w:lineRule="exact"/>
              <w:jc w:val="center"/>
              <w:rPr>
                <w:rFonts w:hint="eastAsia" w:ascii="宋体" w:hAnsi="宋体" w:eastAsia="宋体" w:cs="宋体"/>
                <w:b w:val="0"/>
                <w:bCs w:val="0"/>
                <w:color w:val="auto"/>
                <w:kern w:val="0"/>
                <w:sz w:val="24"/>
                <w:szCs w:val="24"/>
                <w:highlight w:val="none"/>
                <w:shd w:val="clear" w:color="auto" w:fill="auto"/>
              </w:rPr>
            </w:pPr>
            <w:r>
              <w:rPr>
                <w:rFonts w:hint="eastAsia" w:ascii="宋体" w:hAnsi="宋体" w:eastAsia="宋体" w:cs="宋体"/>
                <w:b w:val="0"/>
                <w:bCs w:val="0"/>
                <w:color w:val="auto"/>
                <w:kern w:val="0"/>
                <w:sz w:val="24"/>
                <w:szCs w:val="24"/>
                <w:highlight w:val="none"/>
                <w:shd w:val="clear" w:color="auto" w:fill="auto"/>
              </w:rPr>
              <w:t>100—500</w:t>
            </w:r>
          </w:p>
        </w:tc>
        <w:tc>
          <w:tcPr>
            <w:tcW w:w="1391" w:type="dxa"/>
            <w:noWrap w:val="0"/>
            <w:vAlign w:val="center"/>
          </w:tcPr>
          <w:p w14:paraId="23DAF8F3">
            <w:pPr>
              <w:keepNext w:val="0"/>
              <w:keepLines w:val="0"/>
              <w:pageBreakBefore w:val="0"/>
              <w:widowControl/>
              <w:wordWrap/>
              <w:overflowPunct/>
              <w:topLinePunct w:val="0"/>
              <w:bidi w:val="0"/>
              <w:adjustRightInd w:val="0"/>
              <w:spacing w:beforeAutospacing="0" w:afterAutospacing="0" w:line="440" w:lineRule="exact"/>
              <w:jc w:val="center"/>
              <w:rPr>
                <w:rFonts w:hint="eastAsia" w:ascii="宋体" w:hAnsi="宋体" w:eastAsia="宋体" w:cs="宋体"/>
                <w:b w:val="0"/>
                <w:bCs w:val="0"/>
                <w:color w:val="auto"/>
                <w:kern w:val="0"/>
                <w:sz w:val="24"/>
                <w:szCs w:val="24"/>
                <w:highlight w:val="none"/>
                <w:shd w:val="clear" w:color="auto" w:fill="auto"/>
              </w:rPr>
            </w:pPr>
            <w:r>
              <w:rPr>
                <w:rFonts w:hint="eastAsia" w:ascii="宋体" w:hAnsi="宋体" w:eastAsia="宋体" w:cs="宋体"/>
                <w:b w:val="0"/>
                <w:bCs w:val="0"/>
                <w:color w:val="auto"/>
                <w:kern w:val="0"/>
                <w:sz w:val="24"/>
                <w:szCs w:val="24"/>
                <w:highlight w:val="none"/>
                <w:shd w:val="clear" w:color="auto" w:fill="auto"/>
              </w:rPr>
              <w:t>1.1％</w:t>
            </w:r>
          </w:p>
        </w:tc>
      </w:tr>
      <w:tr w14:paraId="68A0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2851" w:type="dxa"/>
            <w:noWrap w:val="0"/>
            <w:vAlign w:val="center"/>
          </w:tcPr>
          <w:p w14:paraId="3E9E7188">
            <w:pPr>
              <w:keepNext w:val="0"/>
              <w:keepLines w:val="0"/>
              <w:pageBreakBefore w:val="0"/>
              <w:widowControl/>
              <w:wordWrap/>
              <w:overflowPunct/>
              <w:topLinePunct w:val="0"/>
              <w:bidi w:val="0"/>
              <w:adjustRightInd w:val="0"/>
              <w:spacing w:beforeAutospacing="0" w:afterAutospacing="0" w:line="440" w:lineRule="exact"/>
              <w:jc w:val="center"/>
              <w:rPr>
                <w:rFonts w:hint="eastAsia" w:ascii="宋体" w:hAnsi="宋体" w:eastAsia="宋体" w:cs="宋体"/>
                <w:b w:val="0"/>
                <w:bCs w:val="0"/>
                <w:color w:val="auto"/>
                <w:kern w:val="0"/>
                <w:sz w:val="24"/>
                <w:szCs w:val="24"/>
                <w:highlight w:val="none"/>
                <w:shd w:val="clear" w:color="auto" w:fill="auto"/>
              </w:rPr>
            </w:pPr>
            <w:r>
              <w:rPr>
                <w:rFonts w:hint="eastAsia" w:ascii="宋体" w:hAnsi="宋体" w:eastAsia="宋体" w:cs="宋体"/>
                <w:b w:val="0"/>
                <w:bCs w:val="0"/>
                <w:color w:val="auto"/>
                <w:kern w:val="0"/>
                <w:sz w:val="24"/>
                <w:szCs w:val="24"/>
                <w:highlight w:val="none"/>
                <w:shd w:val="clear" w:color="auto" w:fill="auto"/>
              </w:rPr>
              <w:t>500—1000</w:t>
            </w:r>
          </w:p>
        </w:tc>
        <w:tc>
          <w:tcPr>
            <w:tcW w:w="1391" w:type="dxa"/>
            <w:noWrap w:val="0"/>
            <w:vAlign w:val="center"/>
          </w:tcPr>
          <w:p w14:paraId="003A3B37">
            <w:pPr>
              <w:keepNext w:val="0"/>
              <w:keepLines w:val="0"/>
              <w:pageBreakBefore w:val="0"/>
              <w:widowControl/>
              <w:wordWrap/>
              <w:overflowPunct/>
              <w:topLinePunct w:val="0"/>
              <w:bidi w:val="0"/>
              <w:adjustRightInd w:val="0"/>
              <w:spacing w:beforeAutospacing="0" w:afterAutospacing="0" w:line="440" w:lineRule="exact"/>
              <w:jc w:val="center"/>
              <w:rPr>
                <w:rFonts w:hint="eastAsia" w:ascii="宋体" w:hAnsi="宋体" w:eastAsia="宋体" w:cs="宋体"/>
                <w:b w:val="0"/>
                <w:bCs w:val="0"/>
                <w:color w:val="auto"/>
                <w:kern w:val="0"/>
                <w:sz w:val="24"/>
                <w:szCs w:val="24"/>
                <w:highlight w:val="none"/>
                <w:shd w:val="clear" w:color="auto" w:fill="auto"/>
              </w:rPr>
            </w:pPr>
            <w:r>
              <w:rPr>
                <w:rFonts w:hint="eastAsia" w:ascii="宋体" w:hAnsi="宋体" w:eastAsia="宋体" w:cs="宋体"/>
                <w:b w:val="0"/>
                <w:bCs w:val="0"/>
                <w:color w:val="auto"/>
                <w:kern w:val="0"/>
                <w:sz w:val="24"/>
                <w:szCs w:val="24"/>
                <w:highlight w:val="none"/>
                <w:shd w:val="clear" w:color="auto" w:fill="auto"/>
              </w:rPr>
              <w:t>0.8％</w:t>
            </w:r>
          </w:p>
        </w:tc>
      </w:tr>
      <w:tr w14:paraId="6E40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2851" w:type="dxa"/>
            <w:noWrap w:val="0"/>
            <w:vAlign w:val="center"/>
          </w:tcPr>
          <w:p w14:paraId="296CF52A">
            <w:pPr>
              <w:keepNext w:val="0"/>
              <w:keepLines w:val="0"/>
              <w:pageBreakBefore w:val="0"/>
              <w:widowControl/>
              <w:wordWrap/>
              <w:overflowPunct/>
              <w:topLinePunct w:val="0"/>
              <w:bidi w:val="0"/>
              <w:adjustRightInd w:val="0"/>
              <w:spacing w:beforeAutospacing="0" w:afterAutospacing="0" w:line="440" w:lineRule="exact"/>
              <w:jc w:val="center"/>
              <w:rPr>
                <w:rFonts w:hint="eastAsia" w:ascii="宋体" w:hAnsi="宋体" w:eastAsia="宋体" w:cs="宋体"/>
                <w:b w:val="0"/>
                <w:bCs w:val="0"/>
                <w:color w:val="auto"/>
                <w:kern w:val="0"/>
                <w:sz w:val="24"/>
                <w:szCs w:val="24"/>
                <w:highlight w:val="none"/>
                <w:shd w:val="clear" w:color="auto" w:fill="auto"/>
              </w:rPr>
            </w:pPr>
            <w:r>
              <w:rPr>
                <w:rFonts w:hint="eastAsia" w:ascii="宋体" w:hAnsi="宋体" w:eastAsia="宋体" w:cs="宋体"/>
                <w:b w:val="0"/>
                <w:bCs w:val="0"/>
                <w:color w:val="auto"/>
                <w:kern w:val="0"/>
                <w:sz w:val="24"/>
                <w:szCs w:val="24"/>
                <w:highlight w:val="none"/>
                <w:shd w:val="clear" w:color="auto" w:fill="auto"/>
              </w:rPr>
              <w:t>1000—5000</w:t>
            </w:r>
          </w:p>
        </w:tc>
        <w:tc>
          <w:tcPr>
            <w:tcW w:w="1391" w:type="dxa"/>
            <w:noWrap w:val="0"/>
            <w:vAlign w:val="center"/>
          </w:tcPr>
          <w:p w14:paraId="7FD52DFA">
            <w:pPr>
              <w:keepNext w:val="0"/>
              <w:keepLines w:val="0"/>
              <w:pageBreakBefore w:val="0"/>
              <w:widowControl/>
              <w:wordWrap/>
              <w:overflowPunct/>
              <w:topLinePunct w:val="0"/>
              <w:bidi w:val="0"/>
              <w:adjustRightInd w:val="0"/>
              <w:spacing w:beforeAutospacing="0" w:afterAutospacing="0" w:line="440" w:lineRule="exact"/>
              <w:jc w:val="center"/>
              <w:rPr>
                <w:rFonts w:hint="eastAsia" w:ascii="宋体" w:hAnsi="宋体" w:eastAsia="宋体" w:cs="宋体"/>
                <w:b w:val="0"/>
                <w:bCs w:val="0"/>
                <w:color w:val="auto"/>
                <w:kern w:val="0"/>
                <w:sz w:val="24"/>
                <w:szCs w:val="24"/>
                <w:highlight w:val="none"/>
                <w:shd w:val="clear" w:color="auto" w:fill="auto"/>
              </w:rPr>
            </w:pPr>
            <w:r>
              <w:rPr>
                <w:rFonts w:hint="eastAsia" w:ascii="宋体" w:hAnsi="宋体" w:eastAsia="宋体" w:cs="宋体"/>
                <w:b w:val="0"/>
                <w:bCs w:val="0"/>
                <w:color w:val="auto"/>
                <w:kern w:val="0"/>
                <w:sz w:val="24"/>
                <w:szCs w:val="24"/>
                <w:highlight w:val="none"/>
                <w:shd w:val="clear" w:color="auto" w:fill="auto"/>
              </w:rPr>
              <w:t>0.5％</w:t>
            </w:r>
          </w:p>
        </w:tc>
      </w:tr>
    </w:tbl>
    <w:p w14:paraId="10900CBE">
      <w:pPr>
        <w:keepNext w:val="0"/>
        <w:keepLines w:val="0"/>
        <w:pageBreakBefore w:val="0"/>
        <w:widowControl/>
        <w:kinsoku/>
        <w:wordWrap/>
        <w:overflowPunct/>
        <w:topLinePunct w:val="0"/>
        <w:autoSpaceDE/>
        <w:autoSpaceDN/>
        <w:bidi w:val="0"/>
        <w:adjustRightInd w:val="0"/>
        <w:snapToGrid/>
        <w:spacing w:beforeAutospacing="0" w:afterAutospacing="0" w:line="440" w:lineRule="exact"/>
        <w:textAlignment w:val="center"/>
        <w:rPr>
          <w:rFonts w:hint="eastAsia" w:ascii="宋体" w:hAnsi="宋体" w:eastAsia="宋体" w:cs="宋体"/>
          <w:snapToGrid w:val="0"/>
          <w:color w:val="auto"/>
          <w:kern w:val="28"/>
          <w:sz w:val="24"/>
          <w:szCs w:val="24"/>
          <w:highlight w:val="none"/>
          <w:shd w:val="clear" w:color="auto" w:fill="auto"/>
        </w:rPr>
      </w:pPr>
      <w:r>
        <w:rPr>
          <w:rFonts w:hint="eastAsia" w:ascii="宋体" w:hAnsi="宋体" w:eastAsia="宋体" w:cs="宋体"/>
          <w:snapToGrid w:val="0"/>
          <w:color w:val="auto"/>
          <w:kern w:val="28"/>
          <w:sz w:val="24"/>
          <w:szCs w:val="24"/>
          <w:highlight w:val="none"/>
          <w:shd w:val="clear" w:color="auto" w:fill="auto"/>
        </w:rPr>
        <w:t>②中标服务费的交纳方式：</w:t>
      </w:r>
    </w:p>
    <w:p w14:paraId="229693DA">
      <w:pPr>
        <w:keepNext w:val="0"/>
        <w:keepLines w:val="0"/>
        <w:pageBreakBefore w:val="0"/>
        <w:widowControl/>
        <w:kinsoku/>
        <w:wordWrap/>
        <w:overflowPunct/>
        <w:topLinePunct w:val="0"/>
        <w:autoSpaceDE/>
        <w:autoSpaceDN/>
        <w:bidi w:val="0"/>
        <w:adjustRightInd w:val="0"/>
        <w:snapToGrid/>
        <w:spacing w:beforeAutospacing="0" w:afterAutospacing="0" w:line="440" w:lineRule="exact"/>
        <w:textAlignment w:val="center"/>
        <w:rPr>
          <w:rFonts w:hint="eastAsia" w:ascii="宋体" w:hAnsi="宋体" w:eastAsia="宋体" w:cs="宋体"/>
          <w:snapToGrid w:val="0"/>
          <w:color w:val="auto"/>
          <w:kern w:val="28"/>
          <w:sz w:val="24"/>
          <w:szCs w:val="24"/>
          <w:highlight w:val="none"/>
          <w:shd w:val="clear" w:color="auto" w:fill="auto"/>
        </w:rPr>
      </w:pPr>
      <w:r>
        <w:rPr>
          <w:rFonts w:hint="eastAsia" w:ascii="宋体" w:hAnsi="宋体" w:eastAsia="宋体" w:cs="宋体"/>
          <w:snapToGrid w:val="0"/>
          <w:color w:val="auto"/>
          <w:kern w:val="28"/>
          <w:sz w:val="24"/>
          <w:szCs w:val="24"/>
          <w:highlight w:val="none"/>
          <w:shd w:val="clear" w:color="auto" w:fill="auto"/>
        </w:rPr>
        <w:t>用银行支票、汇票、电汇、现金等付款方式直接交纳中标服务费。</w:t>
      </w:r>
    </w:p>
    <w:p w14:paraId="16DAF9F4">
      <w:pPr>
        <w:keepNext w:val="0"/>
        <w:keepLines w:val="0"/>
        <w:pageBreakBefore w:val="0"/>
        <w:widowControl/>
        <w:wordWrap/>
        <w:overflowPunct/>
        <w:topLinePunct w:val="0"/>
        <w:bidi w:val="0"/>
        <w:adjustRightInd w:val="0"/>
        <w:spacing w:beforeAutospacing="0" w:afterAutospacing="0" w:line="440" w:lineRule="exact"/>
        <w:jc w:val="both"/>
        <w:rPr>
          <w:rFonts w:hint="eastAsia" w:ascii="宋体" w:hAnsi="宋体" w:eastAsia="宋体" w:cs="宋体"/>
          <w:color w:val="auto"/>
          <w:position w:val="1"/>
          <w:sz w:val="24"/>
          <w:szCs w:val="24"/>
          <w:highlight w:val="none"/>
          <w:shd w:val="clear" w:color="auto" w:fill="auto"/>
          <w:lang w:val="en-US" w:eastAsia="zh-CN"/>
        </w:rPr>
      </w:pPr>
      <w:r>
        <w:rPr>
          <w:rFonts w:hint="eastAsia" w:ascii="宋体" w:hAnsi="宋体" w:eastAsia="宋体" w:cs="宋体"/>
          <w:snapToGrid w:val="0"/>
          <w:color w:val="auto"/>
          <w:kern w:val="28"/>
          <w:sz w:val="24"/>
          <w:szCs w:val="24"/>
          <w:highlight w:val="none"/>
          <w:shd w:val="clear" w:color="auto" w:fill="auto"/>
        </w:rPr>
        <w:t>③中标服务费的交纳时间：领取中标通知书前交纳。</w:t>
      </w:r>
    </w:p>
    <w:p w14:paraId="4B7E842A">
      <w:pPr>
        <w:pageBreakBefore/>
        <w:widowControl w:val="0"/>
        <w:spacing w:before="91" w:line="221" w:lineRule="auto"/>
        <w:ind w:left="130"/>
        <w:jc w:val="both"/>
        <w:outlineLvl w:val="1"/>
        <w:rPr>
          <w:rFonts w:hint="eastAsia" w:ascii="宋体" w:hAnsi="宋体" w:eastAsia="宋体" w:cs="宋体"/>
          <w:color w:val="auto"/>
          <w:sz w:val="28"/>
          <w:szCs w:val="28"/>
          <w:highlight w:val="none"/>
          <w:shd w:val="clear" w:color="auto" w:fill="auto"/>
        </w:rPr>
      </w:pPr>
      <w:bookmarkStart w:id="38" w:name="_bookmark5"/>
      <w:bookmarkEnd w:id="38"/>
      <w:r>
        <w:rPr>
          <w:rFonts w:hint="eastAsia" w:ascii="宋体" w:hAnsi="宋体" w:eastAsia="宋体" w:cs="宋体"/>
          <w:color w:val="auto"/>
          <w:sz w:val="28"/>
          <w:szCs w:val="28"/>
          <w:highlight w:val="none"/>
          <w:shd w:val="clear" w:color="auto" w:fill="auto"/>
        </w:rPr>
        <w:t>附表一：开标记录表</w:t>
      </w:r>
    </w:p>
    <w:p w14:paraId="7F007805">
      <w:pPr>
        <w:tabs>
          <w:tab w:val="left" w:pos="3317"/>
        </w:tabs>
        <w:spacing w:before="234" w:line="229" w:lineRule="auto"/>
        <w:ind w:left="126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u w:val="single"/>
          <w:shd w:val="clear" w:color="auto" w:fill="auto"/>
        </w:rPr>
        <w:tab/>
      </w:r>
      <w:r>
        <w:rPr>
          <w:rFonts w:hint="eastAsia" w:ascii="宋体" w:hAnsi="宋体" w:eastAsia="宋体" w:cs="宋体"/>
          <w:color w:val="auto"/>
          <w:sz w:val="23"/>
          <w:szCs w:val="23"/>
          <w:highlight w:val="none"/>
          <w:shd w:val="clear" w:color="auto" w:fill="auto"/>
        </w:rPr>
        <w:t>(项目名称)标段开标记录表</w:t>
      </w:r>
    </w:p>
    <w:p w14:paraId="7484BD74">
      <w:pPr>
        <w:spacing w:line="286" w:lineRule="auto"/>
        <w:jc w:val="both"/>
        <w:rPr>
          <w:rFonts w:hint="eastAsia" w:ascii="宋体" w:hAnsi="宋体" w:eastAsia="宋体" w:cs="宋体"/>
          <w:color w:val="auto"/>
          <w:highlight w:val="none"/>
          <w:shd w:val="clear" w:color="auto" w:fill="auto"/>
        </w:rPr>
      </w:pPr>
    </w:p>
    <w:p w14:paraId="49D45972">
      <w:pPr>
        <w:spacing w:line="286" w:lineRule="auto"/>
        <w:jc w:val="both"/>
        <w:rPr>
          <w:rFonts w:hint="eastAsia" w:ascii="宋体" w:hAnsi="宋体" w:eastAsia="宋体" w:cs="宋体"/>
          <w:color w:val="auto"/>
          <w:highlight w:val="none"/>
          <w:shd w:val="clear" w:color="auto" w:fill="auto"/>
        </w:rPr>
      </w:pPr>
    </w:p>
    <w:p w14:paraId="4BED7178">
      <w:pPr>
        <w:spacing w:before="75" w:line="229" w:lineRule="auto"/>
        <w:ind w:left="72"/>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开标地点：</w:t>
      </w:r>
    </w:p>
    <w:p w14:paraId="2B598A1D">
      <w:pPr>
        <w:spacing w:before="183" w:line="228" w:lineRule="auto"/>
        <w:ind w:left="72"/>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开标时间：  年   月  日   时   分</w:t>
      </w:r>
    </w:p>
    <w:p w14:paraId="6AB5AF0A">
      <w:pPr>
        <w:jc w:val="both"/>
        <w:rPr>
          <w:rFonts w:hint="eastAsia" w:ascii="宋体" w:hAnsi="宋体" w:eastAsia="宋体" w:cs="宋体"/>
          <w:color w:val="auto"/>
          <w:highlight w:val="none"/>
          <w:shd w:val="clear" w:color="auto" w:fill="auto"/>
        </w:rPr>
      </w:pPr>
    </w:p>
    <w:p w14:paraId="26636C88">
      <w:pPr>
        <w:spacing w:line="54" w:lineRule="exact"/>
        <w:jc w:val="both"/>
        <w:rPr>
          <w:rFonts w:hint="eastAsia" w:ascii="宋体" w:hAnsi="宋体" w:eastAsia="宋体" w:cs="宋体"/>
          <w:color w:val="auto"/>
          <w:highlight w:val="none"/>
          <w:shd w:val="clear" w:color="auto" w:fill="auto"/>
        </w:rPr>
      </w:pPr>
    </w:p>
    <w:tbl>
      <w:tblPr>
        <w:tblStyle w:val="42"/>
        <w:tblW w:w="90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992"/>
        <w:gridCol w:w="1134"/>
        <w:gridCol w:w="1345"/>
        <w:gridCol w:w="1045"/>
        <w:gridCol w:w="1045"/>
        <w:gridCol w:w="1952"/>
        <w:gridCol w:w="850"/>
      </w:tblGrid>
      <w:tr w14:paraId="1405C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710" w:type="dxa"/>
            <w:noWrap w:val="0"/>
            <w:vAlign w:val="top"/>
          </w:tcPr>
          <w:p w14:paraId="28B7B390">
            <w:pPr>
              <w:spacing w:line="254" w:lineRule="auto"/>
              <w:jc w:val="both"/>
              <w:rPr>
                <w:rFonts w:hint="eastAsia" w:ascii="宋体" w:hAnsi="宋体" w:eastAsia="宋体" w:cs="宋体"/>
                <w:color w:val="auto"/>
                <w:highlight w:val="none"/>
                <w:shd w:val="clear" w:color="auto" w:fill="auto"/>
              </w:rPr>
            </w:pPr>
          </w:p>
          <w:p w14:paraId="7EAEFADF">
            <w:pPr>
              <w:spacing w:line="254" w:lineRule="auto"/>
              <w:jc w:val="both"/>
              <w:rPr>
                <w:rFonts w:hint="eastAsia" w:ascii="宋体" w:hAnsi="宋体" w:eastAsia="宋体" w:cs="宋体"/>
                <w:color w:val="auto"/>
                <w:highlight w:val="none"/>
                <w:shd w:val="clear" w:color="auto" w:fill="auto"/>
              </w:rPr>
            </w:pPr>
          </w:p>
          <w:p w14:paraId="642B2D2E">
            <w:pPr>
              <w:spacing w:before="75" w:line="230" w:lineRule="auto"/>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序号</w:t>
            </w:r>
          </w:p>
        </w:tc>
        <w:tc>
          <w:tcPr>
            <w:tcW w:w="992" w:type="dxa"/>
            <w:noWrap w:val="0"/>
            <w:vAlign w:val="top"/>
          </w:tcPr>
          <w:p w14:paraId="1B3E3DC2">
            <w:pPr>
              <w:spacing w:line="254" w:lineRule="auto"/>
              <w:jc w:val="both"/>
              <w:rPr>
                <w:rFonts w:hint="eastAsia" w:ascii="宋体" w:hAnsi="宋体" w:eastAsia="宋体" w:cs="宋体"/>
                <w:color w:val="auto"/>
                <w:highlight w:val="none"/>
                <w:shd w:val="clear" w:color="auto" w:fill="auto"/>
              </w:rPr>
            </w:pPr>
          </w:p>
          <w:p w14:paraId="1AEC0F2F">
            <w:pPr>
              <w:spacing w:line="255" w:lineRule="auto"/>
              <w:jc w:val="both"/>
              <w:rPr>
                <w:rFonts w:hint="eastAsia" w:ascii="宋体" w:hAnsi="宋体" w:eastAsia="宋体" w:cs="宋体"/>
                <w:color w:val="auto"/>
                <w:highlight w:val="none"/>
                <w:shd w:val="clear" w:color="auto" w:fill="auto"/>
              </w:rPr>
            </w:pPr>
          </w:p>
          <w:p w14:paraId="2B4E534A">
            <w:pPr>
              <w:spacing w:before="74" w:line="229" w:lineRule="auto"/>
              <w:ind w:left="170"/>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投标人</w:t>
            </w:r>
          </w:p>
        </w:tc>
        <w:tc>
          <w:tcPr>
            <w:tcW w:w="1134" w:type="dxa"/>
            <w:noWrap w:val="0"/>
            <w:vAlign w:val="top"/>
          </w:tcPr>
          <w:p w14:paraId="7744D7B4">
            <w:pPr>
              <w:spacing w:line="278" w:lineRule="auto"/>
              <w:jc w:val="both"/>
              <w:rPr>
                <w:rFonts w:hint="eastAsia" w:ascii="宋体" w:hAnsi="宋体" w:eastAsia="宋体" w:cs="宋体"/>
                <w:color w:val="auto"/>
                <w:highlight w:val="none"/>
                <w:shd w:val="clear" w:color="auto" w:fill="auto"/>
              </w:rPr>
            </w:pPr>
          </w:p>
          <w:p w14:paraId="5A285480">
            <w:pPr>
              <w:spacing w:before="75" w:line="383" w:lineRule="auto"/>
              <w:ind w:left="115" w:right="6" w:firstLine="54"/>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投标报价</w:t>
            </w:r>
          </w:p>
          <w:p w14:paraId="2985F664">
            <w:pPr>
              <w:spacing w:before="75" w:line="383" w:lineRule="auto"/>
              <w:ind w:left="115" w:right="6" w:firstLine="54"/>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(元)</w:t>
            </w:r>
          </w:p>
        </w:tc>
        <w:tc>
          <w:tcPr>
            <w:tcW w:w="1345" w:type="dxa"/>
            <w:noWrap w:val="0"/>
            <w:vAlign w:val="top"/>
          </w:tcPr>
          <w:p w14:paraId="62E4BE32">
            <w:pPr>
              <w:spacing w:line="277" w:lineRule="auto"/>
              <w:jc w:val="both"/>
              <w:rPr>
                <w:rFonts w:hint="eastAsia" w:ascii="宋体" w:hAnsi="宋体" w:eastAsia="宋体" w:cs="宋体"/>
                <w:color w:val="auto"/>
                <w:highlight w:val="none"/>
                <w:shd w:val="clear" w:color="auto" w:fill="auto"/>
              </w:rPr>
            </w:pPr>
          </w:p>
          <w:p w14:paraId="2F262608">
            <w:pPr>
              <w:spacing w:before="75" w:line="384" w:lineRule="auto"/>
              <w:ind w:left="410" w:right="-77" w:hanging="238"/>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投标品牌</w:t>
            </w:r>
          </w:p>
        </w:tc>
        <w:tc>
          <w:tcPr>
            <w:tcW w:w="1045" w:type="dxa"/>
            <w:noWrap w:val="0"/>
            <w:vAlign w:val="top"/>
          </w:tcPr>
          <w:p w14:paraId="1A9C7FFE">
            <w:pPr>
              <w:spacing w:line="255" w:lineRule="auto"/>
              <w:jc w:val="both"/>
              <w:rPr>
                <w:rFonts w:hint="eastAsia" w:ascii="宋体" w:hAnsi="宋体" w:eastAsia="宋体" w:cs="宋体"/>
                <w:color w:val="auto"/>
                <w:highlight w:val="none"/>
                <w:shd w:val="clear" w:color="auto" w:fill="auto"/>
              </w:rPr>
            </w:pPr>
          </w:p>
          <w:p w14:paraId="2A635133">
            <w:pPr>
              <w:spacing w:before="75" w:line="227" w:lineRule="auto"/>
              <w:ind w:left="174"/>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交货期</w:t>
            </w:r>
          </w:p>
        </w:tc>
        <w:tc>
          <w:tcPr>
            <w:tcW w:w="1045" w:type="dxa"/>
            <w:noWrap w:val="0"/>
            <w:vAlign w:val="top"/>
          </w:tcPr>
          <w:p w14:paraId="1073F2AB">
            <w:pPr>
              <w:spacing w:before="118" w:line="376" w:lineRule="auto"/>
              <w:ind w:left="168" w:right="160" w:firstLine="2"/>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投标保证金缴</w:t>
            </w:r>
          </w:p>
          <w:p w14:paraId="50C96915">
            <w:pPr>
              <w:spacing w:before="1" w:line="228" w:lineRule="auto"/>
              <w:ind w:left="170"/>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纳情况</w:t>
            </w:r>
          </w:p>
        </w:tc>
        <w:tc>
          <w:tcPr>
            <w:tcW w:w="1952" w:type="dxa"/>
            <w:noWrap w:val="0"/>
            <w:vAlign w:val="top"/>
          </w:tcPr>
          <w:p w14:paraId="2B7C9E7C">
            <w:pPr>
              <w:spacing w:line="278" w:lineRule="auto"/>
              <w:jc w:val="both"/>
              <w:rPr>
                <w:rFonts w:hint="eastAsia" w:ascii="宋体" w:hAnsi="宋体" w:eastAsia="宋体" w:cs="宋体"/>
                <w:color w:val="auto"/>
                <w:highlight w:val="none"/>
                <w:shd w:val="clear" w:color="auto" w:fill="auto"/>
              </w:rPr>
            </w:pPr>
          </w:p>
          <w:p w14:paraId="4228E569">
            <w:pPr>
              <w:spacing w:before="75" w:line="384" w:lineRule="auto"/>
              <w:ind w:left="290" w:right="158" w:hanging="11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投标人确认</w:t>
            </w:r>
          </w:p>
        </w:tc>
        <w:tc>
          <w:tcPr>
            <w:tcW w:w="850" w:type="dxa"/>
            <w:noWrap w:val="0"/>
            <w:vAlign w:val="top"/>
          </w:tcPr>
          <w:p w14:paraId="40B54318">
            <w:pPr>
              <w:spacing w:line="254" w:lineRule="auto"/>
              <w:jc w:val="both"/>
              <w:rPr>
                <w:rFonts w:hint="eastAsia" w:ascii="宋体" w:hAnsi="宋体" w:eastAsia="宋体" w:cs="宋体"/>
                <w:color w:val="auto"/>
                <w:highlight w:val="none"/>
                <w:shd w:val="clear" w:color="auto" w:fill="auto"/>
              </w:rPr>
            </w:pPr>
          </w:p>
          <w:p w14:paraId="567C48BF">
            <w:pPr>
              <w:spacing w:line="254" w:lineRule="auto"/>
              <w:jc w:val="both"/>
              <w:rPr>
                <w:rFonts w:hint="eastAsia" w:ascii="宋体" w:hAnsi="宋体" w:eastAsia="宋体" w:cs="宋体"/>
                <w:color w:val="auto"/>
                <w:highlight w:val="none"/>
                <w:shd w:val="clear" w:color="auto" w:fill="auto"/>
              </w:rPr>
            </w:pPr>
          </w:p>
          <w:p w14:paraId="135BDE51">
            <w:pPr>
              <w:spacing w:before="75" w:line="230" w:lineRule="auto"/>
              <w:ind w:left="29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备注</w:t>
            </w:r>
          </w:p>
        </w:tc>
      </w:tr>
      <w:tr w14:paraId="10CE1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10" w:type="dxa"/>
            <w:noWrap w:val="0"/>
            <w:vAlign w:val="top"/>
          </w:tcPr>
          <w:p w14:paraId="12D355D7">
            <w:pPr>
              <w:jc w:val="both"/>
              <w:rPr>
                <w:rFonts w:hint="eastAsia" w:ascii="宋体" w:hAnsi="宋体" w:eastAsia="宋体" w:cs="宋体"/>
                <w:color w:val="auto"/>
                <w:highlight w:val="none"/>
                <w:shd w:val="clear" w:color="auto" w:fill="auto"/>
              </w:rPr>
            </w:pPr>
          </w:p>
        </w:tc>
        <w:tc>
          <w:tcPr>
            <w:tcW w:w="992" w:type="dxa"/>
            <w:noWrap w:val="0"/>
            <w:vAlign w:val="top"/>
          </w:tcPr>
          <w:p w14:paraId="60C205A6">
            <w:pPr>
              <w:jc w:val="both"/>
              <w:rPr>
                <w:rFonts w:hint="eastAsia" w:ascii="宋体" w:hAnsi="宋体" w:eastAsia="宋体" w:cs="宋体"/>
                <w:color w:val="auto"/>
                <w:highlight w:val="none"/>
                <w:shd w:val="clear" w:color="auto" w:fill="auto"/>
              </w:rPr>
            </w:pPr>
          </w:p>
        </w:tc>
        <w:tc>
          <w:tcPr>
            <w:tcW w:w="1134" w:type="dxa"/>
            <w:noWrap w:val="0"/>
            <w:vAlign w:val="top"/>
          </w:tcPr>
          <w:p w14:paraId="130F4BBC">
            <w:pPr>
              <w:jc w:val="both"/>
              <w:rPr>
                <w:rFonts w:hint="eastAsia" w:ascii="宋体" w:hAnsi="宋体" w:eastAsia="宋体" w:cs="宋体"/>
                <w:color w:val="auto"/>
                <w:highlight w:val="none"/>
                <w:shd w:val="clear" w:color="auto" w:fill="auto"/>
              </w:rPr>
            </w:pPr>
          </w:p>
        </w:tc>
        <w:tc>
          <w:tcPr>
            <w:tcW w:w="1345" w:type="dxa"/>
            <w:noWrap w:val="0"/>
            <w:vAlign w:val="top"/>
          </w:tcPr>
          <w:p w14:paraId="42E39488">
            <w:pPr>
              <w:jc w:val="both"/>
              <w:rPr>
                <w:rFonts w:hint="eastAsia" w:ascii="宋体" w:hAnsi="宋体" w:eastAsia="宋体" w:cs="宋体"/>
                <w:color w:val="auto"/>
                <w:highlight w:val="none"/>
                <w:shd w:val="clear" w:color="auto" w:fill="auto"/>
              </w:rPr>
            </w:pPr>
          </w:p>
        </w:tc>
        <w:tc>
          <w:tcPr>
            <w:tcW w:w="1045" w:type="dxa"/>
            <w:noWrap w:val="0"/>
            <w:vAlign w:val="top"/>
          </w:tcPr>
          <w:p w14:paraId="11B9ACB5">
            <w:pPr>
              <w:jc w:val="both"/>
              <w:rPr>
                <w:rFonts w:hint="eastAsia" w:ascii="宋体" w:hAnsi="宋体" w:eastAsia="宋体" w:cs="宋体"/>
                <w:color w:val="auto"/>
                <w:highlight w:val="none"/>
                <w:shd w:val="clear" w:color="auto" w:fill="auto"/>
              </w:rPr>
            </w:pPr>
          </w:p>
        </w:tc>
        <w:tc>
          <w:tcPr>
            <w:tcW w:w="1045" w:type="dxa"/>
            <w:noWrap w:val="0"/>
            <w:vAlign w:val="top"/>
          </w:tcPr>
          <w:p w14:paraId="32E9C344">
            <w:pPr>
              <w:jc w:val="both"/>
              <w:rPr>
                <w:rFonts w:hint="eastAsia" w:ascii="宋体" w:hAnsi="宋体" w:eastAsia="宋体" w:cs="宋体"/>
                <w:color w:val="auto"/>
                <w:highlight w:val="none"/>
                <w:shd w:val="clear" w:color="auto" w:fill="auto"/>
              </w:rPr>
            </w:pPr>
          </w:p>
        </w:tc>
        <w:tc>
          <w:tcPr>
            <w:tcW w:w="1952" w:type="dxa"/>
            <w:noWrap w:val="0"/>
            <w:vAlign w:val="top"/>
          </w:tcPr>
          <w:p w14:paraId="2B689442">
            <w:pPr>
              <w:jc w:val="both"/>
              <w:rPr>
                <w:rFonts w:hint="eastAsia" w:ascii="宋体" w:hAnsi="宋体" w:eastAsia="宋体" w:cs="宋体"/>
                <w:color w:val="auto"/>
                <w:highlight w:val="none"/>
                <w:shd w:val="clear" w:color="auto" w:fill="auto"/>
              </w:rPr>
            </w:pPr>
          </w:p>
        </w:tc>
        <w:tc>
          <w:tcPr>
            <w:tcW w:w="850" w:type="dxa"/>
            <w:noWrap w:val="0"/>
            <w:vAlign w:val="top"/>
          </w:tcPr>
          <w:p w14:paraId="547D928B">
            <w:pPr>
              <w:jc w:val="both"/>
              <w:rPr>
                <w:rFonts w:hint="eastAsia" w:ascii="宋体" w:hAnsi="宋体" w:eastAsia="宋体" w:cs="宋体"/>
                <w:color w:val="auto"/>
                <w:highlight w:val="none"/>
                <w:shd w:val="clear" w:color="auto" w:fill="auto"/>
              </w:rPr>
            </w:pPr>
          </w:p>
        </w:tc>
      </w:tr>
      <w:tr w14:paraId="262BD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10" w:type="dxa"/>
            <w:noWrap w:val="0"/>
            <w:vAlign w:val="top"/>
          </w:tcPr>
          <w:p w14:paraId="4DB04593">
            <w:pPr>
              <w:jc w:val="both"/>
              <w:rPr>
                <w:rFonts w:hint="eastAsia" w:ascii="宋体" w:hAnsi="宋体" w:eastAsia="宋体" w:cs="宋体"/>
                <w:color w:val="auto"/>
                <w:highlight w:val="none"/>
                <w:shd w:val="clear" w:color="auto" w:fill="auto"/>
              </w:rPr>
            </w:pPr>
          </w:p>
        </w:tc>
        <w:tc>
          <w:tcPr>
            <w:tcW w:w="992" w:type="dxa"/>
            <w:noWrap w:val="0"/>
            <w:vAlign w:val="top"/>
          </w:tcPr>
          <w:p w14:paraId="77899D08">
            <w:pPr>
              <w:jc w:val="both"/>
              <w:rPr>
                <w:rFonts w:hint="eastAsia" w:ascii="宋体" w:hAnsi="宋体" w:eastAsia="宋体" w:cs="宋体"/>
                <w:color w:val="auto"/>
                <w:highlight w:val="none"/>
                <w:shd w:val="clear" w:color="auto" w:fill="auto"/>
              </w:rPr>
            </w:pPr>
          </w:p>
        </w:tc>
        <w:tc>
          <w:tcPr>
            <w:tcW w:w="1134" w:type="dxa"/>
            <w:noWrap w:val="0"/>
            <w:vAlign w:val="top"/>
          </w:tcPr>
          <w:p w14:paraId="5E9699A4">
            <w:pPr>
              <w:jc w:val="both"/>
              <w:rPr>
                <w:rFonts w:hint="eastAsia" w:ascii="宋体" w:hAnsi="宋体" w:eastAsia="宋体" w:cs="宋体"/>
                <w:color w:val="auto"/>
                <w:highlight w:val="none"/>
                <w:shd w:val="clear" w:color="auto" w:fill="auto"/>
              </w:rPr>
            </w:pPr>
          </w:p>
        </w:tc>
        <w:tc>
          <w:tcPr>
            <w:tcW w:w="1345" w:type="dxa"/>
            <w:noWrap w:val="0"/>
            <w:vAlign w:val="top"/>
          </w:tcPr>
          <w:p w14:paraId="7AB507EC">
            <w:pPr>
              <w:jc w:val="both"/>
              <w:rPr>
                <w:rFonts w:hint="eastAsia" w:ascii="宋体" w:hAnsi="宋体" w:eastAsia="宋体" w:cs="宋体"/>
                <w:color w:val="auto"/>
                <w:highlight w:val="none"/>
                <w:shd w:val="clear" w:color="auto" w:fill="auto"/>
              </w:rPr>
            </w:pPr>
          </w:p>
        </w:tc>
        <w:tc>
          <w:tcPr>
            <w:tcW w:w="1045" w:type="dxa"/>
            <w:noWrap w:val="0"/>
            <w:vAlign w:val="top"/>
          </w:tcPr>
          <w:p w14:paraId="2111D5C8">
            <w:pPr>
              <w:jc w:val="both"/>
              <w:rPr>
                <w:rFonts w:hint="eastAsia" w:ascii="宋体" w:hAnsi="宋体" w:eastAsia="宋体" w:cs="宋体"/>
                <w:color w:val="auto"/>
                <w:highlight w:val="none"/>
                <w:shd w:val="clear" w:color="auto" w:fill="auto"/>
              </w:rPr>
            </w:pPr>
          </w:p>
        </w:tc>
        <w:tc>
          <w:tcPr>
            <w:tcW w:w="1045" w:type="dxa"/>
            <w:noWrap w:val="0"/>
            <w:vAlign w:val="top"/>
          </w:tcPr>
          <w:p w14:paraId="6460E7E4">
            <w:pPr>
              <w:jc w:val="both"/>
              <w:rPr>
                <w:rFonts w:hint="eastAsia" w:ascii="宋体" w:hAnsi="宋体" w:eastAsia="宋体" w:cs="宋体"/>
                <w:color w:val="auto"/>
                <w:highlight w:val="none"/>
                <w:shd w:val="clear" w:color="auto" w:fill="auto"/>
              </w:rPr>
            </w:pPr>
          </w:p>
        </w:tc>
        <w:tc>
          <w:tcPr>
            <w:tcW w:w="1952" w:type="dxa"/>
            <w:noWrap w:val="0"/>
            <w:vAlign w:val="top"/>
          </w:tcPr>
          <w:p w14:paraId="7E09A898">
            <w:pPr>
              <w:jc w:val="both"/>
              <w:rPr>
                <w:rFonts w:hint="eastAsia" w:ascii="宋体" w:hAnsi="宋体" w:eastAsia="宋体" w:cs="宋体"/>
                <w:color w:val="auto"/>
                <w:highlight w:val="none"/>
                <w:shd w:val="clear" w:color="auto" w:fill="auto"/>
              </w:rPr>
            </w:pPr>
          </w:p>
        </w:tc>
        <w:tc>
          <w:tcPr>
            <w:tcW w:w="850" w:type="dxa"/>
            <w:noWrap w:val="0"/>
            <w:vAlign w:val="top"/>
          </w:tcPr>
          <w:p w14:paraId="26A5EF8F">
            <w:pPr>
              <w:jc w:val="both"/>
              <w:rPr>
                <w:rFonts w:hint="eastAsia" w:ascii="宋体" w:hAnsi="宋体" w:eastAsia="宋体" w:cs="宋体"/>
                <w:color w:val="auto"/>
                <w:highlight w:val="none"/>
                <w:shd w:val="clear" w:color="auto" w:fill="auto"/>
              </w:rPr>
            </w:pPr>
          </w:p>
        </w:tc>
      </w:tr>
      <w:tr w14:paraId="19B1C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10" w:type="dxa"/>
            <w:noWrap w:val="0"/>
            <w:vAlign w:val="top"/>
          </w:tcPr>
          <w:p w14:paraId="59F90F95">
            <w:pPr>
              <w:jc w:val="both"/>
              <w:rPr>
                <w:rFonts w:hint="eastAsia" w:ascii="宋体" w:hAnsi="宋体" w:eastAsia="宋体" w:cs="宋体"/>
                <w:color w:val="auto"/>
                <w:highlight w:val="none"/>
                <w:shd w:val="clear" w:color="auto" w:fill="auto"/>
              </w:rPr>
            </w:pPr>
          </w:p>
        </w:tc>
        <w:tc>
          <w:tcPr>
            <w:tcW w:w="992" w:type="dxa"/>
            <w:noWrap w:val="0"/>
            <w:vAlign w:val="top"/>
          </w:tcPr>
          <w:p w14:paraId="62DB8C3F">
            <w:pPr>
              <w:jc w:val="both"/>
              <w:rPr>
                <w:rFonts w:hint="eastAsia" w:ascii="宋体" w:hAnsi="宋体" w:eastAsia="宋体" w:cs="宋体"/>
                <w:color w:val="auto"/>
                <w:highlight w:val="none"/>
                <w:shd w:val="clear" w:color="auto" w:fill="auto"/>
              </w:rPr>
            </w:pPr>
          </w:p>
        </w:tc>
        <w:tc>
          <w:tcPr>
            <w:tcW w:w="1134" w:type="dxa"/>
            <w:noWrap w:val="0"/>
            <w:vAlign w:val="top"/>
          </w:tcPr>
          <w:p w14:paraId="7F676E42">
            <w:pPr>
              <w:jc w:val="both"/>
              <w:rPr>
                <w:rFonts w:hint="eastAsia" w:ascii="宋体" w:hAnsi="宋体" w:eastAsia="宋体" w:cs="宋体"/>
                <w:color w:val="auto"/>
                <w:highlight w:val="none"/>
                <w:shd w:val="clear" w:color="auto" w:fill="auto"/>
              </w:rPr>
            </w:pPr>
          </w:p>
        </w:tc>
        <w:tc>
          <w:tcPr>
            <w:tcW w:w="1345" w:type="dxa"/>
            <w:noWrap w:val="0"/>
            <w:vAlign w:val="top"/>
          </w:tcPr>
          <w:p w14:paraId="5EE5E7EF">
            <w:pPr>
              <w:jc w:val="both"/>
              <w:rPr>
                <w:rFonts w:hint="eastAsia" w:ascii="宋体" w:hAnsi="宋体" w:eastAsia="宋体" w:cs="宋体"/>
                <w:color w:val="auto"/>
                <w:highlight w:val="none"/>
                <w:shd w:val="clear" w:color="auto" w:fill="auto"/>
              </w:rPr>
            </w:pPr>
          </w:p>
        </w:tc>
        <w:tc>
          <w:tcPr>
            <w:tcW w:w="1045" w:type="dxa"/>
            <w:noWrap w:val="0"/>
            <w:vAlign w:val="top"/>
          </w:tcPr>
          <w:p w14:paraId="3627912C">
            <w:pPr>
              <w:jc w:val="both"/>
              <w:rPr>
                <w:rFonts w:hint="eastAsia" w:ascii="宋体" w:hAnsi="宋体" w:eastAsia="宋体" w:cs="宋体"/>
                <w:color w:val="auto"/>
                <w:highlight w:val="none"/>
                <w:shd w:val="clear" w:color="auto" w:fill="auto"/>
              </w:rPr>
            </w:pPr>
          </w:p>
        </w:tc>
        <w:tc>
          <w:tcPr>
            <w:tcW w:w="1045" w:type="dxa"/>
            <w:noWrap w:val="0"/>
            <w:vAlign w:val="top"/>
          </w:tcPr>
          <w:p w14:paraId="1E64F8EC">
            <w:pPr>
              <w:jc w:val="both"/>
              <w:rPr>
                <w:rFonts w:hint="eastAsia" w:ascii="宋体" w:hAnsi="宋体" w:eastAsia="宋体" w:cs="宋体"/>
                <w:color w:val="auto"/>
                <w:highlight w:val="none"/>
                <w:shd w:val="clear" w:color="auto" w:fill="auto"/>
              </w:rPr>
            </w:pPr>
          </w:p>
        </w:tc>
        <w:tc>
          <w:tcPr>
            <w:tcW w:w="1952" w:type="dxa"/>
            <w:noWrap w:val="0"/>
            <w:vAlign w:val="top"/>
          </w:tcPr>
          <w:p w14:paraId="5ABA9921">
            <w:pPr>
              <w:jc w:val="both"/>
              <w:rPr>
                <w:rFonts w:hint="eastAsia" w:ascii="宋体" w:hAnsi="宋体" w:eastAsia="宋体" w:cs="宋体"/>
                <w:color w:val="auto"/>
                <w:highlight w:val="none"/>
                <w:shd w:val="clear" w:color="auto" w:fill="auto"/>
              </w:rPr>
            </w:pPr>
          </w:p>
        </w:tc>
        <w:tc>
          <w:tcPr>
            <w:tcW w:w="850" w:type="dxa"/>
            <w:noWrap w:val="0"/>
            <w:vAlign w:val="top"/>
          </w:tcPr>
          <w:p w14:paraId="11642FF3">
            <w:pPr>
              <w:jc w:val="both"/>
              <w:rPr>
                <w:rFonts w:hint="eastAsia" w:ascii="宋体" w:hAnsi="宋体" w:eastAsia="宋体" w:cs="宋体"/>
                <w:color w:val="auto"/>
                <w:highlight w:val="none"/>
                <w:shd w:val="clear" w:color="auto" w:fill="auto"/>
              </w:rPr>
            </w:pPr>
          </w:p>
        </w:tc>
      </w:tr>
      <w:tr w14:paraId="3F4B0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10" w:type="dxa"/>
            <w:noWrap w:val="0"/>
            <w:vAlign w:val="top"/>
          </w:tcPr>
          <w:p w14:paraId="673D11F8">
            <w:pPr>
              <w:jc w:val="both"/>
              <w:rPr>
                <w:rFonts w:hint="eastAsia" w:ascii="宋体" w:hAnsi="宋体" w:eastAsia="宋体" w:cs="宋体"/>
                <w:color w:val="auto"/>
                <w:highlight w:val="none"/>
                <w:shd w:val="clear" w:color="auto" w:fill="auto"/>
              </w:rPr>
            </w:pPr>
          </w:p>
        </w:tc>
        <w:tc>
          <w:tcPr>
            <w:tcW w:w="992" w:type="dxa"/>
            <w:noWrap w:val="0"/>
            <w:vAlign w:val="top"/>
          </w:tcPr>
          <w:p w14:paraId="1C37D48D">
            <w:pPr>
              <w:jc w:val="both"/>
              <w:rPr>
                <w:rFonts w:hint="eastAsia" w:ascii="宋体" w:hAnsi="宋体" w:eastAsia="宋体" w:cs="宋体"/>
                <w:color w:val="auto"/>
                <w:highlight w:val="none"/>
                <w:shd w:val="clear" w:color="auto" w:fill="auto"/>
              </w:rPr>
            </w:pPr>
          </w:p>
        </w:tc>
        <w:tc>
          <w:tcPr>
            <w:tcW w:w="1134" w:type="dxa"/>
            <w:noWrap w:val="0"/>
            <w:vAlign w:val="top"/>
          </w:tcPr>
          <w:p w14:paraId="6355A5AE">
            <w:pPr>
              <w:jc w:val="both"/>
              <w:rPr>
                <w:rFonts w:hint="eastAsia" w:ascii="宋体" w:hAnsi="宋体" w:eastAsia="宋体" w:cs="宋体"/>
                <w:color w:val="auto"/>
                <w:highlight w:val="none"/>
                <w:shd w:val="clear" w:color="auto" w:fill="auto"/>
              </w:rPr>
            </w:pPr>
          </w:p>
        </w:tc>
        <w:tc>
          <w:tcPr>
            <w:tcW w:w="1345" w:type="dxa"/>
            <w:noWrap w:val="0"/>
            <w:vAlign w:val="top"/>
          </w:tcPr>
          <w:p w14:paraId="31155905">
            <w:pPr>
              <w:jc w:val="both"/>
              <w:rPr>
                <w:rFonts w:hint="eastAsia" w:ascii="宋体" w:hAnsi="宋体" w:eastAsia="宋体" w:cs="宋体"/>
                <w:color w:val="auto"/>
                <w:highlight w:val="none"/>
                <w:shd w:val="clear" w:color="auto" w:fill="auto"/>
              </w:rPr>
            </w:pPr>
          </w:p>
        </w:tc>
        <w:tc>
          <w:tcPr>
            <w:tcW w:w="1045" w:type="dxa"/>
            <w:noWrap w:val="0"/>
            <w:vAlign w:val="top"/>
          </w:tcPr>
          <w:p w14:paraId="3C2CCF85">
            <w:pPr>
              <w:jc w:val="both"/>
              <w:rPr>
                <w:rFonts w:hint="eastAsia" w:ascii="宋体" w:hAnsi="宋体" w:eastAsia="宋体" w:cs="宋体"/>
                <w:color w:val="auto"/>
                <w:highlight w:val="none"/>
                <w:shd w:val="clear" w:color="auto" w:fill="auto"/>
              </w:rPr>
            </w:pPr>
          </w:p>
        </w:tc>
        <w:tc>
          <w:tcPr>
            <w:tcW w:w="1045" w:type="dxa"/>
            <w:noWrap w:val="0"/>
            <w:vAlign w:val="top"/>
          </w:tcPr>
          <w:p w14:paraId="37429F59">
            <w:pPr>
              <w:jc w:val="both"/>
              <w:rPr>
                <w:rFonts w:hint="eastAsia" w:ascii="宋体" w:hAnsi="宋体" w:eastAsia="宋体" w:cs="宋体"/>
                <w:color w:val="auto"/>
                <w:highlight w:val="none"/>
                <w:shd w:val="clear" w:color="auto" w:fill="auto"/>
              </w:rPr>
            </w:pPr>
          </w:p>
        </w:tc>
        <w:tc>
          <w:tcPr>
            <w:tcW w:w="1952" w:type="dxa"/>
            <w:noWrap w:val="0"/>
            <w:vAlign w:val="top"/>
          </w:tcPr>
          <w:p w14:paraId="26544F64">
            <w:pPr>
              <w:jc w:val="both"/>
              <w:rPr>
                <w:rFonts w:hint="eastAsia" w:ascii="宋体" w:hAnsi="宋体" w:eastAsia="宋体" w:cs="宋体"/>
                <w:color w:val="auto"/>
                <w:highlight w:val="none"/>
                <w:shd w:val="clear" w:color="auto" w:fill="auto"/>
              </w:rPr>
            </w:pPr>
          </w:p>
        </w:tc>
        <w:tc>
          <w:tcPr>
            <w:tcW w:w="850" w:type="dxa"/>
            <w:noWrap w:val="0"/>
            <w:vAlign w:val="top"/>
          </w:tcPr>
          <w:p w14:paraId="1BD2F340">
            <w:pPr>
              <w:jc w:val="both"/>
              <w:rPr>
                <w:rFonts w:hint="eastAsia" w:ascii="宋体" w:hAnsi="宋体" w:eastAsia="宋体" w:cs="宋体"/>
                <w:color w:val="auto"/>
                <w:highlight w:val="none"/>
                <w:shd w:val="clear" w:color="auto" w:fill="auto"/>
              </w:rPr>
            </w:pPr>
          </w:p>
        </w:tc>
      </w:tr>
      <w:tr w14:paraId="41EC8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10" w:type="dxa"/>
            <w:noWrap w:val="0"/>
            <w:vAlign w:val="top"/>
          </w:tcPr>
          <w:p w14:paraId="3058234F">
            <w:pPr>
              <w:jc w:val="both"/>
              <w:rPr>
                <w:rFonts w:hint="eastAsia" w:ascii="宋体" w:hAnsi="宋体" w:eastAsia="宋体" w:cs="宋体"/>
                <w:color w:val="auto"/>
                <w:highlight w:val="none"/>
                <w:shd w:val="clear" w:color="auto" w:fill="auto"/>
              </w:rPr>
            </w:pPr>
          </w:p>
        </w:tc>
        <w:tc>
          <w:tcPr>
            <w:tcW w:w="992" w:type="dxa"/>
            <w:noWrap w:val="0"/>
            <w:vAlign w:val="top"/>
          </w:tcPr>
          <w:p w14:paraId="07E95ACC">
            <w:pPr>
              <w:jc w:val="both"/>
              <w:rPr>
                <w:rFonts w:hint="eastAsia" w:ascii="宋体" w:hAnsi="宋体" w:eastAsia="宋体" w:cs="宋体"/>
                <w:color w:val="auto"/>
                <w:highlight w:val="none"/>
                <w:shd w:val="clear" w:color="auto" w:fill="auto"/>
              </w:rPr>
            </w:pPr>
          </w:p>
        </w:tc>
        <w:tc>
          <w:tcPr>
            <w:tcW w:w="1134" w:type="dxa"/>
            <w:noWrap w:val="0"/>
            <w:vAlign w:val="top"/>
          </w:tcPr>
          <w:p w14:paraId="677FFC43">
            <w:pPr>
              <w:jc w:val="both"/>
              <w:rPr>
                <w:rFonts w:hint="eastAsia" w:ascii="宋体" w:hAnsi="宋体" w:eastAsia="宋体" w:cs="宋体"/>
                <w:color w:val="auto"/>
                <w:highlight w:val="none"/>
                <w:shd w:val="clear" w:color="auto" w:fill="auto"/>
              </w:rPr>
            </w:pPr>
          </w:p>
        </w:tc>
        <w:tc>
          <w:tcPr>
            <w:tcW w:w="1345" w:type="dxa"/>
            <w:noWrap w:val="0"/>
            <w:vAlign w:val="top"/>
          </w:tcPr>
          <w:p w14:paraId="117962EA">
            <w:pPr>
              <w:jc w:val="both"/>
              <w:rPr>
                <w:rFonts w:hint="eastAsia" w:ascii="宋体" w:hAnsi="宋体" w:eastAsia="宋体" w:cs="宋体"/>
                <w:color w:val="auto"/>
                <w:highlight w:val="none"/>
                <w:shd w:val="clear" w:color="auto" w:fill="auto"/>
              </w:rPr>
            </w:pPr>
          </w:p>
        </w:tc>
        <w:tc>
          <w:tcPr>
            <w:tcW w:w="1045" w:type="dxa"/>
            <w:noWrap w:val="0"/>
            <w:vAlign w:val="top"/>
          </w:tcPr>
          <w:p w14:paraId="0554D87F">
            <w:pPr>
              <w:jc w:val="both"/>
              <w:rPr>
                <w:rFonts w:hint="eastAsia" w:ascii="宋体" w:hAnsi="宋体" w:eastAsia="宋体" w:cs="宋体"/>
                <w:color w:val="auto"/>
                <w:highlight w:val="none"/>
                <w:shd w:val="clear" w:color="auto" w:fill="auto"/>
              </w:rPr>
            </w:pPr>
          </w:p>
        </w:tc>
        <w:tc>
          <w:tcPr>
            <w:tcW w:w="1045" w:type="dxa"/>
            <w:noWrap w:val="0"/>
            <w:vAlign w:val="top"/>
          </w:tcPr>
          <w:p w14:paraId="0DC57CED">
            <w:pPr>
              <w:jc w:val="both"/>
              <w:rPr>
                <w:rFonts w:hint="eastAsia" w:ascii="宋体" w:hAnsi="宋体" w:eastAsia="宋体" w:cs="宋体"/>
                <w:color w:val="auto"/>
                <w:highlight w:val="none"/>
                <w:shd w:val="clear" w:color="auto" w:fill="auto"/>
              </w:rPr>
            </w:pPr>
          </w:p>
        </w:tc>
        <w:tc>
          <w:tcPr>
            <w:tcW w:w="1952" w:type="dxa"/>
            <w:noWrap w:val="0"/>
            <w:vAlign w:val="top"/>
          </w:tcPr>
          <w:p w14:paraId="7CFA4381">
            <w:pPr>
              <w:jc w:val="both"/>
              <w:rPr>
                <w:rFonts w:hint="eastAsia" w:ascii="宋体" w:hAnsi="宋体" w:eastAsia="宋体" w:cs="宋体"/>
                <w:color w:val="auto"/>
                <w:highlight w:val="none"/>
                <w:shd w:val="clear" w:color="auto" w:fill="auto"/>
              </w:rPr>
            </w:pPr>
          </w:p>
        </w:tc>
        <w:tc>
          <w:tcPr>
            <w:tcW w:w="850" w:type="dxa"/>
            <w:noWrap w:val="0"/>
            <w:vAlign w:val="top"/>
          </w:tcPr>
          <w:p w14:paraId="348BFE5F">
            <w:pPr>
              <w:jc w:val="both"/>
              <w:rPr>
                <w:rFonts w:hint="eastAsia" w:ascii="宋体" w:hAnsi="宋体" w:eastAsia="宋体" w:cs="宋体"/>
                <w:color w:val="auto"/>
                <w:highlight w:val="none"/>
                <w:shd w:val="clear" w:color="auto" w:fill="auto"/>
              </w:rPr>
            </w:pPr>
          </w:p>
        </w:tc>
      </w:tr>
      <w:tr w14:paraId="741B9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10" w:type="dxa"/>
            <w:noWrap w:val="0"/>
            <w:vAlign w:val="top"/>
          </w:tcPr>
          <w:p w14:paraId="0180ACEA">
            <w:pPr>
              <w:jc w:val="both"/>
              <w:rPr>
                <w:rFonts w:hint="eastAsia" w:ascii="宋体" w:hAnsi="宋体" w:eastAsia="宋体" w:cs="宋体"/>
                <w:color w:val="auto"/>
                <w:highlight w:val="none"/>
                <w:shd w:val="clear" w:color="auto" w:fill="auto"/>
              </w:rPr>
            </w:pPr>
          </w:p>
        </w:tc>
        <w:tc>
          <w:tcPr>
            <w:tcW w:w="992" w:type="dxa"/>
            <w:noWrap w:val="0"/>
            <w:vAlign w:val="top"/>
          </w:tcPr>
          <w:p w14:paraId="64BA97FD">
            <w:pPr>
              <w:jc w:val="both"/>
              <w:rPr>
                <w:rFonts w:hint="eastAsia" w:ascii="宋体" w:hAnsi="宋体" w:eastAsia="宋体" w:cs="宋体"/>
                <w:color w:val="auto"/>
                <w:highlight w:val="none"/>
                <w:shd w:val="clear" w:color="auto" w:fill="auto"/>
              </w:rPr>
            </w:pPr>
          </w:p>
        </w:tc>
        <w:tc>
          <w:tcPr>
            <w:tcW w:w="1134" w:type="dxa"/>
            <w:noWrap w:val="0"/>
            <w:vAlign w:val="top"/>
          </w:tcPr>
          <w:p w14:paraId="414E1A8F">
            <w:pPr>
              <w:jc w:val="both"/>
              <w:rPr>
                <w:rFonts w:hint="eastAsia" w:ascii="宋体" w:hAnsi="宋体" w:eastAsia="宋体" w:cs="宋体"/>
                <w:color w:val="auto"/>
                <w:highlight w:val="none"/>
                <w:shd w:val="clear" w:color="auto" w:fill="auto"/>
              </w:rPr>
            </w:pPr>
          </w:p>
        </w:tc>
        <w:tc>
          <w:tcPr>
            <w:tcW w:w="1345" w:type="dxa"/>
            <w:noWrap w:val="0"/>
            <w:vAlign w:val="top"/>
          </w:tcPr>
          <w:p w14:paraId="7F645B6B">
            <w:pPr>
              <w:jc w:val="both"/>
              <w:rPr>
                <w:rFonts w:hint="eastAsia" w:ascii="宋体" w:hAnsi="宋体" w:eastAsia="宋体" w:cs="宋体"/>
                <w:color w:val="auto"/>
                <w:highlight w:val="none"/>
                <w:shd w:val="clear" w:color="auto" w:fill="auto"/>
              </w:rPr>
            </w:pPr>
          </w:p>
        </w:tc>
        <w:tc>
          <w:tcPr>
            <w:tcW w:w="1045" w:type="dxa"/>
            <w:noWrap w:val="0"/>
            <w:vAlign w:val="top"/>
          </w:tcPr>
          <w:p w14:paraId="2A0FC3F4">
            <w:pPr>
              <w:jc w:val="both"/>
              <w:rPr>
                <w:rFonts w:hint="eastAsia" w:ascii="宋体" w:hAnsi="宋体" w:eastAsia="宋体" w:cs="宋体"/>
                <w:color w:val="auto"/>
                <w:highlight w:val="none"/>
                <w:shd w:val="clear" w:color="auto" w:fill="auto"/>
              </w:rPr>
            </w:pPr>
          </w:p>
        </w:tc>
        <w:tc>
          <w:tcPr>
            <w:tcW w:w="1045" w:type="dxa"/>
            <w:noWrap w:val="0"/>
            <w:vAlign w:val="top"/>
          </w:tcPr>
          <w:p w14:paraId="2822B170">
            <w:pPr>
              <w:jc w:val="both"/>
              <w:rPr>
                <w:rFonts w:hint="eastAsia" w:ascii="宋体" w:hAnsi="宋体" w:eastAsia="宋体" w:cs="宋体"/>
                <w:color w:val="auto"/>
                <w:highlight w:val="none"/>
                <w:shd w:val="clear" w:color="auto" w:fill="auto"/>
              </w:rPr>
            </w:pPr>
          </w:p>
        </w:tc>
        <w:tc>
          <w:tcPr>
            <w:tcW w:w="1952" w:type="dxa"/>
            <w:noWrap w:val="0"/>
            <w:vAlign w:val="top"/>
          </w:tcPr>
          <w:p w14:paraId="0C67F00A">
            <w:pPr>
              <w:jc w:val="both"/>
              <w:rPr>
                <w:rFonts w:hint="eastAsia" w:ascii="宋体" w:hAnsi="宋体" w:eastAsia="宋体" w:cs="宋体"/>
                <w:color w:val="auto"/>
                <w:highlight w:val="none"/>
                <w:shd w:val="clear" w:color="auto" w:fill="auto"/>
              </w:rPr>
            </w:pPr>
          </w:p>
        </w:tc>
        <w:tc>
          <w:tcPr>
            <w:tcW w:w="850" w:type="dxa"/>
            <w:noWrap w:val="0"/>
            <w:vAlign w:val="top"/>
          </w:tcPr>
          <w:p w14:paraId="0093EFE3">
            <w:pPr>
              <w:jc w:val="both"/>
              <w:rPr>
                <w:rFonts w:hint="eastAsia" w:ascii="宋体" w:hAnsi="宋体" w:eastAsia="宋体" w:cs="宋体"/>
                <w:color w:val="auto"/>
                <w:highlight w:val="none"/>
                <w:shd w:val="clear" w:color="auto" w:fill="auto"/>
              </w:rPr>
            </w:pPr>
          </w:p>
        </w:tc>
      </w:tr>
      <w:tr w14:paraId="70983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10" w:type="dxa"/>
            <w:noWrap w:val="0"/>
            <w:vAlign w:val="top"/>
          </w:tcPr>
          <w:p w14:paraId="7A57503F">
            <w:pPr>
              <w:jc w:val="both"/>
              <w:rPr>
                <w:rFonts w:hint="eastAsia" w:ascii="宋体" w:hAnsi="宋体" w:eastAsia="宋体" w:cs="宋体"/>
                <w:color w:val="auto"/>
                <w:highlight w:val="none"/>
                <w:shd w:val="clear" w:color="auto" w:fill="auto"/>
              </w:rPr>
            </w:pPr>
          </w:p>
        </w:tc>
        <w:tc>
          <w:tcPr>
            <w:tcW w:w="992" w:type="dxa"/>
            <w:noWrap w:val="0"/>
            <w:vAlign w:val="top"/>
          </w:tcPr>
          <w:p w14:paraId="1F807CAF">
            <w:pPr>
              <w:jc w:val="both"/>
              <w:rPr>
                <w:rFonts w:hint="eastAsia" w:ascii="宋体" w:hAnsi="宋体" w:eastAsia="宋体" w:cs="宋体"/>
                <w:color w:val="auto"/>
                <w:highlight w:val="none"/>
                <w:shd w:val="clear" w:color="auto" w:fill="auto"/>
              </w:rPr>
            </w:pPr>
          </w:p>
        </w:tc>
        <w:tc>
          <w:tcPr>
            <w:tcW w:w="1134" w:type="dxa"/>
            <w:noWrap w:val="0"/>
            <w:vAlign w:val="top"/>
          </w:tcPr>
          <w:p w14:paraId="351C2B27">
            <w:pPr>
              <w:jc w:val="both"/>
              <w:rPr>
                <w:rFonts w:hint="eastAsia" w:ascii="宋体" w:hAnsi="宋体" w:eastAsia="宋体" w:cs="宋体"/>
                <w:color w:val="auto"/>
                <w:highlight w:val="none"/>
                <w:shd w:val="clear" w:color="auto" w:fill="auto"/>
              </w:rPr>
            </w:pPr>
          </w:p>
        </w:tc>
        <w:tc>
          <w:tcPr>
            <w:tcW w:w="1345" w:type="dxa"/>
            <w:noWrap w:val="0"/>
            <w:vAlign w:val="top"/>
          </w:tcPr>
          <w:p w14:paraId="3943B00F">
            <w:pPr>
              <w:jc w:val="both"/>
              <w:rPr>
                <w:rFonts w:hint="eastAsia" w:ascii="宋体" w:hAnsi="宋体" w:eastAsia="宋体" w:cs="宋体"/>
                <w:color w:val="auto"/>
                <w:highlight w:val="none"/>
                <w:shd w:val="clear" w:color="auto" w:fill="auto"/>
              </w:rPr>
            </w:pPr>
          </w:p>
        </w:tc>
        <w:tc>
          <w:tcPr>
            <w:tcW w:w="1045" w:type="dxa"/>
            <w:noWrap w:val="0"/>
            <w:vAlign w:val="top"/>
          </w:tcPr>
          <w:p w14:paraId="68387442">
            <w:pPr>
              <w:jc w:val="both"/>
              <w:rPr>
                <w:rFonts w:hint="eastAsia" w:ascii="宋体" w:hAnsi="宋体" w:eastAsia="宋体" w:cs="宋体"/>
                <w:color w:val="auto"/>
                <w:highlight w:val="none"/>
                <w:shd w:val="clear" w:color="auto" w:fill="auto"/>
              </w:rPr>
            </w:pPr>
          </w:p>
        </w:tc>
        <w:tc>
          <w:tcPr>
            <w:tcW w:w="1045" w:type="dxa"/>
            <w:noWrap w:val="0"/>
            <w:vAlign w:val="top"/>
          </w:tcPr>
          <w:p w14:paraId="1A1475D7">
            <w:pPr>
              <w:jc w:val="both"/>
              <w:rPr>
                <w:rFonts w:hint="eastAsia" w:ascii="宋体" w:hAnsi="宋体" w:eastAsia="宋体" w:cs="宋体"/>
                <w:color w:val="auto"/>
                <w:highlight w:val="none"/>
                <w:shd w:val="clear" w:color="auto" w:fill="auto"/>
              </w:rPr>
            </w:pPr>
          </w:p>
        </w:tc>
        <w:tc>
          <w:tcPr>
            <w:tcW w:w="1952" w:type="dxa"/>
            <w:noWrap w:val="0"/>
            <w:vAlign w:val="top"/>
          </w:tcPr>
          <w:p w14:paraId="446CE0EC">
            <w:pPr>
              <w:jc w:val="both"/>
              <w:rPr>
                <w:rFonts w:hint="eastAsia" w:ascii="宋体" w:hAnsi="宋体" w:eastAsia="宋体" w:cs="宋体"/>
                <w:color w:val="auto"/>
                <w:highlight w:val="none"/>
                <w:shd w:val="clear" w:color="auto" w:fill="auto"/>
              </w:rPr>
            </w:pPr>
          </w:p>
        </w:tc>
        <w:tc>
          <w:tcPr>
            <w:tcW w:w="850" w:type="dxa"/>
            <w:noWrap w:val="0"/>
            <w:vAlign w:val="top"/>
          </w:tcPr>
          <w:p w14:paraId="72BF9183">
            <w:pPr>
              <w:jc w:val="both"/>
              <w:rPr>
                <w:rFonts w:hint="eastAsia" w:ascii="宋体" w:hAnsi="宋体" w:eastAsia="宋体" w:cs="宋体"/>
                <w:color w:val="auto"/>
                <w:highlight w:val="none"/>
                <w:shd w:val="clear" w:color="auto" w:fill="auto"/>
              </w:rPr>
            </w:pPr>
          </w:p>
        </w:tc>
      </w:tr>
      <w:tr w14:paraId="455E4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10" w:type="dxa"/>
            <w:noWrap w:val="0"/>
            <w:vAlign w:val="top"/>
          </w:tcPr>
          <w:p w14:paraId="0BA83F60">
            <w:pPr>
              <w:jc w:val="both"/>
              <w:rPr>
                <w:rFonts w:hint="eastAsia" w:ascii="宋体" w:hAnsi="宋体" w:eastAsia="宋体" w:cs="宋体"/>
                <w:color w:val="auto"/>
                <w:highlight w:val="none"/>
                <w:shd w:val="clear" w:color="auto" w:fill="auto"/>
              </w:rPr>
            </w:pPr>
          </w:p>
        </w:tc>
        <w:tc>
          <w:tcPr>
            <w:tcW w:w="992" w:type="dxa"/>
            <w:noWrap w:val="0"/>
            <w:vAlign w:val="top"/>
          </w:tcPr>
          <w:p w14:paraId="001DE3CA">
            <w:pPr>
              <w:jc w:val="both"/>
              <w:rPr>
                <w:rFonts w:hint="eastAsia" w:ascii="宋体" w:hAnsi="宋体" w:eastAsia="宋体" w:cs="宋体"/>
                <w:color w:val="auto"/>
                <w:highlight w:val="none"/>
                <w:shd w:val="clear" w:color="auto" w:fill="auto"/>
              </w:rPr>
            </w:pPr>
          </w:p>
        </w:tc>
        <w:tc>
          <w:tcPr>
            <w:tcW w:w="1134" w:type="dxa"/>
            <w:noWrap w:val="0"/>
            <w:vAlign w:val="top"/>
          </w:tcPr>
          <w:p w14:paraId="634246AE">
            <w:pPr>
              <w:jc w:val="both"/>
              <w:rPr>
                <w:rFonts w:hint="eastAsia" w:ascii="宋体" w:hAnsi="宋体" w:eastAsia="宋体" w:cs="宋体"/>
                <w:color w:val="auto"/>
                <w:highlight w:val="none"/>
                <w:shd w:val="clear" w:color="auto" w:fill="auto"/>
              </w:rPr>
            </w:pPr>
          </w:p>
        </w:tc>
        <w:tc>
          <w:tcPr>
            <w:tcW w:w="1345" w:type="dxa"/>
            <w:noWrap w:val="0"/>
            <w:vAlign w:val="top"/>
          </w:tcPr>
          <w:p w14:paraId="2A87196E">
            <w:pPr>
              <w:jc w:val="both"/>
              <w:rPr>
                <w:rFonts w:hint="eastAsia" w:ascii="宋体" w:hAnsi="宋体" w:eastAsia="宋体" w:cs="宋体"/>
                <w:color w:val="auto"/>
                <w:highlight w:val="none"/>
                <w:shd w:val="clear" w:color="auto" w:fill="auto"/>
              </w:rPr>
            </w:pPr>
          </w:p>
        </w:tc>
        <w:tc>
          <w:tcPr>
            <w:tcW w:w="1045" w:type="dxa"/>
            <w:noWrap w:val="0"/>
            <w:vAlign w:val="top"/>
          </w:tcPr>
          <w:p w14:paraId="4A7657E3">
            <w:pPr>
              <w:jc w:val="both"/>
              <w:rPr>
                <w:rFonts w:hint="eastAsia" w:ascii="宋体" w:hAnsi="宋体" w:eastAsia="宋体" w:cs="宋体"/>
                <w:color w:val="auto"/>
                <w:highlight w:val="none"/>
                <w:shd w:val="clear" w:color="auto" w:fill="auto"/>
              </w:rPr>
            </w:pPr>
          </w:p>
        </w:tc>
        <w:tc>
          <w:tcPr>
            <w:tcW w:w="1045" w:type="dxa"/>
            <w:noWrap w:val="0"/>
            <w:vAlign w:val="top"/>
          </w:tcPr>
          <w:p w14:paraId="2C665EB6">
            <w:pPr>
              <w:jc w:val="both"/>
              <w:rPr>
                <w:rFonts w:hint="eastAsia" w:ascii="宋体" w:hAnsi="宋体" w:eastAsia="宋体" w:cs="宋体"/>
                <w:color w:val="auto"/>
                <w:highlight w:val="none"/>
                <w:shd w:val="clear" w:color="auto" w:fill="auto"/>
              </w:rPr>
            </w:pPr>
          </w:p>
        </w:tc>
        <w:tc>
          <w:tcPr>
            <w:tcW w:w="1952" w:type="dxa"/>
            <w:noWrap w:val="0"/>
            <w:vAlign w:val="top"/>
          </w:tcPr>
          <w:p w14:paraId="2F637663">
            <w:pPr>
              <w:jc w:val="both"/>
              <w:rPr>
                <w:rFonts w:hint="eastAsia" w:ascii="宋体" w:hAnsi="宋体" w:eastAsia="宋体" w:cs="宋体"/>
                <w:color w:val="auto"/>
                <w:highlight w:val="none"/>
                <w:shd w:val="clear" w:color="auto" w:fill="auto"/>
              </w:rPr>
            </w:pPr>
          </w:p>
        </w:tc>
        <w:tc>
          <w:tcPr>
            <w:tcW w:w="850" w:type="dxa"/>
            <w:noWrap w:val="0"/>
            <w:vAlign w:val="top"/>
          </w:tcPr>
          <w:p w14:paraId="45044846">
            <w:pPr>
              <w:jc w:val="both"/>
              <w:rPr>
                <w:rFonts w:hint="eastAsia" w:ascii="宋体" w:hAnsi="宋体" w:eastAsia="宋体" w:cs="宋体"/>
                <w:color w:val="auto"/>
                <w:highlight w:val="none"/>
                <w:shd w:val="clear" w:color="auto" w:fill="auto"/>
              </w:rPr>
            </w:pPr>
          </w:p>
        </w:tc>
      </w:tr>
      <w:tr w14:paraId="146EF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10" w:type="dxa"/>
            <w:noWrap w:val="0"/>
            <w:vAlign w:val="top"/>
          </w:tcPr>
          <w:p w14:paraId="2033FFEF">
            <w:pPr>
              <w:jc w:val="both"/>
              <w:rPr>
                <w:rFonts w:hint="eastAsia" w:ascii="宋体" w:hAnsi="宋体" w:eastAsia="宋体" w:cs="宋体"/>
                <w:color w:val="auto"/>
                <w:highlight w:val="none"/>
                <w:shd w:val="clear" w:color="auto" w:fill="auto"/>
              </w:rPr>
            </w:pPr>
          </w:p>
        </w:tc>
        <w:tc>
          <w:tcPr>
            <w:tcW w:w="992" w:type="dxa"/>
            <w:noWrap w:val="0"/>
            <w:vAlign w:val="top"/>
          </w:tcPr>
          <w:p w14:paraId="55DA4B99">
            <w:pPr>
              <w:jc w:val="both"/>
              <w:rPr>
                <w:rFonts w:hint="eastAsia" w:ascii="宋体" w:hAnsi="宋体" w:eastAsia="宋体" w:cs="宋体"/>
                <w:color w:val="auto"/>
                <w:highlight w:val="none"/>
                <w:shd w:val="clear" w:color="auto" w:fill="auto"/>
              </w:rPr>
            </w:pPr>
          </w:p>
        </w:tc>
        <w:tc>
          <w:tcPr>
            <w:tcW w:w="1134" w:type="dxa"/>
            <w:noWrap w:val="0"/>
            <w:vAlign w:val="top"/>
          </w:tcPr>
          <w:p w14:paraId="628D5B6B">
            <w:pPr>
              <w:jc w:val="both"/>
              <w:rPr>
                <w:rFonts w:hint="eastAsia" w:ascii="宋体" w:hAnsi="宋体" w:eastAsia="宋体" w:cs="宋体"/>
                <w:color w:val="auto"/>
                <w:highlight w:val="none"/>
                <w:shd w:val="clear" w:color="auto" w:fill="auto"/>
              </w:rPr>
            </w:pPr>
          </w:p>
        </w:tc>
        <w:tc>
          <w:tcPr>
            <w:tcW w:w="1345" w:type="dxa"/>
            <w:noWrap w:val="0"/>
            <w:vAlign w:val="top"/>
          </w:tcPr>
          <w:p w14:paraId="2DD415AC">
            <w:pPr>
              <w:jc w:val="both"/>
              <w:rPr>
                <w:rFonts w:hint="eastAsia" w:ascii="宋体" w:hAnsi="宋体" w:eastAsia="宋体" w:cs="宋体"/>
                <w:color w:val="auto"/>
                <w:highlight w:val="none"/>
                <w:shd w:val="clear" w:color="auto" w:fill="auto"/>
              </w:rPr>
            </w:pPr>
          </w:p>
        </w:tc>
        <w:tc>
          <w:tcPr>
            <w:tcW w:w="1045" w:type="dxa"/>
            <w:noWrap w:val="0"/>
            <w:vAlign w:val="top"/>
          </w:tcPr>
          <w:p w14:paraId="0E88C57E">
            <w:pPr>
              <w:jc w:val="both"/>
              <w:rPr>
                <w:rFonts w:hint="eastAsia" w:ascii="宋体" w:hAnsi="宋体" w:eastAsia="宋体" w:cs="宋体"/>
                <w:color w:val="auto"/>
                <w:highlight w:val="none"/>
                <w:shd w:val="clear" w:color="auto" w:fill="auto"/>
              </w:rPr>
            </w:pPr>
          </w:p>
        </w:tc>
        <w:tc>
          <w:tcPr>
            <w:tcW w:w="1045" w:type="dxa"/>
            <w:noWrap w:val="0"/>
            <w:vAlign w:val="top"/>
          </w:tcPr>
          <w:p w14:paraId="77FAC7DD">
            <w:pPr>
              <w:jc w:val="both"/>
              <w:rPr>
                <w:rFonts w:hint="eastAsia" w:ascii="宋体" w:hAnsi="宋体" w:eastAsia="宋体" w:cs="宋体"/>
                <w:color w:val="auto"/>
                <w:highlight w:val="none"/>
                <w:shd w:val="clear" w:color="auto" w:fill="auto"/>
              </w:rPr>
            </w:pPr>
          </w:p>
        </w:tc>
        <w:tc>
          <w:tcPr>
            <w:tcW w:w="1952" w:type="dxa"/>
            <w:noWrap w:val="0"/>
            <w:vAlign w:val="top"/>
          </w:tcPr>
          <w:p w14:paraId="2DD1C92E">
            <w:pPr>
              <w:jc w:val="both"/>
              <w:rPr>
                <w:rFonts w:hint="eastAsia" w:ascii="宋体" w:hAnsi="宋体" w:eastAsia="宋体" w:cs="宋体"/>
                <w:color w:val="auto"/>
                <w:highlight w:val="none"/>
                <w:shd w:val="clear" w:color="auto" w:fill="auto"/>
              </w:rPr>
            </w:pPr>
          </w:p>
        </w:tc>
        <w:tc>
          <w:tcPr>
            <w:tcW w:w="850" w:type="dxa"/>
            <w:noWrap w:val="0"/>
            <w:vAlign w:val="top"/>
          </w:tcPr>
          <w:p w14:paraId="5890E0C4">
            <w:pPr>
              <w:jc w:val="both"/>
              <w:rPr>
                <w:rFonts w:hint="eastAsia" w:ascii="宋体" w:hAnsi="宋体" w:eastAsia="宋体" w:cs="宋体"/>
                <w:color w:val="auto"/>
                <w:highlight w:val="none"/>
                <w:shd w:val="clear" w:color="auto" w:fill="auto"/>
              </w:rPr>
            </w:pPr>
          </w:p>
        </w:tc>
      </w:tr>
      <w:tr w14:paraId="48DC4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10" w:type="dxa"/>
            <w:noWrap w:val="0"/>
            <w:vAlign w:val="top"/>
          </w:tcPr>
          <w:p w14:paraId="03C07460">
            <w:pPr>
              <w:jc w:val="both"/>
              <w:rPr>
                <w:rFonts w:hint="eastAsia" w:ascii="宋体" w:hAnsi="宋体" w:eastAsia="宋体" w:cs="宋体"/>
                <w:color w:val="auto"/>
                <w:highlight w:val="none"/>
                <w:shd w:val="clear" w:color="auto" w:fill="auto"/>
              </w:rPr>
            </w:pPr>
          </w:p>
        </w:tc>
        <w:tc>
          <w:tcPr>
            <w:tcW w:w="992" w:type="dxa"/>
            <w:noWrap w:val="0"/>
            <w:vAlign w:val="top"/>
          </w:tcPr>
          <w:p w14:paraId="7A8642DF">
            <w:pPr>
              <w:jc w:val="both"/>
              <w:rPr>
                <w:rFonts w:hint="eastAsia" w:ascii="宋体" w:hAnsi="宋体" w:eastAsia="宋体" w:cs="宋体"/>
                <w:color w:val="auto"/>
                <w:highlight w:val="none"/>
                <w:shd w:val="clear" w:color="auto" w:fill="auto"/>
              </w:rPr>
            </w:pPr>
          </w:p>
        </w:tc>
        <w:tc>
          <w:tcPr>
            <w:tcW w:w="1134" w:type="dxa"/>
            <w:noWrap w:val="0"/>
            <w:vAlign w:val="top"/>
          </w:tcPr>
          <w:p w14:paraId="1DA66FFB">
            <w:pPr>
              <w:jc w:val="both"/>
              <w:rPr>
                <w:rFonts w:hint="eastAsia" w:ascii="宋体" w:hAnsi="宋体" w:eastAsia="宋体" w:cs="宋体"/>
                <w:color w:val="auto"/>
                <w:highlight w:val="none"/>
                <w:shd w:val="clear" w:color="auto" w:fill="auto"/>
              </w:rPr>
            </w:pPr>
          </w:p>
        </w:tc>
        <w:tc>
          <w:tcPr>
            <w:tcW w:w="1345" w:type="dxa"/>
            <w:noWrap w:val="0"/>
            <w:vAlign w:val="top"/>
          </w:tcPr>
          <w:p w14:paraId="2A241137">
            <w:pPr>
              <w:jc w:val="both"/>
              <w:rPr>
                <w:rFonts w:hint="eastAsia" w:ascii="宋体" w:hAnsi="宋体" w:eastAsia="宋体" w:cs="宋体"/>
                <w:color w:val="auto"/>
                <w:highlight w:val="none"/>
                <w:shd w:val="clear" w:color="auto" w:fill="auto"/>
              </w:rPr>
            </w:pPr>
          </w:p>
        </w:tc>
        <w:tc>
          <w:tcPr>
            <w:tcW w:w="1045" w:type="dxa"/>
            <w:noWrap w:val="0"/>
            <w:vAlign w:val="top"/>
          </w:tcPr>
          <w:p w14:paraId="73362E9D">
            <w:pPr>
              <w:jc w:val="both"/>
              <w:rPr>
                <w:rFonts w:hint="eastAsia" w:ascii="宋体" w:hAnsi="宋体" w:eastAsia="宋体" w:cs="宋体"/>
                <w:color w:val="auto"/>
                <w:highlight w:val="none"/>
                <w:shd w:val="clear" w:color="auto" w:fill="auto"/>
              </w:rPr>
            </w:pPr>
          </w:p>
        </w:tc>
        <w:tc>
          <w:tcPr>
            <w:tcW w:w="1045" w:type="dxa"/>
            <w:noWrap w:val="0"/>
            <w:vAlign w:val="top"/>
          </w:tcPr>
          <w:p w14:paraId="08CE9A88">
            <w:pPr>
              <w:jc w:val="both"/>
              <w:rPr>
                <w:rFonts w:hint="eastAsia" w:ascii="宋体" w:hAnsi="宋体" w:eastAsia="宋体" w:cs="宋体"/>
                <w:color w:val="auto"/>
                <w:highlight w:val="none"/>
                <w:shd w:val="clear" w:color="auto" w:fill="auto"/>
              </w:rPr>
            </w:pPr>
          </w:p>
        </w:tc>
        <w:tc>
          <w:tcPr>
            <w:tcW w:w="1952" w:type="dxa"/>
            <w:noWrap w:val="0"/>
            <w:vAlign w:val="top"/>
          </w:tcPr>
          <w:p w14:paraId="54A0B74C">
            <w:pPr>
              <w:jc w:val="both"/>
              <w:rPr>
                <w:rFonts w:hint="eastAsia" w:ascii="宋体" w:hAnsi="宋体" w:eastAsia="宋体" w:cs="宋体"/>
                <w:color w:val="auto"/>
                <w:highlight w:val="none"/>
                <w:shd w:val="clear" w:color="auto" w:fill="auto"/>
              </w:rPr>
            </w:pPr>
          </w:p>
        </w:tc>
        <w:tc>
          <w:tcPr>
            <w:tcW w:w="850" w:type="dxa"/>
            <w:noWrap w:val="0"/>
            <w:vAlign w:val="top"/>
          </w:tcPr>
          <w:p w14:paraId="2FEBB563">
            <w:pPr>
              <w:jc w:val="both"/>
              <w:rPr>
                <w:rFonts w:hint="eastAsia" w:ascii="宋体" w:hAnsi="宋体" w:eastAsia="宋体" w:cs="宋体"/>
                <w:color w:val="auto"/>
                <w:highlight w:val="none"/>
                <w:shd w:val="clear" w:color="auto" w:fill="auto"/>
              </w:rPr>
            </w:pPr>
          </w:p>
        </w:tc>
      </w:tr>
      <w:tr w14:paraId="1FAFF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10" w:type="dxa"/>
            <w:noWrap w:val="0"/>
            <w:vAlign w:val="top"/>
          </w:tcPr>
          <w:p w14:paraId="193DC45D">
            <w:pPr>
              <w:jc w:val="both"/>
              <w:rPr>
                <w:rFonts w:hint="eastAsia" w:ascii="宋体" w:hAnsi="宋体" w:eastAsia="宋体" w:cs="宋体"/>
                <w:color w:val="auto"/>
                <w:highlight w:val="none"/>
                <w:shd w:val="clear" w:color="auto" w:fill="auto"/>
              </w:rPr>
            </w:pPr>
          </w:p>
        </w:tc>
        <w:tc>
          <w:tcPr>
            <w:tcW w:w="992" w:type="dxa"/>
            <w:noWrap w:val="0"/>
            <w:vAlign w:val="top"/>
          </w:tcPr>
          <w:p w14:paraId="1EC8EFBE">
            <w:pPr>
              <w:jc w:val="both"/>
              <w:rPr>
                <w:rFonts w:hint="eastAsia" w:ascii="宋体" w:hAnsi="宋体" w:eastAsia="宋体" w:cs="宋体"/>
                <w:color w:val="auto"/>
                <w:highlight w:val="none"/>
                <w:shd w:val="clear" w:color="auto" w:fill="auto"/>
              </w:rPr>
            </w:pPr>
          </w:p>
        </w:tc>
        <w:tc>
          <w:tcPr>
            <w:tcW w:w="1134" w:type="dxa"/>
            <w:noWrap w:val="0"/>
            <w:vAlign w:val="top"/>
          </w:tcPr>
          <w:p w14:paraId="6D4A6502">
            <w:pPr>
              <w:jc w:val="both"/>
              <w:rPr>
                <w:rFonts w:hint="eastAsia" w:ascii="宋体" w:hAnsi="宋体" w:eastAsia="宋体" w:cs="宋体"/>
                <w:color w:val="auto"/>
                <w:highlight w:val="none"/>
                <w:shd w:val="clear" w:color="auto" w:fill="auto"/>
              </w:rPr>
            </w:pPr>
          </w:p>
        </w:tc>
        <w:tc>
          <w:tcPr>
            <w:tcW w:w="1345" w:type="dxa"/>
            <w:noWrap w:val="0"/>
            <w:vAlign w:val="top"/>
          </w:tcPr>
          <w:p w14:paraId="0A77A844">
            <w:pPr>
              <w:jc w:val="both"/>
              <w:rPr>
                <w:rFonts w:hint="eastAsia" w:ascii="宋体" w:hAnsi="宋体" w:eastAsia="宋体" w:cs="宋体"/>
                <w:color w:val="auto"/>
                <w:highlight w:val="none"/>
                <w:shd w:val="clear" w:color="auto" w:fill="auto"/>
              </w:rPr>
            </w:pPr>
          </w:p>
        </w:tc>
        <w:tc>
          <w:tcPr>
            <w:tcW w:w="1045" w:type="dxa"/>
            <w:noWrap w:val="0"/>
            <w:vAlign w:val="top"/>
          </w:tcPr>
          <w:p w14:paraId="409D1225">
            <w:pPr>
              <w:jc w:val="both"/>
              <w:rPr>
                <w:rFonts w:hint="eastAsia" w:ascii="宋体" w:hAnsi="宋体" w:eastAsia="宋体" w:cs="宋体"/>
                <w:color w:val="auto"/>
                <w:highlight w:val="none"/>
                <w:shd w:val="clear" w:color="auto" w:fill="auto"/>
              </w:rPr>
            </w:pPr>
          </w:p>
        </w:tc>
        <w:tc>
          <w:tcPr>
            <w:tcW w:w="1045" w:type="dxa"/>
            <w:noWrap w:val="0"/>
            <w:vAlign w:val="top"/>
          </w:tcPr>
          <w:p w14:paraId="53BF927E">
            <w:pPr>
              <w:jc w:val="both"/>
              <w:rPr>
                <w:rFonts w:hint="eastAsia" w:ascii="宋体" w:hAnsi="宋体" w:eastAsia="宋体" w:cs="宋体"/>
                <w:color w:val="auto"/>
                <w:highlight w:val="none"/>
                <w:shd w:val="clear" w:color="auto" w:fill="auto"/>
              </w:rPr>
            </w:pPr>
          </w:p>
        </w:tc>
        <w:tc>
          <w:tcPr>
            <w:tcW w:w="1952" w:type="dxa"/>
            <w:noWrap w:val="0"/>
            <w:vAlign w:val="top"/>
          </w:tcPr>
          <w:p w14:paraId="5D79AAE7">
            <w:pPr>
              <w:jc w:val="both"/>
              <w:rPr>
                <w:rFonts w:hint="eastAsia" w:ascii="宋体" w:hAnsi="宋体" w:eastAsia="宋体" w:cs="宋体"/>
                <w:color w:val="auto"/>
                <w:highlight w:val="none"/>
                <w:shd w:val="clear" w:color="auto" w:fill="auto"/>
              </w:rPr>
            </w:pPr>
          </w:p>
        </w:tc>
        <w:tc>
          <w:tcPr>
            <w:tcW w:w="850" w:type="dxa"/>
            <w:noWrap w:val="0"/>
            <w:vAlign w:val="top"/>
          </w:tcPr>
          <w:p w14:paraId="66FEBF35">
            <w:pPr>
              <w:jc w:val="both"/>
              <w:rPr>
                <w:rFonts w:hint="eastAsia" w:ascii="宋体" w:hAnsi="宋体" w:eastAsia="宋体" w:cs="宋体"/>
                <w:color w:val="auto"/>
                <w:highlight w:val="none"/>
                <w:shd w:val="clear" w:color="auto" w:fill="auto"/>
              </w:rPr>
            </w:pPr>
          </w:p>
        </w:tc>
      </w:tr>
      <w:tr w14:paraId="7EDB1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710" w:type="dxa"/>
            <w:noWrap w:val="0"/>
            <w:vAlign w:val="top"/>
          </w:tcPr>
          <w:p w14:paraId="3087988F">
            <w:pPr>
              <w:jc w:val="both"/>
              <w:rPr>
                <w:rFonts w:hint="eastAsia" w:ascii="宋体" w:hAnsi="宋体" w:eastAsia="宋体" w:cs="宋体"/>
                <w:color w:val="auto"/>
                <w:highlight w:val="none"/>
                <w:shd w:val="clear" w:color="auto" w:fill="auto"/>
              </w:rPr>
            </w:pPr>
          </w:p>
        </w:tc>
        <w:tc>
          <w:tcPr>
            <w:tcW w:w="992" w:type="dxa"/>
            <w:noWrap w:val="0"/>
            <w:vAlign w:val="top"/>
          </w:tcPr>
          <w:p w14:paraId="45238A76">
            <w:pPr>
              <w:jc w:val="both"/>
              <w:rPr>
                <w:rFonts w:hint="eastAsia" w:ascii="宋体" w:hAnsi="宋体" w:eastAsia="宋体" w:cs="宋体"/>
                <w:color w:val="auto"/>
                <w:highlight w:val="none"/>
                <w:shd w:val="clear" w:color="auto" w:fill="auto"/>
              </w:rPr>
            </w:pPr>
          </w:p>
        </w:tc>
        <w:tc>
          <w:tcPr>
            <w:tcW w:w="1134" w:type="dxa"/>
            <w:noWrap w:val="0"/>
            <w:vAlign w:val="top"/>
          </w:tcPr>
          <w:p w14:paraId="7DE4ECC2">
            <w:pPr>
              <w:jc w:val="both"/>
              <w:rPr>
                <w:rFonts w:hint="eastAsia" w:ascii="宋体" w:hAnsi="宋体" w:eastAsia="宋体" w:cs="宋体"/>
                <w:color w:val="auto"/>
                <w:highlight w:val="none"/>
                <w:shd w:val="clear" w:color="auto" w:fill="auto"/>
              </w:rPr>
            </w:pPr>
          </w:p>
        </w:tc>
        <w:tc>
          <w:tcPr>
            <w:tcW w:w="1345" w:type="dxa"/>
            <w:noWrap w:val="0"/>
            <w:vAlign w:val="top"/>
          </w:tcPr>
          <w:p w14:paraId="100943DD">
            <w:pPr>
              <w:jc w:val="both"/>
              <w:rPr>
                <w:rFonts w:hint="eastAsia" w:ascii="宋体" w:hAnsi="宋体" w:eastAsia="宋体" w:cs="宋体"/>
                <w:color w:val="auto"/>
                <w:highlight w:val="none"/>
                <w:shd w:val="clear" w:color="auto" w:fill="auto"/>
              </w:rPr>
            </w:pPr>
          </w:p>
        </w:tc>
        <w:tc>
          <w:tcPr>
            <w:tcW w:w="1045" w:type="dxa"/>
            <w:noWrap w:val="0"/>
            <w:vAlign w:val="top"/>
          </w:tcPr>
          <w:p w14:paraId="3AC39E47">
            <w:pPr>
              <w:jc w:val="both"/>
              <w:rPr>
                <w:rFonts w:hint="eastAsia" w:ascii="宋体" w:hAnsi="宋体" w:eastAsia="宋体" w:cs="宋体"/>
                <w:color w:val="auto"/>
                <w:highlight w:val="none"/>
                <w:shd w:val="clear" w:color="auto" w:fill="auto"/>
              </w:rPr>
            </w:pPr>
          </w:p>
        </w:tc>
        <w:tc>
          <w:tcPr>
            <w:tcW w:w="1045" w:type="dxa"/>
            <w:noWrap w:val="0"/>
            <w:vAlign w:val="top"/>
          </w:tcPr>
          <w:p w14:paraId="55AD22D2">
            <w:pPr>
              <w:jc w:val="both"/>
              <w:rPr>
                <w:rFonts w:hint="eastAsia" w:ascii="宋体" w:hAnsi="宋体" w:eastAsia="宋体" w:cs="宋体"/>
                <w:color w:val="auto"/>
                <w:highlight w:val="none"/>
                <w:shd w:val="clear" w:color="auto" w:fill="auto"/>
              </w:rPr>
            </w:pPr>
          </w:p>
        </w:tc>
        <w:tc>
          <w:tcPr>
            <w:tcW w:w="1952" w:type="dxa"/>
            <w:noWrap w:val="0"/>
            <w:vAlign w:val="top"/>
          </w:tcPr>
          <w:p w14:paraId="5A8C8476">
            <w:pPr>
              <w:jc w:val="both"/>
              <w:rPr>
                <w:rFonts w:hint="eastAsia" w:ascii="宋体" w:hAnsi="宋体" w:eastAsia="宋体" w:cs="宋体"/>
                <w:color w:val="auto"/>
                <w:highlight w:val="none"/>
                <w:shd w:val="clear" w:color="auto" w:fill="auto"/>
              </w:rPr>
            </w:pPr>
          </w:p>
        </w:tc>
        <w:tc>
          <w:tcPr>
            <w:tcW w:w="850" w:type="dxa"/>
            <w:noWrap w:val="0"/>
            <w:vAlign w:val="top"/>
          </w:tcPr>
          <w:p w14:paraId="5EF1DDA0">
            <w:pPr>
              <w:jc w:val="both"/>
              <w:rPr>
                <w:rFonts w:hint="eastAsia" w:ascii="宋体" w:hAnsi="宋体" w:eastAsia="宋体" w:cs="宋体"/>
                <w:color w:val="auto"/>
                <w:highlight w:val="none"/>
                <w:shd w:val="clear" w:color="auto" w:fill="auto"/>
              </w:rPr>
            </w:pPr>
          </w:p>
        </w:tc>
      </w:tr>
    </w:tbl>
    <w:p w14:paraId="5FCCDE7C">
      <w:pPr>
        <w:spacing w:line="291" w:lineRule="auto"/>
        <w:jc w:val="both"/>
        <w:rPr>
          <w:rFonts w:hint="eastAsia" w:ascii="宋体" w:hAnsi="宋体" w:eastAsia="宋体" w:cs="宋体"/>
          <w:color w:val="auto"/>
          <w:highlight w:val="none"/>
          <w:shd w:val="clear" w:color="auto" w:fill="auto"/>
        </w:rPr>
      </w:pPr>
    </w:p>
    <w:p w14:paraId="6B722154">
      <w:pPr>
        <w:spacing w:line="292" w:lineRule="auto"/>
        <w:jc w:val="both"/>
        <w:rPr>
          <w:rFonts w:hint="eastAsia" w:ascii="宋体" w:hAnsi="宋体" w:eastAsia="宋体" w:cs="宋体"/>
          <w:color w:val="auto"/>
          <w:highlight w:val="none"/>
          <w:shd w:val="clear" w:color="auto" w:fill="auto"/>
        </w:rPr>
      </w:pPr>
    </w:p>
    <w:p w14:paraId="6244A399">
      <w:pPr>
        <w:tabs>
          <w:tab w:val="left" w:pos="6520"/>
        </w:tabs>
        <w:spacing w:before="75" w:line="503" w:lineRule="auto"/>
        <w:ind w:left="5429" w:hanging="535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招标人代表：</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记录人：</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监标人：</w:t>
      </w:r>
      <w:r>
        <w:rPr>
          <w:rFonts w:hint="eastAsia" w:ascii="宋体" w:hAnsi="宋体" w:eastAsia="宋体" w:cs="宋体"/>
          <w:color w:val="auto"/>
          <w:sz w:val="23"/>
          <w:szCs w:val="23"/>
          <w:highlight w:val="none"/>
          <w:u w:val="single"/>
          <w:shd w:val="clear" w:color="auto" w:fill="auto"/>
        </w:rPr>
        <w:t xml:space="preserve">   </w:t>
      </w:r>
    </w:p>
    <w:p w14:paraId="14600A3C">
      <w:pPr>
        <w:tabs>
          <w:tab w:val="left" w:pos="6520"/>
        </w:tabs>
        <w:spacing w:before="75" w:line="503" w:lineRule="auto"/>
        <w:ind w:left="5429" w:hanging="5357"/>
        <w:jc w:val="right"/>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年</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月</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日</w:t>
      </w:r>
    </w:p>
    <w:p w14:paraId="2E4831B6">
      <w:pPr>
        <w:jc w:val="right"/>
        <w:rPr>
          <w:rFonts w:hint="eastAsia" w:ascii="宋体" w:hAnsi="宋体" w:eastAsia="宋体" w:cs="宋体"/>
          <w:color w:val="auto"/>
          <w:highlight w:val="none"/>
          <w:shd w:val="clear" w:color="auto" w:fill="auto"/>
        </w:rPr>
        <w:sectPr>
          <w:footerReference r:id="rId8" w:type="default"/>
          <w:pgSz w:w="11906" w:h="16839"/>
          <w:pgMar w:top="1418" w:right="1559" w:bottom="1418" w:left="1474" w:header="0" w:footer="1035" w:gutter="0"/>
          <w:cols w:space="720" w:num="1"/>
        </w:sectPr>
      </w:pPr>
    </w:p>
    <w:p w14:paraId="45FFDBBD">
      <w:pPr>
        <w:spacing w:line="347" w:lineRule="auto"/>
        <w:jc w:val="both"/>
        <w:rPr>
          <w:rFonts w:hint="eastAsia" w:ascii="宋体" w:hAnsi="宋体" w:eastAsia="宋体" w:cs="宋体"/>
          <w:color w:val="auto"/>
          <w:highlight w:val="none"/>
          <w:shd w:val="clear" w:color="auto" w:fill="auto"/>
        </w:rPr>
      </w:pPr>
    </w:p>
    <w:p w14:paraId="6674C6DC">
      <w:pPr>
        <w:spacing w:before="91" w:line="220" w:lineRule="auto"/>
        <w:ind w:left="312"/>
        <w:jc w:val="both"/>
        <w:outlineLvl w:val="1"/>
        <w:rPr>
          <w:rFonts w:hint="eastAsia" w:ascii="宋体" w:hAnsi="宋体" w:eastAsia="宋体" w:cs="宋体"/>
          <w:color w:val="auto"/>
          <w:sz w:val="28"/>
          <w:szCs w:val="28"/>
          <w:highlight w:val="none"/>
          <w:shd w:val="clear" w:color="auto" w:fill="auto"/>
        </w:rPr>
      </w:pPr>
      <w:bookmarkStart w:id="39" w:name="_bookmark6"/>
      <w:bookmarkEnd w:id="39"/>
      <w:r>
        <w:rPr>
          <w:rFonts w:hint="eastAsia" w:ascii="宋体" w:hAnsi="宋体" w:eastAsia="宋体" w:cs="宋体"/>
          <w:color w:val="auto"/>
          <w:sz w:val="28"/>
          <w:szCs w:val="28"/>
          <w:highlight w:val="none"/>
          <w:shd w:val="clear" w:color="auto" w:fill="auto"/>
        </w:rPr>
        <w:t>附表二：问题澄清通知</w:t>
      </w:r>
    </w:p>
    <w:p w14:paraId="5A32802A">
      <w:pPr>
        <w:spacing w:line="331" w:lineRule="auto"/>
        <w:jc w:val="both"/>
        <w:rPr>
          <w:rFonts w:hint="eastAsia" w:ascii="宋体" w:hAnsi="宋体" w:eastAsia="宋体" w:cs="宋体"/>
          <w:color w:val="auto"/>
          <w:highlight w:val="none"/>
          <w:shd w:val="clear" w:color="auto" w:fill="auto"/>
        </w:rPr>
      </w:pPr>
    </w:p>
    <w:p w14:paraId="02A0EFFF">
      <w:pPr>
        <w:spacing w:line="332" w:lineRule="auto"/>
        <w:jc w:val="both"/>
        <w:rPr>
          <w:rFonts w:hint="eastAsia" w:ascii="宋体" w:hAnsi="宋体" w:eastAsia="宋体" w:cs="宋体"/>
          <w:color w:val="auto"/>
          <w:highlight w:val="none"/>
          <w:shd w:val="clear" w:color="auto" w:fill="auto"/>
        </w:rPr>
      </w:pPr>
    </w:p>
    <w:p w14:paraId="090D555A">
      <w:pPr>
        <w:spacing w:before="91" w:line="221" w:lineRule="auto"/>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问题澄清通知</w:t>
      </w:r>
    </w:p>
    <w:p w14:paraId="1B6650C0">
      <w:pPr>
        <w:spacing w:before="287" w:line="221" w:lineRule="auto"/>
        <w:ind w:left="3957"/>
        <w:jc w:val="both"/>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编号：</w:t>
      </w:r>
    </w:p>
    <w:p w14:paraId="34089459">
      <w:pPr>
        <w:spacing w:line="349" w:lineRule="auto"/>
        <w:jc w:val="both"/>
        <w:rPr>
          <w:rFonts w:hint="eastAsia" w:ascii="宋体" w:hAnsi="宋体" w:eastAsia="宋体" w:cs="宋体"/>
          <w:color w:val="auto"/>
          <w:highlight w:val="none"/>
          <w:shd w:val="clear" w:color="auto" w:fill="auto"/>
        </w:rPr>
      </w:pPr>
    </w:p>
    <w:p w14:paraId="0AC93A80">
      <w:pPr>
        <w:spacing w:line="349" w:lineRule="auto"/>
        <w:jc w:val="both"/>
        <w:rPr>
          <w:rFonts w:hint="eastAsia" w:ascii="宋体" w:hAnsi="宋体" w:eastAsia="宋体" w:cs="宋体"/>
          <w:color w:val="auto"/>
          <w:highlight w:val="none"/>
          <w:shd w:val="clear" w:color="auto" w:fill="auto"/>
        </w:rPr>
      </w:pPr>
    </w:p>
    <w:p w14:paraId="0621812B">
      <w:pPr>
        <w:tabs>
          <w:tab w:val="left" w:pos="1978"/>
        </w:tabs>
        <w:spacing w:before="91" w:line="221" w:lineRule="auto"/>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(投标人名称):</w:t>
      </w:r>
    </w:p>
    <w:p w14:paraId="76B76A0F">
      <w:pPr>
        <w:tabs>
          <w:tab w:val="left" w:pos="1558"/>
        </w:tabs>
        <w:spacing w:before="226" w:line="377" w:lineRule="auto"/>
        <w:ind w:left="10" w:right="72" w:firstLine="549"/>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(项目名称)标段招标的评标委员会，对你方的投标文件进行了仔细的审查，现需你方对下列问题以书面形式予以澄清：</w:t>
      </w:r>
    </w:p>
    <w:p w14:paraId="62261060">
      <w:pPr>
        <w:spacing w:before="18" w:line="563" w:lineRule="exact"/>
        <w:ind w:left="591"/>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position w:val="25"/>
          <w:sz w:val="24"/>
          <w:szCs w:val="24"/>
          <w:highlight w:val="none"/>
          <w:shd w:val="clear" w:color="auto" w:fill="auto"/>
        </w:rPr>
        <w:t>1.</w:t>
      </w:r>
    </w:p>
    <w:p w14:paraId="1D5C27AA">
      <w:pPr>
        <w:spacing w:line="186" w:lineRule="auto"/>
        <w:ind w:left="574"/>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p w14:paraId="30F2A83D">
      <w:pPr>
        <w:spacing w:before="232" w:line="443" w:lineRule="exact"/>
        <w:ind w:left="588"/>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position w:val="3"/>
          <w:sz w:val="24"/>
          <w:szCs w:val="24"/>
          <w:highlight w:val="none"/>
          <w:shd w:val="clear" w:color="auto" w:fill="auto"/>
        </w:rPr>
        <w:t>……</w:t>
      </w:r>
    </w:p>
    <w:p w14:paraId="28779F79">
      <w:pPr>
        <w:spacing w:before="116" w:line="379" w:lineRule="auto"/>
        <w:ind w:left="12" w:right="72" w:firstLine="555"/>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请将上述问题的澄清于年月日时前反馈。</w:t>
      </w:r>
    </w:p>
    <w:p w14:paraId="3BB7E0EA">
      <w:pPr>
        <w:spacing w:line="248" w:lineRule="auto"/>
        <w:jc w:val="both"/>
        <w:rPr>
          <w:rFonts w:hint="eastAsia" w:ascii="宋体" w:hAnsi="宋体" w:eastAsia="宋体" w:cs="宋体"/>
          <w:color w:val="auto"/>
          <w:sz w:val="24"/>
          <w:szCs w:val="24"/>
          <w:highlight w:val="none"/>
          <w:shd w:val="clear" w:color="auto" w:fill="auto"/>
        </w:rPr>
      </w:pPr>
    </w:p>
    <w:p w14:paraId="10ACC087">
      <w:pPr>
        <w:spacing w:line="249" w:lineRule="auto"/>
        <w:jc w:val="both"/>
        <w:rPr>
          <w:rFonts w:hint="eastAsia" w:ascii="宋体" w:hAnsi="宋体" w:eastAsia="宋体" w:cs="宋体"/>
          <w:color w:val="auto"/>
          <w:sz w:val="24"/>
          <w:szCs w:val="24"/>
          <w:highlight w:val="none"/>
          <w:shd w:val="clear" w:color="auto" w:fill="auto"/>
        </w:rPr>
      </w:pPr>
    </w:p>
    <w:p w14:paraId="330AFD97">
      <w:pPr>
        <w:spacing w:line="249" w:lineRule="auto"/>
        <w:jc w:val="both"/>
        <w:rPr>
          <w:rFonts w:hint="eastAsia" w:ascii="宋体" w:hAnsi="宋体" w:eastAsia="宋体" w:cs="宋体"/>
          <w:color w:val="auto"/>
          <w:sz w:val="24"/>
          <w:szCs w:val="24"/>
          <w:highlight w:val="none"/>
          <w:shd w:val="clear" w:color="auto" w:fill="auto"/>
        </w:rPr>
      </w:pPr>
    </w:p>
    <w:p w14:paraId="66C4CC49">
      <w:pPr>
        <w:spacing w:line="249" w:lineRule="auto"/>
        <w:jc w:val="both"/>
        <w:rPr>
          <w:rFonts w:hint="eastAsia" w:ascii="宋体" w:hAnsi="宋体" w:eastAsia="宋体" w:cs="宋体"/>
          <w:color w:val="auto"/>
          <w:sz w:val="24"/>
          <w:szCs w:val="24"/>
          <w:highlight w:val="none"/>
          <w:shd w:val="clear" w:color="auto" w:fill="auto"/>
        </w:rPr>
      </w:pPr>
    </w:p>
    <w:p w14:paraId="1A3CD7CE">
      <w:pPr>
        <w:tabs>
          <w:tab w:val="left" w:pos="6922"/>
        </w:tabs>
        <w:spacing w:before="91" w:line="377" w:lineRule="auto"/>
        <w:ind w:left="6489" w:hanging="2980"/>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评标委员会负责人：</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(签字或盖章)</w:t>
      </w:r>
    </w:p>
    <w:p w14:paraId="58D782BE">
      <w:pPr>
        <w:tabs>
          <w:tab w:val="left" w:pos="6922"/>
        </w:tabs>
        <w:spacing w:before="91" w:line="377" w:lineRule="auto"/>
        <w:ind w:left="105" w:leftChars="50" w:firstLine="115" w:firstLineChars="50"/>
        <w:jc w:val="righ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166D4429">
      <w:pPr>
        <w:jc w:val="both"/>
        <w:rPr>
          <w:rFonts w:hint="eastAsia" w:ascii="宋体" w:hAnsi="宋体" w:eastAsia="宋体" w:cs="宋体"/>
          <w:color w:val="auto"/>
          <w:highlight w:val="none"/>
          <w:shd w:val="clear" w:color="auto" w:fill="auto"/>
        </w:rPr>
        <w:sectPr>
          <w:footerReference r:id="rId9" w:type="default"/>
          <w:pgSz w:w="11906" w:h="16839"/>
          <w:pgMar w:top="1418" w:right="1559" w:bottom="1418" w:left="1474" w:header="0" w:footer="1035" w:gutter="0"/>
          <w:cols w:space="720" w:num="1"/>
        </w:sectPr>
      </w:pPr>
    </w:p>
    <w:p w14:paraId="3E1EF7FB">
      <w:pPr>
        <w:spacing w:before="157" w:line="220" w:lineRule="auto"/>
        <w:ind w:left="314"/>
        <w:jc w:val="both"/>
        <w:outlineLvl w:val="1"/>
        <w:rPr>
          <w:rFonts w:hint="eastAsia" w:ascii="宋体" w:hAnsi="宋体" w:eastAsia="宋体" w:cs="宋体"/>
          <w:color w:val="auto"/>
          <w:sz w:val="28"/>
          <w:szCs w:val="28"/>
          <w:highlight w:val="none"/>
          <w:shd w:val="clear" w:color="auto" w:fill="auto"/>
        </w:rPr>
      </w:pPr>
      <w:bookmarkStart w:id="40" w:name="_bookmark7"/>
      <w:bookmarkEnd w:id="40"/>
      <w:r>
        <w:rPr>
          <w:rFonts w:hint="eastAsia" w:ascii="宋体" w:hAnsi="宋体" w:eastAsia="宋体" w:cs="宋体"/>
          <w:color w:val="auto"/>
          <w:sz w:val="28"/>
          <w:szCs w:val="28"/>
          <w:highlight w:val="none"/>
          <w:shd w:val="clear" w:color="auto" w:fill="auto"/>
        </w:rPr>
        <w:t>附表三：问题的澄清</w:t>
      </w:r>
    </w:p>
    <w:p w14:paraId="240AF9CF">
      <w:pPr>
        <w:spacing w:line="264" w:lineRule="auto"/>
        <w:jc w:val="both"/>
        <w:rPr>
          <w:rFonts w:hint="eastAsia" w:ascii="宋体" w:hAnsi="宋体" w:eastAsia="宋体" w:cs="宋体"/>
          <w:color w:val="auto"/>
          <w:highlight w:val="none"/>
          <w:shd w:val="clear" w:color="auto" w:fill="auto"/>
        </w:rPr>
      </w:pPr>
    </w:p>
    <w:p w14:paraId="1A695940">
      <w:pPr>
        <w:spacing w:line="264" w:lineRule="auto"/>
        <w:jc w:val="both"/>
        <w:rPr>
          <w:rFonts w:hint="eastAsia" w:ascii="宋体" w:hAnsi="宋体" w:eastAsia="宋体" w:cs="宋体"/>
          <w:color w:val="auto"/>
          <w:highlight w:val="none"/>
          <w:shd w:val="clear" w:color="auto" w:fill="auto"/>
        </w:rPr>
      </w:pPr>
    </w:p>
    <w:p w14:paraId="3D92956A">
      <w:pPr>
        <w:spacing w:line="264" w:lineRule="auto"/>
        <w:jc w:val="both"/>
        <w:rPr>
          <w:rFonts w:hint="eastAsia" w:ascii="宋体" w:hAnsi="宋体" w:eastAsia="宋体" w:cs="宋体"/>
          <w:color w:val="auto"/>
          <w:highlight w:val="none"/>
          <w:shd w:val="clear" w:color="auto" w:fill="auto"/>
        </w:rPr>
      </w:pPr>
    </w:p>
    <w:p w14:paraId="57DF462F">
      <w:pPr>
        <w:spacing w:before="91" w:line="221" w:lineRule="auto"/>
        <w:ind w:firstLine="3220" w:firstLineChars="1150"/>
        <w:jc w:val="both"/>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问题的澄清</w:t>
      </w:r>
    </w:p>
    <w:p w14:paraId="17781646">
      <w:pPr>
        <w:spacing w:before="222" w:line="221" w:lineRule="auto"/>
        <w:ind w:left="4413"/>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编号：</w:t>
      </w:r>
    </w:p>
    <w:p w14:paraId="67011F20">
      <w:pPr>
        <w:tabs>
          <w:tab w:val="left" w:pos="761"/>
        </w:tabs>
        <w:spacing w:line="360" w:lineRule="auto"/>
        <w:ind w:firstLine="120" w:firstLineChars="50"/>
        <w:jc w:val="both"/>
        <w:rPr>
          <w:rFonts w:hint="eastAsia" w:ascii="宋体" w:hAnsi="宋体" w:eastAsia="宋体" w:cs="宋体"/>
          <w:color w:val="auto"/>
          <w:sz w:val="24"/>
          <w:szCs w:val="24"/>
          <w:highlight w:val="none"/>
          <w:u w:val="single"/>
          <w:shd w:val="clear" w:color="auto" w:fill="auto"/>
        </w:rPr>
      </w:pPr>
    </w:p>
    <w:p w14:paraId="2D2C2B75">
      <w:pPr>
        <w:tabs>
          <w:tab w:val="left" w:pos="761"/>
        </w:tabs>
        <w:spacing w:line="360" w:lineRule="auto"/>
        <w:ind w:firstLine="120" w:firstLineChars="50"/>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(项目名称)标段招标评标委员会：</w:t>
      </w:r>
    </w:p>
    <w:p w14:paraId="47D1C0CF">
      <w:pPr>
        <w:spacing w:line="360" w:lineRule="auto"/>
        <w:ind w:left="605"/>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问题澄清通知(编号：</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)已收悉，现澄清如下：</w:t>
      </w:r>
    </w:p>
    <w:p w14:paraId="5DB7DE8B">
      <w:pPr>
        <w:spacing w:line="360" w:lineRule="auto"/>
        <w:ind w:left="1135"/>
        <w:jc w:val="both"/>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 xml:space="preserve">1.                                 </w:t>
      </w:r>
    </w:p>
    <w:p w14:paraId="55E44484">
      <w:pPr>
        <w:spacing w:line="360" w:lineRule="auto"/>
        <w:ind w:left="1135"/>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u w:val="single"/>
          <w:shd w:val="clear" w:color="auto" w:fill="auto"/>
        </w:rPr>
        <w:t xml:space="preserve">                                 </w:t>
      </w:r>
    </w:p>
    <w:p w14:paraId="3504EB69">
      <w:pPr>
        <w:spacing w:before="234" w:line="443" w:lineRule="exact"/>
        <w:ind w:left="1150"/>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position w:val="3"/>
          <w:sz w:val="24"/>
          <w:szCs w:val="24"/>
          <w:highlight w:val="none"/>
          <w:shd w:val="clear" w:color="auto" w:fill="auto"/>
        </w:rPr>
        <w:t>……</w:t>
      </w:r>
    </w:p>
    <w:p w14:paraId="49F5C59E">
      <w:pPr>
        <w:spacing w:line="250" w:lineRule="auto"/>
        <w:jc w:val="both"/>
        <w:rPr>
          <w:rFonts w:hint="eastAsia" w:ascii="宋体" w:hAnsi="宋体" w:eastAsia="宋体" w:cs="宋体"/>
          <w:color w:val="auto"/>
          <w:sz w:val="24"/>
          <w:szCs w:val="24"/>
          <w:highlight w:val="none"/>
          <w:shd w:val="clear" w:color="auto" w:fill="auto"/>
        </w:rPr>
      </w:pPr>
    </w:p>
    <w:p w14:paraId="31CA2AB7">
      <w:pPr>
        <w:spacing w:line="250" w:lineRule="auto"/>
        <w:jc w:val="both"/>
        <w:rPr>
          <w:rFonts w:hint="eastAsia" w:ascii="宋体" w:hAnsi="宋体" w:eastAsia="宋体" w:cs="宋体"/>
          <w:color w:val="auto"/>
          <w:sz w:val="24"/>
          <w:szCs w:val="24"/>
          <w:highlight w:val="none"/>
          <w:shd w:val="clear" w:color="auto" w:fill="auto"/>
        </w:rPr>
      </w:pPr>
    </w:p>
    <w:p w14:paraId="23D5F8EF">
      <w:pPr>
        <w:spacing w:line="250" w:lineRule="auto"/>
        <w:jc w:val="both"/>
        <w:rPr>
          <w:rFonts w:hint="eastAsia" w:ascii="宋体" w:hAnsi="宋体" w:eastAsia="宋体" w:cs="宋体"/>
          <w:color w:val="auto"/>
          <w:sz w:val="24"/>
          <w:szCs w:val="24"/>
          <w:highlight w:val="none"/>
          <w:shd w:val="clear" w:color="auto" w:fill="auto"/>
        </w:rPr>
      </w:pPr>
    </w:p>
    <w:p w14:paraId="57BAABFA">
      <w:pPr>
        <w:spacing w:line="250" w:lineRule="auto"/>
        <w:jc w:val="both"/>
        <w:rPr>
          <w:rFonts w:hint="eastAsia" w:ascii="宋体" w:hAnsi="宋体" w:eastAsia="宋体" w:cs="宋体"/>
          <w:color w:val="auto"/>
          <w:sz w:val="24"/>
          <w:szCs w:val="24"/>
          <w:highlight w:val="none"/>
          <w:shd w:val="clear" w:color="auto" w:fill="auto"/>
        </w:rPr>
      </w:pPr>
    </w:p>
    <w:p w14:paraId="19D5A2EB">
      <w:pPr>
        <w:spacing w:line="250" w:lineRule="auto"/>
        <w:jc w:val="both"/>
        <w:rPr>
          <w:rFonts w:hint="eastAsia" w:ascii="宋体" w:hAnsi="宋体" w:eastAsia="宋体" w:cs="宋体"/>
          <w:color w:val="auto"/>
          <w:sz w:val="24"/>
          <w:szCs w:val="24"/>
          <w:highlight w:val="none"/>
          <w:shd w:val="clear" w:color="auto" w:fill="auto"/>
        </w:rPr>
      </w:pPr>
    </w:p>
    <w:p w14:paraId="4CF40844">
      <w:pPr>
        <w:spacing w:line="250" w:lineRule="auto"/>
        <w:jc w:val="both"/>
        <w:rPr>
          <w:rFonts w:hint="eastAsia" w:ascii="宋体" w:hAnsi="宋体" w:eastAsia="宋体" w:cs="宋体"/>
          <w:color w:val="auto"/>
          <w:sz w:val="24"/>
          <w:szCs w:val="24"/>
          <w:highlight w:val="none"/>
          <w:shd w:val="clear" w:color="auto" w:fill="auto"/>
        </w:rPr>
      </w:pPr>
    </w:p>
    <w:p w14:paraId="0738D134">
      <w:pPr>
        <w:spacing w:line="250" w:lineRule="auto"/>
        <w:jc w:val="both"/>
        <w:rPr>
          <w:rFonts w:hint="eastAsia" w:ascii="宋体" w:hAnsi="宋体" w:eastAsia="宋体" w:cs="宋体"/>
          <w:color w:val="auto"/>
          <w:sz w:val="24"/>
          <w:szCs w:val="24"/>
          <w:highlight w:val="none"/>
          <w:shd w:val="clear" w:color="auto" w:fill="auto"/>
        </w:rPr>
      </w:pPr>
    </w:p>
    <w:p w14:paraId="79D5A29A">
      <w:pPr>
        <w:spacing w:line="250" w:lineRule="auto"/>
        <w:jc w:val="both"/>
        <w:rPr>
          <w:rFonts w:hint="eastAsia" w:ascii="宋体" w:hAnsi="宋体" w:eastAsia="宋体" w:cs="宋体"/>
          <w:color w:val="auto"/>
          <w:sz w:val="24"/>
          <w:szCs w:val="24"/>
          <w:highlight w:val="none"/>
          <w:shd w:val="clear" w:color="auto" w:fill="auto"/>
        </w:rPr>
      </w:pPr>
    </w:p>
    <w:p w14:paraId="5B5E27B8">
      <w:pPr>
        <w:spacing w:line="251" w:lineRule="auto"/>
        <w:jc w:val="both"/>
        <w:rPr>
          <w:rFonts w:hint="eastAsia" w:ascii="宋体" w:hAnsi="宋体" w:eastAsia="宋体" w:cs="宋体"/>
          <w:color w:val="auto"/>
          <w:sz w:val="24"/>
          <w:szCs w:val="24"/>
          <w:highlight w:val="none"/>
          <w:shd w:val="clear" w:color="auto" w:fill="auto"/>
        </w:rPr>
      </w:pPr>
    </w:p>
    <w:p w14:paraId="793DA3A9">
      <w:pPr>
        <w:spacing w:before="92" w:line="369" w:lineRule="auto"/>
        <w:ind w:left="2792" w:right="19"/>
        <w:jc w:val="righ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(盖章)</w:t>
      </w:r>
    </w:p>
    <w:p w14:paraId="128A6E5B">
      <w:pPr>
        <w:spacing w:before="92" w:line="369" w:lineRule="auto"/>
        <w:ind w:left="120" w:right="19" w:hanging="120" w:hangingChars="50"/>
        <w:jc w:val="righ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法定代表人或委托代理人：</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(签字或盖章)</w:t>
      </w:r>
    </w:p>
    <w:p w14:paraId="77AFDBD9">
      <w:pPr>
        <w:spacing w:before="92" w:line="369" w:lineRule="auto"/>
        <w:ind w:left="115" w:right="19" w:hanging="115" w:hangingChars="50"/>
        <w:jc w:val="righ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548F92A7">
      <w:pPr>
        <w:jc w:val="both"/>
        <w:rPr>
          <w:rFonts w:hint="eastAsia" w:ascii="宋体" w:hAnsi="宋体" w:eastAsia="宋体" w:cs="宋体"/>
          <w:color w:val="auto"/>
          <w:highlight w:val="none"/>
          <w:shd w:val="clear" w:color="auto" w:fill="auto"/>
        </w:rPr>
        <w:sectPr>
          <w:footerReference r:id="rId10" w:type="default"/>
          <w:pgSz w:w="11906" w:h="16839"/>
          <w:pgMar w:top="1418" w:right="1559" w:bottom="1418" w:left="1474" w:header="0" w:footer="1035" w:gutter="0"/>
          <w:cols w:space="720" w:num="1"/>
        </w:sectPr>
      </w:pPr>
    </w:p>
    <w:p w14:paraId="767219C6">
      <w:pPr>
        <w:spacing w:before="91" w:line="220" w:lineRule="auto"/>
        <w:jc w:val="both"/>
        <w:outlineLvl w:val="1"/>
        <w:rPr>
          <w:rFonts w:hint="eastAsia" w:ascii="宋体" w:hAnsi="宋体" w:eastAsia="宋体" w:cs="宋体"/>
          <w:color w:val="auto"/>
          <w:sz w:val="28"/>
          <w:szCs w:val="28"/>
          <w:highlight w:val="none"/>
          <w:shd w:val="clear" w:color="auto" w:fill="auto"/>
        </w:rPr>
      </w:pPr>
      <w:bookmarkStart w:id="41" w:name="_bookmark8"/>
      <w:bookmarkEnd w:id="41"/>
      <w:r>
        <w:rPr>
          <w:rFonts w:hint="eastAsia" w:ascii="宋体" w:hAnsi="宋体" w:eastAsia="宋体" w:cs="宋体"/>
          <w:color w:val="auto"/>
          <w:sz w:val="28"/>
          <w:szCs w:val="28"/>
          <w:highlight w:val="none"/>
          <w:shd w:val="clear" w:color="auto" w:fill="auto"/>
        </w:rPr>
        <w:t>附表四：中标通知书</w:t>
      </w:r>
    </w:p>
    <w:p w14:paraId="7745B659">
      <w:pPr>
        <w:spacing w:before="266" w:line="227" w:lineRule="auto"/>
        <w:ind w:left="4424"/>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中标通知书</w:t>
      </w:r>
    </w:p>
    <w:p w14:paraId="6B7E3449">
      <w:pPr>
        <w:spacing w:before="157" w:line="358" w:lineRule="auto"/>
        <w:ind w:left="398" w:right="389" w:firstLine="480"/>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中标通知书为招标人向中标的投标人发出的告知其中标的书面通知文件，中标结果根据投标人提交的投标文件经评、定标委员会评审做出。本中标通知书对招标人和中标人具有法律效力，一经发出后，中标人放弃中标项目的应当依法承担法律责任。中标具体内容如下：</w:t>
      </w:r>
    </w:p>
    <w:p w14:paraId="3AA25316">
      <w:pPr>
        <w:jc w:val="both"/>
        <w:rPr>
          <w:rFonts w:hint="eastAsia" w:ascii="宋体" w:hAnsi="宋体" w:eastAsia="宋体" w:cs="宋体"/>
          <w:color w:val="auto"/>
          <w:highlight w:val="none"/>
          <w:shd w:val="clear" w:color="auto" w:fill="auto"/>
        </w:rPr>
      </w:pPr>
    </w:p>
    <w:p w14:paraId="0F1CD0FD">
      <w:pPr>
        <w:spacing w:line="27" w:lineRule="exact"/>
        <w:jc w:val="both"/>
        <w:rPr>
          <w:rFonts w:hint="eastAsia" w:ascii="宋体" w:hAnsi="宋体" w:eastAsia="宋体" w:cs="宋体"/>
          <w:color w:val="auto"/>
          <w:highlight w:val="none"/>
          <w:shd w:val="clear" w:color="auto" w:fill="auto"/>
        </w:rPr>
      </w:pPr>
    </w:p>
    <w:tbl>
      <w:tblPr>
        <w:tblStyle w:val="42"/>
        <w:tblW w:w="9217"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9"/>
        <w:gridCol w:w="7088"/>
      </w:tblGrid>
      <w:tr w14:paraId="14233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129" w:type="dxa"/>
            <w:noWrap w:val="0"/>
            <w:vAlign w:val="top"/>
          </w:tcPr>
          <w:p w14:paraId="7487ADF3">
            <w:pPr>
              <w:spacing w:before="200" w:line="229" w:lineRule="auto"/>
              <w:ind w:left="1" w:firstLine="2" w:firstLineChars="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招标项目名称</w:t>
            </w:r>
          </w:p>
        </w:tc>
        <w:tc>
          <w:tcPr>
            <w:tcW w:w="7088" w:type="dxa"/>
            <w:noWrap w:val="0"/>
            <w:vAlign w:val="top"/>
          </w:tcPr>
          <w:p w14:paraId="03B849AA">
            <w:pPr>
              <w:jc w:val="both"/>
              <w:rPr>
                <w:rFonts w:hint="eastAsia" w:ascii="宋体" w:hAnsi="宋体" w:eastAsia="宋体" w:cs="宋体"/>
                <w:color w:val="auto"/>
                <w:highlight w:val="none"/>
                <w:shd w:val="clear" w:color="auto" w:fill="auto"/>
              </w:rPr>
            </w:pPr>
          </w:p>
        </w:tc>
      </w:tr>
      <w:tr w14:paraId="75F53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129" w:type="dxa"/>
            <w:noWrap w:val="0"/>
            <w:vAlign w:val="top"/>
          </w:tcPr>
          <w:p w14:paraId="330B7AB5">
            <w:pPr>
              <w:spacing w:before="138" w:line="229" w:lineRule="auto"/>
              <w:ind w:left="1" w:firstLine="2" w:firstLineChars="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招标人名称</w:t>
            </w:r>
          </w:p>
        </w:tc>
        <w:tc>
          <w:tcPr>
            <w:tcW w:w="7088" w:type="dxa"/>
            <w:noWrap w:val="0"/>
            <w:vAlign w:val="top"/>
          </w:tcPr>
          <w:p w14:paraId="1B151C74">
            <w:pPr>
              <w:jc w:val="both"/>
              <w:rPr>
                <w:rFonts w:hint="eastAsia" w:ascii="宋体" w:hAnsi="宋体" w:eastAsia="宋体" w:cs="宋体"/>
                <w:color w:val="auto"/>
                <w:highlight w:val="none"/>
                <w:shd w:val="clear" w:color="auto" w:fill="auto"/>
              </w:rPr>
            </w:pPr>
          </w:p>
        </w:tc>
      </w:tr>
      <w:tr w14:paraId="2D321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129" w:type="dxa"/>
            <w:noWrap w:val="0"/>
            <w:vAlign w:val="top"/>
          </w:tcPr>
          <w:p w14:paraId="54E0004A">
            <w:pPr>
              <w:spacing w:before="159" w:line="229" w:lineRule="auto"/>
              <w:ind w:left="1" w:firstLine="2" w:firstLineChars="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中标人名称</w:t>
            </w:r>
          </w:p>
        </w:tc>
        <w:tc>
          <w:tcPr>
            <w:tcW w:w="7088" w:type="dxa"/>
            <w:noWrap w:val="0"/>
            <w:vAlign w:val="top"/>
          </w:tcPr>
          <w:p w14:paraId="615453AE">
            <w:pPr>
              <w:jc w:val="both"/>
              <w:rPr>
                <w:rFonts w:hint="eastAsia" w:ascii="宋体" w:hAnsi="宋体" w:eastAsia="宋体" w:cs="宋体"/>
                <w:color w:val="auto"/>
                <w:highlight w:val="none"/>
                <w:shd w:val="clear" w:color="auto" w:fill="auto"/>
              </w:rPr>
            </w:pPr>
          </w:p>
        </w:tc>
      </w:tr>
      <w:tr w14:paraId="5AC3E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9" w:type="dxa"/>
            <w:noWrap w:val="0"/>
            <w:vAlign w:val="top"/>
          </w:tcPr>
          <w:p w14:paraId="783F908A">
            <w:pPr>
              <w:spacing w:before="116" w:line="228" w:lineRule="auto"/>
              <w:ind w:left="1" w:firstLine="2" w:firstLineChars="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项目负责人</w:t>
            </w:r>
          </w:p>
        </w:tc>
        <w:tc>
          <w:tcPr>
            <w:tcW w:w="7088" w:type="dxa"/>
            <w:noWrap w:val="0"/>
            <w:vAlign w:val="top"/>
          </w:tcPr>
          <w:p w14:paraId="4EF5D563">
            <w:pPr>
              <w:jc w:val="both"/>
              <w:rPr>
                <w:rFonts w:hint="eastAsia" w:ascii="宋体" w:hAnsi="宋体" w:eastAsia="宋体" w:cs="宋体"/>
                <w:color w:val="auto"/>
                <w:highlight w:val="none"/>
                <w:shd w:val="clear" w:color="auto" w:fill="auto"/>
              </w:rPr>
            </w:pPr>
          </w:p>
        </w:tc>
      </w:tr>
      <w:tr w14:paraId="651A5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2129" w:type="dxa"/>
            <w:noWrap w:val="0"/>
            <w:vAlign w:val="top"/>
          </w:tcPr>
          <w:p w14:paraId="52E70B37">
            <w:pPr>
              <w:spacing w:before="267" w:line="228" w:lineRule="auto"/>
              <w:ind w:left="1" w:firstLine="2" w:firstLineChars="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中标金额</w:t>
            </w:r>
          </w:p>
        </w:tc>
        <w:tc>
          <w:tcPr>
            <w:tcW w:w="7088" w:type="dxa"/>
            <w:noWrap w:val="0"/>
            <w:vAlign w:val="top"/>
          </w:tcPr>
          <w:p w14:paraId="69F7D8B9">
            <w:pPr>
              <w:spacing w:before="267" w:line="229" w:lineRule="auto"/>
              <w:ind w:left="12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(大写)：</w:t>
            </w:r>
          </w:p>
          <w:p w14:paraId="0298CEC7">
            <w:pPr>
              <w:spacing w:before="267" w:line="229" w:lineRule="auto"/>
              <w:ind w:left="12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(小写)：</w:t>
            </w:r>
          </w:p>
        </w:tc>
      </w:tr>
      <w:tr w14:paraId="3E3C5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2129" w:type="dxa"/>
            <w:noWrap w:val="0"/>
            <w:vAlign w:val="top"/>
          </w:tcPr>
          <w:p w14:paraId="62955B46">
            <w:pPr>
              <w:spacing w:before="178" w:line="228" w:lineRule="auto"/>
              <w:ind w:left="1" w:firstLine="2" w:firstLineChars="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中标内容范围</w:t>
            </w:r>
          </w:p>
        </w:tc>
        <w:tc>
          <w:tcPr>
            <w:tcW w:w="7088" w:type="dxa"/>
            <w:noWrap w:val="0"/>
            <w:vAlign w:val="top"/>
          </w:tcPr>
          <w:p w14:paraId="681E6514">
            <w:pPr>
              <w:jc w:val="both"/>
              <w:rPr>
                <w:rFonts w:hint="eastAsia" w:ascii="宋体" w:hAnsi="宋体" w:eastAsia="宋体" w:cs="宋体"/>
                <w:color w:val="auto"/>
                <w:highlight w:val="none"/>
                <w:shd w:val="clear" w:color="auto" w:fill="auto"/>
              </w:rPr>
            </w:pPr>
          </w:p>
        </w:tc>
      </w:tr>
      <w:tr w14:paraId="0E6A4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129" w:type="dxa"/>
            <w:noWrap w:val="0"/>
            <w:vAlign w:val="top"/>
          </w:tcPr>
          <w:p w14:paraId="4BE8397C">
            <w:pPr>
              <w:spacing w:before="116" w:line="468" w:lineRule="exact"/>
              <w:ind w:left="1" w:firstLine="2" w:firstLineChars="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7"/>
                <w:sz w:val="23"/>
                <w:szCs w:val="23"/>
                <w:highlight w:val="none"/>
                <w:shd w:val="clear" w:color="auto" w:fill="auto"/>
              </w:rPr>
              <w:t>中标人与招标人签订</w:t>
            </w:r>
          </w:p>
          <w:p w14:paraId="012783D0">
            <w:pPr>
              <w:spacing w:before="1" w:line="228" w:lineRule="auto"/>
              <w:ind w:left="1" w:firstLine="2" w:firstLineChars="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中标合同期限</w:t>
            </w:r>
          </w:p>
        </w:tc>
        <w:tc>
          <w:tcPr>
            <w:tcW w:w="7088" w:type="dxa"/>
            <w:noWrap w:val="0"/>
            <w:vAlign w:val="top"/>
          </w:tcPr>
          <w:p w14:paraId="5E13495A">
            <w:pPr>
              <w:jc w:val="both"/>
              <w:rPr>
                <w:rFonts w:hint="eastAsia" w:ascii="宋体" w:hAnsi="宋体" w:eastAsia="宋体" w:cs="宋体"/>
                <w:color w:val="auto"/>
                <w:highlight w:val="none"/>
                <w:shd w:val="clear" w:color="auto" w:fill="auto"/>
              </w:rPr>
            </w:pPr>
          </w:p>
        </w:tc>
      </w:tr>
      <w:tr w14:paraId="0111D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29" w:type="dxa"/>
            <w:noWrap w:val="0"/>
            <w:vAlign w:val="top"/>
          </w:tcPr>
          <w:p w14:paraId="60356F17">
            <w:pPr>
              <w:spacing w:before="196" w:line="229" w:lineRule="auto"/>
              <w:ind w:left="1" w:firstLine="2" w:firstLineChars="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签订中标合同地址</w:t>
            </w:r>
          </w:p>
        </w:tc>
        <w:tc>
          <w:tcPr>
            <w:tcW w:w="7088" w:type="dxa"/>
            <w:noWrap w:val="0"/>
            <w:vAlign w:val="top"/>
          </w:tcPr>
          <w:p w14:paraId="61AC13A5">
            <w:pPr>
              <w:jc w:val="both"/>
              <w:rPr>
                <w:rFonts w:hint="eastAsia" w:ascii="宋体" w:hAnsi="宋体" w:eastAsia="宋体" w:cs="宋体"/>
                <w:color w:val="auto"/>
                <w:highlight w:val="none"/>
                <w:shd w:val="clear" w:color="auto" w:fill="auto"/>
              </w:rPr>
            </w:pPr>
          </w:p>
        </w:tc>
      </w:tr>
      <w:tr w14:paraId="6A448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129" w:type="dxa"/>
            <w:noWrap w:val="0"/>
            <w:vAlign w:val="top"/>
          </w:tcPr>
          <w:p w14:paraId="0BF011EB">
            <w:pPr>
              <w:spacing w:before="159" w:line="228" w:lineRule="auto"/>
              <w:ind w:left="1" w:firstLine="2" w:firstLineChars="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其他需说明内容</w:t>
            </w:r>
          </w:p>
        </w:tc>
        <w:tc>
          <w:tcPr>
            <w:tcW w:w="7088" w:type="dxa"/>
            <w:noWrap w:val="0"/>
            <w:vAlign w:val="top"/>
          </w:tcPr>
          <w:p w14:paraId="74B200F7">
            <w:pPr>
              <w:jc w:val="both"/>
              <w:rPr>
                <w:rFonts w:hint="eastAsia" w:ascii="宋体" w:hAnsi="宋体" w:eastAsia="宋体" w:cs="宋体"/>
                <w:color w:val="auto"/>
                <w:highlight w:val="none"/>
                <w:shd w:val="clear" w:color="auto" w:fill="auto"/>
              </w:rPr>
            </w:pPr>
          </w:p>
        </w:tc>
      </w:tr>
    </w:tbl>
    <w:p w14:paraId="19863031">
      <w:pPr>
        <w:spacing w:line="245" w:lineRule="auto"/>
        <w:jc w:val="both"/>
        <w:rPr>
          <w:rFonts w:hint="eastAsia" w:ascii="宋体" w:hAnsi="宋体" w:eastAsia="宋体" w:cs="宋体"/>
          <w:color w:val="auto"/>
          <w:highlight w:val="none"/>
          <w:shd w:val="clear" w:color="auto" w:fill="auto"/>
        </w:rPr>
      </w:pPr>
    </w:p>
    <w:p w14:paraId="349007E4">
      <w:pPr>
        <w:spacing w:line="246" w:lineRule="auto"/>
        <w:jc w:val="both"/>
        <w:rPr>
          <w:rFonts w:hint="eastAsia" w:ascii="宋体" w:hAnsi="宋体" w:eastAsia="宋体" w:cs="宋体"/>
          <w:color w:val="auto"/>
          <w:highlight w:val="none"/>
          <w:shd w:val="clear" w:color="auto" w:fill="auto"/>
        </w:rPr>
      </w:pPr>
    </w:p>
    <w:p w14:paraId="565017A5">
      <w:pPr>
        <w:spacing w:line="246" w:lineRule="auto"/>
        <w:jc w:val="both"/>
        <w:rPr>
          <w:rFonts w:hint="eastAsia" w:ascii="宋体" w:hAnsi="宋体" w:eastAsia="宋体" w:cs="宋体"/>
          <w:color w:val="auto"/>
          <w:highlight w:val="none"/>
          <w:shd w:val="clear" w:color="auto" w:fill="auto"/>
        </w:rPr>
      </w:pPr>
    </w:p>
    <w:p w14:paraId="0BEA39CC">
      <w:pPr>
        <w:spacing w:before="75" w:line="501" w:lineRule="auto"/>
        <w:ind w:left="6280" w:right="410" w:hanging="103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招标人：</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 xml:space="preserve"> (盖章)</w:t>
      </w:r>
    </w:p>
    <w:p w14:paraId="57A710BD">
      <w:pPr>
        <w:spacing w:before="75" w:line="501" w:lineRule="auto"/>
        <w:ind w:left="6280" w:right="410" w:hanging="103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经办人：</w:t>
      </w:r>
      <w:r>
        <w:rPr>
          <w:rFonts w:hint="eastAsia" w:ascii="宋体" w:hAnsi="宋体" w:eastAsia="宋体" w:cs="宋体"/>
          <w:color w:val="auto"/>
          <w:sz w:val="23"/>
          <w:szCs w:val="23"/>
          <w:highlight w:val="none"/>
          <w:u w:val="single"/>
          <w:shd w:val="clear" w:color="auto" w:fill="auto"/>
        </w:rPr>
        <w:t xml:space="preserve">      </w:t>
      </w:r>
    </w:p>
    <w:p w14:paraId="0EDF3F2C">
      <w:pPr>
        <w:spacing w:before="2" w:line="500" w:lineRule="auto"/>
        <w:ind w:left="6277" w:right="1078" w:hanging="103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电话：</w:t>
      </w:r>
      <w:r>
        <w:rPr>
          <w:rFonts w:hint="eastAsia" w:ascii="宋体" w:hAnsi="宋体" w:eastAsia="宋体" w:cs="宋体"/>
          <w:color w:val="auto"/>
          <w:sz w:val="23"/>
          <w:szCs w:val="23"/>
          <w:highlight w:val="none"/>
          <w:u w:val="single"/>
          <w:shd w:val="clear" w:color="auto" w:fill="auto"/>
        </w:rPr>
        <w:t xml:space="preserve">       </w:t>
      </w:r>
    </w:p>
    <w:p w14:paraId="50249305">
      <w:pPr>
        <w:spacing w:before="2" w:line="500" w:lineRule="auto"/>
        <w:ind w:left="6277" w:right="1078" w:hanging="103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传真：</w:t>
      </w:r>
      <w:r>
        <w:rPr>
          <w:rFonts w:hint="eastAsia" w:ascii="宋体" w:hAnsi="宋体" w:eastAsia="宋体" w:cs="宋体"/>
          <w:color w:val="auto"/>
          <w:sz w:val="23"/>
          <w:szCs w:val="23"/>
          <w:highlight w:val="none"/>
          <w:u w:val="single"/>
          <w:shd w:val="clear" w:color="auto" w:fill="auto"/>
        </w:rPr>
        <w:t xml:space="preserve">       </w:t>
      </w:r>
    </w:p>
    <w:p w14:paraId="4949C6E6">
      <w:pPr>
        <w:tabs>
          <w:tab w:val="left" w:pos="7447"/>
        </w:tabs>
        <w:spacing w:line="228" w:lineRule="auto"/>
        <w:ind w:left="6837" w:hanging="1035"/>
        <w:jc w:val="both"/>
        <w:outlineLvl w:val="1"/>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年</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月</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日</w:t>
      </w:r>
    </w:p>
    <w:p w14:paraId="13A66D20">
      <w:pPr>
        <w:jc w:val="both"/>
        <w:rPr>
          <w:rFonts w:hint="eastAsia" w:ascii="宋体" w:hAnsi="宋体" w:eastAsia="宋体" w:cs="宋体"/>
          <w:color w:val="auto"/>
          <w:highlight w:val="none"/>
          <w:shd w:val="clear" w:color="auto" w:fill="auto"/>
        </w:rPr>
        <w:sectPr>
          <w:footerReference r:id="rId11" w:type="default"/>
          <w:pgSz w:w="11906" w:h="16839"/>
          <w:pgMar w:top="1418" w:right="1559" w:bottom="1418" w:left="1474" w:header="0" w:footer="1035" w:gutter="0"/>
          <w:cols w:space="720" w:num="1"/>
        </w:sectPr>
      </w:pPr>
    </w:p>
    <w:p w14:paraId="4C9027A1">
      <w:pPr>
        <w:spacing w:before="91" w:line="220" w:lineRule="auto"/>
        <w:jc w:val="both"/>
        <w:outlineLvl w:val="1"/>
        <w:rPr>
          <w:rFonts w:hint="eastAsia" w:ascii="宋体" w:hAnsi="宋体" w:eastAsia="宋体" w:cs="宋体"/>
          <w:color w:val="auto"/>
          <w:sz w:val="28"/>
          <w:szCs w:val="28"/>
          <w:highlight w:val="none"/>
          <w:shd w:val="clear" w:color="auto" w:fill="auto"/>
        </w:rPr>
      </w:pPr>
      <w:bookmarkStart w:id="42" w:name="_bookmark10"/>
      <w:bookmarkEnd w:id="42"/>
      <w:r>
        <w:rPr>
          <w:rFonts w:hint="eastAsia" w:ascii="宋体" w:hAnsi="宋体" w:eastAsia="宋体" w:cs="宋体"/>
          <w:color w:val="auto"/>
          <w:sz w:val="28"/>
          <w:szCs w:val="28"/>
          <w:highlight w:val="none"/>
          <w:shd w:val="clear" w:color="auto" w:fill="auto"/>
        </w:rPr>
        <w:t>附表五：确认通知</w:t>
      </w:r>
    </w:p>
    <w:p w14:paraId="38808ABF">
      <w:pPr>
        <w:spacing w:line="349" w:lineRule="auto"/>
        <w:jc w:val="both"/>
        <w:rPr>
          <w:rFonts w:hint="eastAsia" w:ascii="宋体" w:hAnsi="宋体" w:eastAsia="宋体" w:cs="宋体"/>
          <w:color w:val="auto"/>
          <w:highlight w:val="none"/>
          <w:shd w:val="clear" w:color="auto" w:fill="auto"/>
        </w:rPr>
      </w:pPr>
    </w:p>
    <w:p w14:paraId="45F16274">
      <w:pPr>
        <w:spacing w:line="350" w:lineRule="auto"/>
        <w:jc w:val="both"/>
        <w:rPr>
          <w:rFonts w:hint="eastAsia" w:ascii="宋体" w:hAnsi="宋体" w:eastAsia="宋体" w:cs="宋体"/>
          <w:color w:val="auto"/>
          <w:highlight w:val="none"/>
          <w:shd w:val="clear" w:color="auto" w:fill="auto"/>
        </w:rPr>
      </w:pPr>
    </w:p>
    <w:p w14:paraId="603FA028">
      <w:pPr>
        <w:spacing w:before="91" w:line="221" w:lineRule="auto"/>
        <w:ind w:left="4094"/>
        <w:jc w:val="both"/>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确认通知</w:t>
      </w:r>
    </w:p>
    <w:p w14:paraId="225ECA27">
      <w:pPr>
        <w:spacing w:line="345" w:lineRule="auto"/>
        <w:jc w:val="both"/>
        <w:rPr>
          <w:rFonts w:hint="eastAsia" w:ascii="宋体" w:hAnsi="宋体" w:eastAsia="宋体" w:cs="宋体"/>
          <w:color w:val="auto"/>
          <w:highlight w:val="none"/>
          <w:shd w:val="clear" w:color="auto" w:fill="auto"/>
        </w:rPr>
      </w:pPr>
    </w:p>
    <w:p w14:paraId="7ABA9541">
      <w:pPr>
        <w:spacing w:line="345" w:lineRule="auto"/>
        <w:jc w:val="both"/>
        <w:rPr>
          <w:rFonts w:hint="eastAsia" w:ascii="宋体" w:hAnsi="宋体" w:eastAsia="宋体" w:cs="宋体"/>
          <w:color w:val="auto"/>
          <w:highlight w:val="none"/>
          <w:shd w:val="clear" w:color="auto" w:fill="auto"/>
        </w:rPr>
      </w:pPr>
    </w:p>
    <w:p w14:paraId="3A3350FB">
      <w:pPr>
        <w:tabs>
          <w:tab w:val="left" w:pos="1838"/>
        </w:tabs>
        <w:spacing w:before="91" w:line="221" w:lineRule="auto"/>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(招标人名称):</w:t>
      </w:r>
    </w:p>
    <w:p w14:paraId="2DB88CC9">
      <w:pPr>
        <w:spacing w:before="223" w:line="375" w:lineRule="auto"/>
        <w:ind w:left="10" w:right="72" w:firstLine="562"/>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我方已接到你方</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日发出的</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(项目名称)</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标段招标关于中标结果的通知，我方已于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日收到。</w:t>
      </w:r>
    </w:p>
    <w:p w14:paraId="0647C4A8">
      <w:pPr>
        <w:spacing w:line="441" w:lineRule="auto"/>
        <w:jc w:val="both"/>
        <w:rPr>
          <w:rFonts w:hint="eastAsia" w:ascii="宋体" w:hAnsi="宋体" w:eastAsia="宋体" w:cs="宋体"/>
          <w:color w:val="auto"/>
          <w:sz w:val="24"/>
          <w:szCs w:val="24"/>
          <w:highlight w:val="none"/>
          <w:shd w:val="clear" w:color="auto" w:fill="auto"/>
        </w:rPr>
      </w:pPr>
    </w:p>
    <w:p w14:paraId="30DDAF1E">
      <w:pPr>
        <w:spacing w:before="91" w:line="221" w:lineRule="auto"/>
        <w:ind w:left="570"/>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特此确认。</w:t>
      </w:r>
    </w:p>
    <w:p w14:paraId="79EB84A2">
      <w:pPr>
        <w:spacing w:line="249" w:lineRule="auto"/>
        <w:jc w:val="both"/>
        <w:rPr>
          <w:rFonts w:hint="eastAsia" w:ascii="宋体" w:hAnsi="宋体" w:eastAsia="宋体" w:cs="宋体"/>
          <w:color w:val="auto"/>
          <w:sz w:val="24"/>
          <w:szCs w:val="24"/>
          <w:highlight w:val="none"/>
          <w:shd w:val="clear" w:color="auto" w:fill="auto"/>
        </w:rPr>
      </w:pPr>
    </w:p>
    <w:p w14:paraId="06C87654">
      <w:pPr>
        <w:spacing w:line="249" w:lineRule="auto"/>
        <w:jc w:val="both"/>
        <w:rPr>
          <w:rFonts w:hint="eastAsia" w:ascii="宋体" w:hAnsi="宋体" w:eastAsia="宋体" w:cs="宋体"/>
          <w:color w:val="auto"/>
          <w:sz w:val="24"/>
          <w:szCs w:val="24"/>
          <w:highlight w:val="none"/>
          <w:shd w:val="clear" w:color="auto" w:fill="auto"/>
        </w:rPr>
      </w:pPr>
    </w:p>
    <w:p w14:paraId="49C1FAB1">
      <w:pPr>
        <w:spacing w:line="249" w:lineRule="auto"/>
        <w:jc w:val="both"/>
        <w:rPr>
          <w:rFonts w:hint="eastAsia" w:ascii="宋体" w:hAnsi="宋体" w:eastAsia="宋体" w:cs="宋体"/>
          <w:color w:val="auto"/>
          <w:sz w:val="24"/>
          <w:szCs w:val="24"/>
          <w:highlight w:val="none"/>
          <w:shd w:val="clear" w:color="auto" w:fill="auto"/>
        </w:rPr>
      </w:pPr>
    </w:p>
    <w:p w14:paraId="1C4918C4">
      <w:pPr>
        <w:spacing w:line="249" w:lineRule="auto"/>
        <w:jc w:val="both"/>
        <w:rPr>
          <w:rFonts w:hint="eastAsia" w:ascii="宋体" w:hAnsi="宋体" w:eastAsia="宋体" w:cs="宋体"/>
          <w:color w:val="auto"/>
          <w:sz w:val="24"/>
          <w:szCs w:val="24"/>
          <w:highlight w:val="none"/>
          <w:shd w:val="clear" w:color="auto" w:fill="auto"/>
        </w:rPr>
      </w:pPr>
    </w:p>
    <w:p w14:paraId="64A737EA">
      <w:pPr>
        <w:spacing w:line="250" w:lineRule="auto"/>
        <w:jc w:val="both"/>
        <w:rPr>
          <w:rFonts w:hint="eastAsia" w:ascii="宋体" w:hAnsi="宋体" w:eastAsia="宋体" w:cs="宋体"/>
          <w:color w:val="auto"/>
          <w:sz w:val="24"/>
          <w:szCs w:val="24"/>
          <w:highlight w:val="none"/>
          <w:shd w:val="clear" w:color="auto" w:fill="auto"/>
        </w:rPr>
      </w:pPr>
    </w:p>
    <w:p w14:paraId="5562DD78">
      <w:pPr>
        <w:tabs>
          <w:tab w:val="left" w:pos="7060"/>
        </w:tabs>
        <w:spacing w:before="91" w:line="377" w:lineRule="auto"/>
        <w:ind w:left="6628" w:hanging="1993"/>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(盖单位公章)</w:t>
      </w:r>
    </w:p>
    <w:p w14:paraId="4BE4AF4D">
      <w:pPr>
        <w:tabs>
          <w:tab w:val="left" w:pos="7060"/>
        </w:tabs>
        <w:spacing w:before="91" w:line="377" w:lineRule="auto"/>
        <w:ind w:left="6628" w:hanging="1993"/>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2B7AADEF">
      <w:pPr>
        <w:jc w:val="both"/>
        <w:rPr>
          <w:rFonts w:hint="eastAsia" w:ascii="宋体" w:hAnsi="宋体" w:eastAsia="宋体" w:cs="宋体"/>
          <w:color w:val="auto"/>
          <w:highlight w:val="none"/>
          <w:shd w:val="clear" w:color="auto" w:fill="auto"/>
        </w:rPr>
        <w:sectPr>
          <w:footerReference r:id="rId12" w:type="default"/>
          <w:pgSz w:w="11906" w:h="16839"/>
          <w:pgMar w:top="1418" w:right="1559" w:bottom="1418" w:left="1474" w:header="0" w:footer="1035" w:gutter="0"/>
          <w:cols w:space="720" w:num="1"/>
        </w:sectPr>
      </w:pPr>
    </w:p>
    <w:p w14:paraId="4E0064EB">
      <w:pPr>
        <w:spacing w:line="371" w:lineRule="auto"/>
        <w:jc w:val="both"/>
        <w:rPr>
          <w:rFonts w:hint="eastAsia" w:ascii="宋体" w:hAnsi="宋体" w:eastAsia="宋体" w:cs="宋体"/>
          <w:color w:val="auto"/>
          <w:highlight w:val="none"/>
          <w:shd w:val="clear" w:color="auto" w:fill="auto"/>
        </w:rPr>
      </w:pPr>
    </w:p>
    <w:p w14:paraId="25B02243">
      <w:pPr>
        <w:pStyle w:val="4"/>
        <w:jc w:val="center"/>
        <w:rPr>
          <w:rFonts w:hint="eastAsia" w:ascii="宋体" w:hAnsi="宋体" w:eastAsia="宋体" w:cs="宋体"/>
          <w:snapToGrid/>
          <w:color w:val="auto"/>
          <w:sz w:val="36"/>
          <w:szCs w:val="36"/>
          <w:highlight w:val="none"/>
          <w:shd w:val="clear" w:color="auto" w:fill="auto"/>
        </w:rPr>
      </w:pPr>
      <w:bookmarkStart w:id="43" w:name="_bookmark11"/>
      <w:bookmarkEnd w:id="43"/>
      <w:r>
        <w:rPr>
          <w:rFonts w:hint="eastAsia" w:ascii="宋体" w:hAnsi="宋体" w:eastAsia="宋体" w:cs="宋体"/>
          <w:color w:val="auto"/>
          <w:sz w:val="31"/>
          <w:szCs w:val="31"/>
          <w:highlight w:val="none"/>
          <w:shd w:val="clear" w:color="auto" w:fill="auto"/>
        </w:rPr>
        <w:t>第三章</w:t>
      </w:r>
      <w:r>
        <w:rPr>
          <w:rFonts w:hint="eastAsia" w:ascii="宋体" w:hAnsi="宋体" w:eastAsia="宋体" w:cs="宋体"/>
          <w:snapToGrid/>
          <w:color w:val="auto"/>
          <w:sz w:val="36"/>
          <w:szCs w:val="36"/>
          <w:highlight w:val="none"/>
          <w:shd w:val="clear" w:color="auto" w:fill="auto"/>
        </w:rPr>
        <w:t>评标定标办法</w:t>
      </w:r>
    </w:p>
    <w:p w14:paraId="0B5B5923">
      <w:pPr>
        <w:widowControl w:val="0"/>
        <w:kinsoku/>
        <w:autoSpaceDE/>
        <w:autoSpaceDN/>
        <w:adjustRightInd/>
        <w:snapToGrid/>
        <w:jc w:val="both"/>
        <w:textAlignment w:val="auto"/>
        <w:rPr>
          <w:rFonts w:hint="eastAsia" w:ascii="宋体" w:hAnsi="宋体" w:eastAsia="宋体" w:cs="宋体"/>
          <w:snapToGrid/>
          <w:color w:val="auto"/>
          <w:kern w:val="2"/>
          <w:szCs w:val="24"/>
          <w:highlight w:val="none"/>
          <w:shd w:val="clear" w:color="auto" w:fill="auto"/>
        </w:rPr>
      </w:pPr>
    </w:p>
    <w:p w14:paraId="60641100">
      <w:pPr>
        <w:widowControl w:val="0"/>
        <w:kinsoku/>
        <w:autoSpaceDE/>
        <w:autoSpaceDN/>
        <w:spacing w:line="360" w:lineRule="auto"/>
        <w:ind w:firstLine="420" w:firstLineChars="200"/>
        <w:jc w:val="both"/>
        <w:textAlignment w:val="auto"/>
        <w:rPr>
          <w:rFonts w:hint="eastAsia" w:ascii="宋体" w:hAnsi="宋体" w:eastAsia="宋体" w:cs="宋体"/>
          <w:snapToGrid/>
          <w:color w:val="auto"/>
          <w:kern w:val="2"/>
          <w:highlight w:val="none"/>
          <w:shd w:val="clear" w:color="auto" w:fill="auto"/>
        </w:rPr>
      </w:pPr>
      <w:r>
        <w:rPr>
          <w:rFonts w:hint="eastAsia" w:ascii="宋体" w:hAnsi="宋体" w:eastAsia="宋体" w:cs="宋体"/>
          <w:snapToGrid/>
          <w:color w:val="auto"/>
          <w:kern w:val="2"/>
          <w:highlight w:val="none"/>
          <w:shd w:val="clear" w:color="auto" w:fill="auto"/>
        </w:rPr>
        <w:t>一、评标办法：</w:t>
      </w:r>
    </w:p>
    <w:p w14:paraId="549845AF">
      <w:pPr>
        <w:widowControl w:val="0"/>
        <w:kinsoku/>
        <w:autoSpaceDE/>
        <w:autoSpaceDN/>
        <w:spacing w:line="360" w:lineRule="auto"/>
        <w:ind w:firstLine="420" w:firstLineChars="200"/>
        <w:jc w:val="both"/>
        <w:textAlignment w:val="auto"/>
        <w:rPr>
          <w:rFonts w:hint="eastAsia" w:ascii="宋体" w:hAnsi="宋体" w:eastAsia="宋体" w:cs="宋体"/>
          <w:snapToGrid/>
          <w:color w:val="auto"/>
          <w:kern w:val="2"/>
          <w:highlight w:val="none"/>
          <w:shd w:val="clear" w:color="auto" w:fill="auto"/>
        </w:rPr>
      </w:pPr>
      <w:r>
        <w:rPr>
          <w:rFonts w:hint="eastAsia" w:ascii="宋体" w:hAnsi="宋体" w:eastAsia="宋体" w:cs="宋体"/>
          <w:snapToGrid/>
          <w:color w:val="auto"/>
          <w:kern w:val="2"/>
          <w:highlight w:val="none"/>
          <w:shd w:val="clear" w:color="auto" w:fill="auto"/>
        </w:rPr>
        <w:t>□</w:t>
      </w:r>
      <w:r>
        <w:rPr>
          <w:rFonts w:hint="eastAsia" w:ascii="宋体" w:hAnsi="宋体" w:eastAsia="宋体" w:cs="宋体"/>
          <w:color w:val="auto"/>
          <w:highlight w:val="none"/>
          <w:shd w:val="clear" w:color="auto" w:fill="auto"/>
        </w:rPr>
        <w:t>经评审的最低投标价法</w:t>
      </w:r>
    </w:p>
    <w:p w14:paraId="20AB2859">
      <w:pPr>
        <w:widowControl w:val="0"/>
        <w:kinsoku/>
        <w:autoSpaceDE/>
        <w:autoSpaceDN/>
        <w:spacing w:line="360" w:lineRule="auto"/>
        <w:ind w:firstLine="420" w:firstLineChars="200"/>
        <w:jc w:val="both"/>
        <w:textAlignment w:val="auto"/>
        <w:rPr>
          <w:rFonts w:hint="eastAsia" w:ascii="宋体" w:hAnsi="宋体" w:eastAsia="宋体" w:cs="宋体"/>
          <w:snapToGrid/>
          <w:color w:val="auto"/>
          <w:kern w:val="2"/>
          <w:highlight w:val="none"/>
          <w:shd w:val="clear" w:color="auto" w:fill="auto"/>
        </w:rPr>
      </w:pPr>
      <w:r>
        <w:rPr>
          <w:rFonts w:hint="eastAsia" w:ascii="宋体" w:hAnsi="宋体" w:eastAsia="宋体" w:cs="宋体"/>
          <w:snapToGrid/>
          <w:color w:val="auto"/>
          <w:kern w:val="2"/>
          <w:highlight w:val="none"/>
          <w:shd w:val="clear" w:color="auto" w:fill="auto"/>
          <w:lang w:eastAsia="zh-CN"/>
        </w:rPr>
        <w:t>☑</w:t>
      </w: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"http://218.108.28.22/zjgcjy/infodetail/?infoid=3561d4c5-1965-4914-8d10-bfd371957ee6&amp;siteid=1&amp;categoryNum=032003" \t "_blank" \o "浙江省重点建设工程施工招标资格后审综合评标示范办法（信用报告）"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snapToGrid/>
          <w:color w:val="auto"/>
          <w:kern w:val="2"/>
          <w:highlight w:val="none"/>
          <w:shd w:val="clear" w:color="auto" w:fill="auto"/>
        </w:rPr>
        <w:t>综合评估法</w:t>
      </w:r>
      <w:r>
        <w:rPr>
          <w:rFonts w:hint="eastAsia" w:ascii="宋体" w:hAnsi="宋体" w:eastAsia="宋体" w:cs="宋体"/>
          <w:snapToGrid/>
          <w:color w:val="auto"/>
          <w:kern w:val="2"/>
          <w:highlight w:val="none"/>
          <w:shd w:val="clear" w:color="auto" w:fill="auto"/>
        </w:rPr>
        <w:fldChar w:fldCharType="end"/>
      </w:r>
      <w:r>
        <w:rPr>
          <w:rFonts w:hint="eastAsia" w:ascii="宋体" w:hAnsi="宋体" w:eastAsia="宋体" w:cs="宋体"/>
          <w:snapToGrid/>
          <w:color w:val="auto"/>
          <w:kern w:val="2"/>
          <w:highlight w:val="none"/>
          <w:shd w:val="clear" w:color="auto" w:fill="auto"/>
        </w:rPr>
        <w:t>（设技术标）</w:t>
      </w:r>
    </w:p>
    <w:p w14:paraId="492C21F5">
      <w:pPr>
        <w:widowControl w:val="0"/>
        <w:kinsoku/>
        <w:autoSpaceDE/>
        <w:autoSpaceDN/>
        <w:adjustRightInd/>
        <w:snapToGrid/>
        <w:spacing w:after="120"/>
        <w:jc w:val="both"/>
        <w:textAlignment w:val="auto"/>
        <w:rPr>
          <w:rFonts w:hint="eastAsia" w:ascii="宋体" w:hAnsi="宋体" w:eastAsia="宋体" w:cs="宋体"/>
          <w:snapToGrid/>
          <w:color w:val="auto"/>
          <w:kern w:val="2"/>
          <w:szCs w:val="24"/>
          <w:highlight w:val="none"/>
          <w:shd w:val="clear" w:color="auto" w:fill="auto"/>
        </w:rPr>
      </w:pPr>
    </w:p>
    <w:p w14:paraId="72872169">
      <w:pPr>
        <w:widowControl w:val="0"/>
        <w:kinsoku/>
        <w:autoSpaceDE/>
        <w:autoSpaceDN/>
        <w:adjustRightInd/>
        <w:snapToGrid/>
        <w:ind w:left="420" w:leftChars="200"/>
        <w:jc w:val="both"/>
        <w:textAlignment w:val="auto"/>
        <w:rPr>
          <w:rFonts w:hint="eastAsia" w:ascii="宋体" w:hAnsi="宋体" w:eastAsia="宋体" w:cs="宋体"/>
          <w:strike/>
          <w:dstrike w:val="0"/>
          <w:snapToGrid/>
          <w:color w:val="auto"/>
          <w:kern w:val="2"/>
          <w:szCs w:val="24"/>
          <w:highlight w:val="none"/>
          <w:shd w:val="clear" w:color="auto" w:fill="auto"/>
        </w:rPr>
      </w:pPr>
      <w:r>
        <w:rPr>
          <w:rFonts w:hint="eastAsia" w:ascii="宋体" w:hAnsi="宋体" w:eastAsia="宋体" w:cs="宋体"/>
          <w:strike/>
          <w:dstrike w:val="0"/>
          <w:snapToGrid/>
          <w:color w:val="auto"/>
          <w:kern w:val="2"/>
          <w:szCs w:val="24"/>
          <w:highlight w:val="none"/>
          <w:shd w:val="clear" w:color="auto" w:fill="auto"/>
        </w:rPr>
        <w:t>二、定标办法：</w:t>
      </w:r>
    </w:p>
    <w:p w14:paraId="4483D50A">
      <w:pPr>
        <w:widowControl w:val="0"/>
        <w:kinsoku/>
        <w:wordWrap w:val="0"/>
        <w:topLinePunct/>
        <w:autoSpaceDE/>
        <w:autoSpaceDN/>
        <w:spacing w:line="400" w:lineRule="exact"/>
        <w:ind w:firstLine="420" w:firstLineChars="200"/>
        <w:jc w:val="both"/>
        <w:textAlignment w:val="auto"/>
        <w:rPr>
          <w:rFonts w:hint="eastAsia" w:ascii="宋体" w:hAnsi="宋体" w:eastAsia="宋体" w:cs="宋体"/>
          <w:strike/>
          <w:dstrike w:val="0"/>
          <w:snapToGrid/>
          <w:color w:val="auto"/>
          <w:kern w:val="2"/>
          <w:highlight w:val="none"/>
          <w:shd w:val="clear" w:color="auto" w:fill="auto"/>
        </w:rPr>
      </w:pPr>
      <w:r>
        <w:rPr>
          <w:rFonts w:hint="eastAsia" w:ascii="宋体" w:hAnsi="宋体" w:eastAsia="宋体" w:cs="宋体"/>
          <w:strike/>
          <w:dstrike w:val="0"/>
          <w:snapToGrid/>
          <w:color w:val="auto"/>
          <w:kern w:val="2"/>
          <w:highlight w:val="none"/>
          <w:shd w:val="clear" w:color="auto" w:fill="auto"/>
        </w:rPr>
        <w:t>注：定标办法按照《浙江省工程建设项目招标投标“评定分离”操作指引（试行）》（浙发改公管〔2023〕256 号）、《绍兴市工程建设项目招标投标“评定分离”试点定标操作指引（试行）》（绍市政服办〔2023〕17号）确定，由招标人在招标文件中明确。</w:t>
      </w:r>
    </w:p>
    <w:p w14:paraId="7C0C2B9B">
      <w:pPr>
        <w:widowControl w:val="0"/>
        <w:kinsoku/>
        <w:wordWrap w:val="0"/>
        <w:topLinePunct/>
        <w:autoSpaceDE/>
        <w:autoSpaceDN/>
        <w:spacing w:line="400" w:lineRule="exact"/>
        <w:ind w:firstLine="420" w:firstLineChars="200"/>
        <w:jc w:val="both"/>
        <w:textAlignment w:val="auto"/>
        <w:rPr>
          <w:rFonts w:hint="eastAsia" w:ascii="宋体" w:hAnsi="宋体" w:eastAsia="宋体" w:cs="宋体"/>
          <w:strike/>
          <w:dstrike w:val="0"/>
          <w:snapToGrid/>
          <w:color w:val="auto"/>
          <w:kern w:val="2"/>
          <w:highlight w:val="none"/>
          <w:shd w:val="clear" w:color="auto" w:fill="auto"/>
        </w:rPr>
      </w:pPr>
      <w:r>
        <w:rPr>
          <w:rFonts w:hint="eastAsia" w:ascii="宋体" w:hAnsi="宋体" w:eastAsia="宋体" w:cs="宋体"/>
          <w:strike/>
          <w:dstrike w:val="0"/>
          <w:snapToGrid/>
          <w:color w:val="auto"/>
          <w:kern w:val="2"/>
          <w:highlight w:val="none"/>
          <w:shd w:val="clear" w:color="auto" w:fill="auto"/>
        </w:rPr>
        <w:t>□票决法：由定标委员会以直接票决或者逐轮票决的方式确定中标人。</w:t>
      </w:r>
    </w:p>
    <w:p w14:paraId="2D22B5D7">
      <w:pPr>
        <w:widowControl w:val="0"/>
        <w:kinsoku/>
        <w:wordWrap w:val="0"/>
        <w:topLinePunct/>
        <w:autoSpaceDE/>
        <w:autoSpaceDN/>
        <w:spacing w:line="400" w:lineRule="exact"/>
        <w:ind w:firstLine="420" w:firstLineChars="200"/>
        <w:jc w:val="both"/>
        <w:textAlignment w:val="auto"/>
        <w:rPr>
          <w:rFonts w:hint="eastAsia" w:ascii="宋体" w:hAnsi="宋体" w:eastAsia="宋体" w:cs="宋体"/>
          <w:strike/>
          <w:dstrike w:val="0"/>
          <w:snapToGrid/>
          <w:color w:val="auto"/>
          <w:kern w:val="2"/>
          <w:highlight w:val="none"/>
          <w:shd w:val="clear" w:color="auto" w:fill="auto"/>
        </w:rPr>
      </w:pPr>
      <w:r>
        <w:rPr>
          <w:rFonts w:hint="eastAsia" w:ascii="宋体" w:hAnsi="宋体" w:eastAsia="宋体" w:cs="宋体"/>
          <w:strike/>
          <w:dstrike w:val="0"/>
          <w:snapToGrid/>
          <w:color w:val="auto"/>
          <w:kern w:val="2"/>
          <w:highlight w:val="none"/>
          <w:shd w:val="clear" w:color="auto" w:fill="auto"/>
        </w:rPr>
        <w:t>□集体议事法。由定标委员会进行集体商议，定标委员会成员各自发表意见，由定标委员会组长最终确定中标人。所有参加会议的定标委员会成员的意见应当作书面记录，并由定标委员会成员签字确认。</w:t>
      </w:r>
    </w:p>
    <w:p w14:paraId="7FD8EA06">
      <w:pPr>
        <w:widowControl w:val="0"/>
        <w:kinsoku/>
        <w:wordWrap w:val="0"/>
        <w:topLinePunct/>
        <w:autoSpaceDE/>
        <w:autoSpaceDN/>
        <w:spacing w:line="400" w:lineRule="exact"/>
        <w:ind w:firstLine="420" w:firstLineChars="200"/>
        <w:jc w:val="both"/>
        <w:textAlignment w:val="auto"/>
        <w:rPr>
          <w:rFonts w:hint="eastAsia" w:ascii="宋体" w:hAnsi="宋体" w:eastAsia="宋体" w:cs="宋体"/>
          <w:strike/>
          <w:dstrike w:val="0"/>
          <w:snapToGrid/>
          <w:color w:val="auto"/>
          <w:kern w:val="2"/>
          <w:highlight w:val="none"/>
          <w:shd w:val="clear" w:color="auto" w:fill="auto"/>
        </w:rPr>
      </w:pPr>
      <w:r>
        <w:rPr>
          <w:rFonts w:hint="eastAsia" w:ascii="宋体" w:hAnsi="宋体" w:eastAsia="宋体" w:cs="宋体"/>
          <w:strike/>
          <w:dstrike w:val="0"/>
          <w:snapToGrid/>
          <w:color w:val="auto"/>
          <w:kern w:val="2"/>
          <w:highlight w:val="none"/>
          <w:shd w:val="clear" w:color="auto" w:fill="auto"/>
        </w:rPr>
        <w:t>□其他：</w:t>
      </w:r>
      <w:r>
        <w:rPr>
          <w:rFonts w:hint="eastAsia" w:ascii="宋体" w:hAnsi="宋体" w:eastAsia="宋体" w:cs="宋体"/>
          <w:strike/>
          <w:dstrike w:val="0"/>
          <w:snapToGrid/>
          <w:color w:val="auto"/>
          <w:kern w:val="2"/>
          <w:highlight w:val="none"/>
          <w:u w:val="single"/>
          <w:shd w:val="clear" w:color="auto" w:fill="auto"/>
        </w:rPr>
        <w:t xml:space="preserve">                                                    。</w:t>
      </w:r>
    </w:p>
    <w:p w14:paraId="5C1CE9E8">
      <w:pPr>
        <w:widowControl w:val="0"/>
        <w:kinsoku/>
        <w:autoSpaceDE/>
        <w:autoSpaceDN/>
        <w:adjustRightInd/>
        <w:snapToGrid/>
        <w:jc w:val="both"/>
        <w:textAlignment w:val="auto"/>
        <w:rPr>
          <w:rFonts w:hint="eastAsia" w:ascii="宋体" w:hAnsi="宋体" w:eastAsia="宋体" w:cs="宋体"/>
          <w:snapToGrid/>
          <w:color w:val="auto"/>
          <w:kern w:val="2"/>
          <w:szCs w:val="24"/>
          <w:highlight w:val="none"/>
          <w:shd w:val="clear" w:color="auto" w:fill="auto"/>
        </w:rPr>
      </w:pPr>
    </w:p>
    <w:p w14:paraId="619467FD">
      <w:pPr>
        <w:spacing w:before="101" w:line="225" w:lineRule="auto"/>
        <w:ind w:left="3188"/>
        <w:jc w:val="both"/>
        <w:outlineLvl w:val="0"/>
        <w:rPr>
          <w:rFonts w:hint="eastAsia" w:ascii="宋体" w:hAnsi="宋体" w:eastAsia="宋体" w:cs="宋体"/>
          <w:color w:val="auto"/>
          <w:highlight w:val="none"/>
          <w:shd w:val="clear" w:color="auto" w:fill="auto"/>
        </w:rPr>
        <w:sectPr>
          <w:footerReference r:id="rId13" w:type="default"/>
          <w:pgSz w:w="11907" w:h="16840"/>
          <w:pgMar w:top="1418" w:right="1559" w:bottom="1418" w:left="1474" w:header="0" w:footer="723" w:gutter="0"/>
          <w:cols w:space="720" w:num="1"/>
        </w:sectPr>
      </w:pPr>
    </w:p>
    <w:p w14:paraId="0F399B14">
      <w:pPr>
        <w:spacing w:before="64" w:line="224" w:lineRule="auto"/>
        <w:ind w:left="3326"/>
        <w:jc w:val="both"/>
        <w:rPr>
          <w:rFonts w:hint="eastAsia" w:ascii="宋体" w:hAnsi="宋体" w:eastAsia="宋体" w:cs="宋体"/>
          <w:color w:val="auto"/>
          <w:sz w:val="31"/>
          <w:szCs w:val="31"/>
          <w:highlight w:val="none"/>
          <w:shd w:val="clear" w:color="auto" w:fill="auto"/>
        </w:rPr>
      </w:pPr>
    </w:p>
    <w:p w14:paraId="4B311A94">
      <w:pPr>
        <w:spacing w:before="64" w:line="224" w:lineRule="auto"/>
        <w:ind w:left="3326"/>
        <w:jc w:val="both"/>
        <w:rPr>
          <w:rFonts w:hint="eastAsia" w:ascii="宋体" w:hAnsi="宋体" w:eastAsia="宋体" w:cs="宋体"/>
          <w:strike/>
          <w:color w:val="auto"/>
          <w:sz w:val="31"/>
          <w:szCs w:val="31"/>
          <w:highlight w:val="none"/>
          <w:shd w:val="clear" w:color="auto" w:fill="auto"/>
        </w:rPr>
      </w:pPr>
      <w:r>
        <w:rPr>
          <w:rFonts w:hint="eastAsia" w:ascii="宋体" w:hAnsi="宋体" w:eastAsia="宋体" w:cs="宋体"/>
          <w:strike/>
          <w:color w:val="auto"/>
          <w:sz w:val="31"/>
          <w:szCs w:val="31"/>
          <w:highlight w:val="none"/>
          <w:shd w:val="clear" w:color="auto" w:fill="auto"/>
        </w:rPr>
        <w:t>经评审的最低投标价法</w:t>
      </w:r>
    </w:p>
    <w:p w14:paraId="6BD362F5">
      <w:pPr>
        <w:spacing w:line="247" w:lineRule="auto"/>
        <w:jc w:val="both"/>
        <w:rPr>
          <w:rFonts w:hint="eastAsia" w:ascii="宋体" w:hAnsi="宋体" w:eastAsia="宋体" w:cs="宋体"/>
          <w:strike/>
          <w:color w:val="auto"/>
          <w:highlight w:val="none"/>
          <w:shd w:val="clear" w:color="auto" w:fill="auto"/>
        </w:rPr>
      </w:pPr>
    </w:p>
    <w:p w14:paraId="1068DFF7">
      <w:pPr>
        <w:spacing w:line="248" w:lineRule="auto"/>
        <w:jc w:val="both"/>
        <w:rPr>
          <w:rFonts w:hint="eastAsia" w:ascii="宋体" w:hAnsi="宋体" w:eastAsia="宋体" w:cs="宋体"/>
          <w:strike/>
          <w:color w:val="auto"/>
          <w:highlight w:val="none"/>
          <w:shd w:val="clear" w:color="auto" w:fill="auto"/>
        </w:rPr>
      </w:pPr>
    </w:p>
    <w:p w14:paraId="20876249">
      <w:pPr>
        <w:spacing w:before="75" w:line="353" w:lineRule="auto"/>
        <w:ind w:left="2" w:right="63" w:firstLine="479"/>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根据《中华人民共和国招标投标法》、《中华人民共和国招标投标法实施条例》、</w:t>
      </w:r>
      <w:r>
        <w:rPr>
          <w:rFonts w:hint="eastAsia" w:ascii="宋体" w:hAnsi="宋体" w:eastAsia="宋体" w:cs="宋体"/>
          <w:strike/>
          <w:dstrike w:val="0"/>
          <w:color w:val="auto"/>
          <w:sz w:val="23"/>
          <w:szCs w:val="23"/>
          <w:highlight w:val="none"/>
          <w:shd w:val="clear" w:color="auto" w:fill="auto"/>
        </w:rPr>
        <w:t>《浙江省招标投标条例》</w:t>
      </w:r>
      <w:r>
        <w:rPr>
          <w:rFonts w:hint="eastAsia" w:ascii="宋体" w:hAnsi="宋体" w:eastAsia="宋体" w:cs="宋体"/>
          <w:strike/>
          <w:color w:val="auto"/>
          <w:sz w:val="23"/>
          <w:szCs w:val="23"/>
          <w:highlight w:val="none"/>
          <w:shd w:val="clear" w:color="auto" w:fill="auto"/>
        </w:rPr>
        <w:t>、</w:t>
      </w:r>
      <w:r>
        <w:rPr>
          <w:rFonts w:hint="eastAsia" w:ascii="宋体" w:hAnsi="宋体" w:eastAsia="宋体" w:cs="宋体"/>
          <w:strike/>
          <w:dstrike w:val="0"/>
          <w:color w:val="auto"/>
          <w:sz w:val="23"/>
          <w:szCs w:val="23"/>
          <w:highlight w:val="none"/>
          <w:shd w:val="clear" w:color="auto" w:fill="auto"/>
        </w:rPr>
        <w:t>《工程建设项目施工招标投标办法》</w:t>
      </w:r>
      <w:r>
        <w:rPr>
          <w:rFonts w:hint="eastAsia" w:ascii="宋体" w:hAnsi="宋体" w:eastAsia="宋体" w:cs="宋体"/>
          <w:strike/>
          <w:color w:val="auto"/>
          <w:sz w:val="23"/>
          <w:szCs w:val="23"/>
          <w:highlight w:val="none"/>
          <w:shd w:val="clear" w:color="auto" w:fill="auto"/>
        </w:rPr>
        <w:t>、《评标委员会和评标办法暂行规定》、《浙江省综合性评标专家库管理办法实施细则》等有关规定，制定本办法。</w:t>
      </w:r>
    </w:p>
    <w:p w14:paraId="64061797">
      <w:pPr>
        <w:spacing w:line="394" w:lineRule="exact"/>
        <w:ind w:left="485"/>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position w:val="2"/>
          <w:sz w:val="23"/>
          <w:szCs w:val="23"/>
          <w:highlight w:val="none"/>
          <w:shd w:val="clear" w:color="auto" w:fill="auto"/>
        </w:rPr>
        <w:t>一、评标原则</w:t>
      </w:r>
    </w:p>
    <w:p w14:paraId="5EA217D7">
      <w:pPr>
        <w:spacing w:before="44" w:line="228" w:lineRule="auto"/>
        <w:ind w:left="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评标应遵循公平、公正、科学、择优的原则。</w:t>
      </w:r>
    </w:p>
    <w:p w14:paraId="1FC48CF1">
      <w:pPr>
        <w:spacing w:before="157" w:line="315" w:lineRule="exact"/>
        <w:ind w:left="485"/>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position w:val="1"/>
          <w:sz w:val="23"/>
          <w:szCs w:val="23"/>
          <w:highlight w:val="none"/>
          <w:shd w:val="clear" w:color="auto" w:fill="auto"/>
        </w:rPr>
        <w:t>二、评标组织</w:t>
      </w:r>
    </w:p>
    <w:p w14:paraId="6F530911">
      <w:pPr>
        <w:spacing w:before="125" w:line="353" w:lineRule="auto"/>
        <w:ind w:left="3" w:firstLine="477"/>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评标工作由招标人依法组建的评标委员会负责。评标委员会的组建见投标人须知前附表，成员为不少于5人的单数。</w:t>
      </w:r>
    </w:p>
    <w:p w14:paraId="00C52BAB">
      <w:pPr>
        <w:spacing w:before="1" w:line="353" w:lineRule="auto"/>
        <w:ind w:right="104" w:firstLine="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评标委员会应推举产生评标委员会负责人，评标委员会负责人负责组织评标、掌握评标进程、主持询标、编写评标报告等工作，评标委员会负责人与其他成员具有同等的权利。评标委员会成员对所提出的评审意见承担个人责任。</w:t>
      </w:r>
    </w:p>
    <w:p w14:paraId="6985B633">
      <w:pPr>
        <w:spacing w:before="1" w:line="352" w:lineRule="auto"/>
        <w:ind w:left="2" w:right="104" w:firstLine="478"/>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评标委员会应当按照招标文件确定的评标标准和方法，客观、公正对投标文件进行评审和比较，招标文件没有规定的评标标准和方法不得作为评标的依据。</w:t>
      </w:r>
    </w:p>
    <w:p w14:paraId="5D36D3FF">
      <w:pPr>
        <w:spacing w:before="1" w:line="353" w:lineRule="auto"/>
        <w:ind w:left="2" w:right="65" w:firstLine="478"/>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评标委员会对投标文件作出的评审结论，应当符合有关法律、法规、规章和招标文件的规定。</w:t>
      </w:r>
    </w:p>
    <w:p w14:paraId="655CF113">
      <w:pPr>
        <w:spacing w:line="420" w:lineRule="exact"/>
        <w:ind w:firstLine="460" w:firstLineChars="20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position w:val="1"/>
          <w:sz w:val="23"/>
          <w:szCs w:val="23"/>
          <w:highlight w:val="none"/>
          <w:shd w:val="clear" w:color="auto" w:fill="auto"/>
        </w:rPr>
        <w:t>三、评标程序</w:t>
      </w:r>
    </w:p>
    <w:p w14:paraId="24219C94">
      <w:pPr>
        <w:spacing w:line="420" w:lineRule="exact"/>
        <w:ind w:firstLine="476"/>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1.熟悉招标文件和评标办法；</w:t>
      </w:r>
    </w:p>
    <w:p w14:paraId="47920860">
      <w:pPr>
        <w:spacing w:line="420" w:lineRule="exact"/>
        <w:ind w:firstLine="476"/>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2.投标文件的符合性评审；</w:t>
      </w:r>
    </w:p>
    <w:p w14:paraId="1D8DF127">
      <w:pPr>
        <w:spacing w:line="420" w:lineRule="exact"/>
        <w:ind w:firstLine="476"/>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3.投标文件的技术标评审；</w:t>
      </w:r>
    </w:p>
    <w:p w14:paraId="13B92AB4">
      <w:pPr>
        <w:spacing w:line="420" w:lineRule="exact"/>
        <w:ind w:firstLine="476"/>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4.投标文件的商务标评审；</w:t>
      </w:r>
    </w:p>
    <w:p w14:paraId="4D4D7DDB">
      <w:pPr>
        <w:spacing w:line="420" w:lineRule="exact"/>
        <w:ind w:firstLine="476"/>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5.必要时对投标文件中的问题进行询标，包括拟作出否决投标决定前对相关投标人进行询问核实；</w:t>
      </w:r>
    </w:p>
    <w:p w14:paraId="0C647B2F">
      <w:pPr>
        <w:spacing w:line="420" w:lineRule="exact"/>
        <w:ind w:firstLine="476"/>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6.当否决投标后，剩余投标人少于3个时，评标委员会应对投标是否具有竞争性进行认定。认为明显缺乏竞争的，可以否决全部投标，否则，应继续进行评审；</w:t>
      </w:r>
    </w:p>
    <w:p w14:paraId="79B825D6">
      <w:pPr>
        <w:spacing w:line="420" w:lineRule="exact"/>
        <w:ind w:firstLine="476"/>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7.对投标文件进行排序，推荐中标候选人；</w:t>
      </w:r>
    </w:p>
    <w:p w14:paraId="1816D097">
      <w:pPr>
        <w:spacing w:line="420" w:lineRule="exact"/>
        <w:ind w:firstLine="476"/>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8.完成评标报告。</w:t>
      </w:r>
    </w:p>
    <w:p w14:paraId="24021D6D">
      <w:pPr>
        <w:spacing w:line="420" w:lineRule="exact"/>
        <w:ind w:firstLine="462" w:firstLineChars="200"/>
        <w:jc w:val="both"/>
        <w:rPr>
          <w:rFonts w:hint="eastAsia" w:ascii="宋体" w:hAnsi="宋体" w:eastAsia="宋体" w:cs="宋体"/>
          <w:b/>
          <w:bCs/>
          <w:strike/>
          <w:color w:val="auto"/>
          <w:position w:val="1"/>
          <w:sz w:val="23"/>
          <w:szCs w:val="23"/>
          <w:highlight w:val="none"/>
          <w:shd w:val="clear" w:color="auto" w:fill="auto"/>
        </w:rPr>
      </w:pPr>
      <w:r>
        <w:rPr>
          <w:rFonts w:hint="eastAsia" w:ascii="宋体" w:hAnsi="宋体" w:eastAsia="宋体" w:cs="宋体"/>
          <w:b/>
          <w:bCs/>
          <w:strike/>
          <w:color w:val="auto"/>
          <w:position w:val="1"/>
          <w:sz w:val="23"/>
          <w:szCs w:val="23"/>
          <w:highlight w:val="none"/>
          <w:shd w:val="clear" w:color="auto" w:fill="auto"/>
        </w:rPr>
        <w:t>四、评审细则</w:t>
      </w:r>
    </w:p>
    <w:p w14:paraId="53399CB6">
      <w:pPr>
        <w:spacing w:line="420" w:lineRule="exact"/>
        <w:ind w:firstLine="462" w:firstLineChars="200"/>
        <w:jc w:val="both"/>
        <w:rPr>
          <w:rFonts w:hint="eastAsia" w:ascii="宋体" w:hAnsi="宋体" w:eastAsia="宋体" w:cs="宋体"/>
          <w:b/>
          <w:bCs/>
          <w:strike/>
          <w:color w:val="auto"/>
          <w:position w:val="1"/>
          <w:sz w:val="23"/>
          <w:szCs w:val="23"/>
          <w:highlight w:val="none"/>
          <w:shd w:val="clear" w:color="auto" w:fill="auto"/>
        </w:rPr>
      </w:pPr>
      <w:r>
        <w:rPr>
          <w:rFonts w:hint="eastAsia" w:ascii="宋体" w:hAnsi="宋体" w:eastAsia="宋体" w:cs="宋体"/>
          <w:b/>
          <w:bCs/>
          <w:strike/>
          <w:color w:val="auto"/>
          <w:position w:val="1"/>
          <w:sz w:val="23"/>
          <w:szCs w:val="23"/>
          <w:highlight w:val="none"/>
          <w:shd w:val="clear" w:color="auto" w:fill="auto"/>
        </w:rPr>
        <w:t>(一)投标文件的符合性评审</w:t>
      </w:r>
    </w:p>
    <w:p w14:paraId="1C76BE63">
      <w:pPr>
        <w:spacing w:before="1" w:line="353" w:lineRule="auto"/>
        <w:ind w:right="104" w:firstLine="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评标委员会首先对投标报价最低的投标文件进行符合性评审。当最低投标报价有多份投标文件时，最低投标报价的所有投标文件均进入符合性评审(以下程序中出现类似情况时照此进行)。</w:t>
      </w:r>
    </w:p>
    <w:p w14:paraId="49AA7841">
      <w:pPr>
        <w:spacing w:before="1" w:line="353" w:lineRule="auto"/>
        <w:ind w:right="104" w:firstLine="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如评标委员会发现投标文件存在招标文件投标人须知前附表10.1“否决投标的情形”第二款(一)符合性内容之一的，经询问核实并认定后，该投标文件符合性审查不通过应予以否决。</w:t>
      </w:r>
    </w:p>
    <w:p w14:paraId="58946195">
      <w:pPr>
        <w:spacing w:before="1" w:line="353" w:lineRule="auto"/>
        <w:ind w:right="104" w:firstLine="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当出现否决投标时，评标委员会按上述办法对投标报价由低到高的顺序依次评审下一个投标文件，直至通过符合性审查进入下一轮评审。</w:t>
      </w:r>
    </w:p>
    <w:p w14:paraId="69B38EBD">
      <w:pPr>
        <w:spacing w:before="1" w:line="353" w:lineRule="auto"/>
        <w:ind w:right="104" w:firstLine="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(二)投标文件的技术标评审</w:t>
      </w:r>
    </w:p>
    <w:p w14:paraId="1FEC3119">
      <w:pPr>
        <w:spacing w:before="1" w:line="353" w:lineRule="auto"/>
        <w:ind w:right="104" w:firstLine="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评标委员会应对通过符合性评审的投标文件进行技术标评审。</w:t>
      </w:r>
    </w:p>
    <w:p w14:paraId="5F71089E">
      <w:pPr>
        <w:spacing w:before="1" w:line="353" w:lineRule="auto"/>
        <w:ind w:right="104" w:firstLine="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如评标委员会发现投标文件存在招标文件投标人须知前附表10.1“否决投标的情形”第二款(二)技术标内容之一的，经询问核实并认定后，该投标文件技术标评审不通过应予以否决。</w:t>
      </w:r>
    </w:p>
    <w:p w14:paraId="78AFC3CF">
      <w:pPr>
        <w:spacing w:before="1" w:line="353" w:lineRule="auto"/>
        <w:ind w:right="104" w:firstLine="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当出现否决投标时，评标委员会按上述办法对投标报价由低到高的顺序依次评审下一个投标文件，直至通过符合性评审、技术标评审，进入下一轮评审。</w:t>
      </w:r>
    </w:p>
    <w:p w14:paraId="3311A402">
      <w:pPr>
        <w:spacing w:before="1" w:line="353" w:lineRule="auto"/>
        <w:ind w:right="104" w:firstLine="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(三)投标文件的商务标评审</w:t>
      </w:r>
    </w:p>
    <w:p w14:paraId="7DF43A30">
      <w:pPr>
        <w:spacing w:before="1" w:line="353" w:lineRule="auto"/>
        <w:ind w:right="104" w:firstLine="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评标委员会应对通过符合性评审及技术标评审的投标文件进行商务标评审。评标委员会应对商务报价的范围、数量、单价、费用组成和总价等进行全面审阅和对比分析，找出报价差异的原因及存在的问题。</w:t>
      </w:r>
    </w:p>
    <w:p w14:paraId="7C8958C2">
      <w:pPr>
        <w:spacing w:before="1" w:line="353" w:lineRule="auto"/>
        <w:ind w:right="104" w:firstLine="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报价评审应以报价口径范围一致的评标价为依据。评标价应在最终报价的基础上，按照招标文件约定的因素和方法进行计算。</w:t>
      </w:r>
    </w:p>
    <w:p w14:paraId="72881157">
      <w:pPr>
        <w:spacing w:before="1" w:line="353" w:lineRule="auto"/>
        <w:ind w:right="104" w:firstLine="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如评标委员会发现投标文件存在招标文件投标人须知前附表10.1“否决投标的情形”第二款(三)商务标内容之一的，经询问核实并认定后，该投标文件商务标审查不合格应予以否决。</w:t>
      </w:r>
    </w:p>
    <w:p w14:paraId="46934119">
      <w:pPr>
        <w:spacing w:before="1" w:line="353" w:lineRule="auto"/>
        <w:ind w:right="104" w:firstLine="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当出现否决投标时，评标委员会按上述办法对投标报价由低到高的顺序依次评审下一个投标文件，直至通过符合性评审、技术标评审、商务标评审为止。</w:t>
      </w:r>
    </w:p>
    <w:p w14:paraId="391C4A16">
      <w:pPr>
        <w:spacing w:before="1" w:line="353" w:lineRule="auto"/>
        <w:ind w:right="104" w:firstLine="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五、询标</w:t>
      </w:r>
    </w:p>
    <w:p w14:paraId="4B4C856E">
      <w:pPr>
        <w:spacing w:before="1" w:line="353" w:lineRule="auto"/>
        <w:ind w:right="104" w:firstLine="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(一)投标文件中有含义不明确、投标报价可能低于成本价、对同类问题表达不一致或者有明显文字和计算错误的内容，评标委员会认为需要投标人作出必要澄清、说明的，应当组织询标。</w:t>
      </w:r>
    </w:p>
    <w:p w14:paraId="4FB4DA8D">
      <w:pPr>
        <w:spacing w:before="1" w:line="353" w:lineRule="auto"/>
        <w:ind w:right="104" w:firstLine="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二)凡是评标委员会拟做出否决投标认定的，应组织相关投标人询问核实。未进行询问核实程序的，不得做出否决投标的认定，投标人放弃询问核实机会的除外。投标人应及时答复，在规定的时限内投标人不参加核实或不予答复的，视为放弃接受询问核实的机会。</w:t>
      </w:r>
    </w:p>
    <w:p w14:paraId="1C078BA7">
      <w:pPr>
        <w:spacing w:line="353" w:lineRule="auto"/>
        <w:ind w:left="4" w:right="104" w:firstLine="488"/>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(三)询标问题及投标人的澄清、说明应当采用书面形式，并不得超出投标文件的范围或者改变投标文件的实质性内容。</w:t>
      </w:r>
    </w:p>
    <w:p w14:paraId="4A75895B">
      <w:pPr>
        <w:spacing w:before="1" w:line="353" w:lineRule="auto"/>
        <w:ind w:left="21" w:right="104" w:firstLine="471"/>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(四)评标委员会不得暗示或者诱导投标人作出澄清、说明，不得接受投标人主动提出的澄清、说明。</w:t>
      </w:r>
    </w:p>
    <w:p w14:paraId="20A2B752">
      <w:pPr>
        <w:spacing w:before="1" w:line="352" w:lineRule="auto"/>
        <w:ind w:left="4" w:firstLine="488"/>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(五)投标人不得通过补充、修改或撤销投标文件中的内容使其成为实质性响应的投标，投标人在投标截止时间以后不得提交任何资料作为评标依据。</w:t>
      </w:r>
    </w:p>
    <w:p w14:paraId="00700F02">
      <w:pPr>
        <w:spacing w:line="232" w:lineRule="auto"/>
        <w:ind w:left="483"/>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六、推荐中标候选人</w:t>
      </w:r>
    </w:p>
    <w:p w14:paraId="3F7DFDA6">
      <w:pPr>
        <w:spacing w:before="151" w:line="353" w:lineRule="auto"/>
        <w:ind w:left="1" w:right="63" w:firstLine="479"/>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评标委员会对通过商务评审的投标人按投标报价从低到高进行排序，并按照排序推荐中标候选人。当出现有多个投标人通过上述评审时，由评标委员会通过□抽签(或□记名投票表决)方式推荐名中标候选人。</w:t>
      </w:r>
    </w:p>
    <w:p w14:paraId="5A41D0C4">
      <w:pPr>
        <w:spacing w:line="239" w:lineRule="auto"/>
        <w:ind w:left="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七、完成评标报告</w:t>
      </w:r>
    </w:p>
    <w:p w14:paraId="40BA5E11">
      <w:pPr>
        <w:spacing w:before="144" w:line="353" w:lineRule="auto"/>
        <w:ind w:right="65" w:firstLine="493"/>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一)评标委员会应当向招标人提交书面评标报告。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636C0E39">
      <w:pPr>
        <w:spacing w:line="439" w:lineRule="exact"/>
        <w:ind w:left="493"/>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position w:val="15"/>
          <w:sz w:val="23"/>
          <w:szCs w:val="23"/>
          <w:highlight w:val="none"/>
          <w:shd w:val="clear" w:color="auto" w:fill="auto"/>
        </w:rPr>
        <w:t>(二)评标报告应包括以下内容：</w:t>
      </w:r>
    </w:p>
    <w:p w14:paraId="00F3040A">
      <w:pPr>
        <w:spacing w:line="311" w:lineRule="exact"/>
        <w:ind w:left="499"/>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position w:val="1"/>
          <w:sz w:val="23"/>
          <w:szCs w:val="23"/>
          <w:highlight w:val="none"/>
          <w:shd w:val="clear" w:color="auto" w:fill="auto"/>
        </w:rPr>
        <w:t>1.开标记录；</w:t>
      </w:r>
    </w:p>
    <w:p w14:paraId="44225252">
      <w:pPr>
        <w:spacing w:before="130" w:line="311" w:lineRule="exact"/>
        <w:ind w:left="484"/>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position w:val="1"/>
          <w:sz w:val="23"/>
          <w:szCs w:val="23"/>
          <w:highlight w:val="none"/>
          <w:shd w:val="clear" w:color="auto" w:fill="auto"/>
        </w:rPr>
        <w:t>2.评标内容、过程和结果；</w:t>
      </w:r>
    </w:p>
    <w:p w14:paraId="4FD5E832">
      <w:pPr>
        <w:spacing w:before="129" w:line="309" w:lineRule="exact"/>
        <w:ind w:left="486"/>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position w:val="1"/>
          <w:sz w:val="23"/>
          <w:szCs w:val="23"/>
          <w:highlight w:val="none"/>
          <w:shd w:val="clear" w:color="auto" w:fill="auto"/>
        </w:rPr>
        <w:t>3.询标澄清纪要；</w:t>
      </w:r>
    </w:p>
    <w:p w14:paraId="397A2638">
      <w:pPr>
        <w:spacing w:before="130" w:line="311" w:lineRule="exact"/>
        <w:ind w:left="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position w:val="1"/>
          <w:sz w:val="23"/>
          <w:szCs w:val="23"/>
          <w:highlight w:val="none"/>
          <w:shd w:val="clear" w:color="auto" w:fill="auto"/>
        </w:rPr>
        <w:t>4.否决投标情况说明及依据；</w:t>
      </w:r>
    </w:p>
    <w:p w14:paraId="3EAAD02A">
      <w:pPr>
        <w:spacing w:before="130" w:line="440" w:lineRule="exact"/>
        <w:ind w:left="486"/>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position w:val="15"/>
          <w:sz w:val="23"/>
          <w:szCs w:val="23"/>
          <w:highlight w:val="none"/>
          <w:shd w:val="clear" w:color="auto" w:fill="auto"/>
        </w:rPr>
        <w:t>5.推荐中标候选人；</w:t>
      </w:r>
    </w:p>
    <w:p w14:paraId="7104EB33">
      <w:pPr>
        <w:spacing w:line="212" w:lineRule="auto"/>
        <w:ind w:left="483"/>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6.中标候选人投标业绩(招标文件对投标资格有业绩要求的)；</w:t>
      </w:r>
    </w:p>
    <w:p w14:paraId="0EABA8CE">
      <w:pPr>
        <w:spacing w:before="152" w:line="309" w:lineRule="exact"/>
        <w:ind w:left="487"/>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position w:val="1"/>
          <w:sz w:val="23"/>
          <w:szCs w:val="23"/>
          <w:highlight w:val="none"/>
          <w:shd w:val="clear" w:color="auto" w:fill="auto"/>
        </w:rPr>
        <w:t>7.其他建议。</w:t>
      </w:r>
    </w:p>
    <w:p w14:paraId="3B12ACCA">
      <w:pPr>
        <w:jc w:val="both"/>
        <w:rPr>
          <w:rFonts w:hint="eastAsia" w:ascii="宋体" w:hAnsi="宋体" w:eastAsia="宋体" w:cs="宋体"/>
          <w:color w:val="auto"/>
          <w:highlight w:val="none"/>
          <w:shd w:val="clear" w:color="auto" w:fill="auto"/>
        </w:rPr>
        <w:sectPr>
          <w:footerReference r:id="rId14" w:type="default"/>
          <w:pgSz w:w="11907" w:h="16840"/>
          <w:pgMar w:top="1418" w:right="1559" w:bottom="1418" w:left="1474" w:header="0" w:footer="723" w:gutter="0"/>
          <w:cols w:space="720" w:num="1"/>
        </w:sectPr>
      </w:pPr>
    </w:p>
    <w:p w14:paraId="0E367576">
      <w:pPr>
        <w:spacing w:before="64" w:line="224" w:lineRule="auto"/>
        <w:jc w:val="center"/>
        <w:rPr>
          <w:rFonts w:hint="eastAsia" w:ascii="宋体" w:hAnsi="宋体" w:eastAsia="宋体" w:cs="宋体"/>
          <w:color w:val="auto"/>
          <w:sz w:val="31"/>
          <w:szCs w:val="31"/>
          <w:highlight w:val="none"/>
          <w:shd w:val="clear" w:color="auto" w:fill="auto"/>
        </w:rPr>
      </w:pPr>
      <w:r>
        <w:rPr>
          <w:rFonts w:hint="eastAsia" w:ascii="宋体" w:hAnsi="宋体" w:eastAsia="宋体" w:cs="宋体"/>
          <w:color w:val="auto"/>
          <w:sz w:val="31"/>
          <w:szCs w:val="31"/>
          <w:highlight w:val="none"/>
          <w:shd w:val="clear" w:color="auto" w:fill="auto"/>
        </w:rPr>
        <w:t>综合评估法</w:t>
      </w:r>
    </w:p>
    <w:p w14:paraId="1210F962">
      <w:pPr>
        <w:spacing w:line="247" w:lineRule="auto"/>
        <w:jc w:val="both"/>
        <w:rPr>
          <w:rFonts w:hint="eastAsia" w:ascii="宋体" w:hAnsi="宋体" w:eastAsia="宋体" w:cs="宋体"/>
          <w:color w:val="auto"/>
          <w:highlight w:val="none"/>
          <w:shd w:val="clear" w:color="auto" w:fill="auto"/>
        </w:rPr>
      </w:pPr>
    </w:p>
    <w:p w14:paraId="118D74B4">
      <w:pPr>
        <w:spacing w:line="248" w:lineRule="auto"/>
        <w:jc w:val="both"/>
        <w:rPr>
          <w:rFonts w:hint="eastAsia" w:ascii="宋体" w:hAnsi="宋体" w:eastAsia="宋体" w:cs="宋体"/>
          <w:color w:val="auto"/>
          <w:highlight w:val="none"/>
          <w:shd w:val="clear" w:color="auto" w:fill="auto"/>
        </w:rPr>
      </w:pPr>
    </w:p>
    <w:p w14:paraId="413AB4CF">
      <w:pPr>
        <w:spacing w:before="75" w:line="353" w:lineRule="auto"/>
        <w:ind w:right="65" w:firstLine="480"/>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根据《中华人民共和国招标投标法》、《中华人民共和国招标投标法实施条例》、</w:t>
      </w:r>
      <w:r>
        <w:rPr>
          <w:rFonts w:hint="eastAsia" w:ascii="宋体" w:hAnsi="宋体" w:eastAsia="宋体" w:cs="宋体"/>
          <w:strike/>
          <w:dstrike w:val="0"/>
          <w:color w:val="auto"/>
          <w:sz w:val="23"/>
          <w:szCs w:val="23"/>
          <w:highlight w:val="none"/>
          <w:shd w:val="clear" w:color="auto" w:fill="auto"/>
        </w:rPr>
        <w:t>《浙江省招标投标条例》</w:t>
      </w:r>
      <w:r>
        <w:rPr>
          <w:rFonts w:hint="eastAsia" w:ascii="宋体" w:hAnsi="宋体" w:eastAsia="宋体" w:cs="宋体"/>
          <w:color w:val="auto"/>
          <w:sz w:val="23"/>
          <w:szCs w:val="23"/>
          <w:highlight w:val="none"/>
          <w:shd w:val="clear" w:color="auto" w:fill="auto"/>
        </w:rPr>
        <w:t>、《评标委员会和评标办法暂行规定》、《浙江省综合性评标专家库管理办法实施细则》等有关规定，制定本办法。</w:t>
      </w:r>
    </w:p>
    <w:p w14:paraId="11200EAA">
      <w:pPr>
        <w:spacing w:line="394" w:lineRule="exact"/>
        <w:ind w:left="48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2"/>
          <w:sz w:val="23"/>
          <w:szCs w:val="23"/>
          <w:highlight w:val="none"/>
          <w:shd w:val="clear" w:color="auto" w:fill="auto"/>
        </w:rPr>
        <w:t>一、评标原则</w:t>
      </w:r>
    </w:p>
    <w:p w14:paraId="67AF817E">
      <w:pPr>
        <w:spacing w:before="44" w:line="228" w:lineRule="auto"/>
        <w:ind w:left="480"/>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评标应遵循公平、公正、科学、择优的原则。</w:t>
      </w:r>
    </w:p>
    <w:p w14:paraId="082CD223">
      <w:pPr>
        <w:spacing w:before="157" w:line="315" w:lineRule="exact"/>
        <w:ind w:left="48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
          <w:sz w:val="23"/>
          <w:szCs w:val="23"/>
          <w:highlight w:val="none"/>
          <w:shd w:val="clear" w:color="auto" w:fill="auto"/>
        </w:rPr>
        <w:t>二、评标组织</w:t>
      </w:r>
    </w:p>
    <w:p w14:paraId="606BFFD4">
      <w:pPr>
        <w:spacing w:before="125" w:line="353" w:lineRule="auto"/>
        <w:ind w:left="3" w:firstLine="47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评标工作由招标人依法组建的评标委员会负责。评标委员会的组建见投标人须知前附表，成员为不少于5人的单数。</w:t>
      </w:r>
    </w:p>
    <w:p w14:paraId="30E18558">
      <w:pPr>
        <w:spacing w:before="1" w:line="353" w:lineRule="auto"/>
        <w:ind w:right="65" w:firstLine="480"/>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评标委员会应推举产生评标委员会负责人，评标委员会负责人负责组织评标、掌握评标进程、主持询标、编写评标报告等工作，评标委员会负责人与其他成员具有同等的权利。评标委员会成员对所提出的评审意见承担个人责任。</w:t>
      </w:r>
    </w:p>
    <w:p w14:paraId="65D949FE">
      <w:pPr>
        <w:spacing w:before="1" w:line="352" w:lineRule="auto"/>
        <w:ind w:left="2" w:right="65" w:firstLine="478"/>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评标委员会应当按照招标文件确定的评标标准和方法，客观、公正对投标文件进行评审和比较，招标文件没有规定的评标标准和方法不得作为评标的依据。</w:t>
      </w:r>
    </w:p>
    <w:p w14:paraId="04F7DE12">
      <w:pPr>
        <w:spacing w:before="1" w:line="353" w:lineRule="auto"/>
        <w:ind w:left="2" w:right="65" w:firstLine="478"/>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评标委员会对投标文件作出的评审结论，应当符合有关法律、法规、规章和招标文件的规定。</w:t>
      </w:r>
    </w:p>
    <w:p w14:paraId="7AC952D5">
      <w:pPr>
        <w:spacing w:line="306" w:lineRule="exact"/>
        <w:ind w:left="48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
          <w:sz w:val="23"/>
          <w:szCs w:val="23"/>
          <w:highlight w:val="none"/>
          <w:shd w:val="clear" w:color="auto" w:fill="auto"/>
        </w:rPr>
        <w:t>三、评标程序和内容</w:t>
      </w:r>
    </w:p>
    <w:p w14:paraId="4C4F6DAF">
      <w:pPr>
        <w:spacing w:before="134" w:line="441" w:lineRule="exact"/>
        <w:ind w:left="499"/>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5"/>
          <w:sz w:val="23"/>
          <w:szCs w:val="23"/>
          <w:highlight w:val="none"/>
          <w:shd w:val="clear" w:color="auto" w:fill="auto"/>
        </w:rPr>
        <w:t>1.熟悉招标文件和评标办法；</w:t>
      </w:r>
    </w:p>
    <w:p w14:paraId="33167D5A">
      <w:pPr>
        <w:spacing w:line="311" w:lineRule="exact"/>
        <w:ind w:left="484"/>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
          <w:sz w:val="23"/>
          <w:szCs w:val="23"/>
          <w:highlight w:val="none"/>
          <w:shd w:val="clear" w:color="auto" w:fill="auto"/>
        </w:rPr>
        <w:t>2.投标文件的符合性评审；</w:t>
      </w:r>
    </w:p>
    <w:p w14:paraId="55F3173B">
      <w:pPr>
        <w:spacing w:before="128" w:line="310" w:lineRule="exact"/>
        <w:ind w:left="486"/>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
          <w:sz w:val="23"/>
          <w:szCs w:val="23"/>
          <w:highlight w:val="none"/>
          <w:shd w:val="clear" w:color="auto" w:fill="auto"/>
        </w:rPr>
        <w:t>3.投标文件的资信、业绩评审；</w:t>
      </w:r>
    </w:p>
    <w:p w14:paraId="44DCA5AB">
      <w:pPr>
        <w:spacing w:before="130" w:line="311" w:lineRule="exact"/>
        <w:ind w:left="480"/>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
          <w:sz w:val="23"/>
          <w:szCs w:val="23"/>
          <w:highlight w:val="none"/>
          <w:shd w:val="clear" w:color="auto" w:fill="auto"/>
        </w:rPr>
        <w:t>4.投标文件的技术标评审；</w:t>
      </w:r>
    </w:p>
    <w:p w14:paraId="37FB6871">
      <w:pPr>
        <w:spacing w:before="130" w:line="310" w:lineRule="exact"/>
        <w:ind w:left="486"/>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
          <w:sz w:val="23"/>
          <w:szCs w:val="23"/>
          <w:highlight w:val="none"/>
          <w:shd w:val="clear" w:color="auto" w:fill="auto"/>
        </w:rPr>
        <w:t>5.投标文件的商务标评审；</w:t>
      </w:r>
    </w:p>
    <w:p w14:paraId="32CA3CD1">
      <w:pPr>
        <w:spacing w:before="131" w:line="353" w:lineRule="auto"/>
        <w:ind w:left="21" w:right="63" w:firstLine="462"/>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6.必要时对投标文件中的问题进行询标，包括拟作出否决投标决定前对相关投标人进行的询问核实；</w:t>
      </w:r>
    </w:p>
    <w:p w14:paraId="4C35296B">
      <w:pPr>
        <w:spacing w:line="439" w:lineRule="exact"/>
        <w:ind w:left="48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5"/>
          <w:sz w:val="23"/>
          <w:szCs w:val="23"/>
          <w:highlight w:val="none"/>
          <w:shd w:val="clear" w:color="auto" w:fill="auto"/>
        </w:rPr>
        <w:t>7.根据评标办法和标准对投标文件进行综合评分、排序；</w:t>
      </w:r>
    </w:p>
    <w:p w14:paraId="639F2454">
      <w:pPr>
        <w:spacing w:line="309" w:lineRule="exact"/>
        <w:ind w:left="482"/>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
          <w:sz w:val="23"/>
          <w:szCs w:val="23"/>
          <w:highlight w:val="none"/>
          <w:shd w:val="clear" w:color="auto" w:fill="auto"/>
        </w:rPr>
        <w:t>8.完成评标报告，推荐中标候选人。</w:t>
      </w:r>
    </w:p>
    <w:p w14:paraId="7EF4EF7D">
      <w:pPr>
        <w:spacing w:before="130" w:line="231" w:lineRule="auto"/>
        <w:ind w:left="504"/>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四、评审细则</w:t>
      </w:r>
    </w:p>
    <w:p w14:paraId="4F2187A6">
      <w:pPr>
        <w:spacing w:before="154" w:line="228" w:lineRule="auto"/>
        <w:ind w:left="493"/>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(一)投标文件的符合性评审</w:t>
      </w:r>
    </w:p>
    <w:p w14:paraId="242D8AE4">
      <w:pPr>
        <w:spacing w:line="420" w:lineRule="exact"/>
        <w:ind w:firstLine="49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1.评标委员会应依照招标文件的要求和规定，首先对投标人的投标资格和投标文件进行符合性评审。</w:t>
      </w:r>
    </w:p>
    <w:p w14:paraId="7408B310">
      <w:pPr>
        <w:spacing w:line="420" w:lineRule="exact"/>
        <w:ind w:firstLine="480"/>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如评标委员会发现投标文件存在招标文件投标人须知前附表10.1“否决投标的情形”第二款(一)符合性内容、(二)技术标内容、(三)商务标内容之一的，经询问核实并认定后，即可判定该投标文件符合性评审不通过应予以否决，不再进入后续的综合评分程序。</w:t>
      </w:r>
    </w:p>
    <w:p w14:paraId="7EF4FD42">
      <w:pPr>
        <w:spacing w:line="420" w:lineRule="exact"/>
        <w:ind w:firstLine="575" w:firstLineChars="250"/>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
          <w:sz w:val="23"/>
          <w:szCs w:val="23"/>
          <w:highlight w:val="none"/>
          <w:shd w:val="clear" w:color="auto" w:fill="auto"/>
        </w:rPr>
        <w:t>2.询标</w:t>
      </w:r>
    </w:p>
    <w:p w14:paraId="1D0EEA4D">
      <w:pPr>
        <w:spacing w:line="420" w:lineRule="exact"/>
        <w:ind w:firstLine="489"/>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(1)投标文件中有含义不明确的内容、明显文字或计算错误，评标委员会认为需要投标人作出必要澄清、说明的，应当组织询标。</w:t>
      </w:r>
    </w:p>
    <w:p w14:paraId="4420BBE4">
      <w:pPr>
        <w:spacing w:line="420" w:lineRule="exact"/>
        <w:ind w:firstLine="492"/>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(2)凡是评标委员会拟做出否决投标认定的，须组织相关投标人询问核实。未进行询问核实的，不得做出否决投标的认定，投标人放弃询问核实机会的除外。投标人应在规定的时限内投标人不参加核实或不予答复的，视为放弃接受询问核实的机会。</w:t>
      </w:r>
    </w:p>
    <w:p w14:paraId="7B2507CA">
      <w:pPr>
        <w:spacing w:line="420" w:lineRule="exact"/>
        <w:ind w:firstLine="49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(3)询标问题及投标人的澄清、说明应当采用书面形式，并不得超出投标文件的范围或者改变投标文件的实质性内容。</w:t>
      </w:r>
    </w:p>
    <w:p w14:paraId="4CE5B2B9">
      <w:pPr>
        <w:spacing w:line="420" w:lineRule="exact"/>
        <w:ind w:firstLine="49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(4)评标委员会不得暗示或者诱导投标人作出澄清、说明，不得接受投标人主动提出的澄清、说明。</w:t>
      </w:r>
    </w:p>
    <w:p w14:paraId="3D48D457">
      <w:pPr>
        <w:spacing w:line="420" w:lineRule="exact"/>
        <w:ind w:firstLine="488"/>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(5)投标人不得通过补充、修改或撤销投标文件中的内容使其成为实质性响应的投标，投标人在投标截止时间以后不得提交任何资料作为评标依据。</w:t>
      </w:r>
    </w:p>
    <w:p w14:paraId="7D834C7E">
      <w:pPr>
        <w:spacing w:line="420" w:lineRule="exact"/>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(二)资信、业绩评审</w:t>
      </w:r>
    </w:p>
    <w:p w14:paraId="4D1530C6">
      <w:pPr>
        <w:spacing w:line="420" w:lineRule="exact"/>
        <w:ind w:firstLine="49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由评标委员会全体成员根据投标人提供的相关证明材料进行集体认定。</w:t>
      </w:r>
    </w:p>
    <w:p w14:paraId="680122AE">
      <w:pPr>
        <w:spacing w:line="420" w:lineRule="exact"/>
        <w:ind w:firstLine="49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业绩评分(3分)</w:t>
      </w:r>
    </w:p>
    <w:p w14:paraId="09092CF8">
      <w:pPr>
        <w:spacing w:line="420" w:lineRule="exact"/>
        <w:ind w:firstLine="519"/>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自</w:t>
      </w:r>
      <w:r>
        <w:rPr>
          <w:rFonts w:hint="eastAsia" w:ascii="宋体" w:hAnsi="宋体" w:eastAsia="宋体" w:cs="宋体"/>
          <w:color w:val="auto"/>
          <w:sz w:val="23"/>
          <w:szCs w:val="23"/>
          <w:highlight w:val="none"/>
          <w:u w:val="single"/>
          <w:shd w:val="clear" w:color="auto" w:fill="auto"/>
          <w:lang w:val="en-US" w:eastAsia="zh-CN"/>
        </w:rPr>
        <w:t>2022</w:t>
      </w:r>
      <w:r>
        <w:rPr>
          <w:rFonts w:hint="eastAsia" w:ascii="宋体" w:hAnsi="宋体" w:eastAsia="宋体" w:cs="宋体"/>
          <w:color w:val="auto"/>
          <w:sz w:val="23"/>
          <w:szCs w:val="23"/>
          <w:highlight w:val="none"/>
          <w:shd w:val="clear" w:color="auto" w:fill="auto"/>
        </w:rPr>
        <w:t>年</w:t>
      </w:r>
      <w:r>
        <w:rPr>
          <w:rFonts w:hint="eastAsia" w:ascii="宋体" w:hAnsi="宋体" w:eastAsia="宋体" w:cs="宋体"/>
          <w:color w:val="auto"/>
          <w:sz w:val="23"/>
          <w:szCs w:val="23"/>
          <w:highlight w:val="none"/>
          <w:u w:val="single"/>
          <w:shd w:val="clear" w:color="auto" w:fill="auto"/>
          <w:lang w:val="en-US" w:eastAsia="zh-CN"/>
        </w:rPr>
        <w:t>1</w:t>
      </w:r>
      <w:r>
        <w:rPr>
          <w:rFonts w:hint="eastAsia" w:ascii="宋体" w:hAnsi="宋体" w:eastAsia="宋体" w:cs="宋体"/>
          <w:color w:val="auto"/>
          <w:sz w:val="23"/>
          <w:szCs w:val="23"/>
          <w:highlight w:val="none"/>
          <w:shd w:val="clear" w:color="auto" w:fill="auto"/>
        </w:rPr>
        <w:t>月</w:t>
      </w:r>
      <w:r>
        <w:rPr>
          <w:rFonts w:hint="eastAsia" w:ascii="宋体" w:hAnsi="宋体" w:eastAsia="宋体" w:cs="宋体"/>
          <w:color w:val="auto"/>
          <w:sz w:val="23"/>
          <w:szCs w:val="23"/>
          <w:highlight w:val="none"/>
          <w:u w:val="single"/>
          <w:shd w:val="clear" w:color="auto" w:fill="auto"/>
          <w:lang w:val="en-US" w:eastAsia="zh-CN"/>
        </w:rPr>
        <w:t>1</w:t>
      </w:r>
      <w:r>
        <w:rPr>
          <w:rFonts w:hint="eastAsia" w:ascii="宋体" w:hAnsi="宋体" w:eastAsia="宋体" w:cs="宋体"/>
          <w:color w:val="auto"/>
          <w:sz w:val="23"/>
          <w:szCs w:val="23"/>
          <w:highlight w:val="none"/>
          <w:shd w:val="clear" w:color="auto" w:fill="auto"/>
        </w:rPr>
        <w:t>日以来(以</w:t>
      </w:r>
      <w:r>
        <w:rPr>
          <w:rFonts w:hint="eastAsia" w:ascii="宋体" w:hAnsi="宋体" w:eastAsia="宋体" w:cs="宋体"/>
          <w:color w:val="auto"/>
          <w:sz w:val="23"/>
          <w:szCs w:val="23"/>
          <w:highlight w:val="none"/>
          <w:u w:val="single"/>
          <w:shd w:val="clear" w:color="auto" w:fill="auto"/>
        </w:rPr>
        <w:t>项目完工</w:t>
      </w:r>
      <w:r>
        <w:rPr>
          <w:rFonts w:hint="eastAsia" w:ascii="宋体" w:hAnsi="宋体" w:eastAsia="宋体" w:cs="宋体"/>
          <w:color w:val="auto"/>
          <w:sz w:val="23"/>
          <w:szCs w:val="23"/>
          <w:highlight w:val="none"/>
          <w:shd w:val="clear" w:color="auto" w:fill="auto"/>
        </w:rPr>
        <w:t>日期为准)</w:t>
      </w:r>
      <w:r>
        <w:rPr>
          <w:rFonts w:hint="eastAsia" w:ascii="宋体" w:hAnsi="宋体" w:eastAsia="宋体" w:cs="宋体"/>
          <w:color w:val="auto"/>
          <w:sz w:val="23"/>
          <w:szCs w:val="23"/>
          <w:highlight w:val="none"/>
          <w:shd w:val="clear" w:color="auto" w:fill="auto"/>
          <w:lang w:eastAsia="zh-CN"/>
        </w:rPr>
        <w:t>，</w:t>
      </w:r>
      <w:r>
        <w:rPr>
          <w:rFonts w:hint="eastAsia" w:ascii="宋体" w:hAnsi="宋体" w:eastAsia="宋体" w:cs="宋体"/>
          <w:color w:val="auto"/>
          <w:sz w:val="23"/>
          <w:szCs w:val="23"/>
          <w:highlight w:val="none"/>
          <w:shd w:val="clear" w:color="auto" w:fill="auto"/>
        </w:rPr>
        <w:t>投标人或投标产品制造商具有金额大于或等于500万元的二供设备或同类设备的供货业绩，每提供一个合同及采购方验收合格的证明材料得1.5分，最高得3分。同一业主单位的多份合同仅计一次分。</w:t>
      </w:r>
    </w:p>
    <w:p w14:paraId="542955AC">
      <w:pPr>
        <w:keepNext w:val="0"/>
        <w:keepLines w:val="0"/>
        <w:pageBreakBefore w:val="0"/>
        <w:widowControl/>
        <w:kinsoku w:val="0"/>
        <w:wordWrap/>
        <w:overflowPunct/>
        <w:topLinePunct w:val="0"/>
        <w:autoSpaceDE w:val="0"/>
        <w:autoSpaceDN w:val="0"/>
        <w:bidi w:val="0"/>
        <w:adjustRightInd w:val="0"/>
        <w:snapToGrid w:val="0"/>
        <w:spacing w:line="440" w:lineRule="exact"/>
        <w:ind w:firstLine="488"/>
        <w:jc w:val="both"/>
        <w:rPr>
          <w:rFonts w:hint="eastAsia" w:ascii="宋体" w:hAnsi="宋体" w:eastAsia="宋体" w:cs="宋体"/>
          <w:strike/>
          <w:dstrike w:val="0"/>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注：以上业绩证明材料应提供合同、详细清单及采购方验收合格的证明材料复</w:t>
      </w:r>
      <w:r>
        <w:rPr>
          <w:rFonts w:hint="eastAsia" w:ascii="宋体" w:hAnsi="宋体" w:eastAsia="宋体" w:cs="宋体"/>
          <w:color w:val="auto"/>
          <w:sz w:val="24"/>
          <w:szCs w:val="24"/>
          <w:highlight w:val="none"/>
          <w:shd w:val="clear" w:color="auto" w:fill="auto"/>
        </w:rPr>
        <w:t>制件。</w:t>
      </w:r>
      <w:r>
        <w:rPr>
          <w:rFonts w:hint="eastAsia" w:ascii="宋体" w:hAnsi="宋体" w:eastAsia="宋体" w:cs="宋体"/>
          <w:strike/>
          <w:dstrike w:val="0"/>
          <w:color w:val="auto"/>
          <w:sz w:val="24"/>
          <w:szCs w:val="24"/>
          <w:highlight w:val="none"/>
          <w:shd w:val="clear" w:color="auto" w:fill="auto"/>
        </w:rPr>
        <w:t>投标资格证明中的业绩</w:t>
      </w:r>
      <w:r>
        <w:rPr>
          <w:rFonts w:hint="eastAsia" w:ascii="宋体" w:hAnsi="宋体" w:eastAsia="宋体" w:cs="宋体"/>
          <w:strike/>
          <w:dstrike w:val="0"/>
          <w:color w:val="auto"/>
          <w:sz w:val="24"/>
          <w:szCs w:val="24"/>
          <w:highlight w:val="none"/>
          <w:u w:val="single"/>
          <w:shd w:val="clear" w:color="auto" w:fill="auto"/>
        </w:rPr>
        <w:t>可以(或不可以)</w:t>
      </w:r>
      <w:r>
        <w:rPr>
          <w:rFonts w:hint="eastAsia" w:ascii="宋体" w:hAnsi="宋体" w:eastAsia="宋体" w:cs="宋体"/>
          <w:strike/>
          <w:dstrike w:val="0"/>
          <w:color w:val="auto"/>
          <w:sz w:val="24"/>
          <w:szCs w:val="24"/>
          <w:highlight w:val="none"/>
          <w:shd w:val="clear" w:color="auto" w:fill="auto"/>
        </w:rPr>
        <w:t>作为本项计分业绩。</w:t>
      </w:r>
    </w:p>
    <w:p w14:paraId="4FF5145F">
      <w:pPr>
        <w:keepNext w:val="0"/>
        <w:keepLines w:val="0"/>
        <w:pageBreakBefore w:val="0"/>
        <w:widowControl/>
        <w:kinsoku w:val="0"/>
        <w:wordWrap/>
        <w:overflowPunct/>
        <w:topLinePunct w:val="0"/>
        <w:autoSpaceDE w:val="0"/>
        <w:autoSpaceDN w:val="0"/>
        <w:bidi w:val="0"/>
        <w:adjustRightInd w:val="0"/>
        <w:snapToGrid w:val="0"/>
        <w:spacing w:line="440" w:lineRule="exact"/>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(三)投标文件的技术标评审</w:t>
      </w:r>
    </w:p>
    <w:p w14:paraId="043D4DD4">
      <w:pPr>
        <w:keepNext w:val="0"/>
        <w:keepLines w:val="0"/>
        <w:pageBreakBefore w:val="0"/>
        <w:widowControl/>
        <w:kinsoku w:val="0"/>
        <w:wordWrap/>
        <w:overflowPunct/>
        <w:topLinePunct w:val="0"/>
        <w:autoSpaceDE w:val="0"/>
        <w:autoSpaceDN w:val="0"/>
        <w:bidi w:val="0"/>
        <w:adjustRightInd w:val="0"/>
        <w:snapToGrid w:val="0"/>
        <w:spacing w:line="440" w:lineRule="exact"/>
        <w:ind w:firstLine="49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由评标委员会全体成员对投标文件的采用记名方式各自评分。如发现某个单项的评分超出了规定的分值范围的，则该张评分表无效。此项评分为：从评标专家的有效评分中扣除一个最高总分和一个最低总分后的算术平均值(保留小数2位)。</w:t>
      </w:r>
    </w:p>
    <w:p w14:paraId="208AC47E">
      <w:pPr>
        <w:keepNext w:val="0"/>
        <w:keepLines w:val="0"/>
        <w:pageBreakBefore w:val="0"/>
        <w:widowControl/>
        <w:kinsoku w:val="0"/>
        <w:wordWrap/>
        <w:overflowPunct/>
        <w:topLinePunct w:val="0"/>
        <w:autoSpaceDE w:val="0"/>
        <w:autoSpaceDN w:val="0"/>
        <w:bidi w:val="0"/>
        <w:adjustRightInd w:val="0"/>
        <w:snapToGrid w:val="0"/>
        <w:spacing w:line="440" w:lineRule="exact"/>
        <w:ind w:firstLine="49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2.技</w:t>
      </w:r>
      <w:r>
        <w:rPr>
          <w:rFonts w:hint="eastAsia" w:ascii="宋体" w:hAnsi="宋体" w:eastAsia="宋体" w:cs="宋体"/>
          <w:color w:val="auto"/>
          <w:sz w:val="24"/>
          <w:szCs w:val="24"/>
          <w:highlight w:val="none"/>
          <w:shd w:val="clear" w:color="auto" w:fill="auto"/>
        </w:rPr>
        <w:t>术评分(60分)</w:t>
      </w:r>
      <w:r>
        <w:rPr>
          <w:rFonts w:hint="eastAsia" w:ascii="宋体" w:hAnsi="宋体" w:eastAsia="宋体" w:cs="宋体"/>
          <w:color w:val="auto"/>
          <w:sz w:val="24"/>
          <w:szCs w:val="24"/>
          <w:highlight w:val="none"/>
          <w:shd w:val="clear" w:color="auto" w:fill="auto"/>
        </w:rPr>
        <w:t>：</w:t>
      </w:r>
    </w:p>
    <w:p w14:paraId="62914C7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招标人可根据招标项目的特点设置相应的评审内容和标准，原则上技术含量高的货物，技术评分权重大。可自选评审内容并要求细化，每一打分项分值区间不宜超过3分：</w:t>
      </w:r>
    </w:p>
    <w:p w14:paraId="1664438A">
      <w:pPr>
        <w:keepNext w:val="0"/>
        <w:keepLines w:val="0"/>
        <w:pageBreakBefore w:val="0"/>
        <w:widowControl/>
        <w:kinsoku w:val="0"/>
        <w:wordWrap/>
        <w:overflowPunct/>
        <w:topLinePunct w:val="0"/>
        <w:autoSpaceDE w:val="0"/>
        <w:autoSpaceDN w:val="0"/>
        <w:bidi w:val="0"/>
        <w:adjustRightInd w:val="0"/>
        <w:snapToGrid w:val="0"/>
        <w:spacing w:line="440" w:lineRule="exact"/>
        <w:ind w:firstLine="444" w:firstLineChars="185"/>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加工能力、制造水平</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9分）</w:t>
      </w:r>
    </w:p>
    <w:p w14:paraId="34585131">
      <w:pPr>
        <w:keepNext w:val="0"/>
        <w:keepLines w:val="0"/>
        <w:pageBreakBefore w:val="0"/>
        <w:widowControl/>
        <w:kinsoku w:val="0"/>
        <w:wordWrap/>
        <w:overflowPunct/>
        <w:topLinePunct w:val="0"/>
        <w:autoSpaceDE w:val="0"/>
        <w:autoSpaceDN w:val="0"/>
        <w:bidi w:val="0"/>
        <w:adjustRightInd w:val="0"/>
        <w:snapToGrid w:val="0"/>
        <w:spacing w:line="440" w:lineRule="exact"/>
        <w:ind w:firstLine="444" w:firstLineChars="185"/>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bidi="ar"/>
        </w:rPr>
        <w:t>投标人或投标产品制造商具有中国工程建设标准化协会颁发的二次供水设备绿色建筑节能推荐产品证书的得</w:t>
      </w:r>
      <w:r>
        <w:rPr>
          <w:rFonts w:hint="eastAsia" w:ascii="宋体" w:hAnsi="宋体" w:eastAsia="宋体" w:cs="宋体"/>
          <w:color w:val="auto"/>
          <w:kern w:val="0"/>
          <w:sz w:val="24"/>
          <w:szCs w:val="24"/>
          <w:highlight w:val="none"/>
          <w:shd w:val="clear" w:color="auto" w:fill="auto"/>
          <w:lang w:val="en-US" w:eastAsia="zh-CN" w:bidi="ar"/>
        </w:rPr>
        <w:t>3</w:t>
      </w:r>
      <w:r>
        <w:rPr>
          <w:rFonts w:hint="eastAsia" w:ascii="宋体" w:hAnsi="宋体" w:eastAsia="宋体" w:cs="宋体"/>
          <w:color w:val="auto"/>
          <w:kern w:val="0"/>
          <w:sz w:val="24"/>
          <w:szCs w:val="24"/>
          <w:highlight w:val="none"/>
          <w:shd w:val="clear" w:color="auto" w:fill="auto"/>
          <w:lang w:bidi="ar"/>
        </w:rPr>
        <w:t>分；</w:t>
      </w:r>
      <w:r>
        <w:rPr>
          <w:rFonts w:hint="eastAsia" w:ascii="宋体" w:hAnsi="宋体" w:eastAsia="宋体" w:cs="宋体"/>
          <w:b/>
          <w:bCs/>
          <w:color w:val="auto"/>
          <w:sz w:val="24"/>
          <w:szCs w:val="24"/>
          <w:highlight w:val="none"/>
          <w:shd w:val="clear" w:color="auto" w:fill="auto"/>
        </w:rPr>
        <w:t>投标文件中提供有效证书复印件并加盖投标人公章，不提供或提供不符合上述要求的不得分。</w:t>
      </w:r>
    </w:p>
    <w:p w14:paraId="794E8180">
      <w:pPr>
        <w:keepNext w:val="0"/>
        <w:keepLines w:val="0"/>
        <w:pageBreakBefore w:val="0"/>
        <w:widowControl/>
        <w:kinsoku w:val="0"/>
        <w:wordWrap/>
        <w:overflowPunct/>
        <w:topLinePunct w:val="0"/>
        <w:autoSpaceDE w:val="0"/>
        <w:autoSpaceDN w:val="0"/>
        <w:bidi w:val="0"/>
        <w:adjustRightInd w:val="0"/>
        <w:snapToGrid w:val="0"/>
        <w:spacing w:line="440" w:lineRule="exact"/>
        <w:ind w:firstLine="444" w:firstLineChars="185"/>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bidi="ar"/>
        </w:rPr>
        <w:t>投标人或投标产品制造商具备二次供水设备中国节能产品认证证书，提供证书的得</w:t>
      </w:r>
      <w:r>
        <w:rPr>
          <w:rFonts w:hint="eastAsia" w:ascii="宋体" w:hAnsi="宋体" w:eastAsia="宋体" w:cs="宋体"/>
          <w:color w:val="auto"/>
          <w:kern w:val="0"/>
          <w:sz w:val="24"/>
          <w:szCs w:val="24"/>
          <w:highlight w:val="none"/>
          <w:shd w:val="clear" w:color="auto" w:fill="auto"/>
          <w:lang w:val="en-US" w:eastAsia="zh-CN" w:bidi="ar"/>
        </w:rPr>
        <w:t>3</w:t>
      </w:r>
      <w:r>
        <w:rPr>
          <w:rFonts w:hint="eastAsia" w:ascii="宋体" w:hAnsi="宋体" w:eastAsia="宋体" w:cs="宋体"/>
          <w:color w:val="auto"/>
          <w:kern w:val="0"/>
          <w:sz w:val="24"/>
          <w:szCs w:val="24"/>
          <w:highlight w:val="none"/>
          <w:shd w:val="clear" w:color="auto" w:fill="auto"/>
          <w:lang w:bidi="ar"/>
        </w:rPr>
        <w:t>分；</w:t>
      </w:r>
      <w:r>
        <w:rPr>
          <w:rFonts w:hint="eastAsia" w:ascii="宋体" w:hAnsi="宋体" w:eastAsia="宋体" w:cs="宋体"/>
          <w:b/>
          <w:bCs/>
          <w:color w:val="auto"/>
          <w:sz w:val="24"/>
          <w:szCs w:val="24"/>
          <w:highlight w:val="none"/>
          <w:shd w:val="clear" w:color="auto" w:fill="auto"/>
        </w:rPr>
        <w:t>投标文件中提供有效证书复印件并加盖投标人公章，不提供或提供不符合上述要求的不得分。</w:t>
      </w:r>
    </w:p>
    <w:p w14:paraId="460201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firstLine="480" w:firstLineChars="200"/>
        <w:jc w:val="left"/>
        <w:textAlignment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bidi="ar"/>
        </w:rPr>
        <w:t>所投二次供水设备配套的水泵制造商具</w:t>
      </w:r>
      <w:r>
        <w:rPr>
          <w:rFonts w:hint="eastAsia" w:ascii="宋体" w:hAnsi="宋体" w:eastAsia="宋体" w:cs="宋体"/>
          <w:color w:val="auto"/>
          <w:kern w:val="0"/>
          <w:sz w:val="24"/>
          <w:szCs w:val="24"/>
          <w:highlight w:val="none"/>
          <w:shd w:val="clear" w:color="auto" w:fill="auto"/>
          <w:lang w:eastAsia="zh-CN" w:bidi="ar"/>
        </w:rPr>
        <w:t>有</w:t>
      </w:r>
      <w:r>
        <w:rPr>
          <w:rFonts w:hint="eastAsia" w:ascii="宋体" w:hAnsi="宋体" w:eastAsia="宋体" w:cs="宋体"/>
          <w:color w:val="auto"/>
          <w:kern w:val="0"/>
          <w:sz w:val="24"/>
          <w:szCs w:val="24"/>
          <w:highlight w:val="none"/>
          <w:shd w:val="clear" w:color="auto" w:fill="auto"/>
          <w:lang w:val="en-US" w:eastAsia="zh-CN" w:bidi="ar"/>
        </w:rPr>
        <w:t>省级及以上</w:t>
      </w:r>
      <w:r>
        <w:rPr>
          <w:rFonts w:hint="eastAsia" w:ascii="宋体" w:hAnsi="宋体" w:eastAsia="宋体" w:cs="宋体"/>
          <w:color w:val="auto"/>
          <w:kern w:val="0"/>
          <w:sz w:val="24"/>
          <w:szCs w:val="24"/>
          <w:highlight w:val="none"/>
          <w:shd w:val="clear" w:color="auto" w:fill="auto"/>
          <w:lang w:bidi="ar"/>
        </w:rPr>
        <w:t>质量检验中心</w:t>
      </w:r>
      <w:r>
        <w:rPr>
          <w:rFonts w:hint="eastAsia" w:ascii="宋体" w:hAnsi="宋体" w:eastAsia="宋体" w:cs="宋体"/>
          <w:color w:val="auto"/>
          <w:kern w:val="0"/>
          <w:sz w:val="24"/>
          <w:szCs w:val="24"/>
          <w:highlight w:val="none"/>
          <w:shd w:val="clear" w:color="auto" w:fill="auto"/>
          <w:lang w:eastAsia="zh-CN" w:bidi="ar"/>
        </w:rPr>
        <w:t>（具备</w:t>
      </w:r>
      <w:r>
        <w:rPr>
          <w:rFonts w:hint="eastAsia" w:ascii="宋体" w:hAnsi="宋体" w:eastAsia="宋体" w:cs="宋体"/>
          <w:color w:val="auto"/>
          <w:kern w:val="0"/>
          <w:sz w:val="24"/>
          <w:szCs w:val="24"/>
          <w:highlight w:val="none"/>
          <w:shd w:val="clear" w:color="auto" w:fill="auto"/>
          <w:lang w:val="en-US" w:eastAsia="zh-CN" w:bidi="ar"/>
        </w:rPr>
        <w:t>相应检测资质</w:t>
      </w:r>
      <w:r>
        <w:rPr>
          <w:rFonts w:hint="eastAsia" w:ascii="宋体" w:hAnsi="宋体" w:eastAsia="宋体" w:cs="宋体"/>
          <w:color w:val="auto"/>
          <w:kern w:val="0"/>
          <w:sz w:val="24"/>
          <w:szCs w:val="24"/>
          <w:highlight w:val="none"/>
          <w:shd w:val="clear" w:color="auto" w:fill="auto"/>
          <w:lang w:eastAsia="zh-CN" w:bidi="ar"/>
        </w:rPr>
        <w:t>）</w:t>
      </w:r>
      <w:r>
        <w:rPr>
          <w:rFonts w:hint="eastAsia" w:ascii="宋体" w:hAnsi="宋体" w:eastAsia="宋体" w:cs="宋体"/>
          <w:color w:val="auto"/>
          <w:kern w:val="0"/>
          <w:sz w:val="24"/>
          <w:szCs w:val="24"/>
          <w:highlight w:val="none"/>
          <w:shd w:val="clear" w:color="auto" w:fill="auto"/>
          <w:lang w:bidi="ar"/>
        </w:rPr>
        <w:t>认可的试验或测试证书，符合GB/T3216-2016标准中的1级精度要求，提供符合要求的证书</w:t>
      </w:r>
      <w:r>
        <w:rPr>
          <w:rFonts w:hint="eastAsia" w:ascii="宋体" w:hAnsi="宋体" w:eastAsia="宋体" w:cs="宋体"/>
          <w:color w:val="auto"/>
          <w:kern w:val="0"/>
          <w:sz w:val="24"/>
          <w:szCs w:val="24"/>
          <w:highlight w:val="none"/>
          <w:shd w:val="clear" w:color="auto" w:fill="auto"/>
          <w:lang w:val="en-US" w:eastAsia="zh-CN" w:bidi="ar"/>
        </w:rPr>
        <w:t>复印件并加盖水泵制造商公章</w:t>
      </w:r>
      <w:r>
        <w:rPr>
          <w:rFonts w:hint="eastAsia" w:ascii="宋体" w:hAnsi="宋体" w:eastAsia="宋体" w:cs="宋体"/>
          <w:color w:val="auto"/>
          <w:kern w:val="0"/>
          <w:sz w:val="24"/>
          <w:szCs w:val="24"/>
          <w:highlight w:val="none"/>
          <w:shd w:val="clear" w:color="auto" w:fill="auto"/>
          <w:lang w:bidi="ar"/>
        </w:rPr>
        <w:t>的得</w:t>
      </w:r>
      <w:r>
        <w:rPr>
          <w:rFonts w:hint="eastAsia" w:ascii="宋体" w:hAnsi="宋体" w:eastAsia="宋体" w:cs="宋体"/>
          <w:color w:val="auto"/>
          <w:kern w:val="0"/>
          <w:sz w:val="24"/>
          <w:szCs w:val="24"/>
          <w:highlight w:val="none"/>
          <w:shd w:val="clear" w:color="auto" w:fill="auto"/>
          <w:lang w:val="en-US" w:eastAsia="zh-CN" w:bidi="ar"/>
        </w:rPr>
        <w:t>3</w:t>
      </w:r>
      <w:r>
        <w:rPr>
          <w:rFonts w:hint="eastAsia" w:ascii="宋体" w:hAnsi="宋体" w:eastAsia="宋体" w:cs="宋体"/>
          <w:color w:val="auto"/>
          <w:kern w:val="0"/>
          <w:sz w:val="24"/>
          <w:szCs w:val="24"/>
          <w:highlight w:val="none"/>
          <w:shd w:val="clear" w:color="auto" w:fill="auto"/>
          <w:lang w:bidi="ar"/>
        </w:rPr>
        <w:t>分</w:t>
      </w:r>
      <w:r>
        <w:rPr>
          <w:rFonts w:hint="eastAsia" w:ascii="宋体" w:hAnsi="宋体" w:eastAsia="宋体" w:cs="宋体"/>
          <w:color w:val="auto"/>
          <w:kern w:val="0"/>
          <w:sz w:val="24"/>
          <w:szCs w:val="24"/>
          <w:highlight w:val="none"/>
          <w:shd w:val="clear" w:color="auto" w:fill="auto"/>
          <w:lang w:eastAsia="zh-CN" w:bidi="ar"/>
        </w:rPr>
        <w:t>。</w:t>
      </w:r>
      <w:r>
        <w:rPr>
          <w:rFonts w:hint="eastAsia" w:ascii="宋体" w:hAnsi="宋体" w:eastAsia="宋体" w:cs="宋体"/>
          <w:b/>
          <w:bCs/>
          <w:color w:val="auto"/>
          <w:sz w:val="24"/>
          <w:szCs w:val="24"/>
          <w:highlight w:val="none"/>
          <w:shd w:val="clear" w:color="auto" w:fill="auto"/>
        </w:rPr>
        <w:t>投标文件中提供有效证书复印件并加盖</w:t>
      </w:r>
      <w:r>
        <w:rPr>
          <w:rFonts w:hint="eastAsia" w:ascii="宋体" w:hAnsi="宋体" w:eastAsia="宋体" w:cs="宋体"/>
          <w:b/>
          <w:bCs/>
          <w:color w:val="auto"/>
          <w:sz w:val="24"/>
          <w:szCs w:val="24"/>
          <w:highlight w:val="none"/>
          <w:shd w:val="clear" w:color="auto" w:fill="auto"/>
          <w:lang w:val="en-US" w:eastAsia="zh-CN"/>
        </w:rPr>
        <w:t>水泵制造商</w:t>
      </w:r>
      <w:r>
        <w:rPr>
          <w:rFonts w:hint="eastAsia" w:ascii="宋体" w:hAnsi="宋体" w:eastAsia="宋体" w:cs="宋体"/>
          <w:b/>
          <w:bCs/>
          <w:color w:val="auto"/>
          <w:sz w:val="24"/>
          <w:szCs w:val="24"/>
          <w:highlight w:val="none"/>
          <w:shd w:val="clear" w:color="auto" w:fill="auto"/>
        </w:rPr>
        <w:t>公章，不提供或提供不符合上述要求的不得分。</w:t>
      </w:r>
    </w:p>
    <w:p w14:paraId="0809DFCC">
      <w:pPr>
        <w:keepNext w:val="0"/>
        <w:keepLines w:val="0"/>
        <w:pageBreakBefore w:val="0"/>
        <w:widowControl/>
        <w:kinsoku w:val="0"/>
        <w:wordWrap/>
        <w:overflowPunct/>
        <w:topLinePunct w:val="0"/>
        <w:autoSpaceDE w:val="0"/>
        <w:autoSpaceDN w:val="0"/>
        <w:bidi w:val="0"/>
        <w:adjustRightInd w:val="0"/>
        <w:snapToGrid w:val="0"/>
        <w:spacing w:line="440" w:lineRule="exact"/>
        <w:ind w:firstLine="444" w:firstLineChars="185"/>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投标货物技术指标的符合性、优越性</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27分</w:t>
      </w:r>
      <w:r>
        <w:rPr>
          <w:rFonts w:hint="eastAsia" w:ascii="宋体" w:hAnsi="宋体" w:cs="宋体"/>
          <w:color w:val="auto"/>
          <w:sz w:val="24"/>
          <w:szCs w:val="24"/>
          <w:highlight w:val="none"/>
          <w:shd w:val="clear" w:color="auto" w:fill="auto"/>
          <w:lang w:eastAsia="zh-CN"/>
        </w:rPr>
        <w:t>）</w:t>
      </w:r>
    </w:p>
    <w:p w14:paraId="299A21C8">
      <w:pPr>
        <w:keepNext w:val="0"/>
        <w:keepLines w:val="0"/>
        <w:pageBreakBefore w:val="0"/>
        <w:widowControl/>
        <w:kinsoku w:val="0"/>
        <w:wordWrap/>
        <w:overflowPunct/>
        <w:topLinePunct w:val="0"/>
        <w:autoSpaceDE w:val="0"/>
        <w:autoSpaceDN w:val="0"/>
        <w:bidi w:val="0"/>
        <w:adjustRightInd w:val="0"/>
        <w:snapToGrid w:val="0"/>
        <w:spacing w:line="440" w:lineRule="exact"/>
        <w:ind w:firstLine="444" w:firstLineChars="185"/>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投标产品的基本功能、主要配置、技术指标、参数要求等全部满足招标文件第五章招标内容和技术要求的需求或正偏离的得</w:t>
      </w: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分。技术指标中带有“★”项的为重要指标，如出现负偏离按无效标处理</w:t>
      </w:r>
      <w:r>
        <w:rPr>
          <w:rFonts w:hint="eastAsia" w:ascii="宋体" w:hAnsi="宋体" w:eastAsia="宋体" w:cs="宋体"/>
          <w:color w:val="auto"/>
          <w:sz w:val="24"/>
          <w:szCs w:val="24"/>
          <w:highlight w:val="none"/>
          <w:shd w:val="clear" w:color="auto" w:fill="auto"/>
        </w:rPr>
        <w:t>。技术指标中带有“▲”项的为主要指标，如出现负偏离的每条扣3分，扣完为止。如出现六处及以上负偏离为重大偏离，作无效标处理。</w:t>
      </w:r>
    </w:p>
    <w:p w14:paraId="1855C8F2">
      <w:pPr>
        <w:keepNext w:val="0"/>
        <w:keepLines w:val="0"/>
        <w:pageBreakBefore w:val="0"/>
        <w:widowControl/>
        <w:kinsoku w:val="0"/>
        <w:wordWrap/>
        <w:overflowPunct/>
        <w:topLinePunct w:val="0"/>
        <w:autoSpaceDE w:val="0"/>
        <w:autoSpaceDN w:val="0"/>
        <w:bidi w:val="0"/>
        <w:adjustRightInd w:val="0"/>
        <w:snapToGrid w:val="0"/>
        <w:spacing w:line="440" w:lineRule="exact"/>
        <w:ind w:firstLine="444" w:firstLineChars="185"/>
        <w:jc w:val="both"/>
        <w:rPr>
          <w:rFonts w:hint="eastAsia" w:ascii="宋体" w:hAnsi="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主要制作材料选用的比较</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3分</w:t>
      </w:r>
      <w:r>
        <w:rPr>
          <w:rFonts w:hint="eastAsia" w:ascii="宋体" w:hAnsi="宋体" w:cs="宋体"/>
          <w:color w:val="auto"/>
          <w:sz w:val="24"/>
          <w:szCs w:val="24"/>
          <w:highlight w:val="none"/>
          <w:shd w:val="clear" w:color="auto" w:fill="auto"/>
          <w:lang w:eastAsia="zh-CN"/>
        </w:rPr>
        <w:t>）</w:t>
      </w:r>
    </w:p>
    <w:p w14:paraId="30DBA267">
      <w:pPr>
        <w:keepNext w:val="0"/>
        <w:keepLines w:val="0"/>
        <w:pageBreakBefore w:val="0"/>
        <w:widowControl/>
        <w:kinsoku w:val="0"/>
        <w:wordWrap/>
        <w:overflowPunct/>
        <w:topLinePunct w:val="0"/>
        <w:autoSpaceDE w:val="0"/>
        <w:autoSpaceDN w:val="0"/>
        <w:bidi w:val="0"/>
        <w:adjustRightInd w:val="0"/>
        <w:snapToGrid w:val="0"/>
        <w:spacing w:line="440" w:lineRule="exact"/>
        <w:ind w:firstLine="444" w:firstLineChars="185"/>
        <w:jc w:val="both"/>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主要部件泵机、控制器、变频器、触摸屏、水质检测仪等符合招标要求，产品品牌在推荐同档次及以上的，进行评分</w:t>
      </w:r>
      <w:r>
        <w:rPr>
          <w:rFonts w:hint="eastAsia" w:ascii="宋体" w:hAnsi="宋体" w:cs="宋体"/>
          <w:color w:val="auto"/>
          <w:kern w:val="0"/>
          <w:sz w:val="24"/>
          <w:szCs w:val="24"/>
          <w:highlight w:val="none"/>
          <w:shd w:val="clear" w:color="auto" w:fill="auto"/>
          <w:lang w:eastAsia="zh-CN" w:bidi="ar"/>
        </w:rPr>
        <w:t>，</w:t>
      </w:r>
      <w:r>
        <w:rPr>
          <w:rFonts w:hint="eastAsia" w:ascii="宋体" w:hAnsi="宋体" w:eastAsia="宋体" w:cs="宋体"/>
          <w:color w:val="auto"/>
          <w:kern w:val="0"/>
          <w:sz w:val="24"/>
          <w:szCs w:val="24"/>
          <w:highlight w:val="none"/>
          <w:shd w:val="clear" w:color="auto" w:fill="auto"/>
          <w:lang w:eastAsia="zh-CN" w:bidi="ar"/>
        </w:rPr>
        <w:t>（</w:t>
      </w:r>
      <w:r>
        <w:rPr>
          <w:rFonts w:hint="eastAsia" w:ascii="宋体" w:hAnsi="宋体" w:cs="宋体"/>
          <w:color w:val="auto"/>
          <w:sz w:val="24"/>
          <w:szCs w:val="24"/>
          <w:highlight w:val="none"/>
          <w:shd w:val="clear" w:color="auto" w:fill="auto"/>
          <w:lang w:val="en-US" w:eastAsia="zh-CN"/>
        </w:rPr>
        <w:t>0-3</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kern w:val="0"/>
          <w:sz w:val="24"/>
          <w:szCs w:val="24"/>
          <w:highlight w:val="none"/>
          <w:shd w:val="clear" w:color="auto" w:fill="auto"/>
          <w:lang w:bidi="ar"/>
        </w:rPr>
        <w:t>。</w:t>
      </w:r>
      <w:r>
        <w:rPr>
          <w:rFonts w:hint="eastAsia" w:ascii="宋体" w:hAnsi="宋体" w:cs="宋体"/>
          <w:color w:val="auto"/>
          <w:kern w:val="0"/>
          <w:sz w:val="24"/>
          <w:szCs w:val="24"/>
          <w:highlight w:val="none"/>
          <w:shd w:val="clear" w:color="auto" w:fill="auto"/>
          <w:lang w:val="en-US" w:eastAsia="zh-CN" w:bidi="ar"/>
        </w:rPr>
        <w:t>优秀得2.1-3分，良好得1.1-2分，一般得0-1分。</w:t>
      </w:r>
    </w:p>
    <w:p w14:paraId="7880D043">
      <w:pPr>
        <w:keepNext w:val="0"/>
        <w:keepLines w:val="0"/>
        <w:pageBreakBefore w:val="0"/>
        <w:widowControl/>
        <w:kinsoku w:val="0"/>
        <w:wordWrap/>
        <w:overflowPunct/>
        <w:topLinePunct w:val="0"/>
        <w:autoSpaceDE w:val="0"/>
        <w:autoSpaceDN w:val="0"/>
        <w:bidi w:val="0"/>
        <w:adjustRightInd w:val="0"/>
        <w:snapToGrid w:val="0"/>
        <w:spacing w:line="440" w:lineRule="exact"/>
        <w:ind w:firstLine="444" w:firstLineChars="185"/>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辅助制作材料及配件选用的比较</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3分</w:t>
      </w:r>
      <w:r>
        <w:rPr>
          <w:rFonts w:hint="eastAsia" w:ascii="宋体" w:hAnsi="宋体" w:cs="宋体"/>
          <w:color w:val="auto"/>
          <w:sz w:val="24"/>
          <w:szCs w:val="24"/>
          <w:highlight w:val="none"/>
          <w:shd w:val="clear" w:color="auto" w:fill="auto"/>
          <w:lang w:eastAsia="zh-CN"/>
        </w:rPr>
        <w:t>）</w:t>
      </w:r>
    </w:p>
    <w:p w14:paraId="743FE3FC">
      <w:pPr>
        <w:keepNext w:val="0"/>
        <w:keepLines w:val="0"/>
        <w:pageBreakBefore w:val="0"/>
        <w:widowControl/>
        <w:kinsoku w:val="0"/>
        <w:wordWrap/>
        <w:overflowPunct/>
        <w:topLinePunct w:val="0"/>
        <w:autoSpaceDE w:val="0"/>
        <w:autoSpaceDN w:val="0"/>
        <w:bidi w:val="0"/>
        <w:adjustRightInd w:val="0"/>
        <w:snapToGrid w:val="0"/>
        <w:spacing w:line="440" w:lineRule="exact"/>
        <w:ind w:firstLine="444" w:firstLineChars="185"/>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根据投标人提供的备品配件供货方案（含配件供货方案、备品配件价格、配件供货保障等因素）综合打分</w:t>
      </w:r>
      <w:r>
        <w:rPr>
          <w:rFonts w:hint="eastAsia" w:ascii="宋体" w:hAnsi="宋体" w:cs="宋体"/>
          <w:color w:val="auto"/>
          <w:kern w:val="0"/>
          <w:sz w:val="24"/>
          <w:szCs w:val="24"/>
          <w:highlight w:val="none"/>
          <w:shd w:val="clear" w:color="auto" w:fill="auto"/>
          <w:lang w:eastAsia="zh-CN" w:bidi="ar"/>
        </w:rPr>
        <w:t>，</w:t>
      </w:r>
      <w:r>
        <w:rPr>
          <w:rFonts w:hint="eastAsia" w:ascii="宋体" w:hAnsi="宋体" w:eastAsia="宋体" w:cs="宋体"/>
          <w:color w:val="auto"/>
          <w:kern w:val="0"/>
          <w:sz w:val="24"/>
          <w:szCs w:val="24"/>
          <w:highlight w:val="none"/>
          <w:shd w:val="clear" w:color="auto" w:fill="auto"/>
          <w:lang w:eastAsia="zh-CN" w:bidi="ar"/>
        </w:rPr>
        <w:t>（</w:t>
      </w:r>
      <w:r>
        <w:rPr>
          <w:rFonts w:hint="eastAsia" w:ascii="宋体" w:hAnsi="宋体" w:cs="宋体"/>
          <w:color w:val="auto"/>
          <w:sz w:val="24"/>
          <w:szCs w:val="24"/>
          <w:highlight w:val="none"/>
          <w:shd w:val="clear" w:color="auto" w:fill="auto"/>
          <w:lang w:val="en-US" w:eastAsia="zh-CN"/>
        </w:rPr>
        <w:t>0-3</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kern w:val="0"/>
          <w:sz w:val="24"/>
          <w:szCs w:val="24"/>
          <w:highlight w:val="none"/>
          <w:shd w:val="clear" w:color="auto" w:fill="auto"/>
          <w:lang w:bidi="ar"/>
        </w:rPr>
        <w:t>。</w:t>
      </w:r>
      <w:r>
        <w:rPr>
          <w:rFonts w:hint="eastAsia" w:ascii="宋体" w:hAnsi="宋体" w:cs="宋体"/>
          <w:color w:val="auto"/>
          <w:kern w:val="0"/>
          <w:sz w:val="24"/>
          <w:szCs w:val="24"/>
          <w:highlight w:val="none"/>
          <w:shd w:val="clear" w:color="auto" w:fill="auto"/>
          <w:lang w:val="en-US" w:eastAsia="zh-CN" w:bidi="ar"/>
        </w:rPr>
        <w:t>优秀得2.1-3分，良好得1.1-2分，一般得0-1分。（注：</w:t>
      </w:r>
      <w:r>
        <w:rPr>
          <w:rFonts w:hint="eastAsia" w:ascii="宋体" w:hAnsi="宋体" w:eastAsia="宋体" w:cs="宋体"/>
          <w:color w:val="auto"/>
          <w:sz w:val="24"/>
          <w:szCs w:val="24"/>
          <w:highlight w:val="none"/>
          <w:shd w:val="clear" w:color="auto" w:fill="auto"/>
          <w:lang w:val="en-US" w:eastAsia="zh-CN"/>
        </w:rPr>
        <w:t>配件附清单、附图、附存放地点</w:t>
      </w:r>
      <w:r>
        <w:rPr>
          <w:rFonts w:hint="eastAsia" w:ascii="宋体" w:hAnsi="宋体" w:cs="宋体"/>
          <w:color w:val="auto"/>
          <w:sz w:val="24"/>
          <w:szCs w:val="24"/>
          <w:highlight w:val="none"/>
          <w:shd w:val="clear" w:color="auto" w:fill="auto"/>
          <w:lang w:val="en-US" w:eastAsia="zh-CN"/>
        </w:rPr>
        <w:t>）</w:t>
      </w:r>
    </w:p>
    <w:p w14:paraId="28C4C050">
      <w:pPr>
        <w:keepNext w:val="0"/>
        <w:keepLines w:val="0"/>
        <w:pageBreakBefore w:val="0"/>
        <w:widowControl/>
        <w:kinsoku w:val="0"/>
        <w:wordWrap/>
        <w:overflowPunct/>
        <w:topLinePunct w:val="0"/>
        <w:autoSpaceDE w:val="0"/>
        <w:autoSpaceDN w:val="0"/>
        <w:bidi w:val="0"/>
        <w:adjustRightInd w:val="0"/>
        <w:snapToGrid w:val="0"/>
        <w:spacing w:line="440" w:lineRule="exact"/>
        <w:ind w:firstLine="444" w:firstLineChars="185"/>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组织实施方案</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6分</w:t>
      </w:r>
      <w:r>
        <w:rPr>
          <w:rFonts w:hint="eastAsia" w:ascii="宋体" w:hAnsi="宋体" w:cs="宋体"/>
          <w:color w:val="auto"/>
          <w:sz w:val="24"/>
          <w:szCs w:val="24"/>
          <w:highlight w:val="none"/>
          <w:shd w:val="clear" w:color="auto" w:fill="auto"/>
          <w:lang w:eastAsia="zh-CN"/>
        </w:rPr>
        <w:t>）</w:t>
      </w:r>
    </w:p>
    <w:p w14:paraId="14AB073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40" w:lineRule="exact"/>
        <w:ind w:firstLine="444" w:firstLineChars="185"/>
        <w:jc w:val="both"/>
        <w:rPr>
          <w:rFonts w:hint="eastAsia" w:ascii="宋体" w:hAnsi="宋体" w:cs="宋体"/>
          <w:color w:val="auto"/>
          <w:kern w:val="0"/>
          <w:sz w:val="24"/>
          <w:szCs w:val="24"/>
          <w:highlight w:val="none"/>
          <w:shd w:val="clear" w:color="auto" w:fill="auto"/>
          <w:lang w:val="en-US" w:eastAsia="zh-CN" w:bidi="ar"/>
        </w:rPr>
      </w:pPr>
      <w:r>
        <w:rPr>
          <w:rFonts w:hint="eastAsia" w:ascii="宋体" w:hAnsi="宋体" w:eastAsia="宋体" w:cs="宋体"/>
          <w:color w:val="auto"/>
          <w:sz w:val="24"/>
          <w:szCs w:val="24"/>
          <w:highlight w:val="none"/>
          <w:shd w:val="clear" w:color="auto" w:fill="auto"/>
        </w:rPr>
        <w:t>投标人组织实施方案的科学性、合理性、规范性和可操作性，包括货物供货、验货、组装就位、关键步骤的思路和要点以及组织机构、工作时间进度表、工作程序和步骤等内容</w:t>
      </w:r>
      <w:r>
        <w:rPr>
          <w:rFonts w:hint="eastAsia" w:ascii="宋体" w:hAnsi="宋体" w:cs="宋体"/>
          <w:color w:val="auto"/>
          <w:sz w:val="24"/>
          <w:szCs w:val="24"/>
          <w:highlight w:val="none"/>
          <w:shd w:val="clear" w:color="auto" w:fill="auto"/>
          <w:lang w:val="en-US" w:eastAsia="zh-CN"/>
        </w:rPr>
        <w:t>进行综合评分，</w:t>
      </w:r>
      <w:r>
        <w:rPr>
          <w:rFonts w:hint="eastAsia" w:ascii="宋体" w:hAnsi="宋体" w:eastAsia="宋体" w:cs="宋体"/>
          <w:color w:val="auto"/>
          <w:kern w:val="0"/>
          <w:sz w:val="24"/>
          <w:szCs w:val="24"/>
          <w:highlight w:val="none"/>
          <w:shd w:val="clear" w:color="auto" w:fill="auto"/>
          <w:lang w:eastAsia="zh-CN" w:bidi="ar"/>
        </w:rPr>
        <w:t>（</w:t>
      </w:r>
      <w:r>
        <w:rPr>
          <w:rFonts w:hint="eastAsia" w:ascii="宋体" w:hAnsi="宋体" w:cs="宋体"/>
          <w:color w:val="auto"/>
          <w:sz w:val="24"/>
          <w:szCs w:val="24"/>
          <w:highlight w:val="none"/>
          <w:shd w:val="clear" w:color="auto" w:fill="auto"/>
          <w:lang w:val="en-US" w:eastAsia="zh-CN"/>
        </w:rPr>
        <w:t>0-3</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kern w:val="0"/>
          <w:sz w:val="24"/>
          <w:szCs w:val="24"/>
          <w:highlight w:val="none"/>
          <w:shd w:val="clear" w:color="auto" w:fill="auto"/>
          <w:lang w:bidi="ar"/>
        </w:rPr>
        <w:t>。</w:t>
      </w:r>
      <w:r>
        <w:rPr>
          <w:rFonts w:hint="eastAsia" w:ascii="宋体" w:hAnsi="宋体" w:cs="宋体"/>
          <w:color w:val="auto"/>
          <w:kern w:val="0"/>
          <w:sz w:val="24"/>
          <w:szCs w:val="24"/>
          <w:highlight w:val="none"/>
          <w:shd w:val="clear" w:color="auto" w:fill="auto"/>
          <w:lang w:val="en-US" w:eastAsia="zh-CN" w:bidi="ar"/>
        </w:rPr>
        <w:t>优秀得2.1-3分，良好得1.1-2分，一般得0-1分。</w:t>
      </w:r>
    </w:p>
    <w:p w14:paraId="501A9EC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240" w:firstLineChars="100"/>
        <w:jc w:val="both"/>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bidi="ar"/>
        </w:rPr>
        <w:t>提供投标人的组织实施方案的内容进行综合评分，主要包括以下方面：项目组织和管理、人员和设备投入到位及保证、备品备件保障和支持体系、项目实施风险控制方法等</w:t>
      </w:r>
      <w:r>
        <w:rPr>
          <w:rFonts w:hint="eastAsia" w:ascii="宋体" w:hAnsi="宋体" w:eastAsia="宋体" w:cs="宋体"/>
          <w:color w:val="auto"/>
          <w:sz w:val="24"/>
          <w:szCs w:val="24"/>
          <w:highlight w:val="none"/>
          <w:shd w:val="clear" w:color="auto" w:fill="auto"/>
        </w:rPr>
        <w:t>内容</w:t>
      </w:r>
      <w:r>
        <w:rPr>
          <w:rFonts w:hint="eastAsia" w:ascii="宋体" w:hAnsi="宋体" w:cs="宋体"/>
          <w:color w:val="auto"/>
          <w:sz w:val="24"/>
          <w:szCs w:val="24"/>
          <w:highlight w:val="none"/>
          <w:shd w:val="clear" w:color="auto" w:fill="auto"/>
          <w:lang w:val="en-US" w:eastAsia="zh-CN"/>
        </w:rPr>
        <w:t>进行综合评分，</w:t>
      </w:r>
      <w:r>
        <w:rPr>
          <w:rFonts w:hint="eastAsia" w:ascii="宋体" w:hAnsi="宋体" w:eastAsia="宋体" w:cs="宋体"/>
          <w:color w:val="auto"/>
          <w:kern w:val="0"/>
          <w:sz w:val="24"/>
          <w:szCs w:val="24"/>
          <w:highlight w:val="none"/>
          <w:shd w:val="clear" w:color="auto" w:fill="auto"/>
          <w:lang w:eastAsia="zh-CN" w:bidi="ar"/>
        </w:rPr>
        <w:t>（</w:t>
      </w:r>
      <w:r>
        <w:rPr>
          <w:rFonts w:hint="eastAsia" w:ascii="宋体" w:hAnsi="宋体" w:cs="宋体"/>
          <w:color w:val="auto"/>
          <w:sz w:val="24"/>
          <w:szCs w:val="24"/>
          <w:highlight w:val="none"/>
          <w:shd w:val="clear" w:color="auto" w:fill="auto"/>
          <w:lang w:val="en-US" w:eastAsia="zh-CN"/>
        </w:rPr>
        <w:t>0-3</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kern w:val="0"/>
          <w:sz w:val="24"/>
          <w:szCs w:val="24"/>
          <w:highlight w:val="none"/>
          <w:shd w:val="clear" w:color="auto" w:fill="auto"/>
          <w:lang w:bidi="ar"/>
        </w:rPr>
        <w:t>。</w:t>
      </w:r>
      <w:r>
        <w:rPr>
          <w:rFonts w:hint="eastAsia" w:ascii="宋体" w:hAnsi="宋体" w:cs="宋体"/>
          <w:color w:val="auto"/>
          <w:kern w:val="0"/>
          <w:sz w:val="24"/>
          <w:szCs w:val="24"/>
          <w:highlight w:val="none"/>
          <w:shd w:val="clear" w:color="auto" w:fill="auto"/>
          <w:lang w:val="en-US" w:eastAsia="zh-CN" w:bidi="ar"/>
        </w:rPr>
        <w:t>优秀得2.1-3分，良好得1.1-2分，一般得0-1分</w:t>
      </w:r>
      <w:r>
        <w:rPr>
          <w:rFonts w:hint="eastAsia"/>
          <w:color w:val="auto"/>
          <w:highlight w:val="none"/>
          <w:shd w:val="clear" w:color="auto" w:fill="auto"/>
          <w:lang w:eastAsia="zh-CN"/>
        </w:rPr>
        <w:t>。</w:t>
      </w:r>
    </w:p>
    <w:p w14:paraId="393BBF45">
      <w:pPr>
        <w:keepNext w:val="0"/>
        <w:keepLines w:val="0"/>
        <w:pageBreakBefore w:val="0"/>
        <w:widowControl/>
        <w:kinsoku w:val="0"/>
        <w:wordWrap/>
        <w:overflowPunct/>
        <w:topLinePunct w:val="0"/>
        <w:autoSpaceDE w:val="0"/>
        <w:autoSpaceDN w:val="0"/>
        <w:bidi w:val="0"/>
        <w:adjustRightInd w:val="0"/>
        <w:snapToGrid w:val="0"/>
        <w:spacing w:line="440" w:lineRule="exact"/>
        <w:ind w:firstLine="444" w:firstLineChars="185"/>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投标人是否具有较强的本地化服务能力、售后服务承诺、提供的售后服务方案的可行性、完整性以及服务承诺落实的保障措施，质保期内外的后续技术支持和维护能力情况等。</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9分</w:t>
      </w:r>
      <w:r>
        <w:rPr>
          <w:rFonts w:hint="eastAsia" w:ascii="宋体" w:hAnsi="宋体" w:cs="宋体"/>
          <w:color w:val="auto"/>
          <w:sz w:val="24"/>
          <w:szCs w:val="24"/>
          <w:highlight w:val="none"/>
          <w:shd w:val="clear" w:color="auto" w:fill="auto"/>
          <w:lang w:eastAsia="zh-CN"/>
        </w:rPr>
        <w:t>）</w:t>
      </w:r>
    </w:p>
    <w:p w14:paraId="1D78A4B3">
      <w:pPr>
        <w:keepNext w:val="0"/>
        <w:keepLines w:val="0"/>
        <w:pageBreakBefore w:val="0"/>
        <w:widowControl/>
        <w:kinsoku w:val="0"/>
        <w:wordWrap/>
        <w:overflowPunct/>
        <w:topLinePunct w:val="0"/>
        <w:autoSpaceDE w:val="0"/>
        <w:autoSpaceDN w:val="0"/>
        <w:bidi w:val="0"/>
        <w:adjustRightInd w:val="0"/>
        <w:snapToGrid w:val="0"/>
        <w:spacing w:line="440" w:lineRule="exact"/>
        <w:ind w:firstLine="444" w:firstLineChars="185"/>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bidi="ar"/>
        </w:rPr>
        <w:t>根据售后服务方案措施、响应时间、服务车辆、备品备件、应急预案等情况综合评分</w:t>
      </w:r>
      <w:r>
        <w:rPr>
          <w:rFonts w:hint="eastAsia" w:ascii="宋体" w:hAnsi="宋体" w:cs="宋体"/>
          <w:color w:val="auto"/>
          <w:kern w:val="0"/>
          <w:sz w:val="24"/>
          <w:szCs w:val="24"/>
          <w:highlight w:val="none"/>
          <w:shd w:val="clear" w:color="auto" w:fill="auto"/>
          <w:lang w:eastAsia="zh-CN" w:bidi="ar"/>
        </w:rPr>
        <w:t>，</w:t>
      </w:r>
      <w:r>
        <w:rPr>
          <w:rFonts w:hint="eastAsia" w:ascii="宋体" w:hAnsi="宋体" w:eastAsia="宋体" w:cs="宋体"/>
          <w:color w:val="auto"/>
          <w:kern w:val="0"/>
          <w:sz w:val="24"/>
          <w:szCs w:val="24"/>
          <w:highlight w:val="none"/>
          <w:shd w:val="clear" w:color="auto" w:fill="auto"/>
          <w:lang w:eastAsia="zh-CN" w:bidi="ar"/>
        </w:rPr>
        <w:t>（</w:t>
      </w:r>
      <w:r>
        <w:rPr>
          <w:rFonts w:hint="eastAsia" w:ascii="宋体" w:hAnsi="宋体" w:cs="宋体"/>
          <w:color w:val="auto"/>
          <w:sz w:val="24"/>
          <w:szCs w:val="24"/>
          <w:highlight w:val="none"/>
          <w:shd w:val="clear" w:color="auto" w:fill="auto"/>
          <w:lang w:val="en-US" w:eastAsia="zh-CN"/>
        </w:rPr>
        <w:t>0-3</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kern w:val="0"/>
          <w:sz w:val="24"/>
          <w:szCs w:val="24"/>
          <w:highlight w:val="none"/>
          <w:shd w:val="clear" w:color="auto" w:fill="auto"/>
          <w:lang w:bidi="ar"/>
        </w:rPr>
        <w:t>。</w:t>
      </w:r>
      <w:r>
        <w:rPr>
          <w:rFonts w:hint="eastAsia" w:ascii="宋体" w:hAnsi="宋体" w:cs="宋体"/>
          <w:color w:val="auto"/>
          <w:kern w:val="0"/>
          <w:sz w:val="24"/>
          <w:szCs w:val="24"/>
          <w:highlight w:val="none"/>
          <w:shd w:val="clear" w:color="auto" w:fill="auto"/>
          <w:lang w:val="en-US" w:eastAsia="zh-CN" w:bidi="ar"/>
        </w:rPr>
        <w:t>优秀得2.1-3分，良好得1.1-2分，一般得0-1分</w:t>
      </w:r>
      <w:r>
        <w:rPr>
          <w:rFonts w:hint="eastAsia" w:ascii="宋体" w:hAnsi="宋体" w:eastAsia="宋体" w:cs="宋体"/>
          <w:color w:val="auto"/>
          <w:sz w:val="24"/>
          <w:szCs w:val="24"/>
          <w:highlight w:val="none"/>
          <w:shd w:val="clear" w:color="auto" w:fill="auto"/>
        </w:rPr>
        <w:t>。</w:t>
      </w:r>
    </w:p>
    <w:p w14:paraId="12B2085F">
      <w:pPr>
        <w:keepNext w:val="0"/>
        <w:keepLines w:val="0"/>
        <w:pageBreakBefore w:val="0"/>
        <w:widowControl/>
        <w:kinsoku w:val="0"/>
        <w:wordWrap/>
        <w:overflowPunct/>
        <w:topLinePunct w:val="0"/>
        <w:autoSpaceDE w:val="0"/>
        <w:autoSpaceDN w:val="0"/>
        <w:bidi w:val="0"/>
        <w:adjustRightInd w:val="0"/>
        <w:snapToGrid w:val="0"/>
        <w:spacing w:line="440" w:lineRule="exact"/>
        <w:ind w:firstLine="444" w:firstLineChars="185"/>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bidi="ar"/>
        </w:rPr>
        <w:t>投标人或所投产品制造商在项目所在地周边具有2名以上专业维修人员为本项目设备提供服务，并在接到电话通知后2小时内能赶到现场</w:t>
      </w:r>
      <w:r>
        <w:rPr>
          <w:rFonts w:hint="eastAsia" w:ascii="宋体" w:hAnsi="宋体" w:eastAsia="宋体" w:cs="宋体"/>
          <w:color w:val="auto"/>
          <w:kern w:val="0"/>
          <w:sz w:val="24"/>
          <w:szCs w:val="24"/>
          <w:highlight w:val="none"/>
          <w:shd w:val="clear" w:color="auto" w:fill="auto"/>
          <w:lang w:eastAsia="zh-CN" w:bidi="ar"/>
        </w:rPr>
        <w:t>（</w:t>
      </w:r>
      <w:r>
        <w:rPr>
          <w:rFonts w:hint="eastAsia" w:ascii="宋体" w:hAnsi="宋体" w:eastAsia="宋体" w:cs="宋体"/>
          <w:color w:val="auto"/>
          <w:kern w:val="0"/>
          <w:sz w:val="24"/>
          <w:szCs w:val="24"/>
          <w:highlight w:val="none"/>
          <w:shd w:val="clear" w:color="auto" w:fill="auto"/>
          <w:lang w:val="en-US" w:eastAsia="zh-CN" w:bidi="ar"/>
        </w:rPr>
        <w:t>评标时按绍兴公用集团新大楼测算距离</w:t>
      </w:r>
      <w:r>
        <w:rPr>
          <w:rFonts w:hint="eastAsia" w:ascii="宋体" w:hAnsi="宋体" w:eastAsia="宋体" w:cs="宋体"/>
          <w:color w:val="auto"/>
          <w:kern w:val="0"/>
          <w:sz w:val="24"/>
          <w:szCs w:val="24"/>
          <w:highlight w:val="none"/>
          <w:shd w:val="clear" w:color="auto" w:fill="auto"/>
          <w:lang w:eastAsia="zh-CN" w:bidi="ar"/>
        </w:rPr>
        <w:t>）</w:t>
      </w:r>
      <w:r>
        <w:rPr>
          <w:rFonts w:hint="eastAsia" w:ascii="宋体" w:hAnsi="宋体" w:eastAsia="宋体" w:cs="宋体"/>
          <w:color w:val="auto"/>
          <w:kern w:val="0"/>
          <w:sz w:val="24"/>
          <w:szCs w:val="24"/>
          <w:highlight w:val="none"/>
          <w:shd w:val="clear" w:color="auto" w:fill="auto"/>
          <w:lang w:bidi="ar"/>
        </w:rPr>
        <w:t>的，得</w:t>
      </w:r>
      <w:r>
        <w:rPr>
          <w:rFonts w:hint="eastAsia" w:ascii="宋体" w:hAnsi="宋体" w:eastAsia="宋体" w:cs="宋体"/>
          <w:color w:val="auto"/>
          <w:kern w:val="0"/>
          <w:sz w:val="24"/>
          <w:szCs w:val="24"/>
          <w:highlight w:val="none"/>
          <w:shd w:val="clear" w:color="auto" w:fill="auto"/>
          <w:lang w:val="en-US" w:eastAsia="zh-CN" w:bidi="ar"/>
        </w:rPr>
        <w:t>3</w:t>
      </w:r>
      <w:r>
        <w:rPr>
          <w:rFonts w:hint="eastAsia" w:ascii="宋体" w:hAnsi="宋体" w:eastAsia="宋体" w:cs="宋体"/>
          <w:color w:val="auto"/>
          <w:kern w:val="0"/>
          <w:sz w:val="24"/>
          <w:szCs w:val="24"/>
          <w:highlight w:val="none"/>
          <w:shd w:val="clear" w:color="auto" w:fill="auto"/>
          <w:lang w:bidi="ar"/>
        </w:rPr>
        <w:t>分。</w:t>
      </w:r>
      <w:r>
        <w:rPr>
          <w:rFonts w:hint="eastAsia" w:ascii="宋体" w:hAnsi="宋体" w:eastAsia="宋体" w:cs="宋体"/>
          <w:b/>
          <w:bCs/>
          <w:color w:val="auto"/>
          <w:sz w:val="24"/>
          <w:szCs w:val="24"/>
          <w:highlight w:val="none"/>
          <w:shd w:val="clear" w:color="auto" w:fill="auto"/>
        </w:rPr>
        <w:t>投标文件中提供服务网点的证明材料（房屋产权证</w:t>
      </w:r>
      <w:r>
        <w:rPr>
          <w:rFonts w:hint="eastAsia" w:ascii="宋体" w:hAnsi="宋体" w:eastAsia="宋体" w:cs="宋体"/>
          <w:b/>
          <w:bCs/>
          <w:color w:val="auto"/>
          <w:sz w:val="24"/>
          <w:szCs w:val="24"/>
          <w:highlight w:val="none"/>
          <w:shd w:val="clear" w:color="auto" w:fill="auto"/>
          <w:lang w:val="en-US" w:eastAsia="zh-CN"/>
        </w:rPr>
        <w:t>或</w:t>
      </w:r>
      <w:r>
        <w:rPr>
          <w:rFonts w:hint="eastAsia" w:ascii="宋体" w:hAnsi="宋体" w:eastAsia="宋体" w:cs="宋体"/>
          <w:b/>
          <w:bCs/>
          <w:color w:val="auto"/>
          <w:sz w:val="24"/>
          <w:szCs w:val="24"/>
          <w:highlight w:val="none"/>
          <w:shd w:val="clear" w:color="auto" w:fill="auto"/>
        </w:rPr>
        <w:t>房屋租赁合同）复印件及地图导航软件的导航截图并加盖投标人公章，不提供或提供不符合上述要求的不得分。</w:t>
      </w:r>
    </w:p>
    <w:p w14:paraId="7B3BAF6D">
      <w:pPr>
        <w:keepNext w:val="0"/>
        <w:keepLines w:val="0"/>
        <w:pageBreakBefore w:val="0"/>
        <w:widowControl/>
        <w:kinsoku w:val="0"/>
        <w:wordWrap/>
        <w:overflowPunct/>
        <w:topLinePunct w:val="0"/>
        <w:autoSpaceDE w:val="0"/>
        <w:autoSpaceDN w:val="0"/>
        <w:bidi w:val="0"/>
        <w:adjustRightInd w:val="0"/>
        <w:snapToGrid w:val="0"/>
        <w:spacing w:line="440" w:lineRule="exact"/>
        <w:ind w:firstLine="444" w:firstLineChars="185"/>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bidi="ar"/>
        </w:rPr>
        <w:t>投标人或所投产品制造商提供的设备在招标文件规定的2年质保期基础上承诺给予延期优惠，每延长六个月，得</w:t>
      </w:r>
      <w:r>
        <w:rPr>
          <w:rFonts w:hint="eastAsia" w:ascii="宋体" w:hAnsi="宋体" w:eastAsia="宋体" w:cs="宋体"/>
          <w:color w:val="auto"/>
          <w:kern w:val="0"/>
          <w:sz w:val="24"/>
          <w:szCs w:val="24"/>
          <w:highlight w:val="none"/>
          <w:shd w:val="clear" w:color="auto" w:fill="auto"/>
          <w:lang w:val="en-US" w:eastAsia="zh-CN" w:bidi="ar"/>
        </w:rPr>
        <w:t>1</w:t>
      </w:r>
      <w:r>
        <w:rPr>
          <w:rFonts w:hint="eastAsia" w:ascii="宋体" w:hAnsi="宋体" w:eastAsia="宋体" w:cs="宋体"/>
          <w:color w:val="auto"/>
          <w:kern w:val="0"/>
          <w:sz w:val="24"/>
          <w:szCs w:val="24"/>
          <w:highlight w:val="none"/>
          <w:shd w:val="clear" w:color="auto" w:fill="auto"/>
          <w:lang w:bidi="ar"/>
        </w:rPr>
        <w:t>分，满分</w:t>
      </w:r>
      <w:r>
        <w:rPr>
          <w:rFonts w:hint="eastAsia" w:ascii="宋体" w:hAnsi="宋体" w:cs="宋体"/>
          <w:color w:val="auto"/>
          <w:kern w:val="0"/>
          <w:sz w:val="24"/>
          <w:szCs w:val="24"/>
          <w:highlight w:val="none"/>
          <w:shd w:val="clear" w:color="auto" w:fill="auto"/>
          <w:lang w:val="en-US" w:eastAsia="zh-CN" w:bidi="ar"/>
        </w:rPr>
        <w:t>3</w:t>
      </w:r>
      <w:r>
        <w:rPr>
          <w:rFonts w:hint="eastAsia" w:ascii="宋体" w:hAnsi="宋体" w:eastAsia="宋体" w:cs="宋体"/>
          <w:color w:val="auto"/>
          <w:kern w:val="0"/>
          <w:sz w:val="24"/>
          <w:szCs w:val="24"/>
          <w:highlight w:val="none"/>
          <w:shd w:val="clear" w:color="auto" w:fill="auto"/>
          <w:lang w:bidi="ar"/>
        </w:rPr>
        <w:t>分。（提供承诺书并加盖投标人公章）</w:t>
      </w:r>
    </w:p>
    <w:p w14:paraId="3A80382E">
      <w:pPr>
        <w:keepNext w:val="0"/>
        <w:keepLines w:val="0"/>
        <w:pageBreakBefore w:val="0"/>
        <w:widowControl/>
        <w:kinsoku w:val="0"/>
        <w:wordWrap/>
        <w:overflowPunct/>
        <w:topLinePunct w:val="0"/>
        <w:autoSpaceDE w:val="0"/>
        <w:autoSpaceDN w:val="0"/>
        <w:bidi w:val="0"/>
        <w:adjustRightInd w:val="0"/>
        <w:snapToGrid w:val="0"/>
        <w:spacing w:line="440" w:lineRule="exact"/>
        <w:ind w:firstLine="444" w:firstLineChars="185"/>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□投标人提供的样品质量比较</w:t>
      </w:r>
    </w:p>
    <w:p w14:paraId="34A4F6B4">
      <w:pPr>
        <w:keepNext w:val="0"/>
        <w:keepLines w:val="0"/>
        <w:pageBreakBefore w:val="0"/>
        <w:widowControl/>
        <w:kinsoku w:val="0"/>
        <w:wordWrap/>
        <w:overflowPunct/>
        <w:topLinePunct w:val="0"/>
        <w:autoSpaceDE w:val="0"/>
        <w:autoSpaceDN w:val="0"/>
        <w:bidi w:val="0"/>
        <w:adjustRightInd w:val="0"/>
        <w:snapToGrid w:val="0"/>
        <w:spacing w:line="440" w:lineRule="exact"/>
        <w:ind w:firstLine="444" w:firstLineChars="185"/>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其它</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3分</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bidi="ar"/>
        </w:rPr>
        <w:t>投标人所投供水设备拥有先进的技术可以保障设备安全供水；同时还具有技术的先进性、可靠性、使用性来保障成套设备的工作性能；从上述几个方面介绍成套设备的工作原理和各性能。由评委进行横向比较综合评分</w:t>
      </w:r>
      <w:r>
        <w:rPr>
          <w:rFonts w:hint="eastAsia" w:ascii="宋体" w:hAnsi="宋体" w:cs="宋体"/>
          <w:color w:val="auto"/>
          <w:kern w:val="0"/>
          <w:sz w:val="24"/>
          <w:szCs w:val="24"/>
          <w:highlight w:val="none"/>
          <w:shd w:val="clear" w:color="auto" w:fill="auto"/>
          <w:lang w:eastAsia="zh-CN" w:bidi="ar"/>
        </w:rPr>
        <w:t>，</w:t>
      </w:r>
      <w:r>
        <w:rPr>
          <w:rFonts w:hint="eastAsia" w:ascii="宋体" w:hAnsi="宋体" w:eastAsia="宋体" w:cs="宋体"/>
          <w:color w:val="auto"/>
          <w:kern w:val="0"/>
          <w:sz w:val="24"/>
          <w:szCs w:val="24"/>
          <w:highlight w:val="none"/>
          <w:shd w:val="clear" w:color="auto" w:fill="auto"/>
          <w:lang w:eastAsia="zh-CN" w:bidi="ar"/>
        </w:rPr>
        <w:t>（</w:t>
      </w:r>
      <w:r>
        <w:rPr>
          <w:rFonts w:hint="eastAsia" w:ascii="宋体" w:hAnsi="宋体" w:cs="宋体"/>
          <w:color w:val="auto"/>
          <w:sz w:val="24"/>
          <w:szCs w:val="24"/>
          <w:highlight w:val="none"/>
          <w:shd w:val="clear" w:color="auto" w:fill="auto"/>
          <w:lang w:val="en-US" w:eastAsia="zh-CN"/>
        </w:rPr>
        <w:t>0-3</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kern w:val="0"/>
          <w:sz w:val="24"/>
          <w:szCs w:val="24"/>
          <w:highlight w:val="none"/>
          <w:shd w:val="clear" w:color="auto" w:fill="auto"/>
          <w:lang w:bidi="ar"/>
        </w:rPr>
        <w:t>。</w:t>
      </w:r>
      <w:r>
        <w:rPr>
          <w:rFonts w:hint="eastAsia" w:ascii="宋体" w:hAnsi="宋体" w:cs="宋体"/>
          <w:color w:val="auto"/>
          <w:kern w:val="0"/>
          <w:sz w:val="24"/>
          <w:szCs w:val="24"/>
          <w:highlight w:val="none"/>
          <w:shd w:val="clear" w:color="auto" w:fill="auto"/>
          <w:lang w:val="en-US" w:eastAsia="zh-CN" w:bidi="ar"/>
        </w:rPr>
        <w:t>优秀得2.1-3分，良好得1.1-2分，一般得0-1分</w:t>
      </w:r>
      <w:r>
        <w:rPr>
          <w:rFonts w:hint="eastAsia" w:ascii="宋体" w:hAnsi="宋体" w:eastAsia="宋体" w:cs="宋体"/>
          <w:color w:val="auto"/>
          <w:sz w:val="24"/>
          <w:szCs w:val="24"/>
          <w:highlight w:val="none"/>
          <w:shd w:val="clear" w:color="auto" w:fill="auto"/>
        </w:rPr>
        <w:t>。</w:t>
      </w:r>
    </w:p>
    <w:p w14:paraId="2B4DF625">
      <w:pPr>
        <w:spacing w:line="420" w:lineRule="exact"/>
        <w:ind w:firstLine="462" w:firstLineChars="200"/>
        <w:jc w:val="both"/>
        <w:rPr>
          <w:rFonts w:hint="eastAsia" w:ascii="宋体" w:hAnsi="宋体" w:eastAsia="宋体" w:cs="宋体"/>
          <w:b/>
          <w:bCs/>
          <w:color w:val="auto"/>
          <w:sz w:val="23"/>
          <w:szCs w:val="23"/>
          <w:highlight w:val="none"/>
          <w:shd w:val="clear" w:color="auto" w:fill="auto"/>
        </w:rPr>
      </w:pPr>
      <w:r>
        <w:rPr>
          <w:rFonts w:hint="eastAsia" w:ascii="宋体" w:hAnsi="宋体" w:eastAsia="宋体" w:cs="宋体"/>
          <w:b/>
          <w:bCs/>
          <w:color w:val="auto"/>
          <w:sz w:val="23"/>
          <w:szCs w:val="23"/>
          <w:highlight w:val="none"/>
          <w:shd w:val="clear" w:color="auto" w:fill="auto"/>
        </w:rPr>
        <w:t>(四)投标文件的商务标评审</w:t>
      </w:r>
    </w:p>
    <w:p w14:paraId="2A85D71B">
      <w:pPr>
        <w:spacing w:line="420" w:lineRule="exact"/>
        <w:ind w:firstLine="49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1.由评标委员会全体成员对投标文件的报价进行评审。评标专家应对报价的范围、数量、单价、费用组成和总价等进行全面审阅和对比分析，找出报价差异的原因及存在的问题。</w:t>
      </w:r>
    </w:p>
    <w:p w14:paraId="4EEC5D2A">
      <w:pPr>
        <w:spacing w:line="420" w:lineRule="exact"/>
        <w:ind w:firstLine="483"/>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2.报价评审应以报价口径范围一致的投标评标价为依据。投标评标价应在最终报价的基础上，按照招标文件约定的因素和方法进行计算。</w:t>
      </w:r>
    </w:p>
    <w:p w14:paraId="0CA2A91C">
      <w:pPr>
        <w:spacing w:line="420" w:lineRule="exact"/>
        <w:ind w:firstLine="483"/>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3.评标基准价由评标委员会依据下述方法计算，除计算差错外，确认后的评标基准价在本次招标期间保持不变。</w:t>
      </w:r>
    </w:p>
    <w:p w14:paraId="6EFBB118">
      <w:pPr>
        <w:spacing w:line="420" w:lineRule="exact"/>
        <w:ind w:firstLine="460" w:firstLineChars="200"/>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计算差错，仅限于以下两种情况：(1)纯算术性四则运算差错；(2)未按约定的计算方法，多计或者少计投标人报价的。由于评标差错，导致否决投标错误，重新评标纠正等其他情况，不属于计算差错。</w:t>
      </w:r>
    </w:p>
    <w:p w14:paraId="6E0FAB76">
      <w:pPr>
        <w:spacing w:line="420" w:lineRule="exact"/>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4.报价评分(</w:t>
      </w:r>
      <w:r>
        <w:rPr>
          <w:rFonts w:hint="eastAsia" w:ascii="宋体" w:hAnsi="宋体" w:eastAsia="宋体" w:cs="宋体"/>
          <w:color w:val="auto"/>
          <w:sz w:val="23"/>
          <w:szCs w:val="23"/>
          <w:highlight w:val="none"/>
          <w:shd w:val="clear" w:color="auto" w:fill="auto"/>
        </w:rPr>
        <w:t>37分)</w:t>
      </w:r>
    </w:p>
    <w:p w14:paraId="3C9C6AFE">
      <w:pPr>
        <w:spacing w:before="117" w:line="227" w:lineRule="auto"/>
        <w:ind w:left="516"/>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lang w:eastAsia="zh-CN"/>
        </w:rPr>
        <w:t>☑</w:t>
      </w:r>
      <w:r>
        <w:rPr>
          <w:rFonts w:hint="eastAsia" w:ascii="宋体" w:hAnsi="宋体" w:eastAsia="宋体" w:cs="宋体"/>
          <w:color w:val="auto"/>
          <w:sz w:val="23"/>
          <w:szCs w:val="23"/>
          <w:highlight w:val="none"/>
          <w:shd w:val="clear" w:color="auto" w:fill="auto"/>
        </w:rPr>
        <w:t>平均价法（方法一）</w:t>
      </w:r>
    </w:p>
    <w:p w14:paraId="140BA05E">
      <w:pPr>
        <w:spacing w:line="420" w:lineRule="exact"/>
        <w:ind w:firstLine="492"/>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(1)评分范围：通过符合性审查的所有投标文件进入评分范围。</w:t>
      </w:r>
    </w:p>
    <w:p w14:paraId="0C1D9B1D">
      <w:pPr>
        <w:spacing w:line="420" w:lineRule="exact"/>
        <w:ind w:firstLine="492"/>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(2)评标基准价：进入评分范围的投标评标价的算术平均值为评标基准价(其中，投标评标价在5个至7个时，去除一个最高价和一个最低价；投标评标价在8个及以上时，去除一个最高、次高价和一个最低、次低价)。</w:t>
      </w:r>
    </w:p>
    <w:p w14:paraId="610CA89D">
      <w:pPr>
        <w:spacing w:line="420" w:lineRule="exact"/>
        <w:ind w:firstLine="492"/>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(3)根据投标文件的投标评标价与评标基准价对比，计算投标人的商务报价的得分值。</w:t>
      </w:r>
    </w:p>
    <w:p w14:paraId="5F2F2CD4">
      <w:pPr>
        <w:spacing w:before="132" w:line="229" w:lineRule="auto"/>
        <w:ind w:left="18"/>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即：</w:t>
      </w:r>
    </w:p>
    <w:p w14:paraId="50AD8779">
      <w:pPr>
        <w:spacing w:before="156" w:line="439" w:lineRule="exact"/>
        <w:ind w:left="48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5"/>
          <w:sz w:val="23"/>
          <w:szCs w:val="23"/>
          <w:highlight w:val="none"/>
          <w:shd w:val="clear" w:color="auto" w:fill="auto"/>
        </w:rPr>
        <w:t>a.投标评标价等于评标基准价时，得满分</w:t>
      </w:r>
      <w:r>
        <w:rPr>
          <w:rFonts w:hint="eastAsia" w:ascii="宋体" w:hAnsi="宋体" w:eastAsia="宋体" w:cs="宋体"/>
          <w:color w:val="auto"/>
          <w:position w:val="15"/>
          <w:sz w:val="23"/>
          <w:szCs w:val="23"/>
          <w:highlight w:val="none"/>
          <w:shd w:val="clear" w:color="auto" w:fill="auto"/>
        </w:rPr>
        <w:t>(37分)</w:t>
      </w:r>
      <w:r>
        <w:rPr>
          <w:rFonts w:hint="eastAsia" w:ascii="宋体" w:hAnsi="宋体" w:eastAsia="宋体" w:cs="宋体"/>
          <w:color w:val="auto"/>
          <w:position w:val="15"/>
          <w:sz w:val="23"/>
          <w:szCs w:val="23"/>
          <w:highlight w:val="none"/>
          <w:shd w:val="clear" w:color="auto" w:fill="auto"/>
        </w:rPr>
        <w:t>；</w:t>
      </w:r>
    </w:p>
    <w:p w14:paraId="2CE1D806">
      <w:pPr>
        <w:spacing w:line="228" w:lineRule="auto"/>
        <w:ind w:left="47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b.投标评标价每低于评标基准价1个百分点，扣0.5分；</w:t>
      </w:r>
    </w:p>
    <w:p w14:paraId="1E909DE4">
      <w:pPr>
        <w:spacing w:before="155" w:line="228" w:lineRule="auto"/>
        <w:ind w:left="48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c.投标评标价每高于评标基准价1个百分点，扣1分。</w:t>
      </w:r>
    </w:p>
    <w:p w14:paraId="65200883">
      <w:pPr>
        <w:spacing w:before="158" w:line="353" w:lineRule="auto"/>
        <w:ind w:left="11" w:right="119" w:firstLine="460" w:firstLineChars="200"/>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以上报价得分不足一个百分点时，使用直线插入法计算，保留小数2位。投标文件的商务标评分不足10分的，计为10分。</w:t>
      </w:r>
    </w:p>
    <w:p w14:paraId="46E8F717">
      <w:pPr>
        <w:spacing w:line="228" w:lineRule="auto"/>
        <w:ind w:left="505"/>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lang w:eastAsia="zh-CN"/>
        </w:rPr>
        <w:t>□</w:t>
      </w:r>
      <w:r>
        <w:rPr>
          <w:rFonts w:hint="eastAsia" w:ascii="宋体" w:hAnsi="宋体" w:eastAsia="宋体" w:cs="宋体"/>
          <w:strike/>
          <w:color w:val="auto"/>
          <w:sz w:val="23"/>
          <w:szCs w:val="23"/>
          <w:highlight w:val="none"/>
          <w:shd w:val="clear" w:color="auto" w:fill="auto"/>
        </w:rPr>
        <w:t>二次平均法（方法二）</w:t>
      </w:r>
    </w:p>
    <w:p w14:paraId="2B7EBFFF">
      <w:pPr>
        <w:spacing w:before="157" w:line="229" w:lineRule="auto"/>
        <w:ind w:left="492"/>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(1)评分范围：通过符合性审查的所有投标文件进入评分范围。</w:t>
      </w:r>
    </w:p>
    <w:p w14:paraId="31613E45">
      <w:pPr>
        <w:spacing w:line="420" w:lineRule="exact"/>
        <w:ind w:firstLine="460" w:firstLineChars="20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(2)报价平均值：进入评分范围的投标评标价的算术平均值为报价平均值(其中，投标评标价在5个至7个时，去除一个最高价和一个最低价；投标评标价在8个及以上时，去除一个最高、次高价和一个最低、次低价)。</w:t>
      </w:r>
    </w:p>
    <w:p w14:paraId="503A6C86">
      <w:pPr>
        <w:spacing w:line="420" w:lineRule="exact"/>
        <w:ind w:firstLine="492"/>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(3)评标基准价：报价平均值与进入评分范围的投标评标价中的次低投标评标价(不足4个的与最低投标评标价)的算术平均值为评标基准价。</w:t>
      </w:r>
    </w:p>
    <w:p w14:paraId="53B6E91A">
      <w:pPr>
        <w:spacing w:line="420" w:lineRule="exact"/>
        <w:ind w:firstLine="473"/>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(4)根据投标文件的投标评标价与评标基准价对比，计算投标人的商务报价的得分值。即：</w:t>
      </w:r>
    </w:p>
    <w:p w14:paraId="32D12A6E">
      <w:pPr>
        <w:spacing w:line="442" w:lineRule="exact"/>
        <w:ind w:left="481"/>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position w:val="15"/>
          <w:sz w:val="23"/>
          <w:szCs w:val="23"/>
          <w:highlight w:val="none"/>
          <w:shd w:val="clear" w:color="auto" w:fill="auto"/>
        </w:rPr>
        <w:t>a.投标评标价等于评标基准价时，得满分(67~37分)；</w:t>
      </w:r>
    </w:p>
    <w:p w14:paraId="6618AA0F">
      <w:pPr>
        <w:spacing w:line="228" w:lineRule="auto"/>
        <w:ind w:left="477"/>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b.投标评标价每低于评标基准价1个百分点，扣0.5分；</w:t>
      </w:r>
    </w:p>
    <w:p w14:paraId="6BD9175D">
      <w:pPr>
        <w:spacing w:before="155" w:line="228" w:lineRule="auto"/>
        <w:ind w:left="485"/>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c.投标评标价每高于评标基准价1个百分点，扣1分。</w:t>
      </w:r>
    </w:p>
    <w:p w14:paraId="470A0C25">
      <w:pPr>
        <w:spacing w:before="158" w:line="353" w:lineRule="auto"/>
        <w:ind w:left="11" w:right="119" w:firstLine="460" w:firstLineChars="20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以上报价得分不足一个百分点时，使用直线插入法计算，保留小数2位。投标文件的商务标评分不足10分的，计为10分。</w:t>
      </w:r>
    </w:p>
    <w:p w14:paraId="124AC61A">
      <w:pPr>
        <w:spacing w:line="226" w:lineRule="auto"/>
        <w:ind w:left="505"/>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□平均价下浮法（方法三）</w:t>
      </w:r>
    </w:p>
    <w:p w14:paraId="4627971D">
      <w:pPr>
        <w:spacing w:line="420" w:lineRule="exact"/>
        <w:ind w:firstLine="492"/>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(1)评分范围：通过符合性审查的所有投标文件进入评分范围。</w:t>
      </w:r>
    </w:p>
    <w:p w14:paraId="302ED236">
      <w:pPr>
        <w:spacing w:line="420" w:lineRule="exact"/>
        <w:ind w:firstLine="492"/>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(2)报价平均值：进入评分范围的所有投标人的评标价的算术平均值为报价平均值(其中，投标评标价在5个至7个时，去除一个最高价和一个最低价；投标评标价在8个及以上时，去除一个最高、次高价和一个最低、次低价)。</w:t>
      </w:r>
    </w:p>
    <w:p w14:paraId="0E2C9C61">
      <w:pPr>
        <w:spacing w:line="420" w:lineRule="exact"/>
        <w:ind w:firstLine="492"/>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(3)评标基准值：</w:t>
      </w:r>
    </w:p>
    <w:p w14:paraId="5AFA84F7">
      <w:pPr>
        <w:spacing w:line="420" w:lineRule="exact"/>
        <w:ind w:firstLine="492"/>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a.由招标人代表在开标室从</w:t>
      </w:r>
      <w:r>
        <w:rPr>
          <w:rFonts w:hint="eastAsia" w:ascii="宋体" w:hAnsi="宋体" w:eastAsia="宋体" w:cs="宋体"/>
          <w:strike/>
          <w:color w:val="auto"/>
          <w:sz w:val="23"/>
          <w:szCs w:val="23"/>
          <w:highlight w:val="none"/>
          <w:u w:val="single"/>
          <w:shd w:val="clear" w:color="auto" w:fill="auto"/>
        </w:rPr>
        <w:t xml:space="preserve">    </w:t>
      </w:r>
      <w:r>
        <w:rPr>
          <w:rFonts w:hint="eastAsia" w:ascii="宋体" w:hAnsi="宋体" w:eastAsia="宋体" w:cs="宋体"/>
          <w:strike/>
          <w:color w:val="auto"/>
          <w:sz w:val="23"/>
          <w:szCs w:val="23"/>
          <w:highlight w:val="none"/>
          <w:shd w:val="clear" w:color="auto" w:fill="auto"/>
        </w:rPr>
        <w:t>%、</w:t>
      </w:r>
      <w:r>
        <w:rPr>
          <w:rFonts w:hint="eastAsia" w:ascii="宋体" w:hAnsi="宋体" w:eastAsia="宋体" w:cs="宋体"/>
          <w:strike/>
          <w:color w:val="auto"/>
          <w:sz w:val="23"/>
          <w:szCs w:val="23"/>
          <w:highlight w:val="none"/>
          <w:u w:val="single"/>
          <w:shd w:val="clear" w:color="auto" w:fill="auto"/>
        </w:rPr>
        <w:t xml:space="preserve">    </w:t>
      </w:r>
      <w:r>
        <w:rPr>
          <w:rFonts w:hint="eastAsia" w:ascii="宋体" w:hAnsi="宋体" w:eastAsia="宋体" w:cs="宋体"/>
          <w:strike/>
          <w:color w:val="auto"/>
          <w:sz w:val="23"/>
          <w:szCs w:val="23"/>
          <w:highlight w:val="none"/>
          <w:shd w:val="clear" w:color="auto" w:fill="auto"/>
        </w:rPr>
        <w:t>%、</w:t>
      </w:r>
      <w:r>
        <w:rPr>
          <w:rFonts w:hint="eastAsia" w:ascii="宋体" w:hAnsi="宋体" w:eastAsia="宋体" w:cs="宋体"/>
          <w:strike/>
          <w:color w:val="auto"/>
          <w:sz w:val="23"/>
          <w:szCs w:val="23"/>
          <w:highlight w:val="none"/>
          <w:u w:val="single"/>
          <w:shd w:val="clear" w:color="auto" w:fill="auto"/>
        </w:rPr>
        <w:t xml:space="preserve">     </w:t>
      </w:r>
      <w:r>
        <w:rPr>
          <w:rFonts w:hint="eastAsia" w:ascii="宋体" w:hAnsi="宋体" w:eastAsia="宋体" w:cs="宋体"/>
          <w:strike/>
          <w:color w:val="auto"/>
          <w:sz w:val="23"/>
          <w:szCs w:val="23"/>
          <w:highlight w:val="none"/>
          <w:shd w:val="clear" w:color="auto" w:fill="auto"/>
        </w:rPr>
        <w:t>%、</w:t>
      </w:r>
      <w:r>
        <w:rPr>
          <w:rFonts w:hint="eastAsia" w:ascii="宋体" w:hAnsi="宋体" w:eastAsia="宋体" w:cs="宋体"/>
          <w:strike/>
          <w:color w:val="auto"/>
          <w:sz w:val="23"/>
          <w:szCs w:val="23"/>
          <w:highlight w:val="none"/>
          <w:u w:val="single"/>
          <w:shd w:val="clear" w:color="auto" w:fill="auto"/>
        </w:rPr>
        <w:t xml:space="preserve">     </w:t>
      </w:r>
      <w:r>
        <w:rPr>
          <w:rFonts w:hint="eastAsia" w:ascii="宋体" w:hAnsi="宋体" w:eastAsia="宋体" w:cs="宋体"/>
          <w:strike/>
          <w:color w:val="auto"/>
          <w:sz w:val="23"/>
          <w:szCs w:val="23"/>
          <w:highlight w:val="none"/>
          <w:shd w:val="clear" w:color="auto" w:fill="auto"/>
        </w:rPr>
        <w:t>%、</w:t>
      </w:r>
      <w:r>
        <w:rPr>
          <w:rFonts w:hint="eastAsia" w:ascii="宋体" w:hAnsi="宋体" w:eastAsia="宋体" w:cs="宋体"/>
          <w:strike/>
          <w:color w:val="auto"/>
          <w:sz w:val="23"/>
          <w:szCs w:val="23"/>
          <w:highlight w:val="none"/>
          <w:u w:val="single"/>
          <w:shd w:val="clear" w:color="auto" w:fill="auto"/>
        </w:rPr>
        <w:t xml:space="preserve">     </w:t>
      </w:r>
      <w:r>
        <w:rPr>
          <w:rFonts w:hint="eastAsia" w:ascii="宋体" w:hAnsi="宋体" w:eastAsia="宋体" w:cs="宋体"/>
          <w:strike/>
          <w:color w:val="auto"/>
          <w:sz w:val="23"/>
          <w:szCs w:val="23"/>
          <w:highlight w:val="none"/>
          <w:shd w:val="clear" w:color="auto" w:fill="auto"/>
        </w:rPr>
        <w:t>%中随机抽取一个百分数，作为下浮值；</w:t>
      </w:r>
      <w:r>
        <w:rPr>
          <w:rStyle w:val="33"/>
          <w:rFonts w:hint="eastAsia" w:ascii="宋体" w:hAnsi="宋体" w:eastAsia="宋体" w:cs="宋体"/>
          <w:strike/>
          <w:color w:val="auto"/>
          <w:highlight w:val="none"/>
          <w:shd w:val="clear" w:color="auto" w:fill="auto"/>
        </w:rPr>
        <w:t>（招标人可在0%-10%范围内设定不少于5个数值，间距不少于3%，步长不低于0.5%）</w:t>
      </w:r>
    </w:p>
    <w:p w14:paraId="7303A426">
      <w:pPr>
        <w:spacing w:line="420" w:lineRule="exact"/>
        <w:ind w:firstLine="492"/>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b.评标委员会按以下公式计算出评标基准价：</w:t>
      </w:r>
    </w:p>
    <w:p w14:paraId="146BF24C">
      <w:pPr>
        <w:spacing w:before="128" w:line="227" w:lineRule="auto"/>
        <w:ind w:left="48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评标基准价=报价平均值×(1-下浮值)</w:t>
      </w:r>
    </w:p>
    <w:p w14:paraId="26332C46">
      <w:pPr>
        <w:spacing w:before="157" w:line="227" w:lineRule="auto"/>
        <w:ind w:left="492"/>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(4)根据投标文件的投标评标价与评标基准价对比，计算投标人的商务报价的得分</w:t>
      </w:r>
    </w:p>
    <w:p w14:paraId="1603E7C9">
      <w:pPr>
        <w:spacing w:before="157" w:line="227" w:lineRule="auto"/>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值。</w:t>
      </w:r>
    </w:p>
    <w:p w14:paraId="0AFFCF93">
      <w:pPr>
        <w:spacing w:before="132" w:line="229" w:lineRule="auto"/>
        <w:ind w:left="19"/>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即：</w:t>
      </w:r>
    </w:p>
    <w:p w14:paraId="4A276CF7">
      <w:pPr>
        <w:spacing w:before="156" w:line="439" w:lineRule="exact"/>
        <w:ind w:left="482"/>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position w:val="15"/>
          <w:sz w:val="23"/>
          <w:szCs w:val="23"/>
          <w:highlight w:val="none"/>
          <w:shd w:val="clear" w:color="auto" w:fill="auto"/>
        </w:rPr>
        <w:t>a.投标评标价等于评标基准价时，得满分(67~37分)；</w:t>
      </w:r>
    </w:p>
    <w:p w14:paraId="2287B77C">
      <w:pPr>
        <w:spacing w:line="228" w:lineRule="auto"/>
        <w:ind w:left="478"/>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b.投标评标价每低于评标基准价1个百分点，扣0.5分；</w:t>
      </w:r>
    </w:p>
    <w:p w14:paraId="297E3ECB">
      <w:pPr>
        <w:spacing w:before="155" w:line="228" w:lineRule="auto"/>
        <w:ind w:left="486"/>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c.投标评标价每高于评标基准价1个百分点，扣1分。</w:t>
      </w:r>
    </w:p>
    <w:p w14:paraId="1B60E2B6">
      <w:pPr>
        <w:spacing w:before="158" w:line="353" w:lineRule="auto"/>
        <w:ind w:left="11" w:right="79" w:firstLine="460" w:firstLineChars="200"/>
        <w:jc w:val="both"/>
        <w:rPr>
          <w:rFonts w:hint="eastAsia" w:ascii="宋体" w:hAnsi="宋体" w:eastAsia="宋体" w:cs="宋体"/>
          <w:strike/>
          <w:color w:val="auto"/>
          <w:sz w:val="23"/>
          <w:szCs w:val="23"/>
          <w:highlight w:val="none"/>
          <w:shd w:val="clear" w:color="auto" w:fill="auto"/>
        </w:rPr>
      </w:pPr>
      <w:r>
        <w:rPr>
          <w:rFonts w:hint="eastAsia" w:ascii="宋体" w:hAnsi="宋体" w:eastAsia="宋体" w:cs="宋体"/>
          <w:strike/>
          <w:color w:val="auto"/>
          <w:sz w:val="23"/>
          <w:szCs w:val="23"/>
          <w:highlight w:val="none"/>
          <w:shd w:val="clear" w:color="auto" w:fill="auto"/>
        </w:rPr>
        <w:t>以上报价得分不足一个百分点时，使用直线插入法计算，保留小数2位。投标文件的商务标评分不足10分的，计为10分。</w:t>
      </w:r>
    </w:p>
    <w:p w14:paraId="27784E85">
      <w:pPr>
        <w:spacing w:line="228" w:lineRule="auto"/>
        <w:ind w:left="493"/>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(五)投标文件的综合评分：投标文件的资信业绩评分、技术评分、商务评分的总和。</w:t>
      </w:r>
    </w:p>
    <w:p w14:paraId="429A4FB7">
      <w:pPr>
        <w:spacing w:before="157" w:line="229" w:lineRule="auto"/>
        <w:ind w:left="493"/>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(六)对投标人进行排序，推荐中标候选人</w:t>
      </w:r>
    </w:p>
    <w:p w14:paraId="063CB17C">
      <w:pPr>
        <w:spacing w:before="154" w:line="353" w:lineRule="auto"/>
        <w:ind w:right="65" w:firstLine="498"/>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1.评标委员会根据综合评分对进入评分范围的投标文件按最终得分由高到低进行排序</w:t>
      </w:r>
      <w:r>
        <w:rPr>
          <w:rFonts w:hint="eastAsia" w:ascii="宋体" w:hAnsi="宋体" w:eastAsia="宋体" w:cs="宋体"/>
          <w:color w:val="auto"/>
          <w:sz w:val="23"/>
          <w:szCs w:val="23"/>
          <w:highlight w:val="none"/>
          <w:shd w:val="clear" w:color="auto" w:fill="auto"/>
        </w:rPr>
        <w:t>，</w:t>
      </w:r>
      <w:r>
        <w:rPr>
          <w:rFonts w:hint="eastAsia" w:ascii="宋体" w:hAnsi="宋体" w:eastAsia="宋体" w:cs="宋体"/>
          <w:color w:val="auto"/>
          <w:sz w:val="23"/>
          <w:szCs w:val="23"/>
          <w:highlight w:val="none"/>
          <w:u w:val="single"/>
          <w:shd w:val="clear" w:color="auto" w:fill="auto"/>
        </w:rPr>
        <w:t>总分前3名为中标候选人</w:t>
      </w:r>
      <w:r>
        <w:rPr>
          <w:rFonts w:hint="eastAsia" w:ascii="宋体" w:hAnsi="宋体" w:eastAsia="宋体" w:cs="宋体"/>
          <w:color w:val="auto"/>
          <w:sz w:val="23"/>
          <w:szCs w:val="23"/>
          <w:highlight w:val="none"/>
          <w:shd w:val="clear" w:color="auto" w:fill="auto"/>
          <w:lang w:eastAsia="zh-CN"/>
        </w:rPr>
        <w:t>，</w:t>
      </w:r>
      <w:r>
        <w:rPr>
          <w:rFonts w:hint="eastAsia" w:ascii="宋体" w:hAnsi="宋体" w:eastAsia="宋体" w:cs="宋体"/>
          <w:color w:val="auto"/>
          <w:sz w:val="23"/>
          <w:szCs w:val="23"/>
          <w:highlight w:val="none"/>
          <w:shd w:val="clear" w:color="auto" w:fill="auto"/>
        </w:rPr>
        <w:t>评分相同时，报价低者优先；评分、报价均相同时，技术得分高优先；评分、报价、技术得分均相同时，由评标委员会通过</w:t>
      </w:r>
      <w:r>
        <w:rPr>
          <w:rFonts w:hint="eastAsia" w:ascii="宋体" w:hAnsi="宋体" w:eastAsia="宋体" w:cs="宋体"/>
          <w:color w:val="auto"/>
          <w:sz w:val="23"/>
          <w:szCs w:val="23"/>
          <w:highlight w:val="none"/>
          <w:shd w:val="clear" w:color="auto" w:fill="auto"/>
          <w:lang w:eastAsia="zh-CN"/>
        </w:rPr>
        <w:t>☑</w:t>
      </w:r>
      <w:r>
        <w:rPr>
          <w:rFonts w:hint="eastAsia" w:ascii="宋体" w:hAnsi="宋体" w:eastAsia="宋体" w:cs="宋体"/>
          <w:color w:val="auto"/>
          <w:sz w:val="23"/>
          <w:szCs w:val="23"/>
          <w:highlight w:val="none"/>
          <w:shd w:val="clear" w:color="auto" w:fill="auto"/>
        </w:rPr>
        <w:t>抽签(或□记名投票表决)方式排序。</w:t>
      </w:r>
    </w:p>
    <w:p w14:paraId="2CDA86C3">
      <w:pPr>
        <w:spacing w:before="1" w:line="228" w:lineRule="auto"/>
        <w:ind w:left="484"/>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2.评标委员会根据投标人须知前附表7.1规定，确定中标人或推荐中标候选人。</w:t>
      </w:r>
    </w:p>
    <w:p w14:paraId="7B88FC05">
      <w:pPr>
        <w:spacing w:before="154" w:line="238" w:lineRule="auto"/>
        <w:ind w:left="48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五、完成评标报告</w:t>
      </w:r>
    </w:p>
    <w:p w14:paraId="5D69F514">
      <w:pPr>
        <w:spacing w:before="154" w:line="353" w:lineRule="auto"/>
        <w:ind w:right="65" w:firstLine="498"/>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一)评标委员会应当向招标人提交书面评标报告。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3B21F06A">
      <w:pPr>
        <w:spacing w:before="1" w:line="226" w:lineRule="auto"/>
        <w:ind w:left="493"/>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(二)评标报告应包括以下内容：</w:t>
      </w:r>
    </w:p>
    <w:p w14:paraId="67C1C1BE">
      <w:pPr>
        <w:spacing w:before="157" w:line="441" w:lineRule="exact"/>
        <w:ind w:left="499"/>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5"/>
          <w:sz w:val="23"/>
          <w:szCs w:val="23"/>
          <w:highlight w:val="none"/>
          <w:shd w:val="clear" w:color="auto" w:fill="auto"/>
        </w:rPr>
        <w:t>1.开标记录；</w:t>
      </w:r>
    </w:p>
    <w:p w14:paraId="49D28F40">
      <w:pPr>
        <w:spacing w:line="312" w:lineRule="exact"/>
        <w:ind w:left="484"/>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
          <w:sz w:val="23"/>
          <w:szCs w:val="23"/>
          <w:highlight w:val="none"/>
          <w:shd w:val="clear" w:color="auto" w:fill="auto"/>
        </w:rPr>
        <w:t>2.评标内容、过程和结果；</w:t>
      </w:r>
    </w:p>
    <w:p w14:paraId="27C0D6B7">
      <w:pPr>
        <w:spacing w:before="128" w:line="309" w:lineRule="exact"/>
        <w:ind w:left="486"/>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
          <w:sz w:val="23"/>
          <w:szCs w:val="23"/>
          <w:highlight w:val="none"/>
          <w:shd w:val="clear" w:color="auto" w:fill="auto"/>
        </w:rPr>
        <w:t>3.询标澄清纪要；</w:t>
      </w:r>
    </w:p>
    <w:p w14:paraId="4F93AD8B">
      <w:pPr>
        <w:spacing w:before="130" w:line="311" w:lineRule="exact"/>
        <w:ind w:left="480"/>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
          <w:sz w:val="23"/>
          <w:szCs w:val="23"/>
          <w:highlight w:val="none"/>
          <w:shd w:val="clear" w:color="auto" w:fill="auto"/>
        </w:rPr>
        <w:t>4.否决投标情况说明及依据；</w:t>
      </w:r>
    </w:p>
    <w:p w14:paraId="0B402FD4">
      <w:pPr>
        <w:spacing w:before="130" w:line="310" w:lineRule="exact"/>
        <w:ind w:left="486"/>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
          <w:sz w:val="23"/>
          <w:szCs w:val="23"/>
          <w:highlight w:val="none"/>
          <w:shd w:val="clear" w:color="auto" w:fill="auto"/>
        </w:rPr>
        <w:t>5.推荐中标候选人；</w:t>
      </w:r>
    </w:p>
    <w:p w14:paraId="46738C19">
      <w:pPr>
        <w:spacing w:before="130" w:line="325" w:lineRule="auto"/>
        <w:ind w:left="10" w:firstLine="473"/>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6.中标候选人投标资格条件业绩和评分业绩(招标文件对投标资格或评分有业绩要求的)；</w:t>
      </w:r>
    </w:p>
    <w:p w14:paraId="679B455D">
      <w:pPr>
        <w:spacing w:line="310" w:lineRule="exact"/>
        <w:ind w:left="48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position w:val="1"/>
          <w:sz w:val="23"/>
          <w:szCs w:val="23"/>
          <w:highlight w:val="none"/>
          <w:shd w:val="clear" w:color="auto" w:fill="auto"/>
        </w:rPr>
        <w:t>7.其他建议。</w:t>
      </w:r>
    </w:p>
    <w:p w14:paraId="4AFF847D">
      <w:pPr>
        <w:jc w:val="both"/>
        <w:rPr>
          <w:rFonts w:hint="eastAsia" w:ascii="宋体" w:hAnsi="宋体" w:eastAsia="宋体" w:cs="宋体"/>
          <w:color w:val="auto"/>
          <w:highlight w:val="none"/>
          <w:shd w:val="clear" w:color="auto" w:fill="auto"/>
        </w:rPr>
        <w:sectPr>
          <w:footerReference r:id="rId15" w:type="default"/>
          <w:pgSz w:w="11907" w:h="16840"/>
          <w:pgMar w:top="1418" w:right="1559" w:bottom="1418" w:left="1474" w:header="0" w:footer="723" w:gutter="0"/>
          <w:cols w:space="720" w:num="1"/>
        </w:sectPr>
      </w:pPr>
    </w:p>
    <w:p w14:paraId="26EC691F">
      <w:pPr>
        <w:spacing w:before="101" w:line="225" w:lineRule="auto"/>
        <w:ind w:left="2654"/>
        <w:jc w:val="both"/>
        <w:outlineLvl w:val="0"/>
        <w:rPr>
          <w:rFonts w:hint="eastAsia" w:ascii="宋体" w:hAnsi="宋体" w:eastAsia="宋体" w:cs="宋体"/>
          <w:color w:val="auto"/>
          <w:sz w:val="31"/>
          <w:szCs w:val="31"/>
          <w:highlight w:val="none"/>
          <w:shd w:val="clear" w:color="auto" w:fill="auto"/>
        </w:rPr>
      </w:pPr>
      <w:bookmarkStart w:id="44" w:name="_bookmark12"/>
      <w:bookmarkEnd w:id="44"/>
      <w:r>
        <w:rPr>
          <w:rFonts w:hint="eastAsia" w:ascii="宋体" w:hAnsi="宋体" w:eastAsia="宋体" w:cs="宋体"/>
          <w:color w:val="auto"/>
          <w:sz w:val="31"/>
          <w:szCs w:val="31"/>
          <w:highlight w:val="none"/>
          <w:shd w:val="clear" w:color="auto" w:fill="auto"/>
        </w:rPr>
        <w:t>第四章合同条款及格式</w:t>
      </w:r>
    </w:p>
    <w:p w14:paraId="5E8F370A">
      <w:pPr>
        <w:spacing w:line="360" w:lineRule="auto"/>
        <w:ind w:firstLine="462" w:firstLineChars="200"/>
        <w:jc w:val="both"/>
        <w:rPr>
          <w:rFonts w:hint="eastAsia" w:ascii="宋体" w:hAnsi="宋体" w:eastAsia="宋体" w:cs="宋体"/>
          <w:b/>
          <w:bCs/>
          <w:color w:val="auto"/>
          <w:sz w:val="23"/>
          <w:szCs w:val="23"/>
          <w:highlight w:val="none"/>
          <w:shd w:val="clear" w:color="auto" w:fill="auto"/>
          <w:lang w:bidi="ar"/>
        </w:rPr>
      </w:pPr>
    </w:p>
    <w:p w14:paraId="58AE83DF">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宋体" w:hAnsi="宋体" w:eastAsia="宋体" w:cs="宋体"/>
          <w:b/>
          <w:color w:val="auto"/>
          <w:sz w:val="24"/>
          <w:highlight w:val="none"/>
          <w:shd w:val="clear" w:color="auto" w:fill="auto"/>
        </w:rPr>
      </w:pPr>
    </w:p>
    <w:p w14:paraId="3D85E993">
      <w:pPr>
        <w:keepNext w:val="0"/>
        <w:keepLines w:val="0"/>
        <w:pageBreakBefore w:val="0"/>
        <w:widowControl w:val="0"/>
        <w:kinsoku/>
        <w:wordWrap/>
        <w:overflowPunct/>
        <w:topLinePunct w:val="0"/>
        <w:bidi w:val="0"/>
        <w:adjustRightInd w:val="0"/>
        <w:snapToGrid/>
        <w:spacing w:line="440" w:lineRule="exact"/>
        <w:textAlignment w:val="auto"/>
        <w:rPr>
          <w:rFonts w:hint="eastAsia" w:ascii="宋体" w:hAnsi="宋体" w:eastAsia="宋体" w:cs="宋体"/>
          <w:b/>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甲方（</w:t>
      </w:r>
      <w:r>
        <w:rPr>
          <w:rFonts w:hint="eastAsia" w:ascii="宋体" w:hAnsi="宋体" w:eastAsia="宋体" w:cs="宋体"/>
          <w:b/>
          <w:color w:val="auto"/>
          <w:sz w:val="24"/>
          <w:highlight w:val="none"/>
          <w:shd w:val="clear" w:color="auto" w:fill="auto"/>
          <w:lang w:eastAsia="zh-CN"/>
        </w:rPr>
        <w:t>招标人</w:t>
      </w:r>
      <w:r>
        <w:rPr>
          <w:rFonts w:hint="eastAsia" w:ascii="宋体" w:hAnsi="宋体" w:eastAsia="宋体" w:cs="宋体"/>
          <w:b/>
          <w:color w:val="auto"/>
          <w:sz w:val="24"/>
          <w:highlight w:val="none"/>
          <w:shd w:val="clear" w:color="auto" w:fill="auto"/>
        </w:rPr>
        <w:t>全称）：</w:t>
      </w:r>
      <w:r>
        <w:rPr>
          <w:rFonts w:hint="eastAsia" w:ascii="宋体" w:hAnsi="宋体" w:eastAsia="宋体" w:cs="宋体"/>
          <w:bCs/>
          <w:color w:val="auto"/>
          <w:sz w:val="24"/>
          <w:highlight w:val="none"/>
          <w:u w:val="single"/>
          <w:shd w:val="clear" w:color="auto" w:fill="auto"/>
        </w:rPr>
        <w:t>绍兴市水务产业有限公司</w:t>
      </w:r>
    </w:p>
    <w:p w14:paraId="60679D01">
      <w:pPr>
        <w:keepNext w:val="0"/>
        <w:keepLines w:val="0"/>
        <w:pageBreakBefore w:val="0"/>
        <w:widowControl w:val="0"/>
        <w:kinsoku/>
        <w:wordWrap/>
        <w:overflowPunct/>
        <w:topLinePunct w:val="0"/>
        <w:bidi w:val="0"/>
        <w:adjustRightInd w:val="0"/>
        <w:snapToGrid/>
        <w:spacing w:line="440" w:lineRule="exact"/>
        <w:textAlignment w:val="auto"/>
        <w:rPr>
          <w:rFonts w:hint="eastAsia" w:ascii="宋体" w:hAnsi="宋体" w:eastAsia="宋体" w:cs="宋体"/>
          <w:b/>
          <w:color w:val="auto"/>
          <w:sz w:val="24"/>
          <w:highlight w:val="none"/>
          <w:u w:val="single"/>
          <w:shd w:val="clear" w:color="auto" w:fill="auto"/>
          <w:lang w:val="en-US" w:eastAsia="zh-CN"/>
        </w:rPr>
      </w:pPr>
      <w:r>
        <w:rPr>
          <w:rFonts w:hint="eastAsia" w:ascii="宋体" w:hAnsi="宋体" w:eastAsia="宋体" w:cs="宋体"/>
          <w:b/>
          <w:color w:val="auto"/>
          <w:sz w:val="24"/>
          <w:highlight w:val="none"/>
          <w:shd w:val="clear" w:color="auto" w:fill="auto"/>
        </w:rPr>
        <w:t>乙方（</w:t>
      </w:r>
      <w:r>
        <w:rPr>
          <w:rFonts w:hint="eastAsia" w:ascii="宋体" w:hAnsi="宋体" w:eastAsia="宋体" w:cs="宋体"/>
          <w:b/>
          <w:color w:val="auto"/>
          <w:sz w:val="24"/>
          <w:highlight w:val="none"/>
          <w:shd w:val="clear" w:color="auto" w:fill="auto"/>
          <w:lang w:eastAsia="zh-CN"/>
        </w:rPr>
        <w:t>中标人</w:t>
      </w:r>
      <w:r>
        <w:rPr>
          <w:rFonts w:hint="eastAsia" w:ascii="宋体" w:hAnsi="宋体" w:eastAsia="宋体" w:cs="宋体"/>
          <w:b/>
          <w:color w:val="auto"/>
          <w:sz w:val="24"/>
          <w:highlight w:val="none"/>
          <w:shd w:val="clear" w:color="auto" w:fill="auto"/>
        </w:rPr>
        <w:t>全称）：</w:t>
      </w:r>
      <w:r>
        <w:rPr>
          <w:rFonts w:hint="eastAsia" w:ascii="宋体" w:hAnsi="宋体" w:eastAsia="宋体" w:cs="宋体"/>
          <w:b/>
          <w:color w:val="auto"/>
          <w:sz w:val="24"/>
          <w:highlight w:val="none"/>
          <w:u w:val="single"/>
          <w:shd w:val="clear" w:color="auto" w:fill="auto"/>
        </w:rPr>
        <w:t xml:space="preserve">                     </w:t>
      </w:r>
      <w:r>
        <w:rPr>
          <w:rFonts w:hint="eastAsia" w:ascii="宋体" w:hAnsi="宋体" w:eastAsia="宋体" w:cs="宋体"/>
          <w:b/>
          <w:color w:val="auto"/>
          <w:sz w:val="24"/>
          <w:highlight w:val="none"/>
          <w:u w:val="single"/>
          <w:shd w:val="clear" w:color="auto" w:fill="auto"/>
          <w:lang w:val="en-US" w:eastAsia="zh-CN"/>
        </w:rPr>
        <w:t xml:space="preserve"> </w:t>
      </w:r>
    </w:p>
    <w:p w14:paraId="5B8AB750">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根据《中华人民共和国民法典》及有关法律规定，遵循平等、自愿、公平和诚实信用的原则，双方就</w:t>
      </w:r>
      <w:r>
        <w:rPr>
          <w:rFonts w:hint="eastAsia" w:ascii="宋体" w:hAnsi="宋体" w:eastAsia="宋体" w:cs="宋体"/>
          <w:color w:val="auto"/>
          <w:sz w:val="24"/>
          <w:highlight w:val="none"/>
          <w:u w:val="single"/>
          <w:shd w:val="clear" w:color="auto" w:fill="auto"/>
          <w:lang w:eastAsia="zh-CN"/>
        </w:rPr>
        <w:t>绍兴市水务产业有限公司二次供水设备年度采购项目</w:t>
      </w:r>
      <w:r>
        <w:rPr>
          <w:rFonts w:hint="eastAsia" w:ascii="宋体" w:hAnsi="宋体" w:eastAsia="宋体" w:cs="宋体"/>
          <w:color w:val="auto"/>
          <w:sz w:val="24"/>
          <w:highlight w:val="none"/>
          <w:shd w:val="clear" w:color="auto" w:fill="auto"/>
        </w:rPr>
        <w:t>及有关事项协商一致，共同达成如下协议：</w:t>
      </w:r>
    </w:p>
    <w:p w14:paraId="6B7BD68F">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一、项目概况</w:t>
      </w:r>
    </w:p>
    <w:p w14:paraId="6850FBF2">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auto"/>
          <w:sz w:val="24"/>
          <w:highlight w:val="none"/>
          <w:u w:val="single"/>
          <w:shd w:val="clear" w:color="auto" w:fill="auto"/>
          <w:lang w:eastAsia="zh-CN"/>
        </w:rPr>
      </w:pPr>
      <w:r>
        <w:rPr>
          <w:rFonts w:hint="eastAsia" w:ascii="宋体" w:hAnsi="宋体" w:eastAsia="宋体" w:cs="宋体"/>
          <w:bCs/>
          <w:color w:val="auto"/>
          <w:sz w:val="24"/>
          <w:highlight w:val="none"/>
          <w:shd w:val="clear" w:color="auto" w:fill="auto"/>
        </w:rPr>
        <w:t>1.项目名称</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u w:val="single"/>
          <w:shd w:val="clear" w:color="auto" w:fill="auto"/>
          <w:lang w:eastAsia="zh-CN"/>
        </w:rPr>
        <w:t>绍兴市水务产业有限公司二次供水设备年度采购项目</w:t>
      </w:r>
    </w:p>
    <w:p w14:paraId="68C7AD15">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2.项目地点：</w:t>
      </w:r>
      <w:r>
        <w:rPr>
          <w:rFonts w:hint="eastAsia" w:ascii="宋体" w:hAnsi="宋体" w:eastAsia="宋体" w:cs="宋体"/>
          <w:color w:val="auto"/>
          <w:sz w:val="24"/>
          <w:highlight w:val="none"/>
          <w:u w:val="single"/>
          <w:shd w:val="clear" w:color="auto" w:fill="auto"/>
        </w:rPr>
        <w:t>绍兴市越城区</w:t>
      </w:r>
      <w:r>
        <w:rPr>
          <w:rFonts w:hint="eastAsia" w:ascii="宋体" w:hAnsi="宋体" w:eastAsia="宋体" w:cs="宋体"/>
          <w:color w:val="auto"/>
          <w:sz w:val="24"/>
          <w:highlight w:val="none"/>
          <w:shd w:val="clear" w:color="auto" w:fill="auto"/>
        </w:rPr>
        <w:t>。</w:t>
      </w:r>
    </w:p>
    <w:p w14:paraId="0C20E674">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3.资金来源：</w:t>
      </w:r>
      <w:r>
        <w:rPr>
          <w:rFonts w:hint="eastAsia" w:ascii="宋体" w:hAnsi="宋体" w:eastAsia="宋体" w:cs="宋体"/>
          <w:bCs/>
          <w:color w:val="auto"/>
          <w:sz w:val="24"/>
          <w:highlight w:val="none"/>
          <w:u w:val="single"/>
          <w:shd w:val="clear" w:color="auto" w:fill="auto"/>
        </w:rPr>
        <w:t>自筹</w:t>
      </w:r>
      <w:r>
        <w:rPr>
          <w:rFonts w:hint="eastAsia" w:ascii="宋体" w:hAnsi="宋体" w:eastAsia="宋体" w:cs="宋体"/>
          <w:bCs/>
          <w:color w:val="auto"/>
          <w:sz w:val="24"/>
          <w:highlight w:val="none"/>
          <w:shd w:val="clear" w:color="auto" w:fill="auto"/>
        </w:rPr>
        <w:t>。</w:t>
      </w:r>
    </w:p>
    <w:p w14:paraId="1C356B37">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auto"/>
          <w:sz w:val="24"/>
          <w:highlight w:val="none"/>
          <w:u w:val="single"/>
          <w:shd w:val="clear" w:color="auto" w:fill="auto"/>
        </w:rPr>
      </w:pPr>
      <w:r>
        <w:rPr>
          <w:rFonts w:hint="eastAsia" w:ascii="宋体" w:hAnsi="宋体" w:eastAsia="宋体" w:cs="宋体"/>
          <w:bCs/>
          <w:color w:val="auto"/>
          <w:sz w:val="24"/>
          <w:highlight w:val="none"/>
          <w:shd w:val="clear" w:color="auto" w:fill="auto"/>
        </w:rPr>
        <w:t>4.项目内容</w:t>
      </w:r>
      <w:r>
        <w:rPr>
          <w:rFonts w:hint="eastAsia" w:ascii="宋体" w:hAnsi="宋体" w:eastAsia="宋体" w:cs="宋体"/>
          <w:b/>
          <w:bCs w:val="0"/>
          <w:color w:val="auto"/>
          <w:sz w:val="24"/>
          <w:highlight w:val="none"/>
          <w:shd w:val="clear" w:color="auto" w:fill="auto"/>
        </w:rPr>
        <w:t>：</w:t>
      </w:r>
      <w:r>
        <w:rPr>
          <w:rFonts w:hint="eastAsia" w:ascii="宋体" w:hAnsi="宋体" w:eastAsia="宋体" w:cs="宋体"/>
          <w:b w:val="0"/>
          <w:bCs/>
          <w:color w:val="auto"/>
          <w:sz w:val="24"/>
          <w:highlight w:val="none"/>
          <w:u w:val="single"/>
          <w:shd w:val="clear" w:color="auto" w:fill="auto"/>
        </w:rPr>
        <w:t>按照</w:t>
      </w:r>
      <w:r>
        <w:rPr>
          <w:rFonts w:hint="eastAsia" w:ascii="宋体" w:hAnsi="宋体" w:eastAsia="宋体" w:cs="宋体"/>
          <w:b w:val="0"/>
          <w:bCs/>
          <w:color w:val="auto"/>
          <w:sz w:val="24"/>
          <w:highlight w:val="none"/>
          <w:u w:val="single"/>
          <w:shd w:val="clear" w:color="auto" w:fill="auto"/>
          <w:lang w:val="en-US" w:eastAsia="zh-CN"/>
        </w:rPr>
        <w:t>甲方</w:t>
      </w:r>
      <w:r>
        <w:rPr>
          <w:rFonts w:hint="eastAsia" w:ascii="宋体" w:hAnsi="宋体" w:eastAsia="宋体" w:cs="宋体"/>
          <w:b w:val="0"/>
          <w:bCs/>
          <w:color w:val="auto"/>
          <w:sz w:val="24"/>
          <w:highlight w:val="none"/>
          <w:u w:val="single"/>
          <w:shd w:val="clear" w:color="auto" w:fill="auto"/>
        </w:rPr>
        <w:t>要求完成供水设备、水质检测设备、</w:t>
      </w:r>
      <w:r>
        <w:rPr>
          <w:rFonts w:hint="eastAsia" w:ascii="宋体" w:hAnsi="宋体" w:eastAsia="宋体" w:cs="宋体"/>
          <w:b w:val="0"/>
          <w:bCs/>
          <w:color w:val="auto"/>
          <w:sz w:val="24"/>
          <w:highlight w:val="none"/>
          <w:u w:val="single"/>
          <w:shd w:val="clear" w:color="auto" w:fill="auto"/>
          <w:lang w:eastAsia="zh-CN"/>
        </w:rPr>
        <w:t>远传监控设备供应和安装</w:t>
      </w:r>
      <w:r>
        <w:rPr>
          <w:rFonts w:hint="eastAsia" w:ascii="宋体" w:hAnsi="宋体" w:eastAsia="宋体" w:cs="宋体"/>
          <w:b w:val="0"/>
          <w:bCs/>
          <w:color w:val="auto"/>
          <w:sz w:val="24"/>
          <w:highlight w:val="none"/>
          <w:u w:val="single"/>
          <w:shd w:val="clear" w:color="auto" w:fill="auto"/>
        </w:rPr>
        <w:t>及质保期内的维护内容。</w:t>
      </w:r>
    </w:p>
    <w:p w14:paraId="3DEFC2C7">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二、供货周期</w:t>
      </w:r>
    </w:p>
    <w:p w14:paraId="47263E79">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总供货周期两年</w:t>
      </w:r>
      <w:r>
        <w:rPr>
          <w:rFonts w:hint="eastAsia" w:ascii="宋体" w:hAnsi="宋体" w:eastAsia="宋体" w:cs="宋体"/>
          <w:color w:val="auto"/>
          <w:sz w:val="24"/>
          <w:highlight w:val="none"/>
          <w:shd w:val="clear" w:color="auto" w:fill="auto"/>
        </w:rPr>
        <w:t>，单个项目合同签订后40日历天内完成供货及安装调试</w:t>
      </w:r>
      <w:r>
        <w:rPr>
          <w:rFonts w:hint="eastAsia" w:ascii="宋体" w:hAnsi="宋体" w:eastAsia="宋体" w:cs="宋体"/>
          <w:color w:val="auto"/>
          <w:sz w:val="24"/>
          <w:highlight w:val="none"/>
          <w:shd w:val="clear" w:color="auto" w:fill="auto"/>
          <w:lang w:eastAsia="zh-CN"/>
        </w:rPr>
        <w:t>。</w:t>
      </w:r>
    </w:p>
    <w:p w14:paraId="1747DA2B">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三、质量标准</w:t>
      </w:r>
    </w:p>
    <w:p w14:paraId="13504AD2">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质量符合</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bCs/>
          <w:color w:val="auto"/>
          <w:sz w:val="24"/>
          <w:highlight w:val="none"/>
          <w:u w:val="single"/>
          <w:shd w:val="clear" w:color="auto" w:fill="auto"/>
        </w:rPr>
        <w:t>合格</w:t>
      </w:r>
      <w:r>
        <w:rPr>
          <w:rFonts w:hint="eastAsia" w:ascii="宋体" w:hAnsi="宋体" w:eastAsia="宋体" w:cs="宋体"/>
          <w:b/>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标准。</w:t>
      </w:r>
    </w:p>
    <w:p w14:paraId="32AA7157">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宋体" w:hAnsi="宋体" w:eastAsia="宋体" w:cs="宋体"/>
          <w:b/>
          <w:color w:val="auto"/>
          <w:sz w:val="24"/>
          <w:highlight w:val="none"/>
          <w:u w:val="none"/>
          <w:shd w:val="clear" w:color="auto" w:fill="auto"/>
          <w:lang w:val="en-US" w:eastAsia="zh-CN"/>
        </w:rPr>
      </w:pPr>
      <w:r>
        <w:rPr>
          <w:rFonts w:hint="eastAsia" w:ascii="宋体" w:hAnsi="宋体" w:eastAsia="宋体" w:cs="宋体"/>
          <w:b/>
          <w:color w:val="auto"/>
          <w:sz w:val="24"/>
          <w:highlight w:val="none"/>
          <w:u w:val="none"/>
          <w:shd w:val="clear" w:color="auto" w:fill="auto"/>
        </w:rPr>
        <w:t>四、</w:t>
      </w:r>
      <w:r>
        <w:rPr>
          <w:rFonts w:hint="eastAsia" w:ascii="宋体" w:hAnsi="宋体" w:eastAsia="宋体" w:cs="宋体"/>
          <w:b/>
          <w:color w:val="auto"/>
          <w:sz w:val="24"/>
          <w:highlight w:val="none"/>
          <w:u w:val="none"/>
          <w:shd w:val="clear" w:color="auto" w:fill="auto"/>
          <w:lang w:val="en-US" w:eastAsia="zh-CN"/>
        </w:rPr>
        <w:t>具体</w:t>
      </w:r>
      <w:r>
        <w:rPr>
          <w:rFonts w:hint="eastAsia" w:ascii="宋体" w:hAnsi="宋体" w:eastAsia="宋体" w:cs="宋体"/>
          <w:b/>
          <w:color w:val="auto"/>
          <w:sz w:val="24"/>
          <w:highlight w:val="none"/>
          <w:u w:val="none"/>
          <w:shd w:val="clear" w:color="auto" w:fill="auto"/>
        </w:rPr>
        <w:t>项目</w:t>
      </w:r>
      <w:r>
        <w:rPr>
          <w:rFonts w:hint="eastAsia" w:ascii="宋体" w:hAnsi="宋体" w:eastAsia="宋体" w:cs="宋体"/>
          <w:b/>
          <w:color w:val="auto"/>
          <w:sz w:val="24"/>
          <w:highlight w:val="none"/>
          <w:u w:val="none"/>
          <w:shd w:val="clear" w:color="auto" w:fill="auto"/>
          <w:lang w:val="en-US" w:eastAsia="zh-CN"/>
        </w:rPr>
        <w:t>分配</w:t>
      </w:r>
    </w:p>
    <w:p w14:paraId="2591D629">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 w:val="0"/>
          <w:bCs/>
          <w:color w:val="auto"/>
          <w:sz w:val="24"/>
          <w:highlight w:val="none"/>
          <w:u w:val="single"/>
          <w:shd w:val="clear" w:color="auto" w:fill="auto"/>
          <w:lang w:val="en-US" w:eastAsia="zh-CN"/>
        </w:rPr>
      </w:pPr>
      <w:r>
        <w:rPr>
          <w:rFonts w:hint="eastAsia" w:ascii="宋体" w:hAnsi="宋体" w:eastAsia="宋体" w:cs="宋体"/>
          <w:b w:val="0"/>
          <w:bCs/>
          <w:color w:val="auto"/>
          <w:sz w:val="24"/>
          <w:highlight w:val="none"/>
          <w:u w:val="single"/>
          <w:shd w:val="clear" w:color="auto" w:fill="auto"/>
          <w:lang w:val="en-US" w:eastAsia="zh-CN"/>
        </w:rPr>
        <w:t>甲方根据本项目3家中标人总分从高到低的顺序依次分配本项目业务，每次分配项目的合同金额不高于200万元</w:t>
      </w:r>
      <w:r>
        <w:rPr>
          <w:rFonts w:hint="eastAsia" w:ascii="宋体" w:hAnsi="宋体" w:cs="宋体"/>
          <w:b w:val="0"/>
          <w:bCs/>
          <w:color w:val="auto"/>
          <w:sz w:val="24"/>
          <w:highlight w:val="none"/>
          <w:u w:val="single"/>
          <w:shd w:val="clear" w:color="auto" w:fill="auto"/>
          <w:lang w:val="en-US" w:eastAsia="zh-CN"/>
        </w:rPr>
        <w:t>，每家中标候选人合同总额不超过招标价的35%，</w:t>
      </w:r>
      <w:r>
        <w:rPr>
          <w:rFonts w:hint="eastAsia" w:ascii="宋体" w:hAnsi="宋体" w:eastAsia="宋体" w:cs="宋体"/>
          <w:color w:val="auto"/>
          <w:sz w:val="24"/>
          <w:highlight w:val="none"/>
          <w:u w:val="single"/>
          <w:shd w:val="clear" w:color="auto" w:fill="auto"/>
        </w:rPr>
        <w:t>设备供货数量根据甲方工程建设进度供应，</w:t>
      </w:r>
      <w:r>
        <w:rPr>
          <w:rFonts w:hint="eastAsia" w:ascii="宋体" w:hAnsi="宋体" w:cs="宋体"/>
          <w:color w:val="auto"/>
          <w:sz w:val="24"/>
          <w:highlight w:val="none"/>
          <w:u w:val="single"/>
          <w:shd w:val="clear" w:color="auto" w:fill="auto"/>
          <w:lang w:val="en-US" w:eastAsia="zh-CN"/>
        </w:rPr>
        <w:t>甲方对合同期内的</w:t>
      </w:r>
      <w:r>
        <w:rPr>
          <w:rFonts w:hint="eastAsia" w:ascii="宋体" w:hAnsi="宋体" w:eastAsia="宋体" w:cs="宋体"/>
          <w:color w:val="auto"/>
          <w:sz w:val="24"/>
          <w:highlight w:val="none"/>
          <w:u w:val="single"/>
          <w:shd w:val="clear" w:color="auto" w:fill="auto"/>
        </w:rPr>
        <w:t>供货数量不作承诺。</w:t>
      </w:r>
    </w:p>
    <w:p w14:paraId="53E6FF6E">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五、合同文件构成</w:t>
      </w:r>
    </w:p>
    <w:p w14:paraId="0BA79350">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本协议书与下列文件一起构成合同文件：</w:t>
      </w:r>
    </w:p>
    <w:p w14:paraId="3316A6F5">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1、安全协议书</w:t>
      </w:r>
    </w:p>
    <w:p w14:paraId="3514971A">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2、廉政责任协议书</w:t>
      </w:r>
    </w:p>
    <w:p w14:paraId="2A6B4780">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3、本项目招标文件</w:t>
      </w:r>
    </w:p>
    <w:p w14:paraId="0A1E2B6B">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4、本项目投标文件</w:t>
      </w:r>
    </w:p>
    <w:p w14:paraId="3573EEC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在合同订立及履行过程中形成的与合同有关的文件均构成合同文件组成部分。</w:t>
      </w:r>
    </w:p>
    <w:p w14:paraId="5269104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上述各项合同文件包括合同当事人就该项合同文件所作出的补充和修改，属于同一类内容的文件，应以最新签署的为准。专用合同条款及其附件须经合同法定代表人或其授权代表签字或盖章。</w:t>
      </w:r>
    </w:p>
    <w:p w14:paraId="3842438B">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六、承诺</w:t>
      </w:r>
    </w:p>
    <w:p w14:paraId="4722DCEC">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1.乙方承诺按照法律规定及合同约定组织完成项目施工，确保项目质量和安全，不进行转包及违法分包，并在质保期内承担相应的项目（设备）维修责任。</w:t>
      </w:r>
    </w:p>
    <w:p w14:paraId="74056EAA">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2.甲方和乙方通过招投标形式签订合同的，双方理解并承诺不再就同一项目另行签订与合同实质性内容相背离的协议。</w:t>
      </w:r>
    </w:p>
    <w:p w14:paraId="5262F553">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七、签订时间</w:t>
      </w:r>
    </w:p>
    <w:p w14:paraId="16F682BC">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本合同于</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年</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月</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日签订。</w:t>
      </w:r>
    </w:p>
    <w:p w14:paraId="042FC59D">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八、签订地点</w:t>
      </w:r>
    </w:p>
    <w:p w14:paraId="3B3FE9E0">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本合同在</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签订。</w:t>
      </w:r>
    </w:p>
    <w:p w14:paraId="327E2168">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九、补充协议</w:t>
      </w:r>
    </w:p>
    <w:p w14:paraId="4BD9EDA2">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
          <w:bCs/>
          <w:color w:val="auto"/>
          <w:sz w:val="24"/>
          <w:highlight w:val="none"/>
          <w:shd w:val="clear" w:color="auto" w:fill="auto"/>
        </w:rPr>
      </w:pPr>
      <w:r>
        <w:rPr>
          <w:rFonts w:hint="eastAsia" w:ascii="宋体" w:hAnsi="宋体" w:eastAsia="宋体" w:cs="宋体"/>
          <w:bCs/>
          <w:color w:val="auto"/>
          <w:sz w:val="24"/>
          <w:highlight w:val="none"/>
          <w:shd w:val="clear" w:color="auto" w:fill="auto"/>
        </w:rPr>
        <w:t>合同未尽事宜，合同当事人另行签订补充协议，补充协议是合同的组成部分。</w:t>
      </w:r>
    </w:p>
    <w:p w14:paraId="39C05ACB">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十、合同生效</w:t>
      </w:r>
    </w:p>
    <w:p w14:paraId="6B00E59D">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本合同自双方签字盖章后生效。</w:t>
      </w:r>
    </w:p>
    <w:p w14:paraId="16C40984">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十一、合同份数</w:t>
      </w:r>
    </w:p>
    <w:p w14:paraId="7F676FF0">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本合同一式</w:t>
      </w:r>
      <w:r>
        <w:rPr>
          <w:rFonts w:hint="eastAsia" w:ascii="宋体" w:hAnsi="宋体" w:eastAsia="宋体" w:cs="宋体"/>
          <w:bCs/>
          <w:color w:val="auto"/>
          <w:sz w:val="24"/>
          <w:highlight w:val="none"/>
          <w:u w:val="single"/>
          <w:shd w:val="clear" w:color="auto" w:fill="auto"/>
        </w:rPr>
        <w:t>陆</w:t>
      </w:r>
      <w:r>
        <w:rPr>
          <w:rFonts w:hint="eastAsia" w:ascii="宋体" w:hAnsi="宋体" w:eastAsia="宋体" w:cs="宋体"/>
          <w:bCs/>
          <w:color w:val="auto"/>
          <w:sz w:val="24"/>
          <w:highlight w:val="none"/>
          <w:shd w:val="clear" w:color="auto" w:fill="auto"/>
        </w:rPr>
        <w:t>份，均具有同等法律效力，甲方执</w:t>
      </w:r>
      <w:r>
        <w:rPr>
          <w:rFonts w:hint="eastAsia" w:ascii="宋体" w:hAnsi="宋体" w:eastAsia="宋体" w:cs="宋体"/>
          <w:bCs/>
          <w:color w:val="auto"/>
          <w:sz w:val="24"/>
          <w:highlight w:val="none"/>
          <w:u w:val="single"/>
          <w:shd w:val="clear" w:color="auto" w:fill="auto"/>
        </w:rPr>
        <w:t>叁</w:t>
      </w:r>
      <w:r>
        <w:rPr>
          <w:rFonts w:hint="eastAsia" w:ascii="宋体" w:hAnsi="宋体" w:eastAsia="宋体" w:cs="宋体"/>
          <w:bCs/>
          <w:color w:val="auto"/>
          <w:sz w:val="24"/>
          <w:highlight w:val="none"/>
          <w:shd w:val="clear" w:color="auto" w:fill="auto"/>
        </w:rPr>
        <w:t>份，乙方执</w:t>
      </w:r>
      <w:r>
        <w:rPr>
          <w:rFonts w:hint="eastAsia" w:ascii="宋体" w:hAnsi="宋体" w:eastAsia="宋体" w:cs="宋体"/>
          <w:bCs/>
          <w:color w:val="auto"/>
          <w:sz w:val="24"/>
          <w:highlight w:val="none"/>
          <w:u w:val="single"/>
          <w:shd w:val="clear" w:color="auto" w:fill="auto"/>
        </w:rPr>
        <w:t>叁</w:t>
      </w:r>
      <w:r>
        <w:rPr>
          <w:rFonts w:hint="eastAsia" w:ascii="宋体" w:hAnsi="宋体" w:eastAsia="宋体" w:cs="宋体"/>
          <w:bCs/>
          <w:color w:val="auto"/>
          <w:sz w:val="24"/>
          <w:highlight w:val="none"/>
          <w:shd w:val="clear" w:color="auto" w:fill="auto"/>
        </w:rPr>
        <w:t>份。</w:t>
      </w:r>
    </w:p>
    <w:p w14:paraId="5915972C">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Cs/>
          <w:color w:val="auto"/>
          <w:sz w:val="24"/>
          <w:highlight w:val="none"/>
          <w:shd w:val="clear" w:color="auto" w:fill="auto"/>
        </w:rPr>
      </w:pPr>
    </w:p>
    <w:p w14:paraId="6E9A320D">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Cs/>
          <w:color w:val="auto"/>
          <w:sz w:val="24"/>
          <w:highlight w:val="none"/>
          <w:shd w:val="clear" w:color="auto" w:fill="auto"/>
        </w:rPr>
      </w:pPr>
    </w:p>
    <w:p w14:paraId="198BE374">
      <w:pPr>
        <w:keepNext w:val="0"/>
        <w:keepLines w:val="0"/>
        <w:pageBreakBefore w:val="0"/>
        <w:widowControl w:val="0"/>
        <w:kinsoku/>
        <w:wordWrap/>
        <w:overflowPunct/>
        <w:topLinePunct w:val="0"/>
        <w:bidi w:val="0"/>
        <w:adjustRightInd w:val="0"/>
        <w:snapToGrid/>
        <w:spacing w:line="440" w:lineRule="exact"/>
        <w:textAlignment w:val="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甲方：</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xml:space="preserve"> (公章)         乙方：</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(公章)</w:t>
      </w:r>
    </w:p>
    <w:p w14:paraId="4CE2F11D">
      <w:pPr>
        <w:keepNext w:val="0"/>
        <w:keepLines w:val="0"/>
        <w:pageBreakBefore w:val="0"/>
        <w:widowControl w:val="0"/>
        <w:kinsoku/>
        <w:wordWrap/>
        <w:overflowPunct/>
        <w:topLinePunct w:val="0"/>
        <w:bidi w:val="0"/>
        <w:adjustRightInd w:val="0"/>
        <w:snapToGrid/>
        <w:spacing w:line="440" w:lineRule="exac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法定代表人或其授权代表：             法定代表人或其授权代表：</w:t>
      </w:r>
    </w:p>
    <w:p w14:paraId="10FFA822">
      <w:pPr>
        <w:keepNext w:val="0"/>
        <w:keepLines w:val="0"/>
        <w:pageBreakBefore w:val="0"/>
        <w:widowControl w:val="0"/>
        <w:kinsoku/>
        <w:wordWrap/>
        <w:overflowPunct/>
        <w:topLinePunct w:val="0"/>
        <w:bidi w:val="0"/>
        <w:adjustRightInd w:val="0"/>
        <w:snapToGrid/>
        <w:spacing w:line="440" w:lineRule="exac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（签字或盖章）                      （签字或盖章）</w:t>
      </w:r>
    </w:p>
    <w:p w14:paraId="244197E4">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b/>
          <w:color w:val="auto"/>
          <w:sz w:val="36"/>
          <w:szCs w:val="36"/>
          <w:highlight w:val="none"/>
          <w:shd w:val="clear" w:color="auto" w:fill="auto"/>
        </w:rPr>
      </w:pPr>
      <w:r>
        <w:rPr>
          <w:rFonts w:hint="eastAsia" w:ascii="宋体" w:hAnsi="宋体" w:eastAsia="宋体" w:cs="宋体"/>
          <w:color w:val="auto"/>
          <w:sz w:val="24"/>
          <w:highlight w:val="none"/>
          <w:shd w:val="clear" w:color="auto" w:fill="auto"/>
        </w:rPr>
        <w:br w:type="page"/>
      </w:r>
      <w:bookmarkStart w:id="45" w:name="_Toc351203494"/>
      <w:r>
        <w:rPr>
          <w:rFonts w:hint="eastAsia" w:ascii="宋体" w:hAnsi="宋体" w:eastAsia="宋体" w:cs="宋体"/>
          <w:b/>
          <w:color w:val="auto"/>
          <w:sz w:val="36"/>
          <w:szCs w:val="36"/>
          <w:highlight w:val="none"/>
          <w:shd w:val="clear" w:color="auto" w:fill="auto"/>
        </w:rPr>
        <w:t xml:space="preserve">第二部分 </w:t>
      </w:r>
      <w:bookmarkEnd w:id="45"/>
      <w:r>
        <w:rPr>
          <w:rFonts w:hint="eastAsia" w:ascii="宋体" w:hAnsi="宋体" w:eastAsia="宋体" w:cs="宋体"/>
          <w:b/>
          <w:color w:val="auto"/>
          <w:sz w:val="36"/>
          <w:szCs w:val="36"/>
          <w:highlight w:val="none"/>
          <w:shd w:val="clear" w:color="auto" w:fill="auto"/>
        </w:rPr>
        <w:t>主要合同条款</w:t>
      </w:r>
    </w:p>
    <w:p w14:paraId="0C29408D">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1.合同范围</w:t>
      </w:r>
    </w:p>
    <w:p w14:paraId="318C71A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合同范围应与中标通知书、招标文件及被</w:t>
      </w:r>
      <w:r>
        <w:rPr>
          <w:rFonts w:hint="eastAsia" w:ascii="宋体" w:hAnsi="宋体" w:eastAsia="宋体" w:cs="宋体"/>
          <w:color w:val="auto"/>
          <w:sz w:val="24"/>
          <w:highlight w:val="none"/>
          <w:shd w:val="clear" w:color="auto" w:fill="auto"/>
          <w:lang w:val="en-US" w:eastAsia="zh-CN"/>
        </w:rPr>
        <w:t>甲方</w:t>
      </w:r>
      <w:r>
        <w:rPr>
          <w:rFonts w:hint="eastAsia" w:ascii="宋体" w:hAnsi="宋体" w:eastAsia="宋体" w:cs="宋体"/>
          <w:color w:val="auto"/>
          <w:sz w:val="24"/>
          <w:highlight w:val="none"/>
          <w:shd w:val="clear" w:color="auto" w:fill="auto"/>
        </w:rPr>
        <w:t>接受的投标文件相一致。合同范围和双方的职责在“招标文件”明确。</w:t>
      </w:r>
    </w:p>
    <w:p w14:paraId="22E9FF01">
      <w:pPr>
        <w:pStyle w:val="50"/>
        <w:keepNext w:val="0"/>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2.合同的签订</w:t>
      </w:r>
    </w:p>
    <w:p w14:paraId="2C2A007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2.1乙方须在中标通知书发出30日内按招标文件和乙方投标文件的约定，凭中标通知书和甲方在约定的时间、地点，由法定代表人或其授权代表与甲方签订书面合同。</w:t>
      </w:r>
    </w:p>
    <w:p w14:paraId="344F7853">
      <w:pPr>
        <w:pStyle w:val="6"/>
        <w:keepNext w:val="0"/>
        <w:keepLines w:val="0"/>
        <w:pageBreakBefore w:val="0"/>
        <w:widowControl w:val="0"/>
        <w:numPr>
          <w:ilvl w:val="0"/>
          <w:numId w:val="0"/>
        </w:numPr>
        <w:tabs>
          <w:tab w:val="left" w:pos="1697"/>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2.1.1服务地点：</w:t>
      </w:r>
      <w:r>
        <w:rPr>
          <w:rFonts w:hint="eastAsia" w:ascii="宋体" w:hAnsi="宋体" w:eastAsia="宋体" w:cs="宋体"/>
          <w:color w:val="auto"/>
          <w:kern w:val="0"/>
          <w:sz w:val="24"/>
          <w:highlight w:val="none"/>
          <w:u w:val="single"/>
          <w:shd w:val="clear" w:color="auto" w:fill="auto"/>
        </w:rPr>
        <w:t>根据</w:t>
      </w:r>
      <w:r>
        <w:rPr>
          <w:rFonts w:hint="eastAsia" w:ascii="宋体" w:hAnsi="宋体" w:eastAsia="宋体" w:cs="宋体"/>
          <w:color w:val="auto"/>
          <w:kern w:val="0"/>
          <w:sz w:val="24"/>
          <w:highlight w:val="none"/>
          <w:u w:val="single"/>
          <w:shd w:val="clear" w:color="auto" w:fill="auto"/>
          <w:lang w:val="en-US" w:eastAsia="zh-CN"/>
        </w:rPr>
        <w:t>甲方</w:t>
      </w:r>
      <w:r>
        <w:rPr>
          <w:rFonts w:hint="eastAsia" w:ascii="宋体" w:hAnsi="宋体" w:eastAsia="宋体" w:cs="宋体"/>
          <w:color w:val="auto"/>
          <w:kern w:val="0"/>
          <w:sz w:val="24"/>
          <w:highlight w:val="none"/>
          <w:u w:val="single"/>
          <w:shd w:val="clear" w:color="auto" w:fill="auto"/>
        </w:rPr>
        <w:t>要求，具体在签订具体项目合同时明确。</w:t>
      </w:r>
    </w:p>
    <w:p w14:paraId="7274EE79">
      <w:pPr>
        <w:pStyle w:val="6"/>
        <w:keepNext w:val="0"/>
        <w:keepLines w:val="0"/>
        <w:pageBreakBefore w:val="0"/>
        <w:widowControl w:val="0"/>
        <w:numPr>
          <w:ilvl w:val="0"/>
          <w:numId w:val="0"/>
        </w:numPr>
        <w:tabs>
          <w:tab w:val="left" w:pos="1697"/>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u w:val="single"/>
          <w:shd w:val="clear" w:color="auto" w:fill="auto"/>
          <w:lang w:val="en-US" w:eastAsia="zh-CN"/>
        </w:rPr>
      </w:pPr>
      <w:r>
        <w:rPr>
          <w:rFonts w:hint="eastAsia" w:ascii="宋体" w:hAnsi="宋体" w:eastAsia="宋体" w:cs="宋体"/>
          <w:color w:val="auto"/>
          <w:sz w:val="24"/>
          <w:highlight w:val="none"/>
          <w:shd w:val="clear" w:color="auto" w:fill="auto"/>
        </w:rPr>
        <w:t>2.1.2</w:t>
      </w:r>
      <w:r>
        <w:rPr>
          <w:rFonts w:hint="eastAsia" w:ascii="宋体" w:hAnsi="宋体" w:eastAsia="宋体" w:cs="宋体"/>
          <w:color w:val="auto"/>
          <w:sz w:val="24"/>
          <w:highlight w:val="none"/>
          <w:shd w:val="clear" w:color="auto" w:fill="auto"/>
          <w:lang w:val="en-US" w:eastAsia="zh-CN"/>
        </w:rPr>
        <w:t>供货周期：</w:t>
      </w:r>
      <w:r>
        <w:rPr>
          <w:rFonts w:hint="eastAsia" w:ascii="宋体" w:hAnsi="宋体" w:eastAsia="宋体" w:cs="宋体"/>
          <w:color w:val="auto"/>
          <w:sz w:val="24"/>
          <w:highlight w:val="none"/>
          <w:u w:val="single"/>
          <w:shd w:val="clear" w:color="auto" w:fill="auto"/>
          <w:lang w:val="en-US" w:eastAsia="zh-CN"/>
        </w:rPr>
        <w:t>总供货周期两年，</w:t>
      </w:r>
      <w:r>
        <w:rPr>
          <w:rFonts w:hint="eastAsia" w:ascii="宋体" w:hAnsi="宋体" w:eastAsia="宋体" w:cs="宋体"/>
          <w:color w:val="auto"/>
          <w:sz w:val="24"/>
          <w:highlight w:val="none"/>
          <w:u w:val="single"/>
          <w:shd w:val="clear" w:color="auto" w:fill="auto"/>
        </w:rPr>
        <w:t>单个项目合同签订后40日历天内完成供货及安装调试</w:t>
      </w:r>
      <w:r>
        <w:rPr>
          <w:rFonts w:hint="eastAsia" w:ascii="宋体" w:hAnsi="宋体" w:eastAsia="宋体" w:cs="宋体"/>
          <w:color w:val="auto"/>
          <w:sz w:val="24"/>
          <w:highlight w:val="none"/>
          <w:u w:val="single"/>
          <w:shd w:val="clear" w:color="auto" w:fill="auto"/>
          <w:lang w:val="en-US" w:eastAsia="zh-CN"/>
        </w:rPr>
        <w:t>。</w:t>
      </w:r>
    </w:p>
    <w:p w14:paraId="0E894A57">
      <w:pPr>
        <w:pStyle w:val="6"/>
        <w:keepNext w:val="0"/>
        <w:keepLines w:val="0"/>
        <w:pageBreakBefore w:val="0"/>
        <w:widowControl w:val="0"/>
        <w:numPr>
          <w:ilvl w:val="0"/>
          <w:numId w:val="0"/>
        </w:numPr>
        <w:tabs>
          <w:tab w:val="left" w:pos="1697"/>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2.2项目服务范围及要求：</w:t>
      </w:r>
      <w:r>
        <w:rPr>
          <w:rFonts w:hint="eastAsia" w:ascii="宋体" w:hAnsi="宋体" w:eastAsia="宋体" w:cs="宋体"/>
          <w:color w:val="auto"/>
          <w:sz w:val="24"/>
          <w:highlight w:val="none"/>
          <w:shd w:val="clear" w:color="auto" w:fill="auto"/>
        </w:rPr>
        <w:t>按</w:t>
      </w:r>
      <w:r>
        <w:rPr>
          <w:rFonts w:hint="eastAsia" w:ascii="宋体" w:hAnsi="宋体" w:eastAsia="宋体" w:cs="宋体"/>
          <w:color w:val="auto"/>
          <w:sz w:val="24"/>
          <w:highlight w:val="none"/>
          <w:shd w:val="clear" w:color="auto" w:fill="auto"/>
          <w:lang w:val="en-US" w:eastAsia="zh-CN"/>
        </w:rPr>
        <w:t>招标文件</w:t>
      </w:r>
      <w:r>
        <w:rPr>
          <w:rFonts w:hint="eastAsia" w:ascii="宋体" w:hAnsi="宋体" w:eastAsia="宋体" w:cs="宋体"/>
          <w:color w:val="auto"/>
          <w:sz w:val="24"/>
          <w:highlight w:val="none"/>
          <w:shd w:val="clear" w:color="auto" w:fill="auto"/>
        </w:rPr>
        <w:t>第五章招标内容和技术要求。</w:t>
      </w:r>
    </w:p>
    <w:p w14:paraId="698B611B">
      <w:pPr>
        <w:pStyle w:val="6"/>
        <w:keepNext w:val="0"/>
        <w:keepLines w:val="0"/>
        <w:pageBreakBefore w:val="0"/>
        <w:widowControl w:val="0"/>
        <w:numPr>
          <w:ilvl w:val="0"/>
          <w:numId w:val="0"/>
        </w:numPr>
        <w:tabs>
          <w:tab w:val="left" w:pos="1697"/>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2.3其他要求：送货由乙方负责运输，货物根据甲方需求送至甲方指定地点。</w:t>
      </w:r>
    </w:p>
    <w:p w14:paraId="64C02CF2">
      <w:pPr>
        <w:pStyle w:val="6"/>
        <w:keepNext w:val="0"/>
        <w:keepLines w:val="0"/>
        <w:pageBreakBefore w:val="0"/>
        <w:widowControl w:val="0"/>
        <w:numPr>
          <w:ilvl w:val="0"/>
          <w:numId w:val="0"/>
        </w:numPr>
        <w:tabs>
          <w:tab w:val="left" w:pos="1697"/>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2.4质量：合格。</w:t>
      </w:r>
    </w:p>
    <w:p w14:paraId="616DDAE6">
      <w:pPr>
        <w:pStyle w:val="6"/>
        <w:keepNext w:val="0"/>
        <w:keepLines w:val="0"/>
        <w:pageBreakBefore w:val="0"/>
        <w:widowControl w:val="0"/>
        <w:numPr>
          <w:ilvl w:val="0"/>
          <w:numId w:val="0"/>
        </w:numPr>
        <w:tabs>
          <w:tab w:val="left" w:pos="1697"/>
        </w:tabs>
        <w:kinsoku/>
        <w:wordWrap/>
        <w:overflowPunct/>
        <w:topLinePunct w:val="0"/>
        <w:autoSpaceDE/>
        <w:autoSpaceDN/>
        <w:bidi w:val="0"/>
        <w:adjustRightInd/>
        <w:spacing w:line="440" w:lineRule="exact"/>
        <w:ind w:left="359" w:hanging="359" w:hangingChars="149"/>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3.付款方式：</w:t>
      </w:r>
    </w:p>
    <w:p w14:paraId="7055BB1A">
      <w:pPr>
        <w:pStyle w:val="9"/>
        <w:keepNext w:val="0"/>
        <w:keepLines w:val="0"/>
        <w:pageBreakBefore w:val="0"/>
        <w:widowControl w:val="0"/>
        <w:kinsoku/>
        <w:wordWrap/>
        <w:overflowPunct/>
        <w:topLinePunct w:val="0"/>
        <w:autoSpaceDE/>
        <w:autoSpaceDN/>
        <w:bidi w:val="0"/>
        <w:adjustRightInd/>
        <w:spacing w:line="440" w:lineRule="exact"/>
        <w:ind w:firstLine="480" w:firstLineChars="200"/>
        <w:jc w:val="both"/>
        <w:textAlignment w:val="auto"/>
        <w:rPr>
          <w:rFonts w:hint="eastAsia" w:ascii="宋体" w:hAnsi="宋体" w:eastAsia="宋体" w:cs="宋体"/>
          <w:b w:val="0"/>
          <w:bCs w:val="0"/>
          <w:color w:val="auto"/>
          <w:sz w:val="24"/>
          <w:highlight w:val="none"/>
          <w:shd w:val="clear" w:color="auto" w:fill="auto"/>
        </w:rPr>
      </w:pPr>
      <w:r>
        <w:rPr>
          <w:rFonts w:hint="eastAsia" w:ascii="宋体" w:hAnsi="宋体" w:eastAsia="宋体" w:cs="宋体"/>
          <w:b w:val="0"/>
          <w:bCs w:val="0"/>
          <w:color w:val="auto"/>
          <w:sz w:val="24"/>
          <w:highlight w:val="none"/>
          <w:shd w:val="clear" w:color="auto" w:fill="auto"/>
        </w:rPr>
        <w:t>3.1</w:t>
      </w:r>
      <w:r>
        <w:rPr>
          <w:rFonts w:hint="eastAsia" w:ascii="宋体" w:hAnsi="宋体" w:eastAsia="宋体" w:cs="宋体"/>
          <w:b w:val="0"/>
          <w:bCs w:val="0"/>
          <w:color w:val="auto"/>
          <w:sz w:val="24"/>
          <w:highlight w:val="none"/>
          <w:shd w:val="clear" w:color="auto" w:fill="auto"/>
          <w:lang w:val="en-US" w:eastAsia="zh-CN"/>
        </w:rPr>
        <w:t xml:space="preserve"> 单个具体项目</w:t>
      </w:r>
      <w:r>
        <w:rPr>
          <w:rFonts w:hint="eastAsia" w:ascii="宋体" w:hAnsi="宋体" w:eastAsia="宋体" w:cs="宋体"/>
          <w:b w:val="0"/>
          <w:bCs w:val="0"/>
          <w:color w:val="auto"/>
          <w:sz w:val="24"/>
          <w:highlight w:val="none"/>
          <w:shd w:val="clear" w:color="auto" w:fill="auto"/>
        </w:rPr>
        <w:t>合同签订后</w:t>
      </w:r>
      <w:r>
        <w:rPr>
          <w:rFonts w:hint="eastAsia" w:ascii="宋体" w:hAnsi="宋体" w:eastAsia="宋体" w:cs="宋体"/>
          <w:b w:val="0"/>
          <w:bCs w:val="0"/>
          <w:color w:val="auto"/>
          <w:sz w:val="24"/>
          <w:highlight w:val="none"/>
          <w:shd w:val="clear" w:color="auto" w:fill="auto"/>
          <w:lang w:val="en-US" w:eastAsia="zh-CN"/>
        </w:rPr>
        <w:t>15</w:t>
      </w:r>
      <w:r>
        <w:rPr>
          <w:rFonts w:hint="eastAsia" w:ascii="宋体" w:hAnsi="宋体" w:eastAsia="宋体" w:cs="宋体"/>
          <w:b w:val="0"/>
          <w:bCs w:val="0"/>
          <w:color w:val="auto"/>
          <w:sz w:val="24"/>
          <w:highlight w:val="none"/>
          <w:shd w:val="clear" w:color="auto" w:fill="auto"/>
        </w:rPr>
        <w:t>日内，甲方支付具体项目合同价</w:t>
      </w:r>
      <w:r>
        <w:rPr>
          <w:rFonts w:hint="eastAsia" w:ascii="宋体" w:hAnsi="宋体" w:eastAsia="宋体" w:cs="宋体"/>
          <w:b w:val="0"/>
          <w:bCs w:val="0"/>
          <w:color w:val="auto"/>
          <w:sz w:val="24"/>
          <w:highlight w:val="none"/>
          <w:u w:val="single"/>
          <w:shd w:val="clear" w:color="auto" w:fill="auto"/>
        </w:rPr>
        <w:t>10</w:t>
      </w:r>
      <w:r>
        <w:rPr>
          <w:rFonts w:hint="eastAsia" w:ascii="宋体" w:hAnsi="宋体" w:eastAsia="宋体" w:cs="宋体"/>
          <w:b w:val="0"/>
          <w:bCs w:val="0"/>
          <w:color w:val="auto"/>
          <w:sz w:val="24"/>
          <w:highlight w:val="none"/>
          <w:shd w:val="clear" w:color="auto" w:fill="auto"/>
        </w:rPr>
        <w:t>%的预付款；</w:t>
      </w:r>
    </w:p>
    <w:p w14:paraId="3C6E361F">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3.2完成设备供应并经甲方确认后</w:t>
      </w:r>
      <w:r>
        <w:rPr>
          <w:rFonts w:hint="eastAsia" w:ascii="宋体" w:hAnsi="宋体" w:eastAsia="宋体" w:cs="宋体"/>
          <w:color w:val="auto"/>
          <w:sz w:val="24"/>
          <w:highlight w:val="none"/>
          <w:shd w:val="clear" w:color="auto" w:fill="auto"/>
          <w:lang w:val="en-US" w:eastAsia="zh-CN"/>
        </w:rPr>
        <w:t>15</w:t>
      </w:r>
      <w:r>
        <w:rPr>
          <w:rFonts w:hint="eastAsia" w:ascii="宋体" w:hAnsi="宋体" w:eastAsia="宋体" w:cs="宋体"/>
          <w:color w:val="auto"/>
          <w:sz w:val="24"/>
          <w:highlight w:val="none"/>
          <w:shd w:val="clear" w:color="auto" w:fill="auto"/>
        </w:rPr>
        <w:t>日内，甲方支付</w:t>
      </w:r>
      <w:r>
        <w:rPr>
          <w:rFonts w:hint="eastAsia" w:ascii="宋体" w:hAnsi="宋体" w:eastAsia="宋体" w:cs="宋体"/>
          <w:color w:val="auto"/>
          <w:sz w:val="24"/>
          <w:highlight w:val="none"/>
          <w:shd w:val="clear" w:color="auto" w:fill="auto"/>
          <w:lang w:val="en-US" w:eastAsia="zh-CN"/>
        </w:rPr>
        <w:t>至</w:t>
      </w:r>
      <w:r>
        <w:rPr>
          <w:rFonts w:hint="eastAsia" w:ascii="宋体" w:hAnsi="宋体" w:eastAsia="宋体" w:cs="宋体"/>
          <w:color w:val="auto"/>
          <w:sz w:val="24"/>
          <w:highlight w:val="none"/>
          <w:shd w:val="clear" w:color="auto" w:fill="auto"/>
        </w:rPr>
        <w:t>具体项目合同价的</w:t>
      </w:r>
      <w:r>
        <w:rPr>
          <w:rFonts w:hint="eastAsia" w:ascii="宋体" w:hAnsi="宋体" w:eastAsia="宋体" w:cs="宋体"/>
          <w:color w:val="auto"/>
          <w:sz w:val="24"/>
          <w:highlight w:val="none"/>
          <w:u w:val="single"/>
          <w:shd w:val="clear" w:color="auto" w:fill="auto"/>
        </w:rPr>
        <w:t>60%</w:t>
      </w:r>
      <w:r>
        <w:rPr>
          <w:rFonts w:hint="eastAsia" w:ascii="宋体" w:hAnsi="宋体" w:eastAsia="宋体" w:cs="宋体"/>
          <w:color w:val="auto"/>
          <w:sz w:val="24"/>
          <w:highlight w:val="none"/>
          <w:shd w:val="clear" w:color="auto" w:fill="auto"/>
        </w:rPr>
        <w:t>；</w:t>
      </w:r>
    </w:p>
    <w:p w14:paraId="35827CF4">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3.3完成设备安装、调试并经甲方验收合格，待项目完工通水</w:t>
      </w:r>
      <w:r>
        <w:rPr>
          <w:rFonts w:hint="eastAsia" w:ascii="宋体" w:hAnsi="宋体" w:eastAsia="宋体" w:cs="宋体"/>
          <w:color w:val="auto"/>
          <w:sz w:val="24"/>
          <w:highlight w:val="none"/>
          <w:shd w:val="clear" w:color="auto" w:fill="auto"/>
          <w:lang w:val="en-US" w:eastAsia="zh-CN"/>
        </w:rPr>
        <w:t>验收</w:t>
      </w:r>
      <w:r>
        <w:rPr>
          <w:rFonts w:hint="eastAsia" w:ascii="宋体" w:hAnsi="宋体" w:eastAsia="宋体" w:cs="宋体"/>
          <w:color w:val="auto"/>
          <w:sz w:val="24"/>
          <w:highlight w:val="none"/>
          <w:shd w:val="clear" w:color="auto" w:fill="auto"/>
        </w:rPr>
        <w:t>后</w:t>
      </w:r>
      <w:r>
        <w:rPr>
          <w:rFonts w:hint="eastAsia" w:ascii="宋体" w:hAnsi="宋体" w:eastAsia="宋体" w:cs="宋体"/>
          <w:color w:val="auto"/>
          <w:sz w:val="24"/>
          <w:highlight w:val="none"/>
          <w:shd w:val="clear" w:color="auto" w:fill="auto"/>
          <w:lang w:val="en-US" w:eastAsia="zh-CN"/>
        </w:rPr>
        <w:t>15</w:t>
      </w:r>
      <w:r>
        <w:rPr>
          <w:rFonts w:hint="eastAsia" w:ascii="宋体" w:hAnsi="宋体" w:eastAsia="宋体" w:cs="宋体"/>
          <w:color w:val="auto"/>
          <w:sz w:val="24"/>
          <w:highlight w:val="none"/>
          <w:shd w:val="clear" w:color="auto" w:fill="auto"/>
        </w:rPr>
        <w:t>日内，甲方支付至实际已完成具体项目合同金额的</w:t>
      </w:r>
      <w:r>
        <w:rPr>
          <w:rFonts w:hint="eastAsia" w:ascii="宋体" w:hAnsi="宋体" w:eastAsia="宋体" w:cs="宋体"/>
          <w:color w:val="auto"/>
          <w:sz w:val="24"/>
          <w:highlight w:val="none"/>
          <w:shd w:val="clear" w:color="auto" w:fill="auto"/>
          <w:lang w:val="en-US" w:eastAsia="zh-CN"/>
        </w:rPr>
        <w:t>95</w:t>
      </w:r>
      <w:r>
        <w:rPr>
          <w:rFonts w:hint="eastAsia" w:ascii="宋体" w:hAnsi="宋体" w:eastAsia="宋体" w:cs="宋体"/>
          <w:color w:val="auto"/>
          <w:sz w:val="24"/>
          <w:highlight w:val="none"/>
          <w:shd w:val="clear" w:color="auto" w:fill="auto"/>
        </w:rPr>
        <w:t>%；</w:t>
      </w:r>
    </w:p>
    <w:p w14:paraId="6A95BEC5">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3.4余款作为质保金，待具体项目竣工验收合格且质保期满后</w:t>
      </w:r>
      <w:r>
        <w:rPr>
          <w:rFonts w:hint="eastAsia" w:ascii="宋体" w:hAnsi="宋体" w:eastAsia="宋体" w:cs="宋体"/>
          <w:color w:val="auto"/>
          <w:sz w:val="24"/>
          <w:highlight w:val="none"/>
          <w:shd w:val="clear" w:color="auto" w:fill="auto"/>
          <w:lang w:val="en-US" w:eastAsia="zh-CN"/>
        </w:rPr>
        <w:t>1个月</w:t>
      </w:r>
      <w:r>
        <w:rPr>
          <w:rFonts w:hint="eastAsia" w:ascii="宋体" w:hAnsi="宋体" w:eastAsia="宋体" w:cs="宋体"/>
          <w:color w:val="auto"/>
          <w:sz w:val="24"/>
          <w:highlight w:val="none"/>
          <w:shd w:val="clear" w:color="auto" w:fill="auto"/>
        </w:rPr>
        <w:t>内付清。</w:t>
      </w:r>
    </w:p>
    <w:p w14:paraId="37523F73">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注：应同时提供增值税专用发票（按照国家有关规定缴纳相应税费）。</w:t>
      </w:r>
    </w:p>
    <w:p w14:paraId="7343E439">
      <w:pPr>
        <w:keepNext w:val="0"/>
        <w:keepLines w:val="0"/>
        <w:pageBreakBefore w:val="0"/>
        <w:widowControl w:val="0"/>
        <w:tabs>
          <w:tab w:val="left" w:pos="7950"/>
        </w:tabs>
        <w:kinsoku/>
        <w:wordWrap/>
        <w:overflowPunct/>
        <w:topLinePunct w:val="0"/>
        <w:autoSpaceDE/>
        <w:autoSpaceDN/>
        <w:bidi w:val="0"/>
        <w:adjustRightInd/>
        <w:spacing w:line="440"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4.质保服务</w:t>
      </w:r>
    </w:p>
    <w:p w14:paraId="47498710">
      <w:pPr>
        <w:pStyle w:val="7"/>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4.1乙方须提供经调试、试运行</w:t>
      </w:r>
      <w:r>
        <w:rPr>
          <w:rFonts w:hint="eastAsia" w:ascii="宋体" w:hAnsi="宋体" w:eastAsia="宋体" w:cs="宋体"/>
          <w:color w:val="auto"/>
          <w:sz w:val="24"/>
          <w:highlight w:val="none"/>
          <w:shd w:val="clear" w:color="auto" w:fill="auto"/>
          <w:lang w:val="en-US" w:eastAsia="zh-CN"/>
        </w:rPr>
        <w:t>（试运行期限为1周，试运行期间发生质量问题的，待问题解决后重新计算试运行时间）</w:t>
      </w:r>
      <w:r>
        <w:rPr>
          <w:rFonts w:hint="eastAsia" w:ascii="宋体" w:hAnsi="宋体" w:eastAsia="宋体" w:cs="宋体"/>
          <w:color w:val="auto"/>
          <w:sz w:val="24"/>
          <w:highlight w:val="none"/>
          <w:shd w:val="clear" w:color="auto" w:fill="auto"/>
        </w:rPr>
        <w:t>、验收合格</w:t>
      </w:r>
      <w:r>
        <w:rPr>
          <w:rFonts w:hint="eastAsia" w:ascii="宋体" w:hAnsi="宋体" w:eastAsia="宋体" w:cs="宋体"/>
          <w:color w:val="auto"/>
          <w:sz w:val="24"/>
          <w:highlight w:val="none"/>
          <w:shd w:val="clear" w:color="auto" w:fill="auto"/>
        </w:rPr>
        <w:t>后</w:t>
      </w:r>
      <w:r>
        <w:rPr>
          <w:rFonts w:hint="eastAsia" w:ascii="宋体" w:hAnsi="宋体" w:eastAsia="宋体" w:cs="宋体"/>
          <w:color w:val="auto"/>
          <w:sz w:val="24"/>
          <w:highlight w:val="none"/>
          <w:shd w:val="clear" w:color="auto" w:fill="auto"/>
        </w:rPr>
        <w:t>至少</w:t>
      </w:r>
      <w:r>
        <w:rPr>
          <w:rFonts w:hint="eastAsia" w:ascii="宋体" w:hAnsi="宋体" w:eastAsia="宋体" w:cs="宋体"/>
          <w:color w:val="auto"/>
          <w:sz w:val="24"/>
          <w:highlight w:val="none"/>
          <w:u w:val="single"/>
          <w:shd w:val="clear" w:color="auto" w:fill="auto"/>
        </w:rPr>
        <w:t xml:space="preserve"> 2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u w:val="single"/>
          <w:shd w:val="clear" w:color="auto" w:fill="auto"/>
        </w:rPr>
        <w:t>实</w:t>
      </w:r>
      <w:r>
        <w:rPr>
          <w:rFonts w:hint="eastAsia" w:ascii="宋体" w:hAnsi="宋体" w:eastAsia="宋体" w:cs="宋体"/>
          <w:color w:val="auto"/>
          <w:sz w:val="24"/>
          <w:highlight w:val="none"/>
          <w:u w:val="single"/>
          <w:shd w:val="clear" w:color="auto" w:fill="auto"/>
        </w:rPr>
        <w:t>际根据乙方投标书中作出的质保时间为准)</w:t>
      </w:r>
      <w:r>
        <w:rPr>
          <w:rFonts w:hint="eastAsia" w:ascii="宋体" w:hAnsi="宋体" w:eastAsia="宋体" w:cs="宋体"/>
          <w:color w:val="auto"/>
          <w:sz w:val="24"/>
          <w:highlight w:val="none"/>
          <w:shd w:val="clear" w:color="auto" w:fill="auto"/>
        </w:rPr>
        <w:t>的质保服务。质保期从项目竣工验收合格之日起开始计算，在此期间，乙方应免费处理因质量发生的故障，并进行正常保养。若因质量问题产生维修的，则自维修问题出现之日到维修完成且设备达到质量要求之日这段时间，不计入质保期(即质保期相应延长这段时间）。若质保期出现三次及以上因质量问题产生维修的，则自维修完成且设备达到质量要求之日起，质保期重新计算，以此类推。</w:t>
      </w:r>
    </w:p>
    <w:p w14:paraId="23876CA0">
      <w:pPr>
        <w:keepNext w:val="0"/>
        <w:keepLines w:val="0"/>
        <w:pageBreakBefore w:val="0"/>
        <w:widowControl w:val="0"/>
        <w:tabs>
          <w:tab w:val="left" w:pos="7950"/>
        </w:tabs>
        <w:kinsoku/>
        <w:wordWrap/>
        <w:overflowPunct/>
        <w:topLinePunct w:val="0"/>
        <w:autoSpaceDE/>
        <w:autoSpaceDN/>
        <w:bidi w:val="0"/>
        <w:adjustRightInd/>
        <w:spacing w:line="440"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5.合同修改</w:t>
      </w:r>
    </w:p>
    <w:p w14:paraId="433E07D5">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5.1双方的任何一方对合同内容提出修改，均应以书面形式通知对方，并达成由双方签署的合同修改书，须报招标管理部门批准。</w:t>
      </w:r>
    </w:p>
    <w:p w14:paraId="7951379C">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5.2除非甲方对服务内容和涉及价格因素的服务项目提出修改，乙方不得对合同价格提出修改要求。</w:t>
      </w:r>
    </w:p>
    <w:p w14:paraId="0FE2D127">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6. 质量标准和验收 </w:t>
      </w:r>
    </w:p>
    <w:p w14:paraId="7C820DC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6.1乙方提供的产品及服务必须是经合法途径取得的。</w:t>
      </w:r>
    </w:p>
    <w:p w14:paraId="53CCDA9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6.2乙方应按现行的国家或行业技术及验收标准和招标文件的规定提供工程、货物或服务，因乙方提供的工程、货物或服务达不到约定的质量标准，乙方承担违约责任。</w:t>
      </w:r>
    </w:p>
    <w:p w14:paraId="5C847D4B">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6.3验收由甲方人员进行验收，主要验收数量，质量以及其他问题。</w:t>
      </w:r>
    </w:p>
    <w:p w14:paraId="15C88044">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6.4如乙方分散提供货物应通知甲方验收并记录每次分散供货的货物清单。</w:t>
      </w:r>
    </w:p>
    <w:p w14:paraId="5F01C0E6">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6.5双方对工程、货物或服务的质量有争议的，由双方同意的专业检测机构鉴定，所需费及因此造成的损失由责任方承担，双方均有责任的，双方根据其责任分别承担</w:t>
      </w:r>
    </w:p>
    <w:p w14:paraId="65567B60">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6.6经验收合格后，货物的所有权及风险转移至甲方。</w:t>
      </w:r>
    </w:p>
    <w:p w14:paraId="141061D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6.7根据《绍兴市柴油动力移动源排气污染防治办法》第九条、第十三条的规定，乙方在合同实施过程中使用的柴油动力移动源（柴油货车、非道路移动机械）必须符合低排放要求并已向生态环境部门申领绿色编码，在进入作业现场前须如实向甲方登记报备绿色编码，未申领绿色编码的柴油动力移动源不得进入作业现场施工。在作业现场发现有未申领绿色编码的柴油动力移动源或者未如实进行绿色编码报备的，认定乙方违约，按照本合同违约条款承担相应违约责任。</w:t>
      </w:r>
    </w:p>
    <w:p w14:paraId="7ECB302C">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7.双方权利和义务</w:t>
      </w:r>
    </w:p>
    <w:p w14:paraId="52F479C9">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7.1甲方按本协议的规定，及时足额向乙方支付协议规定的部分费用；</w:t>
      </w:r>
    </w:p>
    <w:p w14:paraId="05FD29FF">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7.2乙方有义务为甲方提供免费售后维修服务；若是甲方原因导致产品不能使用需更换的，按约定的中标单价进行更换。</w:t>
      </w:r>
    </w:p>
    <w:p w14:paraId="353A35E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7.3在履行协议期间，所有的安全事故均由乙方全部负责，如出现安全事故，一切责任由乙方承担，与甲方无关。</w:t>
      </w:r>
    </w:p>
    <w:p w14:paraId="44E34950">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8.违约责任</w:t>
      </w:r>
    </w:p>
    <w:p w14:paraId="7B0F923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8.1若因乙方公司原因而造成无法正常提供货物或服务的，甲方有权单方面解除合同，且已产生的货物或服务的费用不再支付给乙方，并有权要求乙方支付</w:t>
      </w:r>
      <w:r>
        <w:rPr>
          <w:rFonts w:hint="eastAsia" w:ascii="宋体" w:hAnsi="宋体" w:eastAsia="宋体" w:cs="宋体"/>
          <w:color w:val="auto"/>
          <w:sz w:val="24"/>
          <w:highlight w:val="none"/>
          <w:shd w:val="clear" w:color="auto" w:fill="auto"/>
          <w:lang w:eastAsia="zh-CN"/>
        </w:rPr>
        <w:t>单个具体</w:t>
      </w:r>
      <w:r>
        <w:rPr>
          <w:rFonts w:hint="eastAsia" w:ascii="宋体" w:hAnsi="宋体" w:eastAsia="宋体" w:cs="宋体"/>
          <w:color w:val="auto"/>
          <w:sz w:val="24"/>
          <w:highlight w:val="none"/>
          <w:shd w:val="clear" w:color="auto" w:fill="auto"/>
        </w:rPr>
        <w:t>合同金额的5%作为违约金支付给甲方。</w:t>
      </w:r>
    </w:p>
    <w:p w14:paraId="60AC010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8.2除本协议另有约定外，双方任何一方不得擅自解除本协议，否则视为违约，违约方应向对方支付合同总金额5%的违约金。</w:t>
      </w:r>
    </w:p>
    <w:p w14:paraId="4F8F3F30">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9．违约赔偿</w:t>
      </w:r>
    </w:p>
    <w:p w14:paraId="5034A736">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9.1除不可抗力外，如乙方发生不能按要求提供货物或服务的，甲方发生中途变更等情况，应及时以书面形式通知对方。双方应本着友好的态度进行协商，妥善解决。</w:t>
      </w:r>
    </w:p>
    <w:p w14:paraId="35EFDE87">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9.2乙方和甲方签订合同，按供货指令单的时间提供货物或服务，未按合同要求提供货物或服务的，逾期每推迟一天，乙方支付人民币5000元的违约金给甲方。延迟供货10天以上（含10天）甲方有权单方面解除合同。乙方须赔偿甲方因延迟供货所造成的一切损失。</w:t>
      </w:r>
    </w:p>
    <w:p w14:paraId="4BF3E88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如在甲方使用货物中或货物在质保期内出现货物质量问题所造成的相关损失由乙方承担及无条件提供相关合格货物，并支付违约金5000元/每次。</w:t>
      </w:r>
    </w:p>
    <w:p w14:paraId="353C78D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若乙方未在质保期内提供质保服务的质保金不再退还。</w:t>
      </w:r>
    </w:p>
    <w:p w14:paraId="3D1F106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乙方需按照投标时承诺的售后服务提供相应的服务，未达到的，支付违约金5000元/次。</w:t>
      </w:r>
    </w:p>
    <w:p w14:paraId="273F1B9D">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10.不可抗力</w:t>
      </w:r>
    </w:p>
    <w:p w14:paraId="5D4ADB3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10.1如果双方中任何一方由于战争、严重火灾、</w:t>
      </w:r>
      <w:r>
        <w:rPr>
          <w:rFonts w:hint="eastAsia" w:ascii="宋体" w:hAnsi="宋体" w:eastAsia="宋体" w:cs="宋体"/>
          <w:color w:val="auto"/>
          <w:sz w:val="24"/>
          <w:highlight w:val="none"/>
          <w:shd w:val="clear" w:color="auto" w:fill="auto"/>
        </w:rPr>
        <w:t>水灾和</w:t>
      </w:r>
      <w:r>
        <w:rPr>
          <w:rFonts w:hint="eastAsia" w:ascii="宋体" w:hAnsi="宋体" w:eastAsia="宋体" w:cs="宋体"/>
          <w:color w:val="auto"/>
          <w:sz w:val="24"/>
          <w:highlight w:val="none"/>
          <w:shd w:val="clear" w:color="auto" w:fill="auto"/>
        </w:rPr>
        <w:t>地震以及其它经双方同意属于不可抗力的事故，致使合同履行受阻时，履行合同的期限应予延长，延长的期限应相当于事故所影响的时间。</w:t>
      </w:r>
    </w:p>
    <w:p w14:paraId="64E1130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10.2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297486B5">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11.解决合同纠纷的方式</w:t>
      </w:r>
    </w:p>
    <w:p w14:paraId="7FFAF962">
      <w:pPr>
        <w:pStyle w:val="6"/>
        <w:keepNext w:val="0"/>
        <w:keepLines w:val="0"/>
        <w:pageBreakBefore w:val="0"/>
        <w:widowControl w:val="0"/>
        <w:numPr>
          <w:ilvl w:val="0"/>
          <w:numId w:val="0"/>
        </w:numPr>
        <w:tabs>
          <w:tab w:val="left" w:pos="1697"/>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11.1合同争议的最终解决方式为下列第</w:t>
      </w:r>
      <w:r>
        <w:rPr>
          <w:rFonts w:hint="eastAsia" w:ascii="宋体" w:hAnsi="宋体" w:eastAsia="宋体" w:cs="宋体"/>
          <w:color w:val="auto"/>
          <w:sz w:val="24"/>
          <w:highlight w:val="none"/>
          <w:u w:val="single"/>
          <w:shd w:val="clear" w:color="auto" w:fill="auto"/>
          <w:lang w:eastAsia="zh-CN"/>
        </w:rPr>
        <w:t>（</w:t>
      </w:r>
      <w:r>
        <w:rPr>
          <w:rFonts w:hint="eastAsia" w:ascii="宋体" w:hAnsi="宋体" w:eastAsia="宋体" w:cs="宋体"/>
          <w:color w:val="auto"/>
          <w:sz w:val="24"/>
          <w:highlight w:val="none"/>
          <w:u w:val="single"/>
          <w:shd w:val="clear" w:color="auto" w:fill="auto"/>
          <w:lang w:val="en-US" w:eastAsia="zh-CN"/>
        </w:rPr>
        <w:t>2</w:t>
      </w:r>
      <w:r>
        <w:rPr>
          <w:rFonts w:hint="eastAsia" w:ascii="宋体" w:hAnsi="宋体" w:eastAsia="宋体" w:cs="宋体"/>
          <w:color w:val="auto"/>
          <w:sz w:val="24"/>
          <w:highlight w:val="none"/>
          <w:u w:val="single"/>
          <w:shd w:val="clear" w:color="auto" w:fill="auto"/>
          <w:lang w:eastAsia="zh-CN"/>
        </w:rPr>
        <w:t>）</w:t>
      </w:r>
      <w:r>
        <w:rPr>
          <w:rFonts w:hint="eastAsia" w:ascii="宋体" w:hAnsi="宋体" w:eastAsia="宋体" w:cs="宋体"/>
          <w:color w:val="auto"/>
          <w:sz w:val="24"/>
          <w:highlight w:val="none"/>
          <w:shd w:val="clear" w:color="auto" w:fill="auto"/>
        </w:rPr>
        <w:t>种方式。</w:t>
      </w:r>
    </w:p>
    <w:p w14:paraId="0E20E298">
      <w:pPr>
        <w:pStyle w:val="6"/>
        <w:keepNext w:val="0"/>
        <w:keepLines w:val="0"/>
        <w:pageBreakBefore w:val="0"/>
        <w:widowControl w:val="0"/>
        <w:numPr>
          <w:ilvl w:val="0"/>
          <w:numId w:val="0"/>
        </w:numPr>
        <w:tabs>
          <w:tab w:val="left" w:pos="1697"/>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（1）提请绍兴仲裁委员会进行仲裁。</w:t>
      </w:r>
    </w:p>
    <w:p w14:paraId="7BE1E7B1">
      <w:pPr>
        <w:pStyle w:val="6"/>
        <w:keepNext w:val="0"/>
        <w:keepLines w:val="0"/>
        <w:pageBreakBefore w:val="0"/>
        <w:widowControl w:val="0"/>
        <w:numPr>
          <w:ilvl w:val="0"/>
          <w:numId w:val="0"/>
        </w:numPr>
        <w:tabs>
          <w:tab w:val="left" w:pos="1697"/>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（2）向甲方所在地人民法院提起诉讼。</w:t>
      </w:r>
    </w:p>
    <w:p w14:paraId="6616C9FC">
      <w:pPr>
        <w:pStyle w:val="6"/>
        <w:keepNext w:val="0"/>
        <w:keepLines w:val="0"/>
        <w:pageBreakBefore w:val="0"/>
        <w:widowControl w:val="0"/>
        <w:numPr>
          <w:ilvl w:val="0"/>
          <w:numId w:val="0"/>
        </w:numPr>
        <w:tabs>
          <w:tab w:val="left" w:pos="1697"/>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11.2诉讼费用除人民法院另有裁决外，由败诉方承担。</w:t>
      </w:r>
    </w:p>
    <w:p w14:paraId="082CDD16">
      <w:pPr>
        <w:pStyle w:val="6"/>
        <w:keepNext w:val="0"/>
        <w:keepLines w:val="0"/>
        <w:pageBreakBefore w:val="0"/>
        <w:widowControl w:val="0"/>
        <w:numPr>
          <w:ilvl w:val="0"/>
          <w:numId w:val="0"/>
        </w:numPr>
        <w:tabs>
          <w:tab w:val="left" w:pos="1697"/>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11.3在诉讼期间，除正在进行裁定的部分外，本合同其他部分应继续执行。</w:t>
      </w:r>
    </w:p>
    <w:p w14:paraId="3B2F0D8B">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11.4合同应在双方签字盖章，甲方收到乙方提供的履约保证金后开始生效。</w:t>
      </w:r>
    </w:p>
    <w:p w14:paraId="7442B407">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（注：在正式签约时，根据上述精神应拟就更为详尽的合同书）</w:t>
      </w:r>
    </w:p>
    <w:p w14:paraId="7C525F83">
      <w:pPr>
        <w:keepNext w:val="0"/>
        <w:keepLines w:val="0"/>
        <w:pageBreakBefore w:val="0"/>
        <w:kinsoku/>
        <w:wordWrap/>
        <w:overflowPunct/>
        <w:topLinePunct w:val="0"/>
        <w:bidi w:val="0"/>
        <w:spacing w:line="430" w:lineRule="exact"/>
        <w:ind w:firstLine="480" w:firstLineChars="200"/>
        <w:textAlignment w:val="auto"/>
        <w:rPr>
          <w:rFonts w:hint="eastAsia" w:ascii="宋体" w:hAnsi="宋体" w:eastAsia="宋体" w:cs="宋体"/>
          <w:color w:val="auto"/>
          <w:sz w:val="24"/>
          <w:highlight w:val="none"/>
          <w:shd w:val="clear" w:color="auto" w:fill="auto"/>
        </w:rPr>
      </w:pPr>
    </w:p>
    <w:p w14:paraId="59E8B8AD">
      <w:pPr>
        <w:spacing w:line="440" w:lineRule="exact"/>
        <w:jc w:val="left"/>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rPr>
        <w:t>12.</w:t>
      </w:r>
      <w:r>
        <w:rPr>
          <w:rFonts w:hint="eastAsia" w:ascii="宋体" w:hAnsi="宋体" w:eastAsia="宋体" w:cs="宋体"/>
          <w:b/>
          <w:color w:val="auto"/>
          <w:sz w:val="24"/>
          <w:highlight w:val="none"/>
          <w:shd w:val="clear" w:color="auto" w:fill="auto"/>
          <w:lang w:val="zh-CN"/>
        </w:rPr>
        <w:t>合同附件</w:t>
      </w:r>
    </w:p>
    <w:p w14:paraId="6B4554C1">
      <w:pPr>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廉政责任协议书</w:t>
      </w:r>
    </w:p>
    <w:p w14:paraId="5BE71F5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p>
    <w:p w14:paraId="681417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根据有关廉政建设的规定，为做好项目中的党风廉政建设，保证项目高效优质，保证建设资金的安全和有效使用以及投资效益，</w:t>
      </w:r>
      <w:r>
        <w:rPr>
          <w:rFonts w:hint="eastAsia" w:ascii="宋体" w:hAnsi="宋体" w:eastAsia="宋体" w:cs="宋体"/>
          <w:color w:val="auto"/>
          <w:sz w:val="24"/>
          <w:highlight w:val="none"/>
          <w:shd w:val="clear" w:color="auto" w:fill="auto"/>
          <w:lang w:eastAsia="zh-CN"/>
        </w:rPr>
        <w:t>招标人</w:t>
      </w:r>
      <w:r>
        <w:rPr>
          <w:rFonts w:hint="eastAsia" w:ascii="宋体" w:hAnsi="宋体" w:eastAsia="宋体" w:cs="宋体"/>
          <w:color w:val="auto"/>
          <w:sz w:val="24"/>
          <w:highlight w:val="none"/>
          <w:u w:val="single"/>
          <w:shd w:val="clear" w:color="auto" w:fill="auto"/>
          <w:lang w:val="en-US" w:eastAsia="zh-CN"/>
        </w:rPr>
        <w:t xml:space="preserve"> 绍兴市水务产业有限公司 </w:t>
      </w:r>
      <w:r>
        <w:rPr>
          <w:rFonts w:hint="eastAsia" w:ascii="宋体" w:hAnsi="宋体" w:eastAsia="宋体" w:cs="宋体"/>
          <w:color w:val="auto"/>
          <w:sz w:val="24"/>
          <w:highlight w:val="none"/>
          <w:shd w:val="clear" w:color="auto" w:fill="auto"/>
        </w:rPr>
        <w:t>（以下简称甲方）与</w:t>
      </w:r>
      <w:r>
        <w:rPr>
          <w:rFonts w:hint="eastAsia" w:ascii="宋体" w:hAnsi="宋体" w:eastAsia="宋体" w:cs="宋体"/>
          <w:color w:val="auto"/>
          <w:sz w:val="24"/>
          <w:highlight w:val="none"/>
          <w:shd w:val="clear" w:color="auto" w:fill="auto"/>
          <w:lang w:eastAsia="zh-CN"/>
        </w:rPr>
        <w:t>中标人</w:t>
      </w:r>
      <w:r>
        <w:rPr>
          <w:rFonts w:hint="eastAsia" w:ascii="宋体" w:hAnsi="宋体" w:eastAsia="宋体" w:cs="宋体"/>
          <w:color w:val="auto"/>
          <w:sz w:val="24"/>
          <w:highlight w:val="none"/>
          <w:shd w:val="clear" w:color="auto" w:fill="auto"/>
        </w:rPr>
        <w:t>____________（以下简称乙方），特订立如下合同：</w:t>
      </w:r>
    </w:p>
    <w:p w14:paraId="2D373F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第一条甲方和乙方双方的权利和义务</w:t>
      </w:r>
    </w:p>
    <w:p w14:paraId="19201C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（一）严格遵守党和国家有关法律法规及建设部的有关规定。</w:t>
      </w:r>
    </w:p>
    <w:p w14:paraId="4E4E0C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（二）严格执行</w:t>
      </w:r>
      <w:r>
        <w:rPr>
          <w:rFonts w:hint="eastAsia" w:ascii="宋体" w:hAnsi="宋体" w:eastAsia="宋体" w:cs="宋体"/>
          <w:color w:val="auto"/>
          <w:sz w:val="24"/>
          <w:highlight w:val="none"/>
          <w:u w:val="single"/>
          <w:shd w:val="clear" w:color="auto" w:fill="auto"/>
          <w:lang w:val="zh-CN"/>
        </w:rPr>
        <w:t>绍兴市水务产业有限公司二次供水设备年度采购项目</w:t>
      </w:r>
      <w:r>
        <w:rPr>
          <w:rFonts w:hint="eastAsia" w:ascii="宋体" w:hAnsi="宋体" w:eastAsia="宋体" w:cs="宋体"/>
          <w:color w:val="auto"/>
          <w:sz w:val="24"/>
          <w:highlight w:val="none"/>
          <w:shd w:val="clear" w:color="auto" w:fill="auto"/>
        </w:rPr>
        <w:t>承包合同文件，自觉按合同办事。</w:t>
      </w:r>
    </w:p>
    <w:p w14:paraId="663FF6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（三）双方的业务活动坚持公开、公正、诚信、透明的原则（除法律认定的商业秘密和合同文件另有规定之外），不得损害国家和集体利益，违反项目建设管理规章制度。</w:t>
      </w:r>
    </w:p>
    <w:p w14:paraId="4DA064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（四）建立健全廉政制度，开展廉政教育，公布举报电话，监督并认真查处违法违纪行为。</w:t>
      </w:r>
    </w:p>
    <w:p w14:paraId="485D2A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（五）发现对方在业务活动中有违反廉政规定的行为，有及时提醒对方纠正的权利和义务。</w:t>
      </w:r>
    </w:p>
    <w:p w14:paraId="4A03EE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（六）发现对方严重违反本合同义务条款的行为，有向其上级有关部门举报、建议给予处理并要求告知处理结果的权利。</w:t>
      </w:r>
    </w:p>
    <w:p w14:paraId="21BEE8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第二条甲方的义务</w:t>
      </w:r>
    </w:p>
    <w:p w14:paraId="0B0D61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（一）甲方及其工作人员不得索要或接受乙方的礼金、有价证券和贵重物品，不得在乙方报销任何应由甲方或个人支付的费用等。</w:t>
      </w:r>
    </w:p>
    <w:p w14:paraId="3E0A21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（二）甲方工作人员不得参加乙方安排的超标准宴请和娱乐活动，不得接受乙方提供的通讯工具、交通工具和高档办公用品等。</w:t>
      </w:r>
    </w:p>
    <w:p w14:paraId="10B6FE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（三）甲方及其工作人员不得要求或者接受乙方为其住房装修、婚丧嫁娶活动、配偶子女的工作安排以及出国出境、旅游等提供方便等。</w:t>
      </w:r>
    </w:p>
    <w:p w14:paraId="5409C7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（四）甲方工作人员的配偶、子女不得从事与甲方工程有关的材料设备供应、工程分包、劳务等经济活动等。</w:t>
      </w:r>
    </w:p>
    <w:p w14:paraId="226644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第三条 乙方义务</w:t>
      </w:r>
    </w:p>
    <w:p w14:paraId="24DF79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（一）乙方不得以任何理由向甲方及其工作人员行贿或馈赠礼金，有价证券、贵重礼品。</w:t>
      </w:r>
    </w:p>
    <w:p w14:paraId="25BA83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（二）乙方不得以任何名义为甲方及其工作人员报销应由甲方单位或个人支付的任何费用。</w:t>
      </w:r>
    </w:p>
    <w:p w14:paraId="31E1EE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（三）乙方不得以任何理由安排甲方工作人员参加超标准宴请及娱乐活动。</w:t>
      </w:r>
    </w:p>
    <w:p w14:paraId="05B46D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（四）乙方不得为甲方单位和个人购置或提供通讯工具、交通工具和高档办公用品等。</w:t>
      </w:r>
    </w:p>
    <w:p w14:paraId="1F6946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第四条 违约责任</w:t>
      </w:r>
    </w:p>
    <w:p w14:paraId="2D8BE6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（一）甲方及其工作人员违反本合同第一、二条，按管理权限，依据有关规定给予党纪、政纪或组织处理；涉嫌犯罪的，移交司法机关追究刑事责任；给乙方单位造成经济损失的，应予以赔偿。</w:t>
      </w:r>
    </w:p>
    <w:p w14:paraId="5CF1AE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二）乙方及其工作人员违反本合同第一、三条，按管理权限，依据有关规定、给予党纪、政纪或组织处理；给甲方单位造成经济损失的，应予以赔偿；情节严重的，甲方有权取消乙方在一至三年内不得参与甲方或甲方上级单位组织的招投标项目的投标资格。</w:t>
      </w:r>
    </w:p>
    <w:p w14:paraId="2DE9EF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第五条  双方约定</w:t>
      </w:r>
    </w:p>
    <w:p w14:paraId="78FAB3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本合同由双方相关部门负责监督。</w:t>
      </w:r>
    </w:p>
    <w:p w14:paraId="18825F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第六条  本合同有效期为甲方和乙方双方签署之日起至该项目服务完成并经甲方认可后止。</w:t>
      </w:r>
    </w:p>
    <w:p w14:paraId="5A3C7F7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本合同作为</w:t>
      </w:r>
      <w:r>
        <w:rPr>
          <w:rFonts w:hint="eastAsia" w:ascii="宋体" w:hAnsi="宋体" w:eastAsia="宋体" w:cs="宋体"/>
          <w:color w:val="auto"/>
          <w:sz w:val="24"/>
          <w:highlight w:val="none"/>
          <w:u w:val="single"/>
          <w:shd w:val="clear" w:color="auto" w:fill="auto"/>
          <w:lang w:val="zh-CN"/>
        </w:rPr>
        <w:t>绍兴市水务产业有限公司二次供水设备年度采购项目</w:t>
      </w:r>
      <w:r>
        <w:rPr>
          <w:rFonts w:hint="eastAsia" w:ascii="宋体" w:hAnsi="宋体" w:eastAsia="宋体" w:cs="宋体"/>
          <w:color w:val="auto"/>
          <w:sz w:val="24"/>
          <w:highlight w:val="none"/>
          <w:shd w:val="clear" w:color="auto" w:fill="auto"/>
        </w:rPr>
        <w:t>承包合同的附件，与项目承包合同具有同等的法律效力，经合同双方签署立即生效。</w:t>
      </w:r>
    </w:p>
    <w:p w14:paraId="72E3B7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shd w:val="clear" w:color="auto" w:fill="auto"/>
        </w:rPr>
      </w:pPr>
    </w:p>
    <w:p w14:paraId="348E2BD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shd w:val="clear" w:color="auto" w:fill="auto"/>
        </w:rPr>
      </w:pPr>
    </w:p>
    <w:p w14:paraId="18844F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甲方：（盖章）                           乙方：（盖章）</w:t>
      </w:r>
    </w:p>
    <w:p w14:paraId="171F7A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法定代表人或其授权代表(签字或盖章)：     法定代表人或其授权代表(签字或盖章)：</w:t>
      </w:r>
    </w:p>
    <w:p w14:paraId="2ECFBEC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年    月    日                            年    月    日</w:t>
      </w:r>
    </w:p>
    <w:p w14:paraId="58B413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w:t>
      </w:r>
    </w:p>
    <w:p w14:paraId="5D039004">
      <w:pPr>
        <w:widowControl/>
        <w:spacing w:line="480" w:lineRule="exact"/>
        <w:jc w:val="center"/>
        <w:rPr>
          <w:rFonts w:hint="eastAsia" w:ascii="宋体" w:hAnsi="宋体" w:eastAsia="宋体" w:cs="宋体"/>
          <w:b/>
          <w:bCs/>
          <w:color w:val="auto"/>
          <w:kern w:val="0"/>
          <w:sz w:val="44"/>
          <w:szCs w:val="44"/>
          <w:highlight w:val="none"/>
          <w:shd w:val="clear" w:color="auto" w:fill="auto"/>
        </w:rPr>
      </w:pPr>
      <w:r>
        <w:rPr>
          <w:rFonts w:hint="eastAsia" w:ascii="宋体" w:hAnsi="宋体" w:eastAsia="宋体" w:cs="宋体"/>
          <w:color w:val="auto"/>
          <w:sz w:val="28"/>
          <w:szCs w:val="28"/>
          <w:highlight w:val="none"/>
          <w:shd w:val="clear" w:color="auto" w:fill="auto"/>
        </w:rPr>
        <w:br w:type="page"/>
      </w:r>
      <w:r>
        <w:rPr>
          <w:rFonts w:hint="eastAsia" w:ascii="宋体" w:hAnsi="宋体" w:eastAsia="宋体" w:cs="宋体"/>
          <w:color w:val="auto"/>
          <w:sz w:val="28"/>
          <w:szCs w:val="28"/>
          <w:highlight w:val="none"/>
          <w:shd w:val="clear" w:color="auto" w:fill="auto"/>
        </w:rPr>
        <w:t>安全协议书</w:t>
      </w:r>
    </w:p>
    <w:p w14:paraId="3971C2D4">
      <w:pPr>
        <w:keepNext w:val="0"/>
        <w:keepLines w:val="0"/>
        <w:pageBreakBefore w:val="0"/>
        <w:widowControl/>
        <w:kinsoku/>
        <w:wordWrap/>
        <w:overflowPunct/>
        <w:topLinePunct w:val="0"/>
        <w:bidi w:val="0"/>
        <w:adjustRightInd/>
        <w:snapToGrid/>
        <w:spacing w:line="440" w:lineRule="exact"/>
        <w:jc w:val="both"/>
        <w:textAlignment w:val="auto"/>
        <w:rPr>
          <w:rFonts w:hint="eastAsia" w:ascii="宋体" w:hAnsi="宋体" w:eastAsia="宋体" w:cs="宋体"/>
          <w:b/>
          <w:color w:val="auto"/>
          <w:kern w:val="0"/>
          <w:sz w:val="24"/>
          <w:szCs w:val="24"/>
          <w:highlight w:val="none"/>
          <w:shd w:val="clear" w:color="auto" w:fill="auto"/>
        </w:rPr>
      </w:pPr>
    </w:p>
    <w:p w14:paraId="682E5719">
      <w:pPr>
        <w:keepNext w:val="0"/>
        <w:keepLines w:val="0"/>
        <w:pageBreakBefore w:val="0"/>
        <w:widowControl/>
        <w:kinsoku/>
        <w:wordWrap/>
        <w:overflowPunct/>
        <w:topLinePunct w:val="0"/>
        <w:bidi w:val="0"/>
        <w:adjustRightInd/>
        <w:snapToGrid/>
        <w:spacing w:line="440" w:lineRule="exact"/>
        <w:textAlignment w:val="auto"/>
        <w:rPr>
          <w:rFonts w:hint="eastAsia" w:ascii="宋体" w:hAnsi="宋体" w:eastAsia="宋体" w:cs="宋体"/>
          <w:color w:val="auto"/>
          <w:kern w:val="0"/>
          <w:sz w:val="24"/>
          <w:szCs w:val="24"/>
          <w:highlight w:val="none"/>
          <w:u w:val="single"/>
          <w:shd w:val="clear" w:color="auto" w:fill="auto"/>
        </w:rPr>
      </w:pPr>
      <w:r>
        <w:rPr>
          <w:rFonts w:hint="eastAsia" w:ascii="宋体" w:hAnsi="宋体" w:eastAsia="宋体" w:cs="宋体"/>
          <w:color w:val="auto"/>
          <w:kern w:val="0"/>
          <w:sz w:val="24"/>
          <w:szCs w:val="24"/>
          <w:highlight w:val="none"/>
          <w:shd w:val="clear" w:color="auto" w:fill="auto"/>
          <w:lang w:eastAsia="zh-CN"/>
        </w:rPr>
        <w:t>招标人</w:t>
      </w:r>
      <w:r>
        <w:rPr>
          <w:rFonts w:hint="eastAsia" w:ascii="宋体" w:hAnsi="宋体" w:eastAsia="宋体" w:cs="宋体"/>
          <w:color w:val="auto"/>
          <w:kern w:val="0"/>
          <w:sz w:val="24"/>
          <w:szCs w:val="24"/>
          <w:highlight w:val="none"/>
          <w:shd w:val="clear" w:color="auto" w:fill="auto"/>
        </w:rPr>
        <w:t>（以下简称甲方）：</w:t>
      </w:r>
      <w:r>
        <w:rPr>
          <w:rFonts w:hint="eastAsia" w:ascii="宋体" w:hAnsi="宋体" w:eastAsia="宋体" w:cs="宋体"/>
          <w:color w:val="auto"/>
          <w:kern w:val="0"/>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绍兴市水务产业有限公司</w:t>
      </w:r>
      <w:r>
        <w:rPr>
          <w:rFonts w:hint="eastAsia" w:ascii="宋体" w:hAnsi="宋体" w:eastAsia="宋体" w:cs="宋体"/>
          <w:color w:val="auto"/>
          <w:kern w:val="0"/>
          <w:sz w:val="24"/>
          <w:szCs w:val="24"/>
          <w:highlight w:val="none"/>
          <w:u w:val="single"/>
          <w:shd w:val="clear" w:color="auto" w:fill="auto"/>
        </w:rPr>
        <w:t xml:space="preserve"> </w:t>
      </w:r>
    </w:p>
    <w:p w14:paraId="588BA5E5">
      <w:pPr>
        <w:keepNext w:val="0"/>
        <w:keepLines w:val="0"/>
        <w:pageBreakBefore w:val="0"/>
        <w:widowControl/>
        <w:kinsoku/>
        <w:wordWrap/>
        <w:overflowPunct/>
        <w:topLinePunct w:val="0"/>
        <w:bidi w:val="0"/>
        <w:adjustRightInd/>
        <w:snapToGrid/>
        <w:spacing w:line="440" w:lineRule="exac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eastAsia="zh-CN"/>
        </w:rPr>
        <w:t>中标人</w:t>
      </w:r>
      <w:r>
        <w:rPr>
          <w:rFonts w:hint="eastAsia" w:ascii="宋体" w:hAnsi="宋体" w:eastAsia="宋体" w:cs="宋体"/>
          <w:color w:val="auto"/>
          <w:kern w:val="0"/>
          <w:sz w:val="24"/>
          <w:szCs w:val="24"/>
          <w:highlight w:val="none"/>
          <w:shd w:val="clear" w:color="auto" w:fill="auto"/>
        </w:rPr>
        <w:t>（以下简称乙方）：</w:t>
      </w:r>
      <w:bookmarkStart w:id="46" w:name="OLE_LINK1"/>
      <w:r>
        <w:rPr>
          <w:rFonts w:hint="eastAsia" w:ascii="宋体" w:hAnsi="宋体" w:eastAsia="宋体" w:cs="宋体"/>
          <w:color w:val="auto"/>
          <w:kern w:val="0"/>
          <w:sz w:val="24"/>
          <w:szCs w:val="24"/>
          <w:highlight w:val="none"/>
          <w:u w:val="single"/>
          <w:shd w:val="clear" w:color="auto" w:fill="auto"/>
        </w:rPr>
        <w:t xml:space="preserve">                        </w:t>
      </w:r>
      <w:bookmarkEnd w:id="46"/>
    </w:p>
    <w:p w14:paraId="0FADCCB9">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项目名称：绍兴市水务产业有限公司二次供水设备年度采购项目</w:t>
      </w:r>
    </w:p>
    <w:p w14:paraId="3D040F8F">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项目地</w:t>
      </w:r>
      <w:r>
        <w:rPr>
          <w:rFonts w:hint="eastAsia" w:ascii="宋体" w:hAnsi="宋体" w:eastAsia="宋体" w:cs="宋体"/>
          <w:color w:val="auto"/>
          <w:kern w:val="0"/>
          <w:sz w:val="24"/>
          <w:szCs w:val="24"/>
          <w:highlight w:val="none"/>
          <w:shd w:val="clear" w:color="auto" w:fill="auto"/>
        </w:rPr>
        <w:t>点：绍兴市越城区</w:t>
      </w:r>
    </w:p>
    <w:p w14:paraId="3EF9BB90">
      <w:pPr>
        <w:keepNext w:val="0"/>
        <w:keepLines w:val="0"/>
        <w:pageBreakBefore w:val="0"/>
        <w:widowControl/>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为了切实加强实施人员现场安全作业管理，双方本着平等、自愿的原则，签订本协议书。甲方和乙方均严格遵守本协议书规定的权力、责任和义务，确保实施人员现场作业的安全。</w:t>
      </w:r>
    </w:p>
    <w:p w14:paraId="3F6E8BB3">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一、甲方的权利、责任和义务：</w:t>
      </w:r>
    </w:p>
    <w:p w14:paraId="68C2B700">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1、贯彻落实国家有关安全作业的法规和管理规定，对乙方作业人员服务现场和区域进行全面的安全管理和监督检查进行安全检查与指导。</w:t>
      </w:r>
    </w:p>
    <w:p w14:paraId="798F8739">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2、及时纠正乙方作业人员违章指挥和违章作业行为，并按照有关规定予以查处。</w:t>
      </w:r>
    </w:p>
    <w:p w14:paraId="01506CCB">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3、对乙方的安全作业培训和危险预知工作提出指导意见，并监督落实情况。</w:t>
      </w:r>
    </w:p>
    <w:p w14:paraId="0490BBC0">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4、对乙方提出的安全作业要求积极提供帮助。</w:t>
      </w:r>
    </w:p>
    <w:p w14:paraId="382B5C7C">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二、乙方的权利、责任和义务：</w:t>
      </w:r>
    </w:p>
    <w:p w14:paraId="6FB2BF1A">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1、遵守国家有关服务现场安全作业的法规和管理制度，建立健全安全作业责任制度。</w:t>
      </w:r>
    </w:p>
    <w:p w14:paraId="32EE94B9">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2、服从甲方安全作业管理。</w:t>
      </w:r>
    </w:p>
    <w:p w14:paraId="02167FDD">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3、乙方必须为作业实施人员参加人身意外保险。</w:t>
      </w:r>
    </w:p>
    <w:p w14:paraId="28A16FB6">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4、乙方造成的安全事故，由乙方承担事故责任和经济责任。</w:t>
      </w:r>
    </w:p>
    <w:p w14:paraId="3F5C5228">
      <w:pPr>
        <w:keepNext w:val="0"/>
        <w:keepLines w:val="0"/>
        <w:pageBreakBefore w:val="0"/>
        <w:widowControl/>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本协议</w:t>
      </w:r>
      <w:r>
        <w:rPr>
          <w:rFonts w:hint="eastAsia" w:ascii="宋体" w:hAnsi="宋体" w:eastAsia="宋体" w:cs="宋体"/>
          <w:color w:val="auto"/>
          <w:sz w:val="24"/>
          <w:szCs w:val="24"/>
          <w:highlight w:val="none"/>
          <w:shd w:val="clear" w:color="auto" w:fill="auto"/>
        </w:rPr>
        <w:t>作为</w:t>
      </w:r>
      <w:r>
        <w:rPr>
          <w:rFonts w:hint="eastAsia" w:ascii="宋体" w:hAnsi="宋体" w:eastAsia="宋体" w:cs="宋体"/>
          <w:color w:val="auto"/>
          <w:sz w:val="24"/>
          <w:szCs w:val="24"/>
          <w:highlight w:val="none"/>
          <w:u w:val="single"/>
          <w:shd w:val="clear" w:color="auto" w:fill="auto"/>
        </w:rPr>
        <w:t>绍兴市水务产业有限公司二次供水设备年度采购项目</w:t>
      </w:r>
      <w:r>
        <w:rPr>
          <w:rFonts w:hint="eastAsia" w:ascii="宋体" w:hAnsi="宋体" w:eastAsia="宋体" w:cs="宋体"/>
          <w:color w:val="auto"/>
          <w:sz w:val="24"/>
          <w:szCs w:val="24"/>
          <w:highlight w:val="none"/>
          <w:shd w:val="clear" w:color="auto" w:fill="auto"/>
        </w:rPr>
        <w:t>承包合同的附件，与项目承包合同具有同等的法律效力，经合同双方签署立即生效。</w:t>
      </w:r>
    </w:p>
    <w:p w14:paraId="0A71C1D2">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4"/>
          <w:szCs w:val="24"/>
          <w:highlight w:val="none"/>
          <w:shd w:val="clear" w:color="auto" w:fill="auto"/>
        </w:rPr>
      </w:pPr>
    </w:p>
    <w:p w14:paraId="02951788">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4"/>
          <w:szCs w:val="24"/>
          <w:highlight w:val="none"/>
          <w:shd w:val="clear" w:color="auto" w:fill="auto"/>
        </w:rPr>
      </w:pPr>
    </w:p>
    <w:p w14:paraId="6FE9B44C">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 xml:space="preserve">甲方：（章）                           乙方：（章）          </w:t>
      </w:r>
    </w:p>
    <w:p w14:paraId="7B80E035">
      <w:pPr>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法定代表人或其授权代表(签字或盖章)：   法定代表人或其授权代表(签字或盖章)：</w:t>
      </w:r>
    </w:p>
    <w:p w14:paraId="386DF8A7">
      <w:pPr>
        <w:jc w:val="both"/>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rPr>
        <w:t>       年   月   日                           年   月   日</w:t>
      </w:r>
    </w:p>
    <w:p w14:paraId="1BBEC593">
      <w:pPr>
        <w:jc w:val="both"/>
        <w:rPr>
          <w:rFonts w:hint="eastAsia" w:ascii="宋体" w:hAnsi="宋体" w:eastAsia="宋体" w:cs="宋体"/>
          <w:color w:val="auto"/>
          <w:highlight w:val="none"/>
          <w:shd w:val="clear" w:color="auto" w:fill="auto"/>
        </w:rPr>
      </w:pPr>
    </w:p>
    <w:p w14:paraId="72E88E0D">
      <w:pPr>
        <w:jc w:val="both"/>
        <w:rPr>
          <w:rFonts w:hint="eastAsia" w:ascii="宋体" w:hAnsi="宋体" w:eastAsia="宋体" w:cs="宋体"/>
          <w:color w:val="auto"/>
          <w:highlight w:val="none"/>
          <w:shd w:val="clear" w:color="auto" w:fill="auto"/>
        </w:rPr>
      </w:pPr>
    </w:p>
    <w:p w14:paraId="387241CE">
      <w:pPr>
        <w:jc w:val="both"/>
        <w:rPr>
          <w:rFonts w:hint="eastAsia" w:ascii="宋体" w:hAnsi="宋体" w:eastAsia="宋体" w:cs="宋体"/>
          <w:color w:val="auto"/>
          <w:highlight w:val="none"/>
          <w:shd w:val="clear" w:color="auto" w:fill="auto"/>
        </w:rPr>
      </w:pPr>
    </w:p>
    <w:p w14:paraId="52E72BCF">
      <w:pPr>
        <w:kinsoku/>
        <w:autoSpaceDE/>
        <w:autoSpaceDN/>
        <w:adjustRightInd/>
        <w:snapToGrid/>
        <w:jc w:val="both"/>
        <w:textAlignment w:val="auto"/>
        <w:rPr>
          <w:rFonts w:hint="eastAsia" w:ascii="宋体" w:hAnsi="宋体" w:eastAsia="宋体" w:cs="宋体"/>
          <w:color w:val="auto"/>
          <w:highlight w:val="none"/>
          <w:shd w:val="clear" w:color="auto" w:fill="auto"/>
        </w:rPr>
      </w:pPr>
    </w:p>
    <w:p w14:paraId="41FC3625">
      <w:pPr>
        <w:spacing w:line="241" w:lineRule="auto"/>
        <w:jc w:val="both"/>
        <w:rPr>
          <w:rFonts w:hint="eastAsia" w:ascii="宋体" w:hAnsi="宋体" w:eastAsia="宋体" w:cs="宋体"/>
          <w:color w:val="auto"/>
          <w:highlight w:val="none"/>
          <w:shd w:val="clear" w:color="auto" w:fill="auto"/>
        </w:rPr>
      </w:pPr>
    </w:p>
    <w:p w14:paraId="3F3B0AEC">
      <w:pPr>
        <w:pStyle w:val="10"/>
        <w:jc w:val="both"/>
        <w:rPr>
          <w:rFonts w:hint="eastAsia" w:ascii="宋体" w:hAnsi="宋体" w:eastAsia="宋体" w:cs="宋体"/>
          <w:color w:val="auto"/>
          <w:highlight w:val="none"/>
          <w:shd w:val="clear" w:color="auto" w:fill="auto"/>
        </w:rPr>
      </w:pPr>
    </w:p>
    <w:p w14:paraId="6DFB21E1">
      <w:pPr>
        <w:pStyle w:val="11"/>
        <w:jc w:val="both"/>
        <w:rPr>
          <w:rFonts w:hint="eastAsia" w:ascii="宋体" w:hAnsi="宋体" w:eastAsia="宋体" w:cs="宋体"/>
          <w:color w:val="auto"/>
          <w:spacing w:val="0"/>
          <w:highlight w:val="none"/>
          <w:shd w:val="clear" w:color="auto" w:fill="auto"/>
        </w:rPr>
      </w:pPr>
    </w:p>
    <w:p w14:paraId="0E56B09A">
      <w:pPr>
        <w:spacing w:before="63" w:line="225" w:lineRule="auto"/>
        <w:ind w:left="2253"/>
        <w:jc w:val="both"/>
        <w:rPr>
          <w:rFonts w:hint="eastAsia" w:ascii="宋体" w:hAnsi="宋体" w:eastAsia="宋体" w:cs="宋体"/>
          <w:color w:val="auto"/>
          <w:sz w:val="31"/>
          <w:szCs w:val="31"/>
          <w:highlight w:val="none"/>
          <w:shd w:val="clear" w:color="auto" w:fill="auto"/>
        </w:rPr>
      </w:pPr>
      <w:bookmarkStart w:id="47" w:name="_bookmark13"/>
      <w:bookmarkEnd w:id="47"/>
      <w:r>
        <w:rPr>
          <w:rFonts w:hint="eastAsia" w:ascii="宋体" w:hAnsi="宋体" w:eastAsia="宋体" w:cs="宋体"/>
          <w:color w:val="auto"/>
          <w:sz w:val="31"/>
          <w:szCs w:val="31"/>
          <w:highlight w:val="none"/>
          <w:shd w:val="clear" w:color="auto" w:fill="auto"/>
        </w:rPr>
        <w:t>第五章 招标内容和技术要求</w:t>
      </w:r>
    </w:p>
    <w:p w14:paraId="405481AA">
      <w:pPr>
        <w:spacing w:before="308" w:line="216" w:lineRule="auto"/>
        <w:ind w:left="2916"/>
        <w:jc w:val="both"/>
        <w:rPr>
          <w:rFonts w:hint="eastAsia" w:ascii="宋体" w:hAnsi="宋体" w:eastAsia="宋体" w:cs="宋体"/>
          <w:color w:val="auto"/>
          <w:sz w:val="29"/>
          <w:szCs w:val="29"/>
          <w:highlight w:val="none"/>
          <w:shd w:val="clear" w:color="auto" w:fill="auto"/>
        </w:rPr>
      </w:pPr>
    </w:p>
    <w:p w14:paraId="65CF6DDB">
      <w:pPr>
        <w:pStyle w:val="51"/>
        <w:widowControl w:val="0"/>
        <w:spacing w:after="0" w:afterLines="0" w:line="440" w:lineRule="exact"/>
        <w:ind w:firstLine="482"/>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一、设备（材料）要求</w:t>
      </w:r>
    </w:p>
    <w:p w14:paraId="032ED201">
      <w:pPr>
        <w:tabs>
          <w:tab w:val="left" w:pos="1365"/>
        </w:tabs>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1.1投标人投标提供的设备必须是厂商原装的、全新的，型号、性能及指标符合国家及招标文件提出的有关技术、质量、安全标准。</w:t>
      </w:r>
    </w:p>
    <w:p w14:paraId="53455C41">
      <w:pPr>
        <w:tabs>
          <w:tab w:val="left" w:pos="1365"/>
        </w:tabs>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1.2所有设备在开箱检验时必须完好，无破损，配置与装箱单相符。数量、质量及性能不低于本需求书中提出的要求。</w:t>
      </w:r>
    </w:p>
    <w:p w14:paraId="2977176A">
      <w:pPr>
        <w:tabs>
          <w:tab w:val="left" w:pos="1365"/>
        </w:tabs>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1.3设备外观清洁，标记编号以及盘面显示等字体清晰，明确。铭牌、使用指示、警告指示应以中文或英文及易懂的通用符号来表示；应准确无误地表明设备之型号、规格、制造厂及生产或出厂日期。</w:t>
      </w:r>
    </w:p>
    <w:p w14:paraId="0F2DF358">
      <w:pPr>
        <w:tabs>
          <w:tab w:val="left" w:pos="1365"/>
        </w:tabs>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1.4对于影响设备正常工作的必要组成部分，无论在技术规范中指出与否，投标人都应提供并在投标文件中明确列出。</w:t>
      </w:r>
    </w:p>
    <w:p w14:paraId="3CAE6033">
      <w:pPr>
        <w:tabs>
          <w:tab w:val="left" w:pos="1365"/>
        </w:tabs>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1.5所有货物提供出厂合格证等质量证明文件，国外生产的必须有合法的进货渠道证明，如海关报关单、原产地证明、商检证明等。</w:t>
      </w:r>
    </w:p>
    <w:p w14:paraId="2260AB61">
      <w:pPr>
        <w:tabs>
          <w:tab w:val="left" w:pos="1365"/>
        </w:tabs>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1.6所有货物到现场安装使用前，招标人将进行抽样检验或试验。</w:t>
      </w:r>
    </w:p>
    <w:p w14:paraId="229033C0">
      <w:pPr>
        <w:tabs>
          <w:tab w:val="left" w:pos="1365"/>
        </w:tabs>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1.7根据《绍兴市柴油动力移动源排气污染防治办法》第九条、第十三条的规定，乙方在合同实施过程中使用的柴油动力移动源（柴油货车、非道路移动机械）必须符合低排放要求并已向生态环境部门申领绿色编码，在进入作业现场前须如实向甲方登记报备绿色编码，未申领绿色编码的柴油动力移动源不得进入作业现场施工。在作业现场发现有未申领绿色编码的柴油动力移动源或者未如实进行绿色编码报备的，认定乙方违约，按照本合同违约条款承担相应违约责任。</w:t>
      </w:r>
    </w:p>
    <w:p w14:paraId="36E02976">
      <w:pPr>
        <w:pStyle w:val="51"/>
        <w:widowControl w:val="0"/>
        <w:spacing w:after="0" w:afterLines="0" w:line="440" w:lineRule="exact"/>
        <w:ind w:firstLine="482"/>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二、调整</w:t>
      </w:r>
    </w:p>
    <w:p w14:paraId="732B5111">
      <w:pPr>
        <w:pStyle w:val="51"/>
        <w:widowControl w:val="0"/>
        <w:spacing w:after="0" w:afterLines="0" w:line="440" w:lineRule="exact"/>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2.1本项目货物供应数量按实计取。招标人保留在签约时调整部分方案及定购设备数量和服务、使用区域的权力，投标人应对设备和服务明细报价，按投标单价不变的前提下进行调整，双方不得拒绝。</w:t>
      </w:r>
    </w:p>
    <w:p w14:paraId="2C2DF39F">
      <w:pPr>
        <w:pStyle w:val="51"/>
        <w:widowControl w:val="0"/>
        <w:spacing w:after="0" w:afterLines="0" w:line="440" w:lineRule="exact"/>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2.2如遇本次招标没有涉及的设备或服务时，由投标人提供申请，招标人确认后实施。</w:t>
      </w:r>
    </w:p>
    <w:p w14:paraId="02A1F556">
      <w:pPr>
        <w:pStyle w:val="51"/>
        <w:widowControl w:val="0"/>
        <w:spacing w:after="0" w:afterLines="0" w:line="440" w:lineRule="exact"/>
        <w:ind w:firstLine="482"/>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三、安装及调试、验收</w:t>
      </w:r>
    </w:p>
    <w:p w14:paraId="19762EB5">
      <w:pPr>
        <w:pStyle w:val="51"/>
        <w:widowControl w:val="0"/>
        <w:spacing w:after="0" w:afterLines="0" w:line="440" w:lineRule="exact"/>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投标人应派经招标人认可的有经验和能力、具有相应资质的技术人员，负责设备安装工作，在设备安装期间应充分了解设备安装进度要求，解决安装中出现的技术问题。</w:t>
      </w:r>
    </w:p>
    <w:p w14:paraId="4267377F">
      <w:pPr>
        <w:tabs>
          <w:tab w:val="left" w:pos="1365"/>
        </w:tabs>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3.1投标人负责设备的安装、调试。</w:t>
      </w:r>
    </w:p>
    <w:p w14:paraId="676D37AE">
      <w:pPr>
        <w:tabs>
          <w:tab w:val="left" w:pos="1365"/>
        </w:tabs>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3.2调试所需专用工具设施物料由投标人自备、自费运到现场，完工后自费搬走。</w:t>
      </w:r>
    </w:p>
    <w:p w14:paraId="15D8AB3B">
      <w:pPr>
        <w:tabs>
          <w:tab w:val="left" w:pos="1365"/>
        </w:tabs>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3.3安装完成后，进行调试、验收按国家有关规范标准（国家无验收规范标准的按双方合同规定的要求）进行。</w:t>
      </w:r>
    </w:p>
    <w:p w14:paraId="6589CADD">
      <w:pPr>
        <w:tabs>
          <w:tab w:val="left" w:pos="1365"/>
        </w:tabs>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3.4设备的拆箱、调试等各项工作由投标人负责，但必须在招标人指定人员的参与下进行。在实际实施前必须先经招标人同意方可进行。调试的原始记录须经各方签字后作为验收的文件之一。</w:t>
      </w:r>
    </w:p>
    <w:p w14:paraId="225EF393">
      <w:pPr>
        <w:tabs>
          <w:tab w:val="left" w:pos="1365"/>
        </w:tabs>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3.5所有的招标设备应按照国家有关技术标准在制造厂检查和试验合格，以表明其运行性能、安全性能以及设备材料和结构在电气、机械上的完整性。</w:t>
      </w:r>
    </w:p>
    <w:p w14:paraId="242A647F">
      <w:pPr>
        <w:pStyle w:val="51"/>
        <w:widowControl w:val="0"/>
        <w:spacing w:after="0" w:afterLines="0" w:line="440" w:lineRule="exact"/>
        <w:ind w:firstLine="482"/>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四、技术培训</w:t>
      </w:r>
    </w:p>
    <w:p w14:paraId="35A4B54B">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4.1投标人须对招标人的技术人员培训。投标人须在投标文件中提供详细的培训计划，包括培训内容、培训时间、培训费用等。</w:t>
      </w:r>
    </w:p>
    <w:p w14:paraId="055494F3">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4.2投标人提供的负责培训的人员应具备同类设备五年以上的经验。</w:t>
      </w:r>
    </w:p>
    <w:p w14:paraId="1743691C">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4.3技术培训费用应包含在投标总价中。    </w:t>
      </w:r>
    </w:p>
    <w:p w14:paraId="19E02727">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4.4技术培训至少应包括下列内容：</w:t>
      </w:r>
    </w:p>
    <w:p w14:paraId="27A5A47A">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4.4.1原理、构成和功能的描述。</w:t>
      </w:r>
    </w:p>
    <w:p w14:paraId="23F06424">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4.4.2常见故障的处理或排除。</w:t>
      </w:r>
    </w:p>
    <w:p w14:paraId="39E24C21">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4.4.3各部件（设备）的检查、调整和维护。</w:t>
      </w:r>
    </w:p>
    <w:p w14:paraId="5E5E050E">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4.4.4对使用者关于设备基本操作技能的培训。</w:t>
      </w:r>
    </w:p>
    <w:p w14:paraId="67DB3414">
      <w:pPr>
        <w:pStyle w:val="12"/>
        <w:numPr>
          <w:ilvl w:val="0"/>
          <w:numId w:val="0"/>
        </w:numPr>
        <w:spacing w:line="440" w:lineRule="exact"/>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五、售后服务</w:t>
      </w:r>
    </w:p>
    <w:p w14:paraId="4E56A43A">
      <w:pPr>
        <w:pStyle w:val="7"/>
        <w:spacing w:line="440" w:lineRule="exact"/>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5.1投标人须提供经调试、试运行、验收合格后至少</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2</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年的质保期(投标人可根</w:t>
      </w:r>
      <w:r>
        <w:rPr>
          <w:rFonts w:hint="eastAsia" w:ascii="宋体" w:hAnsi="宋体" w:eastAsia="宋体" w:cs="宋体"/>
          <w:color w:val="auto"/>
          <w:sz w:val="24"/>
          <w:highlight w:val="none"/>
          <w:shd w:val="clear" w:color="auto" w:fill="auto"/>
        </w:rPr>
        <w:t>据自身实力作出更长时间的质保承诺)。质保期从项目验收合格之日起开始计算，在此期间，投标人应免费处理因质量发生的故障，并进行正常保养。若因质量问题产生维修的，则自维修问题出现之日到维修完成且设备达到质量要求之日这段时间，不计入质保期(即质保期相应延长这段时间）。若质保期出现三次及以上因质量问题产生维修的，则自维修完成且设备达到质量要求之日起，质保期重新计算，以此类推。</w:t>
      </w:r>
    </w:p>
    <w:p w14:paraId="7742988E">
      <w:pPr>
        <w:tabs>
          <w:tab w:val="left" w:pos="3870"/>
          <w:tab w:val="left" w:pos="4085"/>
        </w:tabs>
        <w:snapToGrid w:val="0"/>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5.2投标人必须有可靠的售后服务保障包括但不限于在</w:t>
      </w:r>
      <w:r>
        <w:rPr>
          <w:rFonts w:hint="eastAsia" w:ascii="宋体" w:hAnsi="宋体" w:eastAsia="宋体" w:cs="宋体"/>
          <w:b/>
          <w:color w:val="auto"/>
          <w:sz w:val="24"/>
          <w:highlight w:val="none"/>
          <w:u w:val="single"/>
          <w:shd w:val="clear" w:color="auto" w:fill="auto"/>
        </w:rPr>
        <w:t>绍兴附近</w:t>
      </w:r>
      <w:r>
        <w:rPr>
          <w:rFonts w:hint="eastAsia" w:ascii="宋体" w:hAnsi="宋体" w:eastAsia="宋体" w:cs="宋体"/>
          <w:color w:val="auto"/>
          <w:sz w:val="24"/>
          <w:highlight w:val="none"/>
          <w:shd w:val="clear" w:color="auto" w:fill="auto"/>
        </w:rPr>
        <w:t>有固定的维修服务点，能提供正常的技术、备品备件服务。投标人在接到招标人通知后，6小时内派人赴现场处理设备质量问题。24小时内不能修复的，则无偿提供备机或备用零件供招标人使用。</w:t>
      </w:r>
    </w:p>
    <w:p w14:paraId="7A961E5A">
      <w:pPr>
        <w:snapToGrid w:val="0"/>
        <w:spacing w:line="440" w:lineRule="exact"/>
        <w:ind w:firstLine="482" w:firstLineChars="200"/>
        <w:rPr>
          <w:rFonts w:hint="eastAsia" w:ascii="宋体" w:hAnsi="宋体" w:eastAsia="宋体" w:cs="宋体"/>
          <w:b/>
          <w:color w:val="auto"/>
          <w:kern w:val="0"/>
          <w:sz w:val="24"/>
          <w:highlight w:val="none"/>
          <w:u w:val="wave"/>
          <w:shd w:val="clear" w:color="auto" w:fill="auto"/>
        </w:rPr>
      </w:pPr>
      <w:r>
        <w:rPr>
          <w:rFonts w:hint="eastAsia" w:ascii="宋体" w:hAnsi="宋体" w:eastAsia="宋体" w:cs="宋体"/>
          <w:b/>
          <w:color w:val="auto"/>
          <w:sz w:val="24"/>
          <w:highlight w:val="none"/>
          <w:shd w:val="clear" w:color="auto" w:fill="auto"/>
        </w:rPr>
        <w:t>六、服务要求</w:t>
      </w:r>
    </w:p>
    <w:p w14:paraId="5011EF49">
      <w:pPr>
        <w:tabs>
          <w:tab w:val="left" w:pos="3870"/>
          <w:tab w:val="left" w:pos="4085"/>
        </w:tabs>
        <w:snapToGrid w:val="0"/>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6.1设备保修期内（各标项内已有要求的除外），如出现故障，投标人在接到电话6小时内到达招标人指定地点，</w:t>
      </w:r>
    </w:p>
    <w:p w14:paraId="551300C8">
      <w:pPr>
        <w:tabs>
          <w:tab w:val="left" w:pos="3870"/>
          <w:tab w:val="left" w:pos="4085"/>
        </w:tabs>
        <w:snapToGrid w:val="0"/>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6.2 投标人提供的设备，必须符合招标文件及其投标文件规定的要求，如有不符，招标人可以无条件退货，造成的损失由投标人承担。</w:t>
      </w:r>
    </w:p>
    <w:p w14:paraId="230DA313">
      <w:pPr>
        <w:snapToGrid w:val="0"/>
        <w:spacing w:line="440" w:lineRule="exact"/>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七、项目实施人员费用</w:t>
      </w:r>
    </w:p>
    <w:p w14:paraId="0E842674">
      <w:pPr>
        <w:snapToGrid w:val="0"/>
        <w:spacing w:line="440" w:lineRule="exact"/>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投标人应自行承担选派专业人员的住宿、就餐和交通等费用。</w:t>
      </w:r>
    </w:p>
    <w:p w14:paraId="7D422CF2">
      <w:pPr>
        <w:spacing w:line="440" w:lineRule="exact"/>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八、招标项目设备名称、技术要求及数量：</w:t>
      </w:r>
    </w:p>
    <w:p w14:paraId="492A7D25">
      <w:pPr>
        <w:spacing w:line="440" w:lineRule="exact"/>
        <w:ind w:firstLine="482" w:firstLineChars="200"/>
        <w:rPr>
          <w:rFonts w:hint="eastAsia" w:ascii="宋体" w:hAnsi="宋体" w:eastAsia="宋体" w:cs="宋体"/>
          <w:b/>
          <w:color w:val="auto"/>
          <w:sz w:val="24"/>
          <w:highlight w:val="none"/>
          <w:shd w:val="clear" w:color="auto" w:fill="auto"/>
        </w:rPr>
      </w:pPr>
    </w:p>
    <w:p w14:paraId="4BC1A1A4">
      <w:pPr>
        <w:spacing w:line="500" w:lineRule="exact"/>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绍兴市水务产业有限公司二次供水设备年度采购</w:t>
      </w:r>
      <w:r>
        <w:rPr>
          <w:rFonts w:hint="eastAsia" w:ascii="宋体" w:hAnsi="宋体" w:eastAsia="宋体" w:cs="宋体"/>
          <w:b/>
          <w:color w:val="auto"/>
          <w:sz w:val="28"/>
          <w:szCs w:val="28"/>
          <w:highlight w:val="none"/>
          <w:shd w:val="clear" w:color="auto" w:fill="auto"/>
          <w:lang w:val="en-US" w:eastAsia="zh-CN"/>
        </w:rPr>
        <w:t>清单</w:t>
      </w:r>
    </w:p>
    <w:tbl>
      <w:tblPr>
        <w:tblStyle w:val="27"/>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16"/>
        <w:gridCol w:w="1405"/>
        <w:gridCol w:w="1185"/>
        <w:gridCol w:w="2010"/>
        <w:gridCol w:w="1815"/>
        <w:gridCol w:w="1371"/>
      </w:tblGrid>
      <w:tr w14:paraId="7DC8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90" w:type="dxa"/>
            <w:noWrap w:val="0"/>
            <w:vAlign w:val="center"/>
          </w:tcPr>
          <w:p w14:paraId="4FC075C1">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b/>
                <w:color w:val="auto"/>
                <w:kern w:val="0"/>
                <w:sz w:val="21"/>
                <w:szCs w:val="21"/>
                <w:highlight w:val="none"/>
                <w:shd w:val="clear" w:color="auto" w:fill="auto"/>
              </w:rPr>
            </w:pPr>
            <w:r>
              <w:rPr>
                <w:rFonts w:hint="eastAsia" w:ascii="宋体" w:hAnsi="宋体" w:eastAsia="宋体" w:cs="宋体"/>
                <w:b/>
                <w:color w:val="auto"/>
                <w:kern w:val="0"/>
                <w:sz w:val="21"/>
                <w:szCs w:val="21"/>
                <w:highlight w:val="none"/>
                <w:shd w:val="clear" w:color="auto" w:fill="auto"/>
              </w:rPr>
              <w:t>序号</w:t>
            </w:r>
          </w:p>
        </w:tc>
        <w:tc>
          <w:tcPr>
            <w:tcW w:w="1216" w:type="dxa"/>
            <w:noWrap w:val="0"/>
            <w:vAlign w:val="center"/>
          </w:tcPr>
          <w:p w14:paraId="48F3D9DA">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b/>
                <w:color w:val="auto"/>
                <w:kern w:val="0"/>
                <w:sz w:val="21"/>
                <w:szCs w:val="21"/>
                <w:highlight w:val="none"/>
                <w:shd w:val="clear" w:color="auto" w:fill="auto"/>
              </w:rPr>
            </w:pPr>
            <w:r>
              <w:rPr>
                <w:rFonts w:hint="eastAsia" w:ascii="宋体" w:hAnsi="宋体" w:eastAsia="宋体" w:cs="宋体"/>
                <w:b/>
                <w:color w:val="auto"/>
                <w:kern w:val="0"/>
                <w:sz w:val="21"/>
                <w:szCs w:val="21"/>
                <w:highlight w:val="none"/>
                <w:shd w:val="clear" w:color="auto" w:fill="auto"/>
              </w:rPr>
              <w:t>项目名称</w:t>
            </w:r>
          </w:p>
        </w:tc>
        <w:tc>
          <w:tcPr>
            <w:tcW w:w="6415" w:type="dxa"/>
            <w:gridSpan w:val="4"/>
            <w:noWrap w:val="0"/>
            <w:vAlign w:val="center"/>
          </w:tcPr>
          <w:p w14:paraId="33DB597A">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b/>
                <w:color w:val="auto"/>
                <w:kern w:val="0"/>
                <w:sz w:val="21"/>
                <w:szCs w:val="21"/>
                <w:highlight w:val="none"/>
                <w:shd w:val="clear" w:color="auto" w:fill="auto"/>
              </w:rPr>
            </w:pPr>
            <w:r>
              <w:rPr>
                <w:rFonts w:hint="eastAsia" w:ascii="宋体" w:hAnsi="宋体" w:eastAsia="宋体" w:cs="宋体"/>
                <w:b/>
                <w:color w:val="auto"/>
                <w:kern w:val="0"/>
                <w:sz w:val="21"/>
                <w:szCs w:val="21"/>
                <w:highlight w:val="none"/>
                <w:shd w:val="clear" w:color="auto" w:fill="auto"/>
              </w:rPr>
              <w:t>设备名称</w:t>
            </w:r>
            <w:r>
              <w:rPr>
                <w:rFonts w:hint="eastAsia" w:ascii="宋体" w:hAnsi="宋体" w:eastAsia="宋体" w:cs="宋体"/>
                <w:b/>
                <w:color w:val="auto"/>
                <w:kern w:val="0"/>
                <w:sz w:val="21"/>
                <w:szCs w:val="21"/>
                <w:highlight w:val="none"/>
                <w:shd w:val="clear" w:color="auto" w:fill="auto"/>
                <w:lang w:val="en-US" w:eastAsia="zh-CN"/>
              </w:rPr>
              <w:t>及规格</w:t>
            </w:r>
          </w:p>
        </w:tc>
        <w:tc>
          <w:tcPr>
            <w:tcW w:w="1371" w:type="dxa"/>
            <w:noWrap w:val="0"/>
            <w:vAlign w:val="center"/>
          </w:tcPr>
          <w:p w14:paraId="67D6A73D">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b/>
                <w:color w:val="auto"/>
                <w:kern w:val="0"/>
                <w:sz w:val="21"/>
                <w:szCs w:val="21"/>
                <w:highlight w:val="none"/>
                <w:shd w:val="clear" w:color="auto" w:fill="auto"/>
                <w:lang w:eastAsia="zh-CN"/>
              </w:rPr>
            </w:pPr>
            <w:r>
              <w:rPr>
                <w:rFonts w:hint="eastAsia" w:ascii="宋体" w:hAnsi="宋体" w:eastAsia="宋体" w:cs="宋体"/>
                <w:b/>
                <w:color w:val="auto"/>
                <w:kern w:val="0"/>
                <w:sz w:val="21"/>
                <w:szCs w:val="21"/>
                <w:highlight w:val="none"/>
                <w:shd w:val="clear" w:color="auto" w:fill="auto"/>
              </w:rPr>
              <w:t>数量</w:t>
            </w:r>
            <w:r>
              <w:rPr>
                <w:rFonts w:hint="eastAsia" w:ascii="宋体" w:hAnsi="宋体" w:cs="宋体"/>
                <w:color w:val="auto"/>
                <w:highlight w:val="none"/>
                <w:shd w:val="clear" w:color="auto" w:fill="auto"/>
                <w:lang w:eastAsia="zh-CN"/>
              </w:rPr>
              <w:t>（套）</w:t>
            </w:r>
          </w:p>
        </w:tc>
      </w:tr>
      <w:tr w14:paraId="5BD6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230E0FFF">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1216" w:type="dxa"/>
            <w:vMerge w:val="restart"/>
            <w:shd w:val="clear" w:color="auto" w:fill="auto"/>
            <w:noWrap w:val="0"/>
            <w:vAlign w:val="center"/>
          </w:tcPr>
          <w:p w14:paraId="581FB4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eastAsia="宋体" w:cs="宋体"/>
                <w:i w:val="0"/>
                <w:iCs w:val="0"/>
                <w:color w:val="auto"/>
                <w:sz w:val="21"/>
                <w:szCs w:val="21"/>
                <w:highlight w:val="none"/>
                <w:u w:val="none"/>
                <w:shd w:val="clear" w:color="auto" w:fill="auto"/>
                <w:lang w:val="en-US" w:eastAsia="zh-CN"/>
              </w:rPr>
              <w:t>绍兴市水务产业有限公司二次供水设备年度采购项目</w:t>
            </w:r>
          </w:p>
        </w:tc>
        <w:tc>
          <w:tcPr>
            <w:tcW w:w="1405" w:type="dxa"/>
            <w:vMerge w:val="restart"/>
            <w:shd w:val="clear" w:color="auto" w:fill="FFFFFF"/>
            <w:noWrap w:val="0"/>
            <w:vAlign w:val="center"/>
          </w:tcPr>
          <w:p w14:paraId="1D81CD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凤林西路以南5号地块</w:t>
            </w:r>
          </w:p>
        </w:tc>
        <w:tc>
          <w:tcPr>
            <w:tcW w:w="1185" w:type="dxa"/>
            <w:vMerge w:val="restart"/>
            <w:shd w:val="clear" w:color="auto" w:fill="auto"/>
            <w:noWrap w:val="0"/>
            <w:vAlign w:val="center"/>
          </w:tcPr>
          <w:p w14:paraId="41CB24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2010" w:type="dxa"/>
            <w:shd w:val="clear" w:color="auto" w:fill="FFFFFF"/>
            <w:noWrap w:val="0"/>
            <w:vAlign w:val="center"/>
          </w:tcPr>
          <w:p w14:paraId="56E7B0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289054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流量50扬程52</w:t>
            </w:r>
          </w:p>
        </w:tc>
        <w:tc>
          <w:tcPr>
            <w:tcW w:w="1371" w:type="dxa"/>
            <w:shd w:val="clear" w:color="auto" w:fill="FFFFFF"/>
            <w:noWrap w:val="0"/>
            <w:vAlign w:val="center"/>
          </w:tcPr>
          <w:p w14:paraId="7FF136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736A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7B059DDD">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600A25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6A9D27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185" w:type="dxa"/>
            <w:vMerge w:val="continue"/>
            <w:shd w:val="clear" w:color="auto" w:fill="auto"/>
            <w:noWrap w:val="0"/>
            <w:vAlign w:val="center"/>
          </w:tcPr>
          <w:p w14:paraId="1E0728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2010" w:type="dxa"/>
            <w:shd w:val="clear" w:color="auto" w:fill="FFFFFF"/>
            <w:noWrap w:val="0"/>
            <w:vAlign w:val="center"/>
          </w:tcPr>
          <w:p w14:paraId="67FFE7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6476A60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404961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2"/>
                <w:kern w:val="2"/>
                <w:sz w:val="21"/>
                <w:szCs w:val="21"/>
                <w:highlight w:val="none"/>
                <w:shd w:val="clear" w:color="auto" w:fill="auto"/>
                <w:lang w:val="en-US" w:eastAsia="zh-CN" w:bidi="ar-SA"/>
              </w:rPr>
            </w:pPr>
            <w:r>
              <w:rPr>
                <w:rFonts w:hint="eastAsia" w:ascii="宋体" w:hAnsi="宋体" w:eastAsia="宋体" w:cs="宋体"/>
                <w:color w:val="auto"/>
                <w:spacing w:val="-2"/>
                <w:sz w:val="21"/>
                <w:szCs w:val="21"/>
                <w:highlight w:val="none"/>
                <w:shd w:val="clear" w:color="auto" w:fill="auto"/>
                <w:lang w:val="en-US" w:eastAsia="zh-CN"/>
              </w:rPr>
              <w:t>1</w:t>
            </w:r>
          </w:p>
        </w:tc>
      </w:tr>
      <w:tr w14:paraId="4FC7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0D137770">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40218C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5EFA77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7FD2A2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45BC07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0C28BE0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387B7C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2"/>
                <w:kern w:val="2"/>
                <w:sz w:val="21"/>
                <w:szCs w:val="21"/>
                <w:highlight w:val="none"/>
                <w:shd w:val="clear" w:color="auto" w:fill="auto"/>
                <w:lang w:val="en-US" w:eastAsia="zh-CN" w:bidi="ar-SA"/>
              </w:rPr>
            </w:pPr>
            <w:r>
              <w:rPr>
                <w:rFonts w:hint="eastAsia" w:ascii="宋体" w:hAnsi="宋体" w:eastAsia="宋体" w:cs="宋体"/>
                <w:color w:val="auto"/>
                <w:spacing w:val="-2"/>
                <w:sz w:val="21"/>
                <w:szCs w:val="21"/>
                <w:highlight w:val="none"/>
                <w:shd w:val="clear" w:color="auto" w:fill="auto"/>
                <w:lang w:val="en-US" w:eastAsia="zh-CN"/>
              </w:rPr>
              <w:t>1</w:t>
            </w:r>
          </w:p>
        </w:tc>
      </w:tr>
      <w:tr w14:paraId="29E1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45D8C1C3">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p>
        </w:tc>
        <w:tc>
          <w:tcPr>
            <w:tcW w:w="1216" w:type="dxa"/>
            <w:vMerge w:val="continue"/>
            <w:shd w:val="clear" w:color="auto" w:fill="auto"/>
            <w:noWrap w:val="0"/>
            <w:vAlign w:val="center"/>
          </w:tcPr>
          <w:p w14:paraId="76B30D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64DBDF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cs="宋体"/>
                <w:i w:val="0"/>
                <w:iCs w:val="0"/>
                <w:color w:val="auto"/>
                <w:sz w:val="21"/>
                <w:szCs w:val="21"/>
                <w:highlight w:val="none"/>
                <w:u w:val="none"/>
                <w:shd w:val="clear" w:color="auto" w:fill="auto"/>
                <w:lang w:val="en-US" w:eastAsia="zh-CN"/>
              </w:rPr>
              <w:t>尚都</w:t>
            </w:r>
            <w:r>
              <w:rPr>
                <w:rFonts w:hint="eastAsia" w:ascii="宋体" w:hAnsi="宋体" w:eastAsia="宋体" w:cs="宋体"/>
                <w:i w:val="0"/>
                <w:iCs w:val="0"/>
                <w:color w:val="auto"/>
                <w:sz w:val="21"/>
                <w:szCs w:val="21"/>
                <w:highlight w:val="none"/>
                <w:u w:val="none"/>
                <w:shd w:val="clear" w:color="auto" w:fill="auto"/>
                <w:lang w:val="en-US" w:eastAsia="zh-CN"/>
              </w:rPr>
              <w:t>中心</w:t>
            </w:r>
          </w:p>
        </w:tc>
        <w:tc>
          <w:tcPr>
            <w:tcW w:w="1185" w:type="dxa"/>
            <w:vMerge w:val="restart"/>
            <w:shd w:val="clear" w:color="auto" w:fill="auto"/>
            <w:noWrap w:val="0"/>
            <w:vAlign w:val="center"/>
          </w:tcPr>
          <w:p w14:paraId="51859A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2010" w:type="dxa"/>
            <w:shd w:val="clear" w:color="auto" w:fill="FFFFFF"/>
            <w:noWrap w:val="0"/>
            <w:vAlign w:val="center"/>
          </w:tcPr>
          <w:p w14:paraId="22F2B7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6C2135C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流量36扬程45</w:t>
            </w:r>
          </w:p>
        </w:tc>
        <w:tc>
          <w:tcPr>
            <w:tcW w:w="1371" w:type="dxa"/>
            <w:shd w:val="clear" w:color="auto" w:fill="FFFFFF"/>
            <w:noWrap w:val="0"/>
            <w:vAlign w:val="center"/>
          </w:tcPr>
          <w:p w14:paraId="7AE6D3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4006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277FBF24">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11EEF0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2AAC2D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051A58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412741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6A73569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流量36扬程80</w:t>
            </w:r>
          </w:p>
        </w:tc>
        <w:tc>
          <w:tcPr>
            <w:tcW w:w="1371" w:type="dxa"/>
            <w:shd w:val="clear" w:color="auto" w:fill="FFFFFF"/>
            <w:noWrap w:val="0"/>
            <w:vAlign w:val="center"/>
          </w:tcPr>
          <w:p w14:paraId="44FF7B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5BF9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2D91CBF3">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40E751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6556BF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4AE8D9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063A22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3C596FB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流量15扬程115</w:t>
            </w:r>
          </w:p>
        </w:tc>
        <w:tc>
          <w:tcPr>
            <w:tcW w:w="1371" w:type="dxa"/>
            <w:shd w:val="clear" w:color="auto" w:fill="FFFFFF"/>
            <w:noWrap w:val="0"/>
            <w:vAlign w:val="center"/>
          </w:tcPr>
          <w:p w14:paraId="0D4089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2D39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3F04430F">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35B268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54AD05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5AB138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0F7228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60535D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7BA231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7945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74BBD255">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159568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50766E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35B786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3EF6B7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26EA3A3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445C43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6F42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47554EA2">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w:t>
            </w:r>
          </w:p>
        </w:tc>
        <w:tc>
          <w:tcPr>
            <w:tcW w:w="1216" w:type="dxa"/>
            <w:vMerge w:val="continue"/>
            <w:shd w:val="clear" w:color="auto" w:fill="auto"/>
            <w:noWrap w:val="0"/>
            <w:vAlign w:val="center"/>
          </w:tcPr>
          <w:p w14:paraId="1F3229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24905A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镜湖新区凤林西路以北6号地块</w:t>
            </w:r>
          </w:p>
        </w:tc>
        <w:tc>
          <w:tcPr>
            <w:tcW w:w="1185" w:type="dxa"/>
            <w:vMerge w:val="restart"/>
            <w:shd w:val="clear" w:color="auto" w:fill="auto"/>
            <w:noWrap w:val="0"/>
            <w:vAlign w:val="center"/>
          </w:tcPr>
          <w:p w14:paraId="006694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2010" w:type="dxa"/>
            <w:shd w:val="clear" w:color="auto" w:fill="FFFFFF"/>
            <w:noWrap w:val="0"/>
            <w:vAlign w:val="center"/>
          </w:tcPr>
          <w:p w14:paraId="2005AB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7C745E6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流量45扬程25</w:t>
            </w:r>
          </w:p>
        </w:tc>
        <w:tc>
          <w:tcPr>
            <w:tcW w:w="1371" w:type="dxa"/>
            <w:shd w:val="clear" w:color="auto" w:fill="FFFFFF"/>
            <w:noWrap w:val="0"/>
            <w:vAlign w:val="center"/>
          </w:tcPr>
          <w:p w14:paraId="17DFFC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7EE6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622EDB0A">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7A03A7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576DD1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2CABFC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58CFC3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2464EA0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流量45扬程35</w:t>
            </w:r>
          </w:p>
        </w:tc>
        <w:tc>
          <w:tcPr>
            <w:tcW w:w="1371" w:type="dxa"/>
            <w:shd w:val="clear" w:color="auto" w:fill="FFFFFF"/>
            <w:noWrap w:val="0"/>
            <w:vAlign w:val="center"/>
          </w:tcPr>
          <w:p w14:paraId="536511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2A17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510F1FD">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715EE5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1E4EE0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57B05B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017458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4299AF7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69ABF5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73A7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7BF1E47F">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rPr>
            </w:pPr>
          </w:p>
        </w:tc>
        <w:tc>
          <w:tcPr>
            <w:tcW w:w="1216" w:type="dxa"/>
            <w:vMerge w:val="continue"/>
            <w:shd w:val="clear" w:color="auto" w:fill="auto"/>
            <w:noWrap w:val="0"/>
            <w:vAlign w:val="center"/>
          </w:tcPr>
          <w:p w14:paraId="5483CD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1A352C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31AB8B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10ED13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2D2071A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04EA15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1E37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1822CF9D">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w:t>
            </w:r>
          </w:p>
        </w:tc>
        <w:tc>
          <w:tcPr>
            <w:tcW w:w="1216" w:type="dxa"/>
            <w:vMerge w:val="continue"/>
            <w:shd w:val="clear" w:color="auto" w:fill="auto"/>
            <w:noWrap w:val="0"/>
            <w:vAlign w:val="center"/>
          </w:tcPr>
          <w:p w14:paraId="6FB35B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78BBE7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镜湖JH-05-02x-42</w:t>
            </w:r>
            <w:r>
              <w:rPr>
                <w:rFonts w:hint="eastAsia" w:ascii="宋体" w:hAnsi="宋体" w:cs="宋体"/>
                <w:i w:val="0"/>
                <w:iCs w:val="0"/>
                <w:color w:val="auto"/>
                <w:sz w:val="21"/>
                <w:szCs w:val="21"/>
                <w:highlight w:val="none"/>
                <w:u w:val="none"/>
                <w:shd w:val="clear" w:color="auto" w:fill="auto"/>
                <w:lang w:val="en-US" w:eastAsia="zh-CN"/>
              </w:rPr>
              <w:t>地块</w:t>
            </w:r>
          </w:p>
        </w:tc>
        <w:tc>
          <w:tcPr>
            <w:tcW w:w="1185" w:type="dxa"/>
            <w:vMerge w:val="restart"/>
            <w:shd w:val="clear" w:color="auto" w:fill="auto"/>
            <w:noWrap w:val="0"/>
            <w:vAlign w:val="center"/>
          </w:tcPr>
          <w:p w14:paraId="2AD92F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2010" w:type="dxa"/>
            <w:shd w:val="clear" w:color="auto" w:fill="FFFFFF"/>
            <w:noWrap w:val="0"/>
            <w:vAlign w:val="center"/>
          </w:tcPr>
          <w:p w14:paraId="4CAAAD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3F2ABD9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流量36扬程33</w:t>
            </w:r>
          </w:p>
        </w:tc>
        <w:tc>
          <w:tcPr>
            <w:tcW w:w="1371" w:type="dxa"/>
            <w:shd w:val="clear" w:color="auto" w:fill="FFFFFF"/>
            <w:noWrap w:val="0"/>
            <w:vAlign w:val="center"/>
          </w:tcPr>
          <w:p w14:paraId="7546FE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0259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4C3E872C">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4ACFDF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66FCCD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2AEA80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5713E3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2CEF8A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流量36扬程55</w:t>
            </w:r>
          </w:p>
        </w:tc>
        <w:tc>
          <w:tcPr>
            <w:tcW w:w="1371" w:type="dxa"/>
            <w:shd w:val="clear" w:color="auto" w:fill="FFFFFF"/>
            <w:noWrap w:val="0"/>
            <w:vAlign w:val="center"/>
          </w:tcPr>
          <w:p w14:paraId="73F235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5D59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2CC46B47">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4CA25D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198B40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64581D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5D9F91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5BD78A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0D54E0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17CC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196235C9">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rPr>
            </w:pPr>
          </w:p>
        </w:tc>
        <w:tc>
          <w:tcPr>
            <w:tcW w:w="1216" w:type="dxa"/>
            <w:vMerge w:val="continue"/>
            <w:shd w:val="clear" w:color="auto" w:fill="auto"/>
            <w:noWrap w:val="0"/>
            <w:vAlign w:val="center"/>
          </w:tcPr>
          <w:p w14:paraId="60F28A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14F560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076D98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663504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2DA15C4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2ED547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49C8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377B0E89">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5</w:t>
            </w:r>
          </w:p>
        </w:tc>
        <w:tc>
          <w:tcPr>
            <w:tcW w:w="1216" w:type="dxa"/>
            <w:vMerge w:val="continue"/>
            <w:shd w:val="clear" w:color="auto" w:fill="auto"/>
            <w:noWrap w:val="0"/>
            <w:vAlign w:val="center"/>
          </w:tcPr>
          <w:p w14:paraId="4C28AB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0FE16D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镜湖JH-09-03x-09-02地块</w:t>
            </w:r>
          </w:p>
        </w:tc>
        <w:tc>
          <w:tcPr>
            <w:tcW w:w="1185" w:type="dxa"/>
            <w:vMerge w:val="restart"/>
            <w:shd w:val="clear" w:color="auto" w:fill="auto"/>
            <w:noWrap w:val="0"/>
            <w:vAlign w:val="center"/>
          </w:tcPr>
          <w:p w14:paraId="03AD85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2010" w:type="dxa"/>
            <w:shd w:val="clear" w:color="auto" w:fill="FFFFFF"/>
            <w:noWrap w:val="0"/>
            <w:vAlign w:val="center"/>
          </w:tcPr>
          <w:p w14:paraId="68E19A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0E6F84C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流量61.2扬程41</w:t>
            </w:r>
          </w:p>
        </w:tc>
        <w:tc>
          <w:tcPr>
            <w:tcW w:w="1371" w:type="dxa"/>
            <w:shd w:val="clear" w:color="auto" w:fill="FFFFFF"/>
            <w:noWrap w:val="0"/>
            <w:vAlign w:val="center"/>
          </w:tcPr>
          <w:p w14:paraId="7810C8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1CF2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66442A62">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57B5E8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2CC766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1FAF1E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4BBF9A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5240425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流量61.2扬程63</w:t>
            </w:r>
          </w:p>
        </w:tc>
        <w:tc>
          <w:tcPr>
            <w:tcW w:w="1371" w:type="dxa"/>
            <w:shd w:val="clear" w:color="auto" w:fill="FFFFFF"/>
            <w:noWrap w:val="0"/>
            <w:vAlign w:val="center"/>
          </w:tcPr>
          <w:p w14:paraId="32C963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07B0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F771459">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53FC5C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59CB45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70C139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759F07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771D9CD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47C6C1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39A0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62DEDDD6">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1EE4F6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79918C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3C7B12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0B06E5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42850BD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44B495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0ACC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37D98EBD">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6</w:t>
            </w:r>
          </w:p>
        </w:tc>
        <w:tc>
          <w:tcPr>
            <w:tcW w:w="1216" w:type="dxa"/>
            <w:vMerge w:val="continue"/>
            <w:shd w:val="clear" w:color="auto" w:fill="auto"/>
            <w:noWrap w:val="0"/>
            <w:vAlign w:val="center"/>
          </w:tcPr>
          <w:p w14:paraId="005E1A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140EC8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棒球未来社区C地块</w:t>
            </w:r>
          </w:p>
        </w:tc>
        <w:tc>
          <w:tcPr>
            <w:tcW w:w="1185" w:type="dxa"/>
            <w:vMerge w:val="restart"/>
            <w:shd w:val="clear" w:color="auto" w:fill="auto"/>
            <w:noWrap w:val="0"/>
            <w:vAlign w:val="center"/>
          </w:tcPr>
          <w:p w14:paraId="0A8318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2010" w:type="dxa"/>
            <w:shd w:val="clear" w:color="auto" w:fill="FFFFFF"/>
            <w:noWrap w:val="0"/>
            <w:vAlign w:val="center"/>
          </w:tcPr>
          <w:p w14:paraId="482E6F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5B9F204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流量72扬程60</w:t>
            </w:r>
          </w:p>
        </w:tc>
        <w:tc>
          <w:tcPr>
            <w:tcW w:w="1371" w:type="dxa"/>
            <w:shd w:val="clear" w:color="auto" w:fill="FFFFFF"/>
            <w:noWrap w:val="0"/>
            <w:vAlign w:val="center"/>
          </w:tcPr>
          <w:p w14:paraId="146A26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4533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C5121D4">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33C4B9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38BB28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695133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39CDC9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73E4802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流量72扬程80</w:t>
            </w:r>
          </w:p>
        </w:tc>
        <w:tc>
          <w:tcPr>
            <w:tcW w:w="1371" w:type="dxa"/>
            <w:shd w:val="clear" w:color="auto" w:fill="FFFFFF"/>
            <w:noWrap w:val="0"/>
            <w:vAlign w:val="center"/>
          </w:tcPr>
          <w:p w14:paraId="22627F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87D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7A278241">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736674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0245C0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63DC33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78E83E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12984B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流量72扬程100</w:t>
            </w:r>
          </w:p>
        </w:tc>
        <w:tc>
          <w:tcPr>
            <w:tcW w:w="1371" w:type="dxa"/>
            <w:shd w:val="clear" w:color="auto" w:fill="FFFFFF"/>
            <w:noWrap w:val="0"/>
            <w:vAlign w:val="center"/>
          </w:tcPr>
          <w:p w14:paraId="35C5EF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1D4E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7FB88F23">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69B82B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7CBE43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053B80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6ED3F1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35B7B7C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713688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1B8A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F9E7311">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76D83A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03B39E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7DBE7D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16BC80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459FC37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27F512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6F4B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690AF415">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7</w:t>
            </w:r>
          </w:p>
        </w:tc>
        <w:tc>
          <w:tcPr>
            <w:tcW w:w="1216" w:type="dxa"/>
            <w:vMerge w:val="continue"/>
            <w:shd w:val="clear" w:color="auto" w:fill="auto"/>
            <w:noWrap w:val="0"/>
            <w:vAlign w:val="center"/>
          </w:tcPr>
          <w:p w14:paraId="2616F3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7E8E56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越城区瓦窑头4号地块安置房建设工程</w:t>
            </w:r>
          </w:p>
        </w:tc>
        <w:tc>
          <w:tcPr>
            <w:tcW w:w="1185" w:type="dxa"/>
            <w:vMerge w:val="restart"/>
            <w:shd w:val="clear" w:color="auto" w:fill="auto"/>
            <w:noWrap w:val="0"/>
            <w:vAlign w:val="center"/>
          </w:tcPr>
          <w:p w14:paraId="693346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2010" w:type="dxa"/>
            <w:shd w:val="clear" w:color="auto" w:fill="FFFFFF"/>
            <w:noWrap w:val="0"/>
            <w:vAlign w:val="center"/>
          </w:tcPr>
          <w:p w14:paraId="240C51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2FF6DF2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流量42扬程28</w:t>
            </w:r>
          </w:p>
        </w:tc>
        <w:tc>
          <w:tcPr>
            <w:tcW w:w="1371" w:type="dxa"/>
            <w:shd w:val="clear" w:color="auto" w:fill="FFFFFF"/>
            <w:noWrap w:val="0"/>
            <w:vAlign w:val="center"/>
          </w:tcPr>
          <w:p w14:paraId="2D4902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299E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417165F9">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386EFB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3A622F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44D32E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6F0532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25E4224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582959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3C33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0976B0E4">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127086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098A35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7B7842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60C41C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37FFF53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39E698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6E4F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0980657C">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8</w:t>
            </w:r>
          </w:p>
        </w:tc>
        <w:tc>
          <w:tcPr>
            <w:tcW w:w="1216" w:type="dxa"/>
            <w:vMerge w:val="continue"/>
            <w:shd w:val="clear" w:color="auto" w:fill="auto"/>
            <w:noWrap w:val="0"/>
            <w:vAlign w:val="center"/>
          </w:tcPr>
          <w:p w14:paraId="794E1D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47F200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临江雅苑北安置房建设项目一期</w:t>
            </w:r>
          </w:p>
        </w:tc>
        <w:tc>
          <w:tcPr>
            <w:tcW w:w="1185" w:type="dxa"/>
            <w:vMerge w:val="restart"/>
            <w:shd w:val="clear" w:color="auto" w:fill="auto"/>
            <w:noWrap w:val="0"/>
            <w:vAlign w:val="center"/>
          </w:tcPr>
          <w:p w14:paraId="4402F3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2010" w:type="dxa"/>
            <w:shd w:val="clear" w:color="auto" w:fill="FFFFFF"/>
            <w:noWrap w:val="0"/>
            <w:vAlign w:val="center"/>
          </w:tcPr>
          <w:p w14:paraId="5DC8B4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211E45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流量24扬程40</w:t>
            </w:r>
          </w:p>
        </w:tc>
        <w:tc>
          <w:tcPr>
            <w:tcW w:w="1371" w:type="dxa"/>
            <w:shd w:val="clear" w:color="auto" w:fill="FFFFFF"/>
            <w:noWrap w:val="0"/>
            <w:vAlign w:val="center"/>
          </w:tcPr>
          <w:p w14:paraId="4083E8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5B80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3E0B83C0">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1FA100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624C39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35E123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0E9EC1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4A43A5C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35C014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3E41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90D6630">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2FAC2C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686984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19F73F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1DF335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756CAFF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4D5BC1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6F83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4ADC6FA4">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9</w:t>
            </w:r>
          </w:p>
        </w:tc>
        <w:tc>
          <w:tcPr>
            <w:tcW w:w="1216" w:type="dxa"/>
            <w:vMerge w:val="continue"/>
            <w:shd w:val="clear" w:color="auto" w:fill="auto"/>
            <w:noWrap w:val="0"/>
            <w:vAlign w:val="center"/>
          </w:tcPr>
          <w:p w14:paraId="1648A8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5C9BA6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宝业四季园河东2号地块</w:t>
            </w:r>
          </w:p>
        </w:tc>
        <w:tc>
          <w:tcPr>
            <w:tcW w:w="1185" w:type="dxa"/>
            <w:vMerge w:val="restart"/>
            <w:shd w:val="clear" w:color="auto" w:fill="auto"/>
            <w:noWrap w:val="0"/>
            <w:vAlign w:val="center"/>
          </w:tcPr>
          <w:p w14:paraId="4CB554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2010" w:type="dxa"/>
            <w:shd w:val="clear" w:color="auto" w:fill="FFFFFF"/>
            <w:noWrap w:val="0"/>
            <w:vAlign w:val="center"/>
          </w:tcPr>
          <w:p w14:paraId="1FB99A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3BE927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流量18扬程30</w:t>
            </w:r>
          </w:p>
        </w:tc>
        <w:tc>
          <w:tcPr>
            <w:tcW w:w="1371" w:type="dxa"/>
            <w:shd w:val="clear" w:color="auto" w:fill="FFFFFF"/>
            <w:noWrap w:val="0"/>
            <w:vAlign w:val="center"/>
          </w:tcPr>
          <w:p w14:paraId="00A901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09D1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0DE6A02C">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240377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5A47EE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05840C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16FD09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3F474D0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295328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7D9A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1D2DB05E">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376380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3B9AF7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6F11E1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40E65F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1D8297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0A242F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r>
      <w:tr w14:paraId="2A7E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38B6BBA7">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w:t>
            </w:r>
          </w:p>
        </w:tc>
        <w:tc>
          <w:tcPr>
            <w:tcW w:w="1216" w:type="dxa"/>
            <w:vMerge w:val="continue"/>
            <w:shd w:val="clear" w:color="auto" w:fill="auto"/>
            <w:noWrap w:val="0"/>
            <w:vAlign w:val="center"/>
          </w:tcPr>
          <w:p w14:paraId="6A3FDB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2DE738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迎恩门2号地块</w:t>
            </w:r>
          </w:p>
        </w:tc>
        <w:tc>
          <w:tcPr>
            <w:tcW w:w="1185" w:type="dxa"/>
            <w:vMerge w:val="restart"/>
            <w:shd w:val="clear" w:color="auto" w:fill="auto"/>
            <w:noWrap w:val="0"/>
            <w:vAlign w:val="center"/>
          </w:tcPr>
          <w:p w14:paraId="2F3F00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2010" w:type="dxa"/>
            <w:shd w:val="clear" w:color="auto" w:fill="FFFFFF"/>
            <w:noWrap w:val="0"/>
            <w:vAlign w:val="center"/>
          </w:tcPr>
          <w:p w14:paraId="063207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1351342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流量36扬程37</w:t>
            </w:r>
          </w:p>
        </w:tc>
        <w:tc>
          <w:tcPr>
            <w:tcW w:w="1371" w:type="dxa"/>
            <w:shd w:val="clear" w:color="auto" w:fill="FFFFFF"/>
            <w:noWrap w:val="0"/>
            <w:vAlign w:val="center"/>
          </w:tcPr>
          <w:p w14:paraId="154D0F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7347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F79714B">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38B497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02B292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22FCAE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563163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0179352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流量36扬程59</w:t>
            </w:r>
          </w:p>
        </w:tc>
        <w:tc>
          <w:tcPr>
            <w:tcW w:w="1371" w:type="dxa"/>
            <w:shd w:val="clear" w:color="auto" w:fill="FFFFFF"/>
            <w:noWrap w:val="0"/>
            <w:vAlign w:val="center"/>
          </w:tcPr>
          <w:p w14:paraId="3FA039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297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7BE4CC4C">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1574DB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2A9F34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19C78B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28FD54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0A21758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57ED2F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06EF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211F0DAD">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129AE2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4EAF97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73BDEC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629A0A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279F93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739A95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043C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1DF422DE">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11</w:t>
            </w:r>
          </w:p>
        </w:tc>
        <w:tc>
          <w:tcPr>
            <w:tcW w:w="1216" w:type="dxa"/>
            <w:vMerge w:val="continue"/>
            <w:shd w:val="clear" w:color="auto" w:fill="auto"/>
            <w:noWrap w:val="0"/>
            <w:vAlign w:val="center"/>
          </w:tcPr>
          <w:p w14:paraId="0FA2F2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7F9597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则水牌2号地块住宅商业项目(二期)-A地块</w:t>
            </w:r>
          </w:p>
        </w:tc>
        <w:tc>
          <w:tcPr>
            <w:tcW w:w="1185" w:type="dxa"/>
            <w:vMerge w:val="restart"/>
            <w:shd w:val="clear" w:color="auto" w:fill="auto"/>
            <w:noWrap w:val="0"/>
            <w:vAlign w:val="center"/>
          </w:tcPr>
          <w:p w14:paraId="3B39FF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2010" w:type="dxa"/>
            <w:shd w:val="clear" w:color="auto" w:fill="FFFFFF"/>
            <w:noWrap w:val="0"/>
            <w:vAlign w:val="center"/>
          </w:tcPr>
          <w:p w14:paraId="5CFF81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40B9374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w:t>
            </w:r>
            <w:r>
              <w:rPr>
                <w:rFonts w:hint="eastAsia" w:ascii="宋体" w:hAnsi="宋体" w:cs="宋体"/>
                <w:i w:val="0"/>
                <w:iCs w:val="0"/>
                <w:color w:val="auto"/>
                <w:sz w:val="21"/>
                <w:szCs w:val="21"/>
                <w:highlight w:val="none"/>
                <w:u w:val="none"/>
                <w:shd w:val="clear" w:color="auto" w:fill="auto"/>
                <w:lang w:val="en-US" w:eastAsia="zh-CN"/>
              </w:rPr>
              <w:t>30</w:t>
            </w:r>
            <w:r>
              <w:rPr>
                <w:rFonts w:hint="eastAsia" w:ascii="宋体" w:hAnsi="宋体" w:eastAsia="宋体" w:cs="宋体"/>
                <w:i w:val="0"/>
                <w:iCs w:val="0"/>
                <w:color w:val="auto"/>
                <w:sz w:val="21"/>
                <w:szCs w:val="21"/>
                <w:highlight w:val="none"/>
                <w:u w:val="none"/>
                <w:shd w:val="clear" w:color="auto" w:fill="auto"/>
                <w:lang w:val="en-US" w:eastAsia="zh-CN"/>
              </w:rPr>
              <w:t>扬程</w:t>
            </w:r>
            <w:r>
              <w:rPr>
                <w:rFonts w:hint="eastAsia" w:ascii="宋体" w:hAnsi="宋体" w:cs="宋体"/>
                <w:i w:val="0"/>
                <w:iCs w:val="0"/>
                <w:color w:val="auto"/>
                <w:sz w:val="21"/>
                <w:szCs w:val="21"/>
                <w:highlight w:val="none"/>
                <w:u w:val="none"/>
                <w:shd w:val="clear" w:color="auto" w:fill="auto"/>
                <w:lang w:val="en-US" w:eastAsia="zh-CN"/>
              </w:rPr>
              <w:t>4</w:t>
            </w: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71" w:type="dxa"/>
            <w:shd w:val="clear" w:color="auto" w:fill="FFFFFF"/>
            <w:noWrap w:val="0"/>
            <w:vAlign w:val="center"/>
          </w:tcPr>
          <w:p w14:paraId="649F18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7E3B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1625829F">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27B292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428B2D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03ADB5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761D30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52C32FE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流量26扬程61</w:t>
            </w:r>
          </w:p>
        </w:tc>
        <w:tc>
          <w:tcPr>
            <w:tcW w:w="1371" w:type="dxa"/>
            <w:shd w:val="clear" w:color="auto" w:fill="FFFFFF"/>
            <w:noWrap w:val="0"/>
            <w:vAlign w:val="center"/>
          </w:tcPr>
          <w:p w14:paraId="542510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3E32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4A24ADAE">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195990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4DCC5F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09E938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74721E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679543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0E64E4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0BA5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1CB85A02">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3A6F73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341324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152B8F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157588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180677E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3FBD3F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3C8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3CA235A8">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12</w:t>
            </w:r>
          </w:p>
        </w:tc>
        <w:tc>
          <w:tcPr>
            <w:tcW w:w="1216" w:type="dxa"/>
            <w:vMerge w:val="continue"/>
            <w:shd w:val="clear" w:color="auto" w:fill="auto"/>
            <w:noWrap w:val="0"/>
            <w:vAlign w:val="center"/>
          </w:tcPr>
          <w:p w14:paraId="2EC219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41B88B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杭电绍兴校区配套人才住房建设项目</w:t>
            </w:r>
          </w:p>
        </w:tc>
        <w:tc>
          <w:tcPr>
            <w:tcW w:w="1185" w:type="dxa"/>
            <w:vMerge w:val="restart"/>
            <w:shd w:val="clear" w:color="auto" w:fill="auto"/>
            <w:noWrap w:val="0"/>
            <w:vAlign w:val="center"/>
          </w:tcPr>
          <w:p w14:paraId="07A0E9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2010" w:type="dxa"/>
            <w:shd w:val="clear" w:color="auto" w:fill="FFFFFF"/>
            <w:noWrap w:val="0"/>
            <w:vAlign w:val="center"/>
          </w:tcPr>
          <w:p w14:paraId="1F4D47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6E35153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流量40扬程50</w:t>
            </w:r>
          </w:p>
        </w:tc>
        <w:tc>
          <w:tcPr>
            <w:tcW w:w="1371" w:type="dxa"/>
            <w:shd w:val="clear" w:color="auto" w:fill="FFFFFF"/>
            <w:noWrap w:val="0"/>
            <w:vAlign w:val="center"/>
          </w:tcPr>
          <w:p w14:paraId="1B9C74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77AC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027224B5">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746501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3BA6DF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4ED4C6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4B7AAD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238D672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流量40扬程50</w:t>
            </w:r>
          </w:p>
        </w:tc>
        <w:tc>
          <w:tcPr>
            <w:tcW w:w="1371" w:type="dxa"/>
            <w:shd w:val="clear" w:color="auto" w:fill="FFFFFF"/>
            <w:noWrap w:val="0"/>
            <w:vAlign w:val="center"/>
          </w:tcPr>
          <w:p w14:paraId="5D72AC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762A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05489A44">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34EEC6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56EF30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579099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1F1AFD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443561B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7E7AF9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4821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054823F7">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6633DD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3238E4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31FB24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0B7AD1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0895480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7AD091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E95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5990F13E">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13</w:t>
            </w:r>
          </w:p>
        </w:tc>
        <w:tc>
          <w:tcPr>
            <w:tcW w:w="1216" w:type="dxa"/>
            <w:vMerge w:val="continue"/>
            <w:shd w:val="clear" w:color="auto" w:fill="auto"/>
            <w:noWrap w:val="0"/>
            <w:vAlign w:val="center"/>
          </w:tcPr>
          <w:p w14:paraId="32A5F4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0718EF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洋泾湖12号地块</w:t>
            </w:r>
          </w:p>
        </w:tc>
        <w:tc>
          <w:tcPr>
            <w:tcW w:w="1185" w:type="dxa"/>
            <w:vMerge w:val="restart"/>
            <w:shd w:val="clear" w:color="auto" w:fill="auto"/>
            <w:noWrap w:val="0"/>
            <w:vAlign w:val="center"/>
          </w:tcPr>
          <w:p w14:paraId="5B3003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2010" w:type="dxa"/>
            <w:shd w:val="clear" w:color="auto" w:fill="FFFFFF"/>
            <w:noWrap w:val="0"/>
            <w:vAlign w:val="center"/>
          </w:tcPr>
          <w:p w14:paraId="533C66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2B53343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流量50扬程48</w:t>
            </w:r>
          </w:p>
        </w:tc>
        <w:tc>
          <w:tcPr>
            <w:tcW w:w="1371" w:type="dxa"/>
            <w:shd w:val="clear" w:color="auto" w:fill="FFFFFF"/>
            <w:noWrap w:val="0"/>
            <w:vAlign w:val="center"/>
          </w:tcPr>
          <w:p w14:paraId="208A11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7232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5C7829E">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24BFA6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2AB793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6C7D1B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33469C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74A3723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流量50扬程48</w:t>
            </w:r>
          </w:p>
        </w:tc>
        <w:tc>
          <w:tcPr>
            <w:tcW w:w="1371" w:type="dxa"/>
            <w:shd w:val="clear" w:color="auto" w:fill="FFFFFF"/>
            <w:noWrap w:val="0"/>
            <w:vAlign w:val="center"/>
          </w:tcPr>
          <w:p w14:paraId="2DE784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1A4C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79BA02DB">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7ED656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566799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1E466A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6BB0F0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3B076E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11A1BE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3F79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1357DF08">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2F0E06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7A3037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371DC3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5EAD01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54CA075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41E758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602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2C35A6AF">
            <w:pPr>
              <w:keepNext w:val="0"/>
              <w:keepLines w:val="0"/>
              <w:pageBreakBefore w:val="0"/>
              <w:kinsoku/>
              <w:overflowPunct/>
              <w:topLinePunct w:val="0"/>
              <w:autoSpaceDE/>
              <w:autoSpaceDN/>
              <w:bidi w:val="0"/>
              <w:adjustRightInd/>
              <w:snapToGrid/>
              <w:spacing w:line="320" w:lineRule="exact"/>
              <w:jc w:val="center"/>
              <w:rPr>
                <w:rFonts w:hint="default" w:ascii="宋体" w:hAnsi="宋体" w:eastAsia="宋体" w:cs="宋体"/>
                <w:color w:val="auto"/>
                <w:kern w:val="0"/>
                <w:sz w:val="21"/>
                <w:szCs w:val="21"/>
                <w:highlight w:val="none"/>
                <w:shd w:val="clear" w:color="auto" w:fill="auto"/>
                <w:lang w:val="en-US" w:eastAsia="zh-CN"/>
              </w:rPr>
            </w:pPr>
            <w:r>
              <w:rPr>
                <w:rFonts w:hint="eastAsia" w:ascii="宋体" w:hAnsi="宋体" w:cs="宋体"/>
                <w:color w:val="auto"/>
                <w:kern w:val="0"/>
                <w:sz w:val="21"/>
                <w:szCs w:val="21"/>
                <w:highlight w:val="none"/>
                <w:shd w:val="clear" w:color="auto" w:fill="auto"/>
                <w:lang w:val="en-US" w:eastAsia="zh-CN"/>
              </w:rPr>
              <w:t>14</w:t>
            </w:r>
          </w:p>
        </w:tc>
        <w:tc>
          <w:tcPr>
            <w:tcW w:w="1216" w:type="dxa"/>
            <w:vMerge w:val="continue"/>
            <w:shd w:val="clear" w:color="auto" w:fill="auto"/>
            <w:noWrap w:val="0"/>
            <w:vAlign w:val="center"/>
          </w:tcPr>
          <w:p w14:paraId="50A3CF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060C6B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越城区YC-18E-24-1地块建设项目</w:t>
            </w:r>
          </w:p>
        </w:tc>
        <w:tc>
          <w:tcPr>
            <w:tcW w:w="1185" w:type="dxa"/>
            <w:vMerge w:val="restart"/>
            <w:shd w:val="clear" w:color="auto" w:fill="auto"/>
            <w:noWrap w:val="0"/>
            <w:vAlign w:val="center"/>
          </w:tcPr>
          <w:p w14:paraId="77DD45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2010" w:type="dxa"/>
            <w:shd w:val="clear" w:color="auto" w:fill="FFFFFF"/>
            <w:noWrap w:val="0"/>
            <w:vAlign w:val="center"/>
          </w:tcPr>
          <w:p w14:paraId="20D917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18FDAD9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流量48扬程45</w:t>
            </w:r>
          </w:p>
        </w:tc>
        <w:tc>
          <w:tcPr>
            <w:tcW w:w="1371" w:type="dxa"/>
            <w:shd w:val="clear" w:color="auto" w:fill="FFFFFF"/>
            <w:noWrap w:val="0"/>
            <w:vAlign w:val="center"/>
          </w:tcPr>
          <w:p w14:paraId="11DDEC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2CC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561A6A8">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5F74EB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45E030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513945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7E6C86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1296178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44561A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E15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6B304BB5">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621E77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17C9C4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03869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1A6EA5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7597EF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1645E7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16AF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7E92FDFB">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cs="宋体"/>
                <w:color w:val="auto"/>
                <w:kern w:val="0"/>
                <w:sz w:val="21"/>
                <w:szCs w:val="21"/>
                <w:highlight w:val="none"/>
                <w:shd w:val="clear" w:color="auto" w:fill="auto"/>
                <w:lang w:val="en-US" w:eastAsia="zh-CN"/>
              </w:rPr>
              <w:t>5</w:t>
            </w:r>
          </w:p>
        </w:tc>
        <w:tc>
          <w:tcPr>
            <w:tcW w:w="1216" w:type="dxa"/>
            <w:vMerge w:val="continue"/>
            <w:shd w:val="clear" w:color="auto" w:fill="auto"/>
            <w:noWrap w:val="0"/>
            <w:vAlign w:val="center"/>
          </w:tcPr>
          <w:p w14:paraId="195362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4AC992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越城区则水牌2号地块住宅商业项目(三期）住宅-L地块</w:t>
            </w:r>
          </w:p>
        </w:tc>
        <w:tc>
          <w:tcPr>
            <w:tcW w:w="1185" w:type="dxa"/>
            <w:vMerge w:val="restart"/>
            <w:shd w:val="clear" w:color="auto" w:fill="auto"/>
            <w:noWrap w:val="0"/>
            <w:vAlign w:val="center"/>
          </w:tcPr>
          <w:p w14:paraId="2900EA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2010" w:type="dxa"/>
            <w:shd w:val="clear" w:color="auto" w:fill="FFFFFF"/>
            <w:noWrap w:val="0"/>
            <w:vAlign w:val="center"/>
          </w:tcPr>
          <w:p w14:paraId="159042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3D90634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流量56扬程70</w:t>
            </w:r>
          </w:p>
        </w:tc>
        <w:tc>
          <w:tcPr>
            <w:tcW w:w="1371" w:type="dxa"/>
            <w:shd w:val="clear" w:color="auto" w:fill="FFFFFF"/>
            <w:noWrap w:val="0"/>
            <w:vAlign w:val="center"/>
          </w:tcPr>
          <w:p w14:paraId="3C9E7B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0101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32E328E0">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619286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4BA4DC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48C254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413C23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39E7DC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流量40扬程50</w:t>
            </w:r>
          </w:p>
        </w:tc>
        <w:tc>
          <w:tcPr>
            <w:tcW w:w="1371" w:type="dxa"/>
            <w:shd w:val="clear" w:color="auto" w:fill="FFFFFF"/>
            <w:noWrap w:val="0"/>
            <w:vAlign w:val="center"/>
          </w:tcPr>
          <w:p w14:paraId="696585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7889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DBB8F66">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771440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19868C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3AA469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5E4E04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03A27AD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15EDC9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3609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49923C24">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067769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236535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65B881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63F84F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69DF58E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5DE79D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4523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534B34AA">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cs="宋体"/>
                <w:color w:val="auto"/>
                <w:kern w:val="0"/>
                <w:sz w:val="21"/>
                <w:szCs w:val="21"/>
                <w:highlight w:val="none"/>
                <w:shd w:val="clear" w:color="auto" w:fill="auto"/>
                <w:lang w:val="en-US" w:eastAsia="zh-CN"/>
              </w:rPr>
              <w:t>6</w:t>
            </w:r>
          </w:p>
        </w:tc>
        <w:tc>
          <w:tcPr>
            <w:tcW w:w="1216" w:type="dxa"/>
            <w:vMerge w:val="continue"/>
            <w:shd w:val="clear" w:color="auto" w:fill="auto"/>
            <w:noWrap w:val="0"/>
            <w:vAlign w:val="center"/>
          </w:tcPr>
          <w:p w14:paraId="51D65B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27FD25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米行后街1号地块</w:t>
            </w:r>
          </w:p>
        </w:tc>
        <w:tc>
          <w:tcPr>
            <w:tcW w:w="1185" w:type="dxa"/>
            <w:vMerge w:val="restart"/>
            <w:shd w:val="clear" w:color="auto" w:fill="auto"/>
            <w:noWrap w:val="0"/>
            <w:vAlign w:val="center"/>
          </w:tcPr>
          <w:p w14:paraId="4A608D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2010" w:type="dxa"/>
            <w:shd w:val="clear" w:color="auto" w:fill="FFFFFF"/>
            <w:noWrap w:val="0"/>
            <w:vAlign w:val="center"/>
          </w:tcPr>
          <w:p w14:paraId="789A03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2914B6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流量25扬程70</w:t>
            </w:r>
          </w:p>
        </w:tc>
        <w:tc>
          <w:tcPr>
            <w:tcW w:w="1371" w:type="dxa"/>
            <w:shd w:val="clear" w:color="auto" w:fill="FFFFFF"/>
            <w:noWrap w:val="0"/>
            <w:vAlign w:val="center"/>
          </w:tcPr>
          <w:p w14:paraId="672EB6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551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405F70B">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49FC54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29D813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14C0B8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0C864D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20E4FF7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流量25扬程38</w:t>
            </w:r>
          </w:p>
        </w:tc>
        <w:tc>
          <w:tcPr>
            <w:tcW w:w="1371" w:type="dxa"/>
            <w:shd w:val="clear" w:color="auto" w:fill="FFFFFF"/>
            <w:noWrap w:val="0"/>
            <w:vAlign w:val="center"/>
          </w:tcPr>
          <w:p w14:paraId="04A3BC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3708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1B8D15F9">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566EC8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1BEF2E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179731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20F29E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57C0216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3D1ADF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5EC2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60543B39">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771AFC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5BEB76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73976E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54E52C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00AB569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778FF3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1ABE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3162393F">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cs="宋体"/>
                <w:color w:val="auto"/>
                <w:kern w:val="0"/>
                <w:sz w:val="21"/>
                <w:szCs w:val="21"/>
                <w:highlight w:val="none"/>
                <w:shd w:val="clear" w:color="auto" w:fill="auto"/>
                <w:lang w:val="en-US" w:eastAsia="zh-CN"/>
              </w:rPr>
              <w:t>7</w:t>
            </w:r>
          </w:p>
        </w:tc>
        <w:tc>
          <w:tcPr>
            <w:tcW w:w="1216" w:type="dxa"/>
            <w:vMerge w:val="continue"/>
            <w:shd w:val="clear" w:color="auto" w:fill="auto"/>
            <w:noWrap w:val="0"/>
            <w:vAlign w:val="center"/>
          </w:tcPr>
          <w:p w14:paraId="4725AB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40B730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YC-17-2-A(馋嘴畈地块)</w:t>
            </w:r>
          </w:p>
        </w:tc>
        <w:tc>
          <w:tcPr>
            <w:tcW w:w="1185" w:type="dxa"/>
            <w:vMerge w:val="restart"/>
            <w:shd w:val="clear" w:color="auto" w:fill="auto"/>
            <w:noWrap w:val="0"/>
            <w:vAlign w:val="center"/>
          </w:tcPr>
          <w:p w14:paraId="5B8FF0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2010" w:type="dxa"/>
            <w:shd w:val="clear" w:color="auto" w:fill="FFFFFF"/>
            <w:noWrap w:val="0"/>
            <w:vAlign w:val="center"/>
          </w:tcPr>
          <w:p w14:paraId="725CAE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15" w:type="dxa"/>
            <w:shd w:val="clear" w:color="auto" w:fill="FFFFFF"/>
            <w:noWrap w:val="0"/>
            <w:vAlign w:val="center"/>
          </w:tcPr>
          <w:p w14:paraId="62F65C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流量45扬程45</w:t>
            </w:r>
          </w:p>
        </w:tc>
        <w:tc>
          <w:tcPr>
            <w:tcW w:w="1371" w:type="dxa"/>
            <w:shd w:val="clear" w:color="auto" w:fill="FFFFFF"/>
            <w:noWrap w:val="0"/>
            <w:vAlign w:val="center"/>
          </w:tcPr>
          <w:p w14:paraId="4D245A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5E93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084ED79A">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785443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3EE1C7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56BB8A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48224E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0473652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77D1E4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6B47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2B80377B">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51AFC7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085D67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028EF9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7DD695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7D4532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61ADA6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46FA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3284A9D0">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cs="宋体"/>
                <w:color w:val="auto"/>
                <w:kern w:val="0"/>
                <w:sz w:val="21"/>
                <w:szCs w:val="21"/>
                <w:highlight w:val="none"/>
                <w:shd w:val="clear" w:color="auto" w:fill="auto"/>
                <w:lang w:val="en-US" w:eastAsia="zh-CN"/>
              </w:rPr>
              <w:t>8</w:t>
            </w:r>
          </w:p>
        </w:tc>
        <w:tc>
          <w:tcPr>
            <w:tcW w:w="1216" w:type="dxa"/>
            <w:vMerge w:val="continue"/>
            <w:shd w:val="clear" w:color="auto" w:fill="auto"/>
            <w:noWrap w:val="0"/>
            <w:vAlign w:val="center"/>
          </w:tcPr>
          <w:p w14:paraId="1B5B9B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2F19ED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凤林西路以北7-2号地块</w:t>
            </w:r>
          </w:p>
        </w:tc>
        <w:tc>
          <w:tcPr>
            <w:tcW w:w="1185" w:type="dxa"/>
            <w:vMerge w:val="restart"/>
            <w:shd w:val="clear" w:color="auto" w:fill="auto"/>
            <w:noWrap w:val="0"/>
            <w:vAlign w:val="center"/>
          </w:tcPr>
          <w:p w14:paraId="5C3CBD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w:t>
            </w:r>
          </w:p>
        </w:tc>
        <w:tc>
          <w:tcPr>
            <w:tcW w:w="2010" w:type="dxa"/>
            <w:vMerge w:val="restart"/>
            <w:shd w:val="clear" w:color="auto" w:fill="FFFFFF"/>
            <w:noWrap w:val="0"/>
            <w:vAlign w:val="center"/>
          </w:tcPr>
          <w:p w14:paraId="786898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变频+水箱设备</w:t>
            </w:r>
          </w:p>
        </w:tc>
        <w:tc>
          <w:tcPr>
            <w:tcW w:w="1815" w:type="dxa"/>
            <w:shd w:val="clear" w:color="auto" w:fill="FFFFFF"/>
            <w:noWrap w:val="0"/>
            <w:vAlign w:val="center"/>
          </w:tcPr>
          <w:p w14:paraId="293AC0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流量83扬程64；</w:t>
            </w:r>
          </w:p>
        </w:tc>
        <w:tc>
          <w:tcPr>
            <w:tcW w:w="1371" w:type="dxa"/>
            <w:shd w:val="clear" w:color="auto" w:fill="FFFFFF"/>
            <w:noWrap w:val="0"/>
            <w:vAlign w:val="center"/>
          </w:tcPr>
          <w:p w14:paraId="313480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3A6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69070500">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514431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579390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2206F8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33F63E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219579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流量62扬程86</w:t>
            </w:r>
          </w:p>
        </w:tc>
        <w:tc>
          <w:tcPr>
            <w:tcW w:w="1371" w:type="dxa"/>
            <w:shd w:val="clear" w:color="auto" w:fill="FFFFFF"/>
            <w:noWrap w:val="0"/>
            <w:vAlign w:val="center"/>
          </w:tcPr>
          <w:p w14:paraId="606C13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1C77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2596B14B">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3C51F8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5C576F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35C748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0F2892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775599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水箱及消毒设备：2只水箱，尺寸9*5*2.5，9*5*2.5含DN200出水管及紫外线消毒设备，阀门</w:t>
            </w:r>
          </w:p>
        </w:tc>
        <w:tc>
          <w:tcPr>
            <w:tcW w:w="1371" w:type="dxa"/>
            <w:shd w:val="clear" w:color="auto" w:fill="FFFFFF"/>
            <w:noWrap w:val="0"/>
            <w:vAlign w:val="center"/>
          </w:tcPr>
          <w:p w14:paraId="0C3FDE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0035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05EB95CE">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755840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788A7B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0886A8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6D3260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75B1449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586F14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540E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04236D67">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2A1B3D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7F510F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6BC9DD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341231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6C0FB5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7E2B6E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0DC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6EEB29DE">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cs="宋体"/>
                <w:color w:val="auto"/>
                <w:kern w:val="0"/>
                <w:sz w:val="21"/>
                <w:szCs w:val="21"/>
                <w:highlight w:val="none"/>
                <w:shd w:val="clear" w:color="auto" w:fill="auto"/>
                <w:lang w:val="en-US" w:eastAsia="zh-CN"/>
              </w:rPr>
              <w:t>9</w:t>
            </w:r>
          </w:p>
        </w:tc>
        <w:tc>
          <w:tcPr>
            <w:tcW w:w="1216" w:type="dxa"/>
            <w:vMerge w:val="continue"/>
            <w:shd w:val="clear" w:color="auto" w:fill="auto"/>
            <w:noWrap w:val="0"/>
            <w:vAlign w:val="center"/>
          </w:tcPr>
          <w:p w14:paraId="2DFE46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03113E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滨海新区JB-06-05-13地块项目</w:t>
            </w:r>
          </w:p>
        </w:tc>
        <w:tc>
          <w:tcPr>
            <w:tcW w:w="1185" w:type="dxa"/>
            <w:vMerge w:val="restart"/>
            <w:shd w:val="clear" w:color="auto" w:fill="auto"/>
            <w:noWrap w:val="0"/>
            <w:vAlign w:val="center"/>
          </w:tcPr>
          <w:p w14:paraId="048323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w:t>
            </w:r>
          </w:p>
        </w:tc>
        <w:tc>
          <w:tcPr>
            <w:tcW w:w="2010" w:type="dxa"/>
            <w:vMerge w:val="restart"/>
            <w:shd w:val="clear" w:color="auto" w:fill="FFFFFF"/>
            <w:noWrap w:val="0"/>
            <w:vAlign w:val="center"/>
          </w:tcPr>
          <w:p w14:paraId="44F639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变频+水箱设备</w:t>
            </w:r>
          </w:p>
        </w:tc>
        <w:tc>
          <w:tcPr>
            <w:tcW w:w="1815" w:type="dxa"/>
            <w:shd w:val="clear" w:color="auto" w:fill="FFFFFF"/>
            <w:noWrap w:val="0"/>
            <w:vAlign w:val="center"/>
          </w:tcPr>
          <w:p w14:paraId="174E47A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流量44扬程58；</w:t>
            </w:r>
          </w:p>
        </w:tc>
        <w:tc>
          <w:tcPr>
            <w:tcW w:w="1371" w:type="dxa"/>
            <w:shd w:val="clear" w:color="auto" w:fill="FFFFFF"/>
            <w:noWrap w:val="0"/>
            <w:vAlign w:val="center"/>
          </w:tcPr>
          <w:p w14:paraId="103408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3202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5F468F4">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1457DC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419BF7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08491A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675AF8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7A9DEE5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流量44扬程75；</w:t>
            </w:r>
          </w:p>
        </w:tc>
        <w:tc>
          <w:tcPr>
            <w:tcW w:w="1371" w:type="dxa"/>
            <w:shd w:val="clear" w:color="auto" w:fill="FFFFFF"/>
            <w:noWrap w:val="0"/>
            <w:vAlign w:val="center"/>
          </w:tcPr>
          <w:p w14:paraId="4B7CED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13FA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041AEF50">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7E1161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5BE9BD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3C7ABC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0BB476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1FC591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流量42扬程89</w:t>
            </w:r>
          </w:p>
        </w:tc>
        <w:tc>
          <w:tcPr>
            <w:tcW w:w="1371" w:type="dxa"/>
            <w:shd w:val="clear" w:color="auto" w:fill="FFFFFF"/>
            <w:noWrap w:val="0"/>
            <w:vAlign w:val="center"/>
          </w:tcPr>
          <w:p w14:paraId="7C6B6B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7649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735F14DF">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21727D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7DD991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793121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0E2864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18F7E37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水箱及消毒设备：两只水箱,5*4*2.5,5*4*2.5,内个板4*2.5,含DN200出水管及紫外线消毒设备，阀门</w:t>
            </w:r>
          </w:p>
        </w:tc>
        <w:tc>
          <w:tcPr>
            <w:tcW w:w="1371" w:type="dxa"/>
            <w:shd w:val="clear" w:color="auto" w:fill="FFFFFF"/>
            <w:noWrap w:val="0"/>
            <w:vAlign w:val="center"/>
          </w:tcPr>
          <w:p w14:paraId="742A8E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62DF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0A491C93">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7D4234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6FAD4D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434AE3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767C0E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06FF3E8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450844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1A90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71252148">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622D96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0BB36B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3D5946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4EBC3F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0E611B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0B34D9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56D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69D39FDA">
            <w:pPr>
              <w:keepNext w:val="0"/>
              <w:keepLines w:val="0"/>
              <w:pageBreakBefore w:val="0"/>
              <w:kinsoku/>
              <w:overflowPunct/>
              <w:topLinePunct w:val="0"/>
              <w:autoSpaceDE/>
              <w:autoSpaceDN/>
              <w:bidi w:val="0"/>
              <w:adjustRightInd/>
              <w:snapToGrid/>
              <w:spacing w:line="320" w:lineRule="exact"/>
              <w:jc w:val="center"/>
              <w:rPr>
                <w:rFonts w:hint="default" w:ascii="宋体" w:hAnsi="宋体" w:eastAsia="宋体" w:cs="宋体"/>
                <w:color w:val="auto"/>
                <w:kern w:val="0"/>
                <w:sz w:val="21"/>
                <w:szCs w:val="21"/>
                <w:highlight w:val="none"/>
                <w:shd w:val="clear" w:color="auto" w:fill="auto"/>
                <w:lang w:val="en-US" w:eastAsia="zh-CN"/>
              </w:rPr>
            </w:pPr>
            <w:r>
              <w:rPr>
                <w:rFonts w:hint="eastAsia" w:ascii="宋体" w:hAnsi="宋体" w:cs="宋体"/>
                <w:color w:val="auto"/>
                <w:kern w:val="0"/>
                <w:sz w:val="21"/>
                <w:szCs w:val="21"/>
                <w:highlight w:val="none"/>
                <w:shd w:val="clear" w:color="auto" w:fill="auto"/>
                <w:lang w:val="en-US" w:eastAsia="zh-CN"/>
              </w:rPr>
              <w:t>20</w:t>
            </w:r>
          </w:p>
        </w:tc>
        <w:tc>
          <w:tcPr>
            <w:tcW w:w="1216" w:type="dxa"/>
            <w:vMerge w:val="continue"/>
            <w:shd w:val="clear" w:color="auto" w:fill="auto"/>
            <w:noWrap w:val="0"/>
            <w:vAlign w:val="center"/>
          </w:tcPr>
          <w:p w14:paraId="7E3891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1F0541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滨海新区沧海社区B地块</w:t>
            </w:r>
          </w:p>
        </w:tc>
        <w:tc>
          <w:tcPr>
            <w:tcW w:w="1185" w:type="dxa"/>
            <w:vMerge w:val="restart"/>
            <w:shd w:val="clear" w:color="auto" w:fill="auto"/>
            <w:noWrap w:val="0"/>
            <w:vAlign w:val="center"/>
          </w:tcPr>
          <w:p w14:paraId="4C96B6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w:t>
            </w:r>
          </w:p>
        </w:tc>
        <w:tc>
          <w:tcPr>
            <w:tcW w:w="2010" w:type="dxa"/>
            <w:vMerge w:val="restart"/>
            <w:shd w:val="clear" w:color="auto" w:fill="FFFFFF"/>
            <w:noWrap w:val="0"/>
            <w:vAlign w:val="center"/>
          </w:tcPr>
          <w:p w14:paraId="20E0B1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变频+水箱设备</w:t>
            </w:r>
          </w:p>
        </w:tc>
        <w:tc>
          <w:tcPr>
            <w:tcW w:w="1815" w:type="dxa"/>
            <w:shd w:val="clear" w:color="auto" w:fill="FFFFFF"/>
            <w:noWrap w:val="0"/>
            <w:vAlign w:val="center"/>
          </w:tcPr>
          <w:p w14:paraId="5C295E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流量92.6扬程59.3</w:t>
            </w:r>
          </w:p>
        </w:tc>
        <w:tc>
          <w:tcPr>
            <w:tcW w:w="1371" w:type="dxa"/>
            <w:shd w:val="clear" w:color="auto" w:fill="FFFFFF"/>
            <w:noWrap w:val="0"/>
            <w:vAlign w:val="center"/>
          </w:tcPr>
          <w:p w14:paraId="12114C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7409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20536E74">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5BBE2B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58683B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35550F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46F0B4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3DD322D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流量92.6扬程79.6</w:t>
            </w:r>
          </w:p>
        </w:tc>
        <w:tc>
          <w:tcPr>
            <w:tcW w:w="1371" w:type="dxa"/>
            <w:shd w:val="clear" w:color="auto" w:fill="FFFFFF"/>
            <w:noWrap w:val="0"/>
            <w:vAlign w:val="center"/>
          </w:tcPr>
          <w:p w14:paraId="2498CF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6EF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2A6B13E3">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5505B7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2EC8EC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02920E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64308D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387608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流量88.2扬程99.9</w:t>
            </w:r>
          </w:p>
        </w:tc>
        <w:tc>
          <w:tcPr>
            <w:tcW w:w="1371" w:type="dxa"/>
            <w:shd w:val="clear" w:color="auto" w:fill="FFFFFF"/>
            <w:noWrap w:val="0"/>
            <w:vAlign w:val="center"/>
          </w:tcPr>
          <w:p w14:paraId="28F68D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72DA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613EDF39">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60B829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08CB7A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4FCE57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167497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68F5EE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流量34.56扬程108.6</w:t>
            </w:r>
          </w:p>
        </w:tc>
        <w:tc>
          <w:tcPr>
            <w:tcW w:w="1371" w:type="dxa"/>
            <w:shd w:val="clear" w:color="auto" w:fill="FFFFFF"/>
            <w:noWrap w:val="0"/>
            <w:vAlign w:val="center"/>
          </w:tcPr>
          <w:p w14:paraId="5A880A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13A7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4A0696B9">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78DBD5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6FBF44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001197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4781E2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4C908E2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水箱及消毒设备：两只水箱,非标准尺寸,(12.5*4+1.5*9+7*12.5)*2,内隔板12.5*2,含DN200出水管及紫外线消毒设备，阀门</w:t>
            </w:r>
          </w:p>
        </w:tc>
        <w:tc>
          <w:tcPr>
            <w:tcW w:w="1371" w:type="dxa"/>
            <w:shd w:val="clear" w:color="auto" w:fill="FFFFFF"/>
            <w:noWrap w:val="0"/>
            <w:vAlign w:val="center"/>
          </w:tcPr>
          <w:p w14:paraId="7321E4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7F28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06F970E5">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352452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050F70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14BA39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1D64EA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10A9356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3F5DD3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3B8C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622790D1">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528E2F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22FA95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65FD4D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239F17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39044FF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53CBF0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41E5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60A42280">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cs="宋体"/>
                <w:color w:val="auto"/>
                <w:kern w:val="0"/>
                <w:sz w:val="21"/>
                <w:szCs w:val="21"/>
                <w:highlight w:val="none"/>
                <w:shd w:val="clear" w:color="auto" w:fill="auto"/>
                <w:lang w:val="en-US" w:eastAsia="zh-CN"/>
              </w:rPr>
              <w:t>1</w:t>
            </w:r>
          </w:p>
        </w:tc>
        <w:tc>
          <w:tcPr>
            <w:tcW w:w="1216" w:type="dxa"/>
            <w:vMerge w:val="continue"/>
            <w:shd w:val="clear" w:color="auto" w:fill="auto"/>
            <w:noWrap w:val="0"/>
            <w:vAlign w:val="center"/>
          </w:tcPr>
          <w:p w14:paraId="73DC89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365DBB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滨海新区沧海未来社区配套人才房</w:t>
            </w:r>
          </w:p>
        </w:tc>
        <w:tc>
          <w:tcPr>
            <w:tcW w:w="1185" w:type="dxa"/>
            <w:vMerge w:val="restart"/>
            <w:shd w:val="clear" w:color="auto" w:fill="auto"/>
            <w:noWrap w:val="0"/>
            <w:vAlign w:val="center"/>
          </w:tcPr>
          <w:p w14:paraId="4DD196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w:t>
            </w:r>
          </w:p>
        </w:tc>
        <w:tc>
          <w:tcPr>
            <w:tcW w:w="2010" w:type="dxa"/>
            <w:vMerge w:val="restart"/>
            <w:shd w:val="clear" w:color="auto" w:fill="FFFFFF"/>
            <w:noWrap w:val="0"/>
            <w:vAlign w:val="center"/>
          </w:tcPr>
          <w:p w14:paraId="0B7480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变频+水箱设备</w:t>
            </w:r>
          </w:p>
        </w:tc>
        <w:tc>
          <w:tcPr>
            <w:tcW w:w="1815" w:type="dxa"/>
            <w:shd w:val="clear" w:color="auto" w:fill="FFFFFF"/>
            <w:noWrap w:val="0"/>
            <w:vAlign w:val="center"/>
          </w:tcPr>
          <w:p w14:paraId="59ECDE7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流量40扬程60</w:t>
            </w:r>
          </w:p>
        </w:tc>
        <w:tc>
          <w:tcPr>
            <w:tcW w:w="1371" w:type="dxa"/>
            <w:shd w:val="clear" w:color="auto" w:fill="FFFFFF"/>
            <w:noWrap w:val="0"/>
            <w:vAlign w:val="center"/>
          </w:tcPr>
          <w:p w14:paraId="416889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62C4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17E283A9">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26C8D6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48807F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07774A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42A069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4149439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流量40扬程80</w:t>
            </w:r>
          </w:p>
        </w:tc>
        <w:tc>
          <w:tcPr>
            <w:tcW w:w="1371" w:type="dxa"/>
            <w:shd w:val="clear" w:color="auto" w:fill="FFFFFF"/>
            <w:noWrap w:val="0"/>
            <w:vAlign w:val="center"/>
          </w:tcPr>
          <w:p w14:paraId="4D47DD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1EE5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60FA0F47">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3238E2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784061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20E7F1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57E7D6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25CEC66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流量40扬程100</w:t>
            </w:r>
          </w:p>
        </w:tc>
        <w:tc>
          <w:tcPr>
            <w:tcW w:w="1371" w:type="dxa"/>
            <w:shd w:val="clear" w:color="auto" w:fill="FFFFFF"/>
            <w:noWrap w:val="0"/>
            <w:vAlign w:val="center"/>
          </w:tcPr>
          <w:p w14:paraId="0171C3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064F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4E6028B6">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3AC31C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2B9AE9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0B3EAB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78A729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271D911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流量14扬程110</w:t>
            </w:r>
          </w:p>
        </w:tc>
        <w:tc>
          <w:tcPr>
            <w:tcW w:w="1371" w:type="dxa"/>
            <w:shd w:val="clear" w:color="auto" w:fill="FFFFFF"/>
            <w:noWrap w:val="0"/>
            <w:vAlign w:val="center"/>
          </w:tcPr>
          <w:p w14:paraId="33D0A0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3FC2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1CC0FF9">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316957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074A0F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084CAE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174A20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6D6F29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水箱及消毒设备：两只水箱,非标尺寸,(11*5+3*4)*2,(8.5*6+4.5*3.5)*2,含DN200出水管及紫外线消毒设备，阀门</w:t>
            </w:r>
          </w:p>
        </w:tc>
        <w:tc>
          <w:tcPr>
            <w:tcW w:w="1371" w:type="dxa"/>
            <w:shd w:val="clear" w:color="auto" w:fill="FFFFFF"/>
            <w:noWrap w:val="0"/>
            <w:vAlign w:val="center"/>
          </w:tcPr>
          <w:p w14:paraId="501C2F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7340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AF442C1">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0D1B0B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3715E1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18BBBB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765A58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5F069C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4AD898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6006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2C0FFADE">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3253ED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131425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390B27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684A6E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14F3E5C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13752B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3015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0D8522A5">
            <w:pPr>
              <w:keepNext w:val="0"/>
              <w:keepLines w:val="0"/>
              <w:pageBreakBefore w:val="0"/>
              <w:kinsoku/>
              <w:overflowPunct/>
              <w:topLinePunct w:val="0"/>
              <w:autoSpaceDE/>
              <w:autoSpaceDN/>
              <w:bidi w:val="0"/>
              <w:adjustRightInd/>
              <w:snapToGrid/>
              <w:spacing w:line="320" w:lineRule="exact"/>
              <w:jc w:val="center"/>
              <w:rPr>
                <w:rFonts w:hint="default" w:ascii="宋体" w:hAnsi="宋体" w:eastAsia="宋体" w:cs="宋体"/>
                <w:color w:val="auto"/>
                <w:kern w:val="0"/>
                <w:sz w:val="21"/>
                <w:szCs w:val="21"/>
                <w:highlight w:val="none"/>
                <w:shd w:val="clear" w:color="auto" w:fill="auto"/>
                <w:lang w:val="en-US" w:eastAsia="zh-CN"/>
              </w:rPr>
            </w:pPr>
            <w:r>
              <w:rPr>
                <w:rFonts w:hint="eastAsia" w:ascii="宋体" w:hAnsi="宋体" w:cs="宋体"/>
                <w:color w:val="auto"/>
                <w:kern w:val="0"/>
                <w:sz w:val="21"/>
                <w:szCs w:val="21"/>
                <w:highlight w:val="none"/>
                <w:shd w:val="clear" w:color="auto" w:fill="auto"/>
                <w:lang w:val="en-US" w:eastAsia="zh-CN"/>
              </w:rPr>
              <w:t>22</w:t>
            </w:r>
          </w:p>
        </w:tc>
        <w:tc>
          <w:tcPr>
            <w:tcW w:w="1216" w:type="dxa"/>
            <w:vMerge w:val="continue"/>
            <w:shd w:val="clear" w:color="auto" w:fill="auto"/>
            <w:noWrap w:val="0"/>
            <w:vAlign w:val="center"/>
          </w:tcPr>
          <w:p w14:paraId="6A5E2A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598073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永宁组团安置房(PJ-08E-16)</w:t>
            </w:r>
          </w:p>
        </w:tc>
        <w:tc>
          <w:tcPr>
            <w:tcW w:w="1185" w:type="dxa"/>
            <w:vMerge w:val="restart"/>
            <w:shd w:val="clear" w:color="auto" w:fill="auto"/>
            <w:noWrap w:val="0"/>
            <w:vAlign w:val="center"/>
          </w:tcPr>
          <w:p w14:paraId="60D8CA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w:t>
            </w:r>
          </w:p>
        </w:tc>
        <w:tc>
          <w:tcPr>
            <w:tcW w:w="2010" w:type="dxa"/>
            <w:vMerge w:val="restart"/>
            <w:shd w:val="clear" w:color="auto" w:fill="FFFFFF"/>
            <w:noWrap w:val="0"/>
            <w:vAlign w:val="center"/>
          </w:tcPr>
          <w:p w14:paraId="652EEF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变频+水箱设备</w:t>
            </w:r>
          </w:p>
        </w:tc>
        <w:tc>
          <w:tcPr>
            <w:tcW w:w="1815" w:type="dxa"/>
            <w:shd w:val="clear" w:color="auto" w:fill="FFFFFF"/>
            <w:noWrap w:val="0"/>
            <w:vAlign w:val="center"/>
          </w:tcPr>
          <w:p w14:paraId="59C660E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流量36扬程50</w:t>
            </w:r>
          </w:p>
        </w:tc>
        <w:tc>
          <w:tcPr>
            <w:tcW w:w="1371" w:type="dxa"/>
            <w:shd w:val="clear" w:color="auto" w:fill="FFFFFF"/>
            <w:noWrap w:val="0"/>
            <w:vAlign w:val="center"/>
          </w:tcPr>
          <w:p w14:paraId="057B66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7991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4AEF64EB">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3D26C1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4AFAE2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799D1F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5A07E4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01485AC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流量36扬程65</w:t>
            </w:r>
          </w:p>
        </w:tc>
        <w:tc>
          <w:tcPr>
            <w:tcW w:w="1371" w:type="dxa"/>
            <w:shd w:val="clear" w:color="auto" w:fill="FFFFFF"/>
            <w:noWrap w:val="0"/>
            <w:vAlign w:val="center"/>
          </w:tcPr>
          <w:p w14:paraId="3537EE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63C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6A11F83">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145ABD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24F347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40B888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09A8CC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14B9966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流量36扬程80</w:t>
            </w:r>
          </w:p>
        </w:tc>
        <w:tc>
          <w:tcPr>
            <w:tcW w:w="1371" w:type="dxa"/>
            <w:shd w:val="clear" w:color="auto" w:fill="FFFFFF"/>
            <w:noWrap w:val="0"/>
            <w:vAlign w:val="center"/>
          </w:tcPr>
          <w:p w14:paraId="59B589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3DA1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4EECE3F8">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p>
        </w:tc>
        <w:tc>
          <w:tcPr>
            <w:tcW w:w="1216" w:type="dxa"/>
            <w:vMerge w:val="continue"/>
            <w:shd w:val="clear" w:color="auto" w:fill="auto"/>
            <w:noWrap w:val="0"/>
            <w:vAlign w:val="center"/>
          </w:tcPr>
          <w:p w14:paraId="258A8F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72AF38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287FA6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4CD52B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51F97F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水箱及消毒设备：不规则水箱,(3*7+3*6+3*7)*2,内隔板6*2,含DN200出水管及紫外线消毒设备，阀门</w:t>
            </w:r>
          </w:p>
        </w:tc>
        <w:tc>
          <w:tcPr>
            <w:tcW w:w="1371" w:type="dxa"/>
            <w:shd w:val="clear" w:color="auto" w:fill="FFFFFF"/>
            <w:noWrap w:val="0"/>
            <w:vAlign w:val="center"/>
          </w:tcPr>
          <w:p w14:paraId="1C4C71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7544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342C482F">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734926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725E66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3F8F2F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3B1E7B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648A123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1C8336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0F0B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1F9D8618">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024D01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3CA4D4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3169C3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7940E7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6864360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22943B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134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33B47A41">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cs="宋体"/>
                <w:color w:val="auto"/>
                <w:kern w:val="0"/>
                <w:sz w:val="21"/>
                <w:szCs w:val="21"/>
                <w:highlight w:val="none"/>
                <w:shd w:val="clear" w:color="auto" w:fill="auto"/>
                <w:lang w:val="en-US" w:eastAsia="zh-CN"/>
              </w:rPr>
              <w:t>3</w:t>
            </w:r>
          </w:p>
        </w:tc>
        <w:tc>
          <w:tcPr>
            <w:tcW w:w="1216" w:type="dxa"/>
            <w:vMerge w:val="continue"/>
            <w:shd w:val="clear" w:color="auto" w:fill="auto"/>
            <w:noWrap w:val="0"/>
            <w:vAlign w:val="center"/>
          </w:tcPr>
          <w:p w14:paraId="045B12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79DACA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永宁组团安置房(PJ-08E-17)</w:t>
            </w:r>
          </w:p>
        </w:tc>
        <w:tc>
          <w:tcPr>
            <w:tcW w:w="1185" w:type="dxa"/>
            <w:vMerge w:val="restart"/>
            <w:shd w:val="clear" w:color="auto" w:fill="auto"/>
            <w:noWrap w:val="0"/>
            <w:vAlign w:val="center"/>
          </w:tcPr>
          <w:p w14:paraId="270243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w:t>
            </w:r>
          </w:p>
        </w:tc>
        <w:tc>
          <w:tcPr>
            <w:tcW w:w="2010" w:type="dxa"/>
            <w:vMerge w:val="restart"/>
            <w:shd w:val="clear" w:color="auto" w:fill="FFFFFF"/>
            <w:noWrap w:val="0"/>
            <w:vAlign w:val="center"/>
          </w:tcPr>
          <w:p w14:paraId="72F67B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变频+水箱设备</w:t>
            </w:r>
          </w:p>
        </w:tc>
        <w:tc>
          <w:tcPr>
            <w:tcW w:w="1815" w:type="dxa"/>
            <w:shd w:val="clear" w:color="auto" w:fill="FFFFFF"/>
            <w:noWrap w:val="0"/>
            <w:vAlign w:val="center"/>
          </w:tcPr>
          <w:p w14:paraId="208967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流量42扬程52</w:t>
            </w:r>
          </w:p>
        </w:tc>
        <w:tc>
          <w:tcPr>
            <w:tcW w:w="1371" w:type="dxa"/>
            <w:shd w:val="clear" w:color="auto" w:fill="FFFFFF"/>
            <w:noWrap w:val="0"/>
            <w:vAlign w:val="center"/>
          </w:tcPr>
          <w:p w14:paraId="5F89B629">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1D1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0A50CA5F">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482A6A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1AB2B9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482E88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78632F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7C178A8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流量42扬程78</w:t>
            </w:r>
          </w:p>
        </w:tc>
        <w:tc>
          <w:tcPr>
            <w:tcW w:w="1371" w:type="dxa"/>
            <w:shd w:val="clear" w:color="auto" w:fill="FFFFFF"/>
            <w:noWrap w:val="0"/>
            <w:vAlign w:val="center"/>
          </w:tcPr>
          <w:p w14:paraId="5BE5D5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E47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2E0686EB">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5A3BE2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4373ED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7F72AD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5B57BD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3B30AB9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流量24扬程100</w:t>
            </w:r>
          </w:p>
        </w:tc>
        <w:tc>
          <w:tcPr>
            <w:tcW w:w="1371" w:type="dxa"/>
            <w:shd w:val="clear" w:color="auto" w:fill="FFFFFF"/>
            <w:noWrap w:val="0"/>
            <w:vAlign w:val="center"/>
          </w:tcPr>
          <w:p w14:paraId="22A888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4F68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749A7ACF">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09B397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638807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73E0FA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0661F1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3DD0E07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水箱及消毒设备：不规则水箱,(3*8+2*12+4*4)*2,内隔板2*2,含DN200出水管及紫外线消毒设备，阀门</w:t>
            </w:r>
          </w:p>
        </w:tc>
        <w:tc>
          <w:tcPr>
            <w:tcW w:w="1371" w:type="dxa"/>
            <w:shd w:val="clear" w:color="auto" w:fill="FFFFFF"/>
            <w:noWrap w:val="0"/>
            <w:vAlign w:val="center"/>
          </w:tcPr>
          <w:p w14:paraId="79284B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6EF4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0711E8D1">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36338E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5BA5BA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463461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333C5B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15AB5FE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7A35F1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345D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367CC08E">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29A98F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76BBCB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79FA3A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39D5C0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0FF07CE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7AC95C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4A71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0AD2AFB1">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cs="宋体"/>
                <w:color w:val="auto"/>
                <w:kern w:val="0"/>
                <w:sz w:val="21"/>
                <w:szCs w:val="21"/>
                <w:highlight w:val="none"/>
                <w:shd w:val="clear" w:color="auto" w:fill="auto"/>
                <w:lang w:val="en-US" w:eastAsia="zh-CN"/>
              </w:rPr>
              <w:t>4</w:t>
            </w:r>
          </w:p>
        </w:tc>
        <w:tc>
          <w:tcPr>
            <w:tcW w:w="1216" w:type="dxa"/>
            <w:vMerge w:val="continue"/>
            <w:shd w:val="clear" w:color="auto" w:fill="auto"/>
            <w:noWrap w:val="0"/>
            <w:vAlign w:val="center"/>
          </w:tcPr>
          <w:p w14:paraId="4EAD07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27956D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双子楼项目(迪荡新城B2地块)</w:t>
            </w:r>
          </w:p>
        </w:tc>
        <w:tc>
          <w:tcPr>
            <w:tcW w:w="1185" w:type="dxa"/>
            <w:vMerge w:val="restart"/>
            <w:shd w:val="clear" w:color="auto" w:fill="auto"/>
            <w:noWrap w:val="0"/>
            <w:vAlign w:val="center"/>
          </w:tcPr>
          <w:p w14:paraId="02967E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w:t>
            </w:r>
          </w:p>
        </w:tc>
        <w:tc>
          <w:tcPr>
            <w:tcW w:w="2010" w:type="dxa"/>
            <w:vMerge w:val="restart"/>
            <w:shd w:val="clear" w:color="auto" w:fill="FFFFFF"/>
            <w:noWrap w:val="0"/>
            <w:vAlign w:val="center"/>
          </w:tcPr>
          <w:p w14:paraId="4855F5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变频+水箱设备</w:t>
            </w:r>
          </w:p>
        </w:tc>
        <w:tc>
          <w:tcPr>
            <w:tcW w:w="1815" w:type="dxa"/>
            <w:shd w:val="clear" w:color="auto" w:fill="FFFFFF"/>
            <w:noWrap w:val="0"/>
            <w:vAlign w:val="center"/>
          </w:tcPr>
          <w:p w14:paraId="1E7933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流量36扬程205</w:t>
            </w:r>
          </w:p>
        </w:tc>
        <w:tc>
          <w:tcPr>
            <w:tcW w:w="1371" w:type="dxa"/>
            <w:shd w:val="clear" w:color="auto" w:fill="FFFFFF"/>
            <w:noWrap w:val="0"/>
            <w:vAlign w:val="center"/>
          </w:tcPr>
          <w:p w14:paraId="2CDBAB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1B84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707100AB">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0E7DAB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7A9F4B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4DB15D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24DC69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6961F4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流量36扬程205</w:t>
            </w:r>
          </w:p>
        </w:tc>
        <w:tc>
          <w:tcPr>
            <w:tcW w:w="1371" w:type="dxa"/>
            <w:shd w:val="clear" w:color="auto" w:fill="FFFFFF"/>
            <w:noWrap w:val="0"/>
            <w:vAlign w:val="center"/>
          </w:tcPr>
          <w:p w14:paraId="3543E5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6010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7D412759">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610BFF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1B9028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49EA2F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0BC2F9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030D060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流量15扬程20</w:t>
            </w:r>
          </w:p>
        </w:tc>
        <w:tc>
          <w:tcPr>
            <w:tcW w:w="1371" w:type="dxa"/>
            <w:shd w:val="clear" w:color="auto" w:fill="FFFFFF"/>
            <w:noWrap w:val="0"/>
            <w:vAlign w:val="center"/>
          </w:tcPr>
          <w:p w14:paraId="21C9D9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5E60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429234F">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5B3579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2186F6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0D5D52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5ACA3F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0CF4178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流量15扬程20</w:t>
            </w:r>
          </w:p>
        </w:tc>
        <w:tc>
          <w:tcPr>
            <w:tcW w:w="1371" w:type="dxa"/>
            <w:shd w:val="clear" w:color="auto" w:fill="FFFFFF"/>
            <w:noWrap w:val="0"/>
            <w:vAlign w:val="center"/>
          </w:tcPr>
          <w:p w14:paraId="434FF7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5CF6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66F25B48">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624F09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3A3A66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04C6D6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46B341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32D1321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水箱及消毒设备：水箱6</w:t>
            </w:r>
          </w:p>
          <w:p w14:paraId="24AAEA7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只,4*5*2.5,4*5*2.5,8*2*2.5,8*2*2.5,4*4*2,4*4*2,含DN200出水管及紫外线消毒设备，阀门</w:t>
            </w:r>
          </w:p>
        </w:tc>
        <w:tc>
          <w:tcPr>
            <w:tcW w:w="1371" w:type="dxa"/>
            <w:shd w:val="clear" w:color="auto" w:fill="FFFFFF"/>
            <w:noWrap w:val="0"/>
            <w:vAlign w:val="center"/>
          </w:tcPr>
          <w:p w14:paraId="5C2782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6</w:t>
            </w:r>
          </w:p>
        </w:tc>
      </w:tr>
      <w:tr w14:paraId="42CE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3749BDBD">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5A6B30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631D7A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3EEFA0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58AC00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5C17C9A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76F666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567C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ECC910D">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62C296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03B12B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3B6B0D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43B174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22514C4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2D53C3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47CA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restart"/>
            <w:shd w:val="clear" w:color="auto" w:fill="auto"/>
            <w:noWrap w:val="0"/>
            <w:vAlign w:val="center"/>
          </w:tcPr>
          <w:p w14:paraId="120AA4C6">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cs="宋体"/>
                <w:color w:val="auto"/>
                <w:kern w:val="0"/>
                <w:sz w:val="21"/>
                <w:szCs w:val="21"/>
                <w:highlight w:val="none"/>
                <w:shd w:val="clear" w:color="auto" w:fill="auto"/>
                <w:lang w:val="en-US" w:eastAsia="zh-CN"/>
              </w:rPr>
              <w:t>5</w:t>
            </w:r>
          </w:p>
        </w:tc>
        <w:tc>
          <w:tcPr>
            <w:tcW w:w="1216" w:type="dxa"/>
            <w:vMerge w:val="continue"/>
            <w:shd w:val="clear" w:color="auto" w:fill="auto"/>
            <w:noWrap w:val="0"/>
            <w:vAlign w:val="center"/>
          </w:tcPr>
          <w:p w14:paraId="502DBF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restart"/>
            <w:shd w:val="clear" w:color="auto" w:fill="FFFFFF"/>
            <w:noWrap w:val="0"/>
            <w:vAlign w:val="center"/>
          </w:tcPr>
          <w:p w14:paraId="7EE321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湖东2号地块（2-5地块）建设项目</w:t>
            </w:r>
          </w:p>
        </w:tc>
        <w:tc>
          <w:tcPr>
            <w:tcW w:w="1185" w:type="dxa"/>
            <w:vMerge w:val="restart"/>
            <w:shd w:val="clear" w:color="auto" w:fill="auto"/>
            <w:noWrap w:val="0"/>
            <w:vAlign w:val="center"/>
          </w:tcPr>
          <w:p w14:paraId="39A122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w:t>
            </w:r>
          </w:p>
        </w:tc>
        <w:tc>
          <w:tcPr>
            <w:tcW w:w="2010" w:type="dxa"/>
            <w:vMerge w:val="restart"/>
            <w:shd w:val="clear" w:color="auto" w:fill="FFFFFF"/>
            <w:noWrap w:val="0"/>
            <w:vAlign w:val="center"/>
          </w:tcPr>
          <w:p w14:paraId="55F486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变频+水箱设备</w:t>
            </w:r>
          </w:p>
        </w:tc>
        <w:tc>
          <w:tcPr>
            <w:tcW w:w="1815" w:type="dxa"/>
            <w:shd w:val="clear" w:color="auto" w:fill="FFFFFF"/>
            <w:noWrap w:val="0"/>
            <w:vAlign w:val="center"/>
          </w:tcPr>
          <w:p w14:paraId="6ED0F6B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流量40扬程60</w:t>
            </w:r>
          </w:p>
        </w:tc>
        <w:tc>
          <w:tcPr>
            <w:tcW w:w="1371" w:type="dxa"/>
            <w:shd w:val="clear" w:color="auto" w:fill="FFFFFF"/>
            <w:noWrap w:val="0"/>
            <w:vAlign w:val="center"/>
          </w:tcPr>
          <w:p w14:paraId="799671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69A7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75D197C3">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7E232B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4EAB56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6035B4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5D2399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7C2C24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流量40扬程80</w:t>
            </w:r>
          </w:p>
        </w:tc>
        <w:tc>
          <w:tcPr>
            <w:tcW w:w="1371" w:type="dxa"/>
            <w:shd w:val="clear" w:color="auto" w:fill="FFFFFF"/>
            <w:noWrap w:val="0"/>
            <w:vAlign w:val="center"/>
          </w:tcPr>
          <w:p w14:paraId="6C5878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7D8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602A2075">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1154FA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085EC3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21F11A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31FC56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7B08AE1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流量40扬程100</w:t>
            </w:r>
          </w:p>
        </w:tc>
        <w:tc>
          <w:tcPr>
            <w:tcW w:w="1371" w:type="dxa"/>
            <w:shd w:val="clear" w:color="auto" w:fill="FFFFFF"/>
            <w:noWrap w:val="0"/>
            <w:vAlign w:val="center"/>
          </w:tcPr>
          <w:p w14:paraId="51D2EE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62FB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0A3AD2E2">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708196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2CF6BB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126219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auto"/>
            <w:noWrap w:val="0"/>
            <w:vAlign w:val="center"/>
          </w:tcPr>
          <w:p w14:paraId="339661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15" w:type="dxa"/>
            <w:shd w:val="clear" w:color="auto" w:fill="FFFFFF"/>
            <w:noWrap w:val="0"/>
            <w:vAlign w:val="center"/>
          </w:tcPr>
          <w:p w14:paraId="2EF6BE1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流量14扬程110</w:t>
            </w:r>
          </w:p>
        </w:tc>
        <w:tc>
          <w:tcPr>
            <w:tcW w:w="1371" w:type="dxa"/>
            <w:shd w:val="clear" w:color="auto" w:fill="FFFFFF"/>
            <w:noWrap w:val="0"/>
            <w:vAlign w:val="center"/>
          </w:tcPr>
          <w:p w14:paraId="2B9C1B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1EDF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20D7481C">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6681D5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69BA36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715D71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vMerge w:val="continue"/>
            <w:shd w:val="clear" w:color="auto" w:fill="FFFFFF"/>
            <w:noWrap w:val="0"/>
            <w:vAlign w:val="center"/>
          </w:tcPr>
          <w:p w14:paraId="69E640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815" w:type="dxa"/>
            <w:shd w:val="clear" w:color="auto" w:fill="FFFFFF"/>
            <w:noWrap w:val="0"/>
            <w:vAlign w:val="center"/>
          </w:tcPr>
          <w:p w14:paraId="36CC75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水箱及消毒设备：4只水箱，尺寸为8m*5m*2m,含DN200出水管及紫外线消毒设备，阀门</w:t>
            </w:r>
          </w:p>
        </w:tc>
        <w:tc>
          <w:tcPr>
            <w:tcW w:w="1371" w:type="dxa"/>
            <w:shd w:val="clear" w:color="auto" w:fill="FFFFFF"/>
            <w:noWrap w:val="0"/>
            <w:vAlign w:val="center"/>
          </w:tcPr>
          <w:p w14:paraId="038F31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2133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8E7FA5B">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46999F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auto"/>
            <w:noWrap w:val="0"/>
            <w:vAlign w:val="center"/>
          </w:tcPr>
          <w:p w14:paraId="302811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69D580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31E92F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15" w:type="dxa"/>
            <w:shd w:val="clear" w:color="auto" w:fill="FFFFFF"/>
            <w:noWrap w:val="0"/>
            <w:vAlign w:val="center"/>
          </w:tcPr>
          <w:p w14:paraId="43D0E06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2FE915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6DDB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Merge w:val="continue"/>
            <w:shd w:val="clear" w:color="auto" w:fill="auto"/>
            <w:noWrap w:val="0"/>
            <w:vAlign w:val="center"/>
          </w:tcPr>
          <w:p w14:paraId="50C27E30">
            <w:pPr>
              <w:keepNext w:val="0"/>
              <w:keepLines w:val="0"/>
              <w:pageBreakBefore w:val="0"/>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16" w:type="dxa"/>
            <w:vMerge w:val="continue"/>
            <w:shd w:val="clear" w:color="auto" w:fill="auto"/>
            <w:noWrap w:val="0"/>
            <w:vAlign w:val="center"/>
          </w:tcPr>
          <w:p w14:paraId="72804D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405" w:type="dxa"/>
            <w:vMerge w:val="continue"/>
            <w:shd w:val="clear" w:color="auto" w:fill="FFFFFF"/>
            <w:noWrap w:val="0"/>
            <w:vAlign w:val="center"/>
          </w:tcPr>
          <w:p w14:paraId="6E8C20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185" w:type="dxa"/>
            <w:vMerge w:val="continue"/>
            <w:shd w:val="clear" w:color="auto" w:fill="auto"/>
            <w:noWrap w:val="0"/>
            <w:vAlign w:val="center"/>
          </w:tcPr>
          <w:p w14:paraId="21B479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2010" w:type="dxa"/>
            <w:shd w:val="clear" w:color="auto" w:fill="FFFFFF"/>
            <w:noWrap w:val="0"/>
            <w:vAlign w:val="center"/>
          </w:tcPr>
          <w:p w14:paraId="71A3F3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15" w:type="dxa"/>
            <w:shd w:val="clear" w:color="auto" w:fill="FFFFFF"/>
            <w:noWrap w:val="0"/>
            <w:vAlign w:val="center"/>
          </w:tcPr>
          <w:p w14:paraId="639A6A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71" w:type="dxa"/>
            <w:shd w:val="clear" w:color="auto" w:fill="FFFFFF"/>
            <w:noWrap w:val="0"/>
            <w:vAlign w:val="center"/>
          </w:tcPr>
          <w:p w14:paraId="200196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714B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2" w:type="dxa"/>
            <w:gridSpan w:val="7"/>
            <w:noWrap w:val="0"/>
            <w:vAlign w:val="center"/>
          </w:tcPr>
          <w:p w14:paraId="35B3ED6E">
            <w:pPr>
              <w:keepNext w:val="0"/>
              <w:keepLines w:val="0"/>
              <w:pageBreakBefore w:val="0"/>
              <w:kinsoku/>
              <w:overflowPunct/>
              <w:topLinePunct w:val="0"/>
              <w:autoSpaceDE/>
              <w:autoSpaceDN/>
              <w:bidi w:val="0"/>
              <w:adjustRightInd/>
              <w:snapToGrid/>
              <w:spacing w:line="320" w:lineRule="exact"/>
              <w:jc w:val="both"/>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备注：★各区块采购设备，按照两用一备配置。</w:t>
            </w:r>
          </w:p>
        </w:tc>
      </w:tr>
    </w:tbl>
    <w:p w14:paraId="6F97F52C">
      <w:pPr>
        <w:autoSpaceDE w:val="0"/>
        <w:autoSpaceDN w:val="0"/>
        <w:snapToGrid w:val="0"/>
        <w:spacing w:line="600" w:lineRule="exact"/>
        <w:rPr>
          <w:rFonts w:hint="eastAsia" w:ascii="宋体" w:hAnsi="宋体" w:eastAsia="宋体" w:cs="宋体"/>
          <w:color w:val="auto"/>
          <w:sz w:val="30"/>
          <w:szCs w:val="30"/>
          <w:highlight w:val="none"/>
          <w:shd w:val="clear" w:color="auto" w:fill="auto"/>
        </w:rPr>
      </w:pPr>
    </w:p>
    <w:p w14:paraId="25FDF671">
      <w:pPr>
        <w:spacing w:line="440" w:lineRule="exact"/>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（二）无负压供水设备的技术要求</w:t>
      </w:r>
    </w:p>
    <w:p w14:paraId="610FCCDB">
      <w:pPr>
        <w:spacing w:line="440" w:lineRule="exact"/>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（1）、基本要求：</w:t>
      </w:r>
    </w:p>
    <w:p w14:paraId="3554DADD">
      <w:pPr>
        <w:numPr>
          <w:ilvl w:val="0"/>
          <w:numId w:val="0"/>
        </w:numPr>
        <w:tabs>
          <w:tab w:val="left" w:pos="840"/>
        </w:tabs>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①</w:t>
      </w:r>
      <w:r>
        <w:rPr>
          <w:rFonts w:hint="eastAsia" w:ascii="宋体" w:hAnsi="宋体" w:eastAsia="宋体" w:cs="宋体"/>
          <w:color w:val="auto"/>
          <w:sz w:val="24"/>
          <w:highlight w:val="none"/>
          <w:shd w:val="clear" w:color="auto" w:fill="auto"/>
        </w:rPr>
        <w:t>设备外观和管路布置合理、美观、检修方便。</w:t>
      </w:r>
    </w:p>
    <w:p w14:paraId="457E26F4">
      <w:pPr>
        <w:numPr>
          <w:ilvl w:val="0"/>
          <w:numId w:val="0"/>
        </w:numPr>
        <w:tabs>
          <w:tab w:val="left" w:pos="840"/>
        </w:tabs>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②</w:t>
      </w:r>
      <w:r>
        <w:rPr>
          <w:rFonts w:hint="eastAsia" w:ascii="宋体" w:hAnsi="宋体" w:eastAsia="宋体" w:cs="宋体"/>
          <w:color w:val="auto"/>
          <w:sz w:val="24"/>
          <w:highlight w:val="none"/>
          <w:shd w:val="clear" w:color="auto" w:fill="auto"/>
        </w:rPr>
        <w:t>整套设备必须为全密闭结构，确保水体与空气的完全隔离。</w:t>
      </w:r>
    </w:p>
    <w:p w14:paraId="6451F6DF">
      <w:pPr>
        <w:numPr>
          <w:ilvl w:val="0"/>
          <w:numId w:val="0"/>
        </w:numPr>
        <w:tabs>
          <w:tab w:val="left" w:pos="840"/>
        </w:tabs>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③</w:t>
      </w:r>
      <w:r>
        <w:rPr>
          <w:rFonts w:hint="eastAsia" w:ascii="宋体" w:hAnsi="宋体" w:eastAsia="宋体" w:cs="宋体"/>
          <w:color w:val="auto"/>
          <w:sz w:val="24"/>
          <w:highlight w:val="none"/>
          <w:shd w:val="clear" w:color="auto" w:fill="auto"/>
        </w:rPr>
        <w:t>成套设备的性能、材质和卫生要求等，应满足供水行政主管部门及供水企业对供水水质、管网安全、用水管理、生产调度等方面的要求。</w:t>
      </w:r>
    </w:p>
    <w:p w14:paraId="50C7D8E8">
      <w:pPr>
        <w:numPr>
          <w:ilvl w:val="0"/>
          <w:numId w:val="0"/>
        </w:numPr>
        <w:tabs>
          <w:tab w:val="left" w:pos="840"/>
        </w:tabs>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④</w:t>
      </w:r>
      <w:r>
        <w:rPr>
          <w:rFonts w:hint="eastAsia" w:ascii="宋体" w:hAnsi="宋体" w:eastAsia="宋体" w:cs="宋体"/>
          <w:color w:val="auto"/>
          <w:sz w:val="24"/>
          <w:highlight w:val="none"/>
          <w:shd w:val="clear" w:color="auto" w:fill="auto"/>
        </w:rPr>
        <w:t>成套设备要求采用预压自平衡、稳流补偿、真空抑制、空气自动隔断、负压反馈等技术，特别是应具有防止流量突变导致压力瞬间异常波动，以及控制超量取水的技术手段、措施和装置，以确保设备工作时对供水主管网不产生负压影响，对下游的市政供水也不能产生影响。</w:t>
      </w:r>
    </w:p>
    <w:p w14:paraId="39E9B12C">
      <w:pPr>
        <w:numPr>
          <w:ilvl w:val="0"/>
          <w:numId w:val="0"/>
        </w:numPr>
        <w:tabs>
          <w:tab w:val="left" w:pos="840"/>
        </w:tabs>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⑤</w:t>
      </w:r>
      <w:r>
        <w:rPr>
          <w:rFonts w:hint="eastAsia" w:ascii="宋体" w:hAnsi="宋体" w:eastAsia="宋体" w:cs="宋体"/>
          <w:color w:val="auto"/>
          <w:sz w:val="24"/>
          <w:highlight w:val="none"/>
          <w:shd w:val="clear" w:color="auto" w:fill="auto"/>
        </w:rPr>
        <w:t>成套设备应能在环境温度－15℃~＋55℃、相对湿度 95%情况下连续正常工作，使用寿命在 20 年及以上。</w:t>
      </w:r>
    </w:p>
    <w:p w14:paraId="3D3EC371">
      <w:pPr>
        <w:spacing w:line="440" w:lineRule="exact"/>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（2）、性能（功能）与配置要求：</w:t>
      </w:r>
    </w:p>
    <w:p w14:paraId="5AED3013">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①</w:t>
      </w:r>
      <w:r>
        <w:rPr>
          <w:rFonts w:hint="eastAsia" w:ascii="宋体" w:hAnsi="宋体" w:eastAsia="宋体" w:cs="宋体"/>
          <w:color w:val="auto"/>
          <w:sz w:val="24"/>
          <w:highlight w:val="none"/>
          <w:shd w:val="clear" w:color="auto" w:fill="auto"/>
        </w:rPr>
        <w:t>系统运行参数设定方法应简单明了，易于操作。参数设定值包括：进水压力高低限值、出水压力设定值、出水压力高低限值、变频器频率上下限值、恒压PID参数、故障自动复位次数、定时轮泵时间、分时段压力参数、MODBUS数据传输参数等。功能设定包括：进水保护功能启停、小流量功能启停、超流量保护功能启停等。</w:t>
      </w:r>
    </w:p>
    <w:p w14:paraId="49C4B5AB">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2"/>
          <w:sz w:val="24"/>
          <w:szCs w:val="24"/>
          <w:highlight w:val="none"/>
          <w:shd w:val="clear" w:color="auto" w:fill="auto"/>
          <w:lang w:val="en-US" w:eastAsia="zh-CN" w:bidi="ar-SA"/>
        </w:rPr>
        <w:t>②</w:t>
      </w:r>
      <w:r>
        <w:rPr>
          <w:rFonts w:hint="eastAsia" w:ascii="宋体" w:hAnsi="宋体" w:eastAsia="宋体" w:cs="宋体"/>
          <w:b/>
          <w:bCs/>
          <w:color w:val="auto"/>
          <w:sz w:val="24"/>
          <w:highlight w:val="none"/>
          <w:shd w:val="clear" w:color="auto" w:fill="auto"/>
        </w:rPr>
        <w:t>设备应具有自动恒压供水功能</w:t>
      </w:r>
      <w:r>
        <w:rPr>
          <w:rFonts w:hint="eastAsia" w:ascii="宋体" w:hAnsi="宋体" w:cs="宋体"/>
          <w:b/>
          <w:bCs/>
          <w:color w:val="auto"/>
          <w:sz w:val="24"/>
          <w:highlight w:val="none"/>
          <w:shd w:val="clear" w:color="auto" w:fill="auto"/>
          <w:lang w:val="en-US" w:eastAsia="zh-CN"/>
        </w:rPr>
        <w:t>和备用功能</w:t>
      </w:r>
      <w:r>
        <w:rPr>
          <w:rFonts w:hint="eastAsia" w:ascii="宋体" w:hAnsi="宋体" w:eastAsia="宋体" w:cs="宋体"/>
          <w:b/>
          <w:bCs/>
          <w:color w:val="auto"/>
          <w:sz w:val="24"/>
          <w:highlight w:val="none"/>
          <w:shd w:val="clear" w:color="auto" w:fill="auto"/>
        </w:rPr>
        <w:t>。恒压供水时，压力控制误差不应超过±0.01MPa。(提供第三方检测机构出具的带有“CMA”标识的检测报告复印件并加盖投标人公章。)</w:t>
      </w:r>
    </w:p>
    <w:p w14:paraId="7F91C620">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③</w:t>
      </w:r>
      <w:r>
        <w:rPr>
          <w:rFonts w:hint="eastAsia" w:ascii="宋体" w:hAnsi="宋体" w:eastAsia="宋体" w:cs="宋体"/>
          <w:color w:val="auto"/>
          <w:sz w:val="24"/>
          <w:highlight w:val="none"/>
          <w:shd w:val="clear" w:color="auto" w:fill="auto"/>
        </w:rPr>
        <w:t>设备进水口压力值低于设定值时能自动停机，并进行报警；水源水压恢复后应能自动启动。</w:t>
      </w:r>
    </w:p>
    <w:p w14:paraId="0F667B57">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④</w:t>
      </w:r>
      <w:r>
        <w:rPr>
          <w:rFonts w:hint="eastAsia" w:ascii="宋体" w:hAnsi="宋体" w:eastAsia="宋体" w:cs="宋体"/>
          <w:color w:val="auto"/>
          <w:sz w:val="24"/>
          <w:highlight w:val="none"/>
          <w:shd w:val="clear" w:color="auto" w:fill="auto"/>
        </w:rPr>
        <w:t>设备应设有超压保护功能，应能保证设备在运行过程中出现超压时自动停止运行并报警，超压消除后能自动恢复正常运行。</w:t>
      </w:r>
    </w:p>
    <w:p w14:paraId="717E84ED">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⑤</w:t>
      </w:r>
      <w:r>
        <w:rPr>
          <w:rFonts w:hint="eastAsia" w:ascii="宋体" w:hAnsi="宋体" w:eastAsia="宋体" w:cs="宋体"/>
          <w:color w:val="auto"/>
          <w:sz w:val="24"/>
          <w:highlight w:val="none"/>
          <w:shd w:val="clear" w:color="auto" w:fill="auto"/>
        </w:rPr>
        <w:t>设备应设有超流量保护功能，当检测到用水量超过设备额定流量50%时，应能自动停止运行，并关闭成套设备总进水电动阀门（水箱变频泵设备则关闭总出水电动阀门），并报警提示。</w:t>
      </w:r>
    </w:p>
    <w:p w14:paraId="5FCA3B76">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⑥</w:t>
      </w:r>
      <w:r>
        <w:rPr>
          <w:rFonts w:hint="eastAsia" w:ascii="宋体" w:hAnsi="宋体" w:eastAsia="宋体" w:cs="宋体"/>
          <w:color w:val="auto"/>
          <w:sz w:val="24"/>
          <w:highlight w:val="none"/>
          <w:shd w:val="clear" w:color="auto" w:fill="auto"/>
        </w:rPr>
        <w:t>设备在用水低峰或夜间小流量（用水量低于 1%设备额定供水流量）时，应能自动切换为小流量停泵保压供水的工作状态，即设备应具有小流量停泵保压功能。</w:t>
      </w:r>
    </w:p>
    <w:p w14:paraId="6826E988">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⑦</w:t>
      </w:r>
      <w:r>
        <w:rPr>
          <w:rFonts w:hint="eastAsia" w:ascii="宋体" w:hAnsi="宋体" w:eastAsia="宋体" w:cs="宋体"/>
          <w:color w:val="auto"/>
          <w:sz w:val="24"/>
          <w:highlight w:val="none"/>
          <w:shd w:val="clear" w:color="auto" w:fill="auto"/>
        </w:rPr>
        <w:t>电气控制柜面板应有电源、电流、电压、电量、水泵启停状况、频率、故障声光报警等显示功能。</w:t>
      </w:r>
    </w:p>
    <w:p w14:paraId="7687D7D1">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⑧</w:t>
      </w:r>
      <w:r>
        <w:rPr>
          <w:rFonts w:hint="eastAsia" w:ascii="宋体" w:hAnsi="宋体" w:eastAsia="宋体" w:cs="宋体"/>
          <w:color w:val="auto"/>
          <w:sz w:val="24"/>
          <w:highlight w:val="none"/>
          <w:shd w:val="clear" w:color="auto" w:fill="auto"/>
        </w:rPr>
        <w:t>成套设备应具备防雷、安全接地及过电压保护措施。需具备电源保护、网络保护和信号保护。</w:t>
      </w:r>
    </w:p>
    <w:p w14:paraId="63FD641F">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kern w:val="2"/>
          <w:sz w:val="24"/>
          <w:szCs w:val="24"/>
          <w:highlight w:val="none"/>
          <w:shd w:val="clear" w:color="auto" w:fill="auto"/>
          <w:lang w:val="en-US" w:eastAsia="zh-CN" w:bidi="ar-SA"/>
        </w:rPr>
        <w:t>⑨</w:t>
      </w:r>
      <w:r>
        <w:rPr>
          <w:rFonts w:hint="eastAsia" w:ascii="宋体" w:hAnsi="宋体" w:eastAsia="宋体" w:cs="宋体"/>
          <w:color w:val="auto"/>
          <w:sz w:val="24"/>
          <w:highlight w:val="none"/>
          <w:shd w:val="clear" w:color="auto" w:fill="auto"/>
        </w:rPr>
        <w:t>成套设备运行必须有“手动/自动”两种运行方式，并通过转换开关进行运行方式切换。在自动运行方式下，应具有缺压自动开机、自动恒压、小流量保压、超压自动停机、无水自动停机、机泵定时自动轮换、自动节能停机、过流过压过载自动保护等功能；在手动运行方式下，不通过 PLC 也应具有自动恒压功能；所有机泵均实现变频启停，对水泵故障、水源故障、电源故障和变频器故障具有自检、报警或自动保护功能，并对可恢复的故障能自动消警，恢复正常运行。增压设备的进、出口控制压力应能够在人机界面上授权设定，其设定精度为 0.01MPa。</w:t>
      </w:r>
    </w:p>
    <w:p w14:paraId="31DF25F4">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kern w:val="2"/>
          <w:sz w:val="24"/>
          <w:szCs w:val="24"/>
          <w:highlight w:val="none"/>
          <w:shd w:val="clear" w:color="auto" w:fill="auto"/>
          <w:lang w:val="en-US" w:eastAsia="zh-CN" w:bidi="ar-SA"/>
        </w:rPr>
        <w:t>⑩</w:t>
      </w:r>
      <w:r>
        <w:rPr>
          <w:rFonts w:hint="eastAsia" w:ascii="宋体" w:hAnsi="宋体" w:eastAsia="宋体" w:cs="宋体"/>
          <w:color w:val="auto"/>
          <w:sz w:val="24"/>
          <w:highlight w:val="none"/>
          <w:shd w:val="clear" w:color="auto" w:fill="auto"/>
        </w:rPr>
        <w:t>设备具有数据传输和远程监控功能。监测的数据和参数应按照供水企业指定的格式编制成通讯规约以供采集上传。数据主要有：水泵的开启情况，单机水泵的电流、转速、功率、频率、运行时间、启动次数、启停时间点、故障次数；变频器的进出电流、电压、运行频率和温度；泵房主管道的进出口压力、设定压力和水泵出口压力，瞬时流量、当天总水量、总累积流量；报警内容包括进水压力高/低、出水压力高/低、出水流量异常、设备掉电、水泵电流异常、变频器故障、PLC 故障、进线电流/电压异常等。</w:t>
      </w:r>
    </w:p>
    <w:p w14:paraId="330CAFF8">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kern w:val="2"/>
          <w:sz w:val="24"/>
          <w:szCs w:val="24"/>
          <w:highlight w:val="none"/>
          <w:shd w:val="clear" w:color="auto" w:fill="auto"/>
          <w:lang w:val="en-US" w:eastAsia="zh-CN" w:bidi="ar-SA"/>
        </w:rPr>
        <w:t>⑪</w:t>
      </w:r>
      <w:r>
        <w:rPr>
          <w:rFonts w:hint="eastAsia" w:ascii="宋体" w:hAnsi="宋体" w:eastAsia="宋体" w:cs="宋体"/>
          <w:color w:val="auto"/>
          <w:sz w:val="24"/>
          <w:highlight w:val="none"/>
          <w:shd w:val="clear" w:color="auto" w:fill="auto"/>
        </w:rPr>
        <w:t>触摸屏监控软件要求：监控软件应能生成现场工艺流程图，反映生产运行实时数据（水箱变频设备还须包括电动阀、水位计信号），可以在线修改现场各类控制参数，并对设备进行启停及电动阀进行开关，应能完成历史数据、趋势曲线的存储、显示与查询。控制设备、修改参数、上下载触摸屏软件必须要输入密码，密码不能低于 6 位，且由字母、数字、符号组成。</w:t>
      </w:r>
    </w:p>
    <w:p w14:paraId="4A9544D4">
      <w:pPr>
        <w:pStyle w:val="52"/>
        <w:numPr>
          <w:ilvl w:val="0"/>
          <w:numId w:val="0"/>
        </w:numPr>
        <w:ind w:left="0" w:leftChars="0" w:firstLine="480"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b/>
          <w:bCs/>
          <w:color w:val="auto"/>
          <w:kern w:val="2"/>
          <w:sz w:val="24"/>
          <w:szCs w:val="24"/>
          <w:highlight w:val="none"/>
          <w:shd w:val="clear" w:color="auto" w:fill="auto"/>
          <w:lang w:val="en-US" w:eastAsia="zh-CN" w:bidi="ar-SA"/>
        </w:rPr>
        <w:t>⑫</w:t>
      </w:r>
      <w:r>
        <w:rPr>
          <w:rFonts w:hint="eastAsia" w:ascii="宋体" w:hAnsi="宋体" w:eastAsia="宋体" w:cs="宋体"/>
          <w:b/>
          <w:bCs/>
          <w:color w:val="auto"/>
          <w:sz w:val="24"/>
          <w:szCs w:val="24"/>
          <w:highlight w:val="none"/>
          <w:shd w:val="clear" w:color="auto" w:fill="auto"/>
        </w:rPr>
        <w:t>设备应具有防水锤功能：三级及以上。（提供第三方检测机构出具的带有“CMA”标识的检测报告复印件并加盖投标人公章。）</w:t>
      </w:r>
    </w:p>
    <w:p w14:paraId="50780451">
      <w:pPr>
        <w:pStyle w:val="52"/>
        <w:numPr>
          <w:ilvl w:val="0"/>
          <w:numId w:val="0"/>
        </w:numPr>
        <w:ind w:left="0" w:leftChars="0"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kern w:val="2"/>
          <w:sz w:val="24"/>
          <w:szCs w:val="24"/>
          <w:highlight w:val="none"/>
          <w:shd w:val="clear" w:color="auto" w:fill="auto"/>
          <w:lang w:val="en-US" w:eastAsia="zh-CN" w:bidi="ar-SA"/>
        </w:rPr>
        <w:t>⑬</w:t>
      </w:r>
      <w:r>
        <w:rPr>
          <w:rFonts w:hint="eastAsia" w:ascii="宋体" w:hAnsi="宋体" w:eastAsia="宋体" w:cs="宋体"/>
          <w:b/>
          <w:bCs/>
          <w:color w:val="auto"/>
          <w:sz w:val="24"/>
          <w:szCs w:val="24"/>
          <w:highlight w:val="none"/>
          <w:shd w:val="clear" w:color="auto" w:fill="auto"/>
        </w:rPr>
        <w:t>投标人所供供水设备具备无传感器控制功能检测技术：设备正常运行时，传感器出现异常，系统能够自动越过故障传感器，防止发生多泵同时运行导致的打爆用户管道；控制器内植入水泵的性能曲线，在水泵运行时根据水泵的功率，计算水泵压力，当压力传感器故障时，控制器可以根据计算压力控制水泵变频恒压运行，保持系统正常供水；</w:t>
      </w:r>
      <w:r>
        <w:rPr>
          <w:rFonts w:hint="eastAsia" w:ascii="宋体" w:hAnsi="宋体" w:eastAsia="宋体" w:cs="宋体"/>
          <w:color w:val="auto"/>
          <w:sz w:val="24"/>
          <w:szCs w:val="24"/>
          <w:highlight w:val="none"/>
          <w:shd w:val="clear" w:color="auto" w:fill="auto"/>
        </w:rPr>
        <w:t>（提供第三方检测机构出具的带有“CMA”标识的检测报告复印件并加盖投标人公章。）</w:t>
      </w:r>
    </w:p>
    <w:p w14:paraId="669472BD">
      <w:pPr>
        <w:pStyle w:val="52"/>
        <w:numPr>
          <w:ilvl w:val="0"/>
          <w:numId w:val="0"/>
        </w:numPr>
        <w:ind w:left="0" w:leftChars="0"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kern w:val="2"/>
          <w:sz w:val="24"/>
          <w:szCs w:val="24"/>
          <w:highlight w:val="none"/>
          <w:shd w:val="clear" w:color="auto" w:fill="auto"/>
          <w:lang w:val="en-US" w:eastAsia="zh-CN" w:bidi="ar-SA"/>
        </w:rPr>
        <w:t>⑭</w:t>
      </w:r>
      <w:r>
        <w:rPr>
          <w:rFonts w:hint="eastAsia" w:ascii="宋体" w:hAnsi="宋体" w:eastAsia="宋体" w:cs="宋体"/>
          <w:b/>
          <w:bCs/>
          <w:color w:val="auto"/>
          <w:sz w:val="24"/>
          <w:szCs w:val="24"/>
          <w:highlight w:val="none"/>
          <w:shd w:val="clear" w:color="auto" w:fill="auto"/>
        </w:rPr>
        <w:t>投标人所供供水设备具备电源过电压、欠电压、过流、过载、缺相、短路、过热、漏电等通信故障警报及自动保护功能，对可恢复性故障应能自动或手动消除，恢复正常运行。</w:t>
      </w:r>
      <w:r>
        <w:rPr>
          <w:rFonts w:hint="eastAsia" w:ascii="宋体" w:hAnsi="宋体" w:eastAsia="宋体" w:cs="宋体"/>
          <w:color w:val="auto"/>
          <w:sz w:val="24"/>
          <w:szCs w:val="24"/>
          <w:highlight w:val="none"/>
          <w:shd w:val="clear" w:color="auto" w:fill="auto"/>
        </w:rPr>
        <w:t>（提供第三方检测机构出具的带有“CMA”标识的检测报告复印件并加盖投标人公章。）</w:t>
      </w:r>
    </w:p>
    <w:p w14:paraId="41F5C19C">
      <w:pPr>
        <w:pStyle w:val="52"/>
        <w:numPr>
          <w:ilvl w:val="0"/>
          <w:numId w:val="0"/>
        </w:numPr>
        <w:ind w:left="0" w:leftChars="0" w:firstLine="482" w:firstLineChars="200"/>
        <w:rPr>
          <w:rFonts w:hint="eastAsia" w:ascii="宋体" w:hAnsi="宋体" w:eastAsia="宋体" w:cs="宋体"/>
          <w:b/>
          <w:bCs/>
          <w:color w:val="auto"/>
          <w:sz w:val="24"/>
          <w:szCs w:val="24"/>
          <w:highlight w:val="none"/>
          <w:u w:val="none"/>
          <w:shd w:val="clear" w:color="auto" w:fill="auto"/>
        </w:rPr>
      </w:pPr>
      <w:r>
        <w:rPr>
          <w:rFonts w:hint="eastAsia" w:ascii="宋体" w:hAnsi="宋体" w:eastAsia="宋体" w:cs="宋体"/>
          <w:b/>
          <w:bCs/>
          <w:color w:val="auto"/>
          <w:sz w:val="24"/>
          <w:highlight w:val="none"/>
          <w:u w:val="none"/>
          <w:shd w:val="clear" w:color="auto" w:fill="auto"/>
          <w:lang w:val="en-US" w:eastAsia="zh-CN"/>
        </w:rPr>
        <w:t>▲</w:t>
      </w:r>
      <w:r>
        <w:rPr>
          <w:rFonts w:hint="eastAsia" w:ascii="宋体" w:hAnsi="宋体" w:eastAsia="宋体" w:cs="宋体"/>
          <w:color w:val="auto"/>
          <w:kern w:val="2"/>
          <w:sz w:val="24"/>
          <w:szCs w:val="24"/>
          <w:highlight w:val="none"/>
          <w:shd w:val="clear" w:color="auto" w:fill="auto"/>
          <w:lang w:val="en-US" w:eastAsia="zh-CN" w:bidi="ar-SA"/>
        </w:rPr>
        <w:t>⑮</w:t>
      </w:r>
      <w:r>
        <w:rPr>
          <w:rFonts w:hint="eastAsia" w:ascii="宋体" w:hAnsi="宋体" w:eastAsia="宋体" w:cs="宋体"/>
          <w:b/>
          <w:bCs/>
          <w:color w:val="auto"/>
          <w:sz w:val="24"/>
          <w:highlight w:val="none"/>
          <w:u w:val="none"/>
          <w:shd w:val="clear" w:color="auto" w:fill="auto"/>
          <w:lang w:val="en-US" w:eastAsia="zh-CN"/>
        </w:rPr>
        <w:t>详细描述投标人或设备制造厂所配套的不锈钢多级离心泵的环境低碳节能性能，体现产品的节能性和低碳性能，并同时提供由中国质量认证中心针对不锈钢多级泵出具的碳足迹证书及中国节能认证证书。（提供的证书、授权书由制造商加盖公章。）</w:t>
      </w:r>
    </w:p>
    <w:p w14:paraId="16761873">
      <w:pPr>
        <w:spacing w:line="440" w:lineRule="exact"/>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（3）、机械电气部件要求</w:t>
      </w:r>
    </w:p>
    <w:p w14:paraId="56740591">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①</w:t>
      </w:r>
      <w:r>
        <w:rPr>
          <w:rFonts w:hint="eastAsia" w:ascii="宋体" w:hAnsi="宋体" w:eastAsia="宋体" w:cs="宋体"/>
          <w:color w:val="auto"/>
          <w:sz w:val="24"/>
          <w:highlight w:val="none"/>
          <w:shd w:val="clear" w:color="auto" w:fill="auto"/>
        </w:rPr>
        <w:t>成套设备泵机宜设两台或两台以上，具体台数由设计综合确定。</w:t>
      </w:r>
    </w:p>
    <w:p w14:paraId="31886B1B">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②</w:t>
      </w:r>
      <w:r>
        <w:rPr>
          <w:rFonts w:hint="eastAsia" w:ascii="宋体" w:hAnsi="宋体" w:eastAsia="宋体" w:cs="宋体"/>
          <w:color w:val="auto"/>
          <w:sz w:val="24"/>
          <w:highlight w:val="none"/>
          <w:shd w:val="clear" w:color="auto" w:fill="auto"/>
        </w:rPr>
        <w:t>泵机应采用低噪声的立式多级离心泵。居住建筑二次供水设施选用的水泵，噪声应符合行业标准《泵的噪声测量与评价方法》JB/T8098-1999中的B级要求；振动应符合行业标准《泵的振动测量与评价方法》JB/T8097-1999中的B级要求。公共建筑二次供水设施选用的水泵，噪声应符合行业标准《泵的噪声测量与评价方法》JB/T8098-1999中的C级要求；振动应符合行业标准《泵的振动测量与评价方法》JB/T8097-1999中的C级要求。</w:t>
      </w:r>
    </w:p>
    <w:p w14:paraId="75DAE769">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③</w:t>
      </w:r>
      <w:r>
        <w:rPr>
          <w:rFonts w:hint="eastAsia" w:ascii="宋体" w:hAnsi="宋体" w:eastAsia="宋体" w:cs="宋体"/>
          <w:color w:val="auto"/>
          <w:sz w:val="24"/>
          <w:highlight w:val="none"/>
          <w:shd w:val="clear" w:color="auto" w:fill="auto"/>
        </w:rPr>
        <w:t>泵机应采用节能型的立式多级离心泵。 水泵的效率应不低于《离心泵效率》GB/T-13007规定值。</w:t>
      </w:r>
    </w:p>
    <w:p w14:paraId="3CB7B78E">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④</w:t>
      </w:r>
      <w:r>
        <w:rPr>
          <w:rFonts w:hint="eastAsia" w:ascii="宋体" w:hAnsi="宋体" w:eastAsia="宋体" w:cs="宋体"/>
          <w:color w:val="auto"/>
          <w:sz w:val="24"/>
          <w:highlight w:val="none"/>
          <w:shd w:val="clear" w:color="auto" w:fill="auto"/>
        </w:rPr>
        <w:t>泵机防护等级为IP55，绝缘等级为F级，电机外壳采取烤漆工艺。</w:t>
      </w:r>
    </w:p>
    <w:p w14:paraId="05F8636A">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kern w:val="2"/>
          <w:sz w:val="24"/>
          <w:szCs w:val="24"/>
          <w:highlight w:val="none"/>
          <w:shd w:val="clear" w:color="auto" w:fill="auto"/>
          <w:lang w:val="en-US" w:eastAsia="zh-CN" w:bidi="ar-SA"/>
        </w:rPr>
        <w:t>⑤</w:t>
      </w:r>
      <w:r>
        <w:rPr>
          <w:rFonts w:hint="eastAsia" w:ascii="宋体" w:hAnsi="宋体" w:eastAsia="宋体" w:cs="宋体"/>
          <w:color w:val="auto"/>
          <w:sz w:val="24"/>
          <w:highlight w:val="none"/>
          <w:shd w:val="clear" w:color="auto" w:fill="auto"/>
        </w:rPr>
        <w:t>泵机各过流部件如叶轮、腔体及外筒应使用304或316不锈钢材质，采用冲压一次成型，经机器人激光无缝焊接，精度高，品质稳定。</w:t>
      </w:r>
    </w:p>
    <w:p w14:paraId="60BDB050">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kern w:val="2"/>
          <w:sz w:val="24"/>
          <w:szCs w:val="24"/>
          <w:highlight w:val="none"/>
          <w:shd w:val="clear" w:color="auto" w:fill="auto"/>
          <w:lang w:val="en-US" w:eastAsia="zh-CN" w:bidi="ar-SA"/>
        </w:rPr>
        <w:t>⑥</w:t>
      </w:r>
      <w:r>
        <w:rPr>
          <w:rFonts w:hint="eastAsia" w:ascii="宋体" w:hAnsi="宋体" w:eastAsia="宋体" w:cs="宋体"/>
          <w:color w:val="auto"/>
          <w:sz w:val="24"/>
          <w:highlight w:val="none"/>
          <w:shd w:val="clear" w:color="auto" w:fill="auto"/>
        </w:rPr>
        <w:t>成套设备必须按照每台水泵配置变频器（变频器和水泵必须一对一配备）；所有水泵都能通过控制系统切换实现变频控制运行；各水泵应具备自动切换运行和自动巡检功能，保证每台泵的工作时间基本相同；变频器性能参数必须与水泵相适配。</w:t>
      </w:r>
    </w:p>
    <w:p w14:paraId="781B4748">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⑦</w:t>
      </w:r>
      <w:r>
        <w:rPr>
          <w:rFonts w:hint="eastAsia" w:ascii="宋体" w:hAnsi="宋体" w:eastAsia="宋体" w:cs="宋体"/>
          <w:color w:val="auto"/>
          <w:sz w:val="24"/>
          <w:highlight w:val="none"/>
          <w:shd w:val="clear" w:color="auto" w:fill="auto"/>
        </w:rPr>
        <w:t>每台水泵的进出水管管径至少比水泵口管径大一个规格，每台水泵进出口处安装检修阀，进出管道应加设柔性接头，在水泵出口处和检修阀之间装设橡胶瓣止回阀，检修阀采用蝶阀或软密封闸阀</w:t>
      </w:r>
      <w:r>
        <w:rPr>
          <w:rFonts w:hint="eastAsia" w:ascii="宋体" w:hAnsi="宋体" w:eastAsia="宋体" w:cs="宋体"/>
          <w:b/>
          <w:bCs/>
          <w:color w:val="auto"/>
          <w:sz w:val="24"/>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sz w:val="24"/>
          <w:highlight w:val="none"/>
          <w:shd w:val="clear" w:color="auto" w:fill="auto"/>
        </w:rPr>
        <w:t>阀板</w:t>
      </w:r>
      <w:r>
        <w:rPr>
          <w:rFonts w:hint="eastAsia" w:ascii="宋体" w:hAnsi="宋体" w:eastAsia="宋体" w:cs="宋体"/>
          <w:b/>
          <w:bCs/>
          <w:color w:val="auto"/>
          <w:sz w:val="24"/>
          <w:highlight w:val="none"/>
          <w:shd w:val="clear" w:color="auto" w:fill="auto"/>
        </w:rPr>
        <w:t>材质采用不锈钢。</w:t>
      </w:r>
    </w:p>
    <w:p w14:paraId="73CCD6DD">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⑧</w:t>
      </w:r>
      <w:r>
        <w:rPr>
          <w:rFonts w:hint="eastAsia" w:ascii="宋体" w:hAnsi="宋体" w:eastAsia="宋体" w:cs="宋体"/>
          <w:color w:val="auto"/>
          <w:sz w:val="24"/>
          <w:highlight w:val="none"/>
          <w:shd w:val="clear" w:color="auto" w:fill="auto"/>
        </w:rPr>
        <w:t>成套设备配置独立的电气控制柜，落地安装，应采取防尘、防水、防潮等安全措施，并安装防雷接地装置，柜体安装强制通风风扇，做到有效通风、合理布置。</w:t>
      </w:r>
    </w:p>
    <w:p w14:paraId="33AD0699">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⑨</w:t>
      </w:r>
      <w:r>
        <w:rPr>
          <w:rFonts w:hint="eastAsia" w:ascii="宋体" w:hAnsi="宋体" w:eastAsia="宋体" w:cs="宋体"/>
          <w:color w:val="auto"/>
          <w:sz w:val="24"/>
          <w:highlight w:val="none"/>
          <w:shd w:val="clear" w:color="auto" w:fill="auto"/>
        </w:rPr>
        <w:t>电气控制柜总电源进线处装设电度计量装置系统一套，电度表和互感器应通过检定符合国家标准要求。电器元件布置及导线排列符合电磁防护要求。柜面安装指针式或数字式电压表，指示三相进线电压。配电系统的电气间隙与爬电距离、绝缘电阻与介电强度、安全接地保护、电磁兼容性（EMC）试验、环境试验要求、强度和严密性要求等电气性能均应符合国家相关规程规定。</w:t>
      </w:r>
    </w:p>
    <w:p w14:paraId="2095E7F8">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⑩</w:t>
      </w:r>
      <w:r>
        <w:rPr>
          <w:rFonts w:hint="eastAsia" w:ascii="宋体" w:hAnsi="宋体" w:eastAsia="宋体" w:cs="宋体"/>
          <w:color w:val="auto"/>
          <w:sz w:val="24"/>
          <w:highlight w:val="none"/>
          <w:shd w:val="clear" w:color="auto" w:fill="auto"/>
        </w:rPr>
        <w:t>电气控制柜的构造和外形尺寸应满足功能要求。与 PLC 柜等其它柜体设备并列安装时，宜尽量做到外观及颜色协调。</w:t>
      </w:r>
    </w:p>
    <w:p w14:paraId="0985BC6E">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⑪</w:t>
      </w:r>
      <w:r>
        <w:rPr>
          <w:rFonts w:hint="eastAsia" w:ascii="宋体" w:hAnsi="宋体" w:eastAsia="宋体" w:cs="宋体"/>
          <w:color w:val="auto"/>
          <w:sz w:val="24"/>
          <w:highlight w:val="none"/>
          <w:shd w:val="clear" w:color="auto" w:fill="auto"/>
        </w:rPr>
        <w:t>电气控制柜结构为前面开门，后面板可拆卸，前后有密封材料。</w:t>
      </w:r>
    </w:p>
    <w:p w14:paraId="5BC13086">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⑫</w:t>
      </w:r>
      <w:r>
        <w:rPr>
          <w:rFonts w:hint="eastAsia" w:ascii="宋体" w:hAnsi="宋体" w:eastAsia="宋体" w:cs="宋体"/>
          <w:color w:val="auto"/>
          <w:sz w:val="24"/>
          <w:highlight w:val="none"/>
          <w:shd w:val="clear" w:color="auto" w:fill="auto"/>
        </w:rPr>
        <w:t>电气控制柜制作钢板采用国产优质（A3 及以上等级）冷扎板，板厚不低于 2mm。柜体外壳防护等级不低于 IP54，验收时必须提供原材料的原厂出厂合格证复印件。</w:t>
      </w:r>
    </w:p>
    <w:p w14:paraId="30B60771">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⑬</w:t>
      </w:r>
      <w:r>
        <w:rPr>
          <w:rFonts w:hint="eastAsia" w:ascii="宋体" w:hAnsi="宋体" w:eastAsia="宋体" w:cs="宋体"/>
          <w:color w:val="auto"/>
          <w:sz w:val="24"/>
          <w:highlight w:val="none"/>
          <w:shd w:val="clear" w:color="auto" w:fill="auto"/>
        </w:rPr>
        <w:t>电气控制柜及安装板、支架内外表面需作静电喷涂环氧树脂漆处理。</w:t>
      </w:r>
    </w:p>
    <w:p w14:paraId="220D3765">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⑭</w:t>
      </w:r>
      <w:r>
        <w:rPr>
          <w:rFonts w:hint="eastAsia" w:ascii="宋体" w:hAnsi="宋体" w:eastAsia="宋体" w:cs="宋体"/>
          <w:color w:val="auto"/>
          <w:sz w:val="24"/>
          <w:highlight w:val="none"/>
          <w:shd w:val="clear" w:color="auto" w:fill="auto"/>
        </w:rPr>
        <w:t>电气控制柜应有防雷击和防过电压措施并有可靠保护接地端子。</w:t>
      </w:r>
    </w:p>
    <w:p w14:paraId="68297894">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⑮</w:t>
      </w:r>
      <w:r>
        <w:rPr>
          <w:rFonts w:hint="eastAsia" w:ascii="宋体" w:hAnsi="宋体" w:eastAsia="宋体" w:cs="宋体"/>
          <w:color w:val="auto"/>
          <w:sz w:val="24"/>
          <w:highlight w:val="none"/>
          <w:shd w:val="clear" w:color="auto" w:fill="auto"/>
        </w:rPr>
        <w:t>电气控制柜内所有的导线、电缆都要作合适的标记，以互相识别。在导线、电缆终端接线后，应采用不可移动的箍套或用清洁的热收缩套管作标签固定在接结端子排前实现，不得使用吊牌作标签。标签应同现场线缆的标识系统相一致，且每根线缆的标识都是唯一的。</w:t>
      </w:r>
    </w:p>
    <w:p w14:paraId="41F5994F">
      <w:pPr>
        <w:spacing w:line="440" w:lineRule="exact"/>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（4）、水箱变频泵供水设备的技术要求</w:t>
      </w:r>
    </w:p>
    <w:p w14:paraId="69C13EC6">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fldChar w:fldCharType="begin"/>
      </w:r>
      <w:r>
        <w:rPr>
          <w:rFonts w:hint="eastAsia" w:ascii="宋体" w:hAnsi="宋体" w:eastAsia="宋体" w:cs="宋体"/>
          <w:color w:val="auto"/>
          <w:sz w:val="24"/>
          <w:highlight w:val="none"/>
          <w:shd w:val="clear" w:color="auto" w:fill="auto"/>
        </w:rPr>
        <w:instrText xml:space="preserve"> = 1 \* GB3 </w:instrText>
      </w:r>
      <w:r>
        <w:rPr>
          <w:rFonts w:hint="eastAsia" w:ascii="宋体" w:hAnsi="宋体" w:eastAsia="宋体" w:cs="宋体"/>
          <w:color w:val="auto"/>
          <w:sz w:val="24"/>
          <w:highlight w:val="none"/>
          <w:shd w:val="clear" w:color="auto" w:fill="auto"/>
        </w:rPr>
        <w:fldChar w:fldCharType="separate"/>
      </w:r>
      <w:r>
        <w:rPr>
          <w:rFonts w:hint="eastAsia" w:ascii="宋体" w:hAnsi="宋体" w:eastAsia="宋体" w:cs="宋体"/>
          <w:color w:val="auto"/>
          <w:sz w:val="24"/>
          <w:highlight w:val="none"/>
          <w:shd w:val="clear" w:color="auto" w:fill="auto"/>
        </w:rPr>
        <w:t>①</w:t>
      </w:r>
      <w:r>
        <w:rPr>
          <w:rFonts w:hint="eastAsia" w:ascii="宋体" w:hAnsi="宋体" w:eastAsia="宋体" w:cs="宋体"/>
          <w:color w:val="auto"/>
          <w:sz w:val="24"/>
          <w:highlight w:val="none"/>
          <w:shd w:val="clear" w:color="auto" w:fill="auto"/>
        </w:rPr>
        <w:fldChar w:fldCharType="end"/>
      </w:r>
      <w:r>
        <w:rPr>
          <w:rFonts w:hint="eastAsia" w:ascii="宋体" w:hAnsi="宋体" w:eastAsia="宋体" w:cs="宋体"/>
          <w:color w:val="auto"/>
          <w:sz w:val="24"/>
          <w:highlight w:val="none"/>
          <w:shd w:val="clear" w:color="auto" w:fill="auto"/>
        </w:rPr>
        <w:t xml:space="preserve"> 基本要求（参见（二）无负压供水设备的技术要求）</w:t>
      </w:r>
    </w:p>
    <w:p w14:paraId="040CDB9C">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fldChar w:fldCharType="begin"/>
      </w:r>
      <w:r>
        <w:rPr>
          <w:rFonts w:hint="eastAsia" w:ascii="宋体" w:hAnsi="宋体" w:eastAsia="宋体" w:cs="宋体"/>
          <w:color w:val="auto"/>
          <w:sz w:val="24"/>
          <w:highlight w:val="none"/>
          <w:shd w:val="clear" w:color="auto" w:fill="auto"/>
        </w:rPr>
        <w:instrText xml:space="preserve"> = 2 \* GB3 </w:instrText>
      </w:r>
      <w:r>
        <w:rPr>
          <w:rFonts w:hint="eastAsia" w:ascii="宋体" w:hAnsi="宋体" w:eastAsia="宋体" w:cs="宋体"/>
          <w:color w:val="auto"/>
          <w:sz w:val="24"/>
          <w:highlight w:val="none"/>
          <w:shd w:val="clear" w:color="auto" w:fill="auto"/>
        </w:rPr>
        <w:fldChar w:fldCharType="separate"/>
      </w:r>
      <w:r>
        <w:rPr>
          <w:rFonts w:hint="eastAsia" w:ascii="宋体" w:hAnsi="宋体" w:eastAsia="宋体" w:cs="宋体"/>
          <w:color w:val="auto"/>
          <w:sz w:val="24"/>
          <w:highlight w:val="none"/>
          <w:shd w:val="clear" w:color="auto" w:fill="auto"/>
        </w:rPr>
        <w:t>②</w:t>
      </w:r>
      <w:r>
        <w:rPr>
          <w:rFonts w:hint="eastAsia" w:ascii="宋体" w:hAnsi="宋体" w:eastAsia="宋体" w:cs="宋体"/>
          <w:color w:val="auto"/>
          <w:sz w:val="24"/>
          <w:highlight w:val="none"/>
          <w:shd w:val="clear" w:color="auto" w:fill="auto"/>
        </w:rPr>
        <w:fldChar w:fldCharType="end"/>
      </w:r>
      <w:r>
        <w:rPr>
          <w:rFonts w:hint="eastAsia" w:ascii="宋体" w:hAnsi="宋体" w:eastAsia="宋体" w:cs="宋体"/>
          <w:color w:val="auto"/>
          <w:sz w:val="24"/>
          <w:highlight w:val="none"/>
          <w:shd w:val="clear" w:color="auto" w:fill="auto"/>
        </w:rPr>
        <w:t xml:space="preserve"> 性能（功能）与配置要求（参见（二）无负压供水设备的技术要求）</w:t>
      </w:r>
    </w:p>
    <w:p w14:paraId="30138F9D">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fldChar w:fldCharType="begin"/>
      </w:r>
      <w:r>
        <w:rPr>
          <w:rFonts w:hint="eastAsia" w:ascii="宋体" w:hAnsi="宋体" w:eastAsia="宋体" w:cs="宋体"/>
          <w:color w:val="auto"/>
          <w:sz w:val="24"/>
          <w:highlight w:val="none"/>
          <w:shd w:val="clear" w:color="auto" w:fill="auto"/>
        </w:rPr>
        <w:instrText xml:space="preserve"> = 3 \* GB3 </w:instrText>
      </w:r>
      <w:r>
        <w:rPr>
          <w:rFonts w:hint="eastAsia" w:ascii="宋体" w:hAnsi="宋体" w:eastAsia="宋体" w:cs="宋体"/>
          <w:color w:val="auto"/>
          <w:sz w:val="24"/>
          <w:highlight w:val="none"/>
          <w:shd w:val="clear" w:color="auto" w:fill="auto"/>
        </w:rPr>
        <w:fldChar w:fldCharType="separate"/>
      </w:r>
      <w:r>
        <w:rPr>
          <w:rFonts w:hint="eastAsia" w:ascii="宋体" w:hAnsi="宋体" w:eastAsia="宋体" w:cs="宋体"/>
          <w:color w:val="auto"/>
          <w:sz w:val="24"/>
          <w:highlight w:val="none"/>
          <w:shd w:val="clear" w:color="auto" w:fill="auto"/>
        </w:rPr>
        <w:t>③</w:t>
      </w:r>
      <w:r>
        <w:rPr>
          <w:rFonts w:hint="eastAsia" w:ascii="宋体" w:hAnsi="宋体" w:eastAsia="宋体" w:cs="宋体"/>
          <w:color w:val="auto"/>
          <w:sz w:val="24"/>
          <w:highlight w:val="none"/>
          <w:shd w:val="clear" w:color="auto" w:fill="auto"/>
        </w:rPr>
        <w:fldChar w:fldCharType="end"/>
      </w:r>
      <w:r>
        <w:rPr>
          <w:rFonts w:hint="eastAsia" w:ascii="宋体" w:hAnsi="宋体" w:eastAsia="宋体" w:cs="宋体"/>
          <w:color w:val="auto"/>
          <w:sz w:val="24"/>
          <w:highlight w:val="none"/>
          <w:shd w:val="clear" w:color="auto" w:fill="auto"/>
        </w:rPr>
        <w:t xml:space="preserve"> 机械电气部件要求（参见（二）无负压供水设备的技术要求）</w:t>
      </w:r>
    </w:p>
    <w:p w14:paraId="1A1DA98C">
      <w:pPr>
        <w:spacing w:line="440" w:lineRule="exact"/>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（5）、水箱要求：</w:t>
      </w:r>
    </w:p>
    <w:p w14:paraId="0D12D7D8">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fldChar w:fldCharType="begin"/>
      </w:r>
      <w:r>
        <w:rPr>
          <w:rFonts w:hint="eastAsia" w:ascii="宋体" w:hAnsi="宋体" w:eastAsia="宋体" w:cs="宋体"/>
          <w:color w:val="auto"/>
          <w:sz w:val="24"/>
          <w:highlight w:val="none"/>
          <w:shd w:val="clear" w:color="auto" w:fill="auto"/>
        </w:rPr>
        <w:instrText xml:space="preserve"> = 1 \* GB3 </w:instrText>
      </w:r>
      <w:r>
        <w:rPr>
          <w:rFonts w:hint="eastAsia" w:ascii="宋体" w:hAnsi="宋体" w:eastAsia="宋体" w:cs="宋体"/>
          <w:color w:val="auto"/>
          <w:sz w:val="24"/>
          <w:highlight w:val="none"/>
          <w:shd w:val="clear" w:color="auto" w:fill="auto"/>
        </w:rPr>
        <w:fldChar w:fldCharType="separate"/>
      </w:r>
      <w:r>
        <w:rPr>
          <w:rFonts w:hint="eastAsia" w:ascii="宋体" w:hAnsi="宋体" w:eastAsia="宋体" w:cs="宋体"/>
          <w:color w:val="auto"/>
          <w:sz w:val="24"/>
          <w:highlight w:val="none"/>
          <w:shd w:val="clear" w:color="auto" w:fill="auto"/>
        </w:rPr>
        <w:t>①</w:t>
      </w:r>
      <w:r>
        <w:rPr>
          <w:rFonts w:hint="eastAsia" w:ascii="宋体" w:hAnsi="宋体" w:eastAsia="宋体" w:cs="宋体"/>
          <w:color w:val="auto"/>
          <w:sz w:val="24"/>
          <w:highlight w:val="none"/>
          <w:shd w:val="clear" w:color="auto" w:fill="auto"/>
        </w:rPr>
        <w:fldChar w:fldCharType="end"/>
      </w:r>
      <w:r>
        <w:rPr>
          <w:rFonts w:hint="eastAsia" w:ascii="宋体" w:hAnsi="宋体" w:eastAsia="宋体" w:cs="宋体"/>
          <w:color w:val="auto"/>
          <w:sz w:val="24"/>
          <w:highlight w:val="none"/>
          <w:shd w:val="clear" w:color="auto" w:fill="auto"/>
        </w:rPr>
        <w:t xml:space="preserve"> 不锈钢板材、管道及配件等材质应采用不低于SUS304 的食品级不锈钢材质。水箱不锈钢板材厚度按设计要求制作。</w:t>
      </w:r>
    </w:p>
    <w:p w14:paraId="0568760C">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fldChar w:fldCharType="begin"/>
      </w:r>
      <w:r>
        <w:rPr>
          <w:rFonts w:hint="eastAsia" w:ascii="宋体" w:hAnsi="宋体" w:eastAsia="宋体" w:cs="宋体"/>
          <w:color w:val="auto"/>
          <w:sz w:val="24"/>
          <w:highlight w:val="none"/>
          <w:shd w:val="clear" w:color="auto" w:fill="auto"/>
        </w:rPr>
        <w:instrText xml:space="preserve"> = 2 \* GB3 </w:instrText>
      </w:r>
      <w:r>
        <w:rPr>
          <w:rFonts w:hint="eastAsia" w:ascii="宋体" w:hAnsi="宋体" w:eastAsia="宋体" w:cs="宋体"/>
          <w:color w:val="auto"/>
          <w:sz w:val="24"/>
          <w:highlight w:val="none"/>
          <w:shd w:val="clear" w:color="auto" w:fill="auto"/>
        </w:rPr>
        <w:fldChar w:fldCharType="separate"/>
      </w:r>
      <w:r>
        <w:rPr>
          <w:rFonts w:hint="eastAsia" w:ascii="宋体" w:hAnsi="宋体" w:eastAsia="宋体" w:cs="宋体"/>
          <w:color w:val="auto"/>
          <w:sz w:val="24"/>
          <w:highlight w:val="none"/>
          <w:shd w:val="clear" w:color="auto" w:fill="auto"/>
        </w:rPr>
        <w:t>②</w:t>
      </w:r>
      <w:r>
        <w:rPr>
          <w:rFonts w:hint="eastAsia" w:ascii="宋体" w:hAnsi="宋体" w:eastAsia="宋体" w:cs="宋体"/>
          <w:color w:val="auto"/>
          <w:sz w:val="24"/>
          <w:highlight w:val="none"/>
          <w:shd w:val="clear" w:color="auto" w:fill="auto"/>
        </w:rPr>
        <w:fldChar w:fldCharType="end"/>
      </w:r>
      <w:r>
        <w:rPr>
          <w:rFonts w:hint="eastAsia" w:ascii="宋体" w:hAnsi="宋体" w:eastAsia="宋体" w:cs="宋体"/>
          <w:color w:val="auto"/>
          <w:sz w:val="24"/>
          <w:highlight w:val="none"/>
          <w:shd w:val="clear" w:color="auto" w:fill="auto"/>
        </w:rPr>
        <w:t xml:space="preserve">  验收时需提供不锈钢板材的原厂出厂合格证，厚度证明和疾病预防控制中心出具的符合GB/T5750-2022 卫生部《生活饮用水标准检验方法》及《生活饮用水输配水设备及防护材料卫生安全评价规范》（2001 年版）检测报告复印件。</w:t>
      </w:r>
    </w:p>
    <w:p w14:paraId="187D60C5">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fldChar w:fldCharType="begin"/>
      </w:r>
      <w:r>
        <w:rPr>
          <w:rFonts w:hint="eastAsia" w:ascii="宋体" w:hAnsi="宋体" w:eastAsia="宋体" w:cs="宋体"/>
          <w:color w:val="auto"/>
          <w:sz w:val="24"/>
          <w:highlight w:val="none"/>
          <w:shd w:val="clear" w:color="auto" w:fill="auto"/>
        </w:rPr>
        <w:instrText xml:space="preserve"> = 3 \* GB3 </w:instrText>
      </w:r>
      <w:r>
        <w:rPr>
          <w:rFonts w:hint="eastAsia" w:ascii="宋体" w:hAnsi="宋体" w:eastAsia="宋体" w:cs="宋体"/>
          <w:color w:val="auto"/>
          <w:sz w:val="24"/>
          <w:highlight w:val="none"/>
          <w:shd w:val="clear" w:color="auto" w:fill="auto"/>
        </w:rPr>
        <w:fldChar w:fldCharType="separate"/>
      </w:r>
      <w:r>
        <w:rPr>
          <w:rFonts w:hint="eastAsia" w:ascii="宋体" w:hAnsi="宋体" w:eastAsia="宋体" w:cs="宋体"/>
          <w:color w:val="auto"/>
          <w:sz w:val="24"/>
          <w:highlight w:val="none"/>
          <w:shd w:val="clear" w:color="auto" w:fill="auto"/>
        </w:rPr>
        <w:t>③</w:t>
      </w:r>
      <w:r>
        <w:rPr>
          <w:rFonts w:hint="eastAsia" w:ascii="宋体" w:hAnsi="宋体" w:eastAsia="宋体" w:cs="宋体"/>
          <w:color w:val="auto"/>
          <w:sz w:val="24"/>
          <w:highlight w:val="none"/>
          <w:shd w:val="clear" w:color="auto" w:fill="auto"/>
        </w:rPr>
        <w:fldChar w:fldCharType="end"/>
      </w:r>
      <w:r>
        <w:rPr>
          <w:rFonts w:hint="eastAsia" w:ascii="宋体" w:hAnsi="宋体" w:eastAsia="宋体" w:cs="宋体"/>
          <w:color w:val="auto"/>
          <w:sz w:val="24"/>
          <w:highlight w:val="none"/>
          <w:shd w:val="clear" w:color="auto" w:fill="auto"/>
        </w:rPr>
        <w:t xml:space="preserve"> 水箱进水管应安装具有机械和电气双重控制功能的电动蝶阀，阀板材质采用不锈钢，控制阀直径与进水管管径相同，由液位控制仪实现自动控制。低位水箱供水应实现：当水位达到低水位时应自动报警，达到超低水位时应自动停泵；达到高水位时应自动关闭浮球阀，达到超高水位时应自动关闭进水电动阀并报警。</w:t>
      </w:r>
    </w:p>
    <w:p w14:paraId="2B839857">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fldChar w:fldCharType="begin"/>
      </w:r>
      <w:r>
        <w:rPr>
          <w:rFonts w:hint="eastAsia" w:ascii="宋体" w:hAnsi="宋体" w:eastAsia="宋体" w:cs="宋体"/>
          <w:color w:val="auto"/>
          <w:sz w:val="24"/>
          <w:highlight w:val="none"/>
          <w:shd w:val="clear" w:color="auto" w:fill="auto"/>
        </w:rPr>
        <w:instrText xml:space="preserve"> = 4 \* GB3 </w:instrText>
      </w:r>
      <w:r>
        <w:rPr>
          <w:rFonts w:hint="eastAsia" w:ascii="宋体" w:hAnsi="宋体" w:eastAsia="宋体" w:cs="宋体"/>
          <w:color w:val="auto"/>
          <w:sz w:val="24"/>
          <w:highlight w:val="none"/>
          <w:shd w:val="clear" w:color="auto" w:fill="auto"/>
        </w:rPr>
        <w:fldChar w:fldCharType="separate"/>
      </w:r>
      <w:r>
        <w:rPr>
          <w:rFonts w:hint="eastAsia" w:ascii="宋体" w:hAnsi="宋体" w:eastAsia="宋体" w:cs="宋体"/>
          <w:color w:val="auto"/>
          <w:sz w:val="24"/>
          <w:highlight w:val="none"/>
          <w:shd w:val="clear" w:color="auto" w:fill="auto"/>
        </w:rPr>
        <w:t>④</w:t>
      </w:r>
      <w:r>
        <w:rPr>
          <w:rFonts w:hint="eastAsia" w:ascii="宋体" w:hAnsi="宋体" w:eastAsia="宋体" w:cs="宋体"/>
          <w:color w:val="auto"/>
          <w:sz w:val="24"/>
          <w:highlight w:val="none"/>
          <w:shd w:val="clear" w:color="auto" w:fill="auto"/>
        </w:rPr>
        <w:fldChar w:fldCharType="end"/>
      </w:r>
      <w:r>
        <w:rPr>
          <w:rFonts w:hint="eastAsia" w:ascii="宋体" w:hAnsi="宋体" w:eastAsia="宋体" w:cs="宋体"/>
          <w:color w:val="auto"/>
          <w:sz w:val="24"/>
          <w:highlight w:val="none"/>
          <w:shd w:val="clear" w:color="auto" w:fill="auto"/>
        </w:rPr>
        <w:t xml:space="preserve"> 水箱进出水管、溢流管、泄水管、通气管、人孔等设置均应符合现行国家标准《建筑给水排水设计规范》GB50015和《二次供水工程技术规程》CJJ140的相关规定。</w:t>
      </w:r>
    </w:p>
    <w:p w14:paraId="0C564E7B">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fldChar w:fldCharType="begin"/>
      </w:r>
      <w:r>
        <w:rPr>
          <w:rFonts w:hint="eastAsia" w:ascii="宋体" w:hAnsi="宋体" w:eastAsia="宋体" w:cs="宋体"/>
          <w:color w:val="auto"/>
          <w:sz w:val="24"/>
          <w:highlight w:val="none"/>
          <w:shd w:val="clear" w:color="auto" w:fill="auto"/>
        </w:rPr>
        <w:instrText xml:space="preserve"> = 5 \* GB3 </w:instrText>
      </w:r>
      <w:r>
        <w:rPr>
          <w:rFonts w:hint="eastAsia" w:ascii="宋体" w:hAnsi="宋体" w:eastAsia="宋体" w:cs="宋体"/>
          <w:color w:val="auto"/>
          <w:sz w:val="24"/>
          <w:highlight w:val="none"/>
          <w:shd w:val="clear" w:color="auto" w:fill="auto"/>
        </w:rPr>
        <w:fldChar w:fldCharType="separate"/>
      </w:r>
      <w:r>
        <w:rPr>
          <w:rFonts w:hint="eastAsia" w:ascii="宋体" w:hAnsi="宋体" w:eastAsia="宋体" w:cs="宋体"/>
          <w:color w:val="auto"/>
          <w:sz w:val="24"/>
          <w:highlight w:val="none"/>
          <w:shd w:val="clear" w:color="auto" w:fill="auto"/>
        </w:rPr>
        <w:t>⑤</w:t>
      </w:r>
      <w:r>
        <w:rPr>
          <w:rFonts w:hint="eastAsia" w:ascii="宋体" w:hAnsi="宋体" w:eastAsia="宋体" w:cs="宋体"/>
          <w:color w:val="auto"/>
          <w:sz w:val="24"/>
          <w:highlight w:val="none"/>
          <w:shd w:val="clear" w:color="auto" w:fill="auto"/>
        </w:rPr>
        <w:fldChar w:fldCharType="end"/>
      </w:r>
      <w:r>
        <w:rPr>
          <w:rFonts w:hint="eastAsia" w:ascii="宋体" w:hAnsi="宋体" w:eastAsia="宋体" w:cs="宋体"/>
          <w:color w:val="auto"/>
          <w:sz w:val="24"/>
          <w:highlight w:val="none"/>
          <w:shd w:val="clear" w:color="auto" w:fill="auto"/>
        </w:rPr>
        <w:t xml:space="preserve"> 水箱的液位控制应具有分时段控制逻辑，能够做到错峰调蓄的功能，提供逻辑说明文件。</w:t>
      </w:r>
    </w:p>
    <w:p w14:paraId="1A1CA682">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fldChar w:fldCharType="begin"/>
      </w:r>
      <w:r>
        <w:rPr>
          <w:rFonts w:hint="eastAsia" w:ascii="宋体" w:hAnsi="宋体" w:eastAsia="宋体" w:cs="宋体"/>
          <w:color w:val="auto"/>
          <w:sz w:val="24"/>
          <w:highlight w:val="none"/>
          <w:shd w:val="clear" w:color="auto" w:fill="auto"/>
        </w:rPr>
        <w:instrText xml:space="preserve"> = 6 \* GB3 </w:instrText>
      </w:r>
      <w:r>
        <w:rPr>
          <w:rFonts w:hint="eastAsia" w:ascii="宋体" w:hAnsi="宋体" w:eastAsia="宋体" w:cs="宋体"/>
          <w:color w:val="auto"/>
          <w:sz w:val="24"/>
          <w:highlight w:val="none"/>
          <w:shd w:val="clear" w:color="auto" w:fill="auto"/>
        </w:rPr>
        <w:fldChar w:fldCharType="separate"/>
      </w:r>
      <w:r>
        <w:rPr>
          <w:rFonts w:hint="eastAsia" w:ascii="宋体" w:hAnsi="宋体" w:eastAsia="宋体" w:cs="宋体"/>
          <w:color w:val="auto"/>
          <w:sz w:val="24"/>
          <w:highlight w:val="none"/>
          <w:shd w:val="clear" w:color="auto" w:fill="auto"/>
        </w:rPr>
        <w:t>⑥</w:t>
      </w:r>
      <w:r>
        <w:rPr>
          <w:rFonts w:hint="eastAsia" w:ascii="宋体" w:hAnsi="宋体" w:eastAsia="宋体" w:cs="宋体"/>
          <w:color w:val="auto"/>
          <w:sz w:val="24"/>
          <w:highlight w:val="none"/>
          <w:shd w:val="clear" w:color="auto" w:fill="auto"/>
        </w:rPr>
        <w:fldChar w:fldCharType="end"/>
      </w:r>
      <w:r>
        <w:rPr>
          <w:rFonts w:hint="eastAsia" w:ascii="宋体" w:hAnsi="宋体" w:eastAsia="宋体" w:cs="宋体"/>
          <w:color w:val="auto"/>
          <w:sz w:val="24"/>
          <w:highlight w:val="none"/>
          <w:shd w:val="clear" w:color="auto" w:fill="auto"/>
        </w:rPr>
        <w:t>．每只水箱出水管加装紫外线消毒设备，紫外线消毒设备具体要求如下：</w:t>
      </w:r>
    </w:p>
    <w:p w14:paraId="0E74C84A">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6.1紫外线灯管：中压高强度的中压灯管，结构设计合理，可在现场更换灯管，灯管寿命不低于365*24小时，如寿命时间达不到，则就免费提供更换；</w:t>
      </w:r>
    </w:p>
    <w:p w14:paraId="4842763C">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6.2配套专用镇流器，带稳压保护功能；</w:t>
      </w:r>
    </w:p>
    <w:p w14:paraId="44C6FD58">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6.3石英套管：石英套管穿透率达到90%以上；</w:t>
      </w:r>
    </w:p>
    <w:p w14:paraId="583C36FC">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6.4流量范围：10-100m3/h；</w:t>
      </w:r>
    </w:p>
    <w:p w14:paraId="01E49F98">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6.5消毒功率：0.5-5KW；</w:t>
      </w:r>
    </w:p>
    <w:p w14:paraId="62175761">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6.6适用水体：水压≥0.15MPa，浑浊度≤5NTU；</w:t>
      </w:r>
    </w:p>
    <w:p w14:paraId="4427CEE5">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6.7菌落总数、总大肠菌群等均满足《生活饮用水卫生标准》（GB5749-2022）的要求（提供省级及以上检测单位的检验报告复印件佐证）；</w:t>
      </w:r>
    </w:p>
    <w:p w14:paraId="4160AE58">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6.8设备具有定时启停功能、运行数据上传功能(RS485/MODBUS协议)、自动清洗功能，以及漏电保护功能、超温保护功能等；</w:t>
      </w:r>
    </w:p>
    <w:p w14:paraId="101145DE">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6.9设备长度：不大于1500mm；</w:t>
      </w:r>
    </w:p>
    <w:p w14:paraId="5C8F3EA8">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6.10消毒设备控制柜由2mm厚304不锈钢板制成，外壳防护等级IP55。</w:t>
      </w:r>
    </w:p>
    <w:p w14:paraId="4779B230">
      <w:pPr>
        <w:pStyle w:val="16"/>
        <w:spacing w:after="0" w:line="440" w:lineRule="exact"/>
        <w:ind w:left="0" w:leftChars="0" w:firstLine="482" w:firstLineChars="200"/>
        <w:rPr>
          <w:rFonts w:hint="eastAsia" w:ascii="宋体" w:hAnsi="宋体" w:eastAsia="宋体" w:cs="宋体"/>
          <w:color w:val="auto"/>
          <w:highlight w:val="none"/>
          <w:shd w:val="clear" w:color="auto" w:fill="auto"/>
        </w:rPr>
      </w:pPr>
      <w:r>
        <w:rPr>
          <w:rFonts w:hint="eastAsia" w:ascii="宋体" w:hAnsi="宋体" w:eastAsia="宋体" w:cs="宋体"/>
          <w:b/>
          <w:color w:val="auto"/>
          <w:sz w:val="24"/>
          <w:highlight w:val="none"/>
          <w:shd w:val="clear" w:color="auto" w:fill="auto"/>
        </w:rPr>
        <w:t>（6）、设备主要部件推荐品牌表</w:t>
      </w:r>
    </w:p>
    <w:tbl>
      <w:tblPr>
        <w:tblStyle w:val="27"/>
        <w:tblW w:w="9132" w:type="dxa"/>
        <w:jc w:val="center"/>
        <w:tblLayout w:type="fixed"/>
        <w:tblCellMar>
          <w:top w:w="0" w:type="dxa"/>
          <w:left w:w="108" w:type="dxa"/>
          <w:bottom w:w="0" w:type="dxa"/>
          <w:right w:w="108" w:type="dxa"/>
        </w:tblCellMar>
      </w:tblPr>
      <w:tblGrid>
        <w:gridCol w:w="1034"/>
        <w:gridCol w:w="1538"/>
        <w:gridCol w:w="5187"/>
        <w:gridCol w:w="8"/>
        <w:gridCol w:w="1357"/>
        <w:gridCol w:w="8"/>
      </w:tblGrid>
      <w:tr w14:paraId="353D3020">
        <w:tblPrEx>
          <w:tblCellMar>
            <w:top w:w="0" w:type="dxa"/>
            <w:left w:w="108" w:type="dxa"/>
            <w:bottom w:w="0" w:type="dxa"/>
            <w:right w:w="108" w:type="dxa"/>
          </w:tblCellMar>
        </w:tblPrEx>
        <w:trPr>
          <w:trHeight w:val="510" w:hRule="atLeast"/>
          <w:jc w:val="center"/>
        </w:trPr>
        <w:tc>
          <w:tcPr>
            <w:tcW w:w="7767" w:type="dxa"/>
            <w:gridSpan w:val="4"/>
            <w:tcBorders>
              <w:top w:val="single" w:color="000000" w:sz="4" w:space="0"/>
              <w:left w:val="single" w:color="000000" w:sz="4" w:space="0"/>
              <w:bottom w:val="single" w:color="000000" w:sz="4" w:space="0"/>
              <w:right w:val="single" w:color="000000" w:sz="4" w:space="0"/>
            </w:tcBorders>
            <w:noWrap/>
            <w:vAlign w:val="center"/>
          </w:tcPr>
          <w:p w14:paraId="596CCD9E">
            <w:pPr>
              <w:widowControl/>
              <w:jc w:val="center"/>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二次供水成套设备主要部件推荐品牌</w:t>
            </w: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14:paraId="7655BB53">
            <w:pPr>
              <w:widowControl/>
              <w:jc w:val="center"/>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备注</w:t>
            </w:r>
          </w:p>
        </w:tc>
      </w:tr>
      <w:tr w14:paraId="36CCE48D">
        <w:tblPrEx>
          <w:tblCellMar>
            <w:top w:w="0" w:type="dxa"/>
            <w:left w:w="108" w:type="dxa"/>
            <w:bottom w:w="0" w:type="dxa"/>
            <w:right w:w="108" w:type="dxa"/>
          </w:tblCellMar>
        </w:tblPrEx>
        <w:trPr>
          <w:gridAfter w:val="1"/>
          <w:wAfter w:w="8" w:type="dxa"/>
          <w:trHeight w:val="510"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497BC870">
            <w:pPr>
              <w:widowControl/>
              <w:jc w:val="center"/>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机械部件及管路</w:t>
            </w: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3743E5CC">
            <w:pPr>
              <w:widowControl/>
              <w:jc w:val="left"/>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泵机</w:t>
            </w:r>
          </w:p>
        </w:tc>
        <w:tc>
          <w:tcPr>
            <w:tcW w:w="5187" w:type="dxa"/>
            <w:tcBorders>
              <w:top w:val="single" w:color="000000" w:sz="4" w:space="0"/>
              <w:left w:val="single" w:color="000000" w:sz="4" w:space="0"/>
              <w:bottom w:val="single" w:color="000000" w:sz="4" w:space="0"/>
              <w:right w:val="single" w:color="000000" w:sz="4" w:space="0"/>
            </w:tcBorders>
            <w:noWrap/>
            <w:vAlign w:val="center"/>
          </w:tcPr>
          <w:p w14:paraId="3AA32D6F">
            <w:pPr>
              <w:widowControl/>
              <w:jc w:val="left"/>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赛莱默、格兰富、三利、同档次及以上</w:t>
            </w: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14:paraId="6F61B08A">
            <w:pPr>
              <w:widowControl/>
              <w:jc w:val="left"/>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核心部件</w:t>
            </w:r>
          </w:p>
        </w:tc>
      </w:tr>
      <w:tr w14:paraId="3BEA7A98">
        <w:tblPrEx>
          <w:tblCellMar>
            <w:top w:w="0" w:type="dxa"/>
            <w:left w:w="108" w:type="dxa"/>
            <w:bottom w:w="0" w:type="dxa"/>
            <w:right w:w="108" w:type="dxa"/>
          </w:tblCellMar>
        </w:tblPrEx>
        <w:trPr>
          <w:gridAfter w:val="1"/>
          <w:wAfter w:w="8" w:type="dxa"/>
          <w:trHeight w:val="510" w:hRule="atLeast"/>
          <w:jc w:val="center"/>
        </w:trPr>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BD1AF79">
            <w:pPr>
              <w:widowControl/>
              <w:jc w:val="center"/>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控制柜及仪器仪表</w:t>
            </w: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7584CC59">
            <w:pPr>
              <w:widowControl/>
              <w:jc w:val="left"/>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控制器</w:t>
            </w:r>
          </w:p>
        </w:tc>
        <w:tc>
          <w:tcPr>
            <w:tcW w:w="5187" w:type="dxa"/>
            <w:tcBorders>
              <w:top w:val="single" w:color="000000" w:sz="4" w:space="0"/>
              <w:left w:val="single" w:color="000000" w:sz="4" w:space="0"/>
              <w:bottom w:val="single" w:color="000000" w:sz="4" w:space="0"/>
              <w:right w:val="single" w:color="000000" w:sz="4" w:space="0"/>
            </w:tcBorders>
            <w:noWrap/>
            <w:vAlign w:val="center"/>
          </w:tcPr>
          <w:p w14:paraId="0B3BF0F5">
            <w:pPr>
              <w:widowControl/>
              <w:jc w:val="left"/>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西门子、施耐德、AB、GE、同档次及以上</w:t>
            </w: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14:paraId="55C449D1">
            <w:pPr>
              <w:widowControl/>
              <w:jc w:val="left"/>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核心部件</w:t>
            </w:r>
          </w:p>
        </w:tc>
      </w:tr>
      <w:tr w14:paraId="4560ACEB">
        <w:tblPrEx>
          <w:tblCellMar>
            <w:top w:w="0" w:type="dxa"/>
            <w:left w:w="108" w:type="dxa"/>
            <w:bottom w:w="0" w:type="dxa"/>
            <w:right w:w="108" w:type="dxa"/>
          </w:tblCellMar>
        </w:tblPrEx>
        <w:trPr>
          <w:gridAfter w:val="1"/>
          <w:wAfter w:w="8" w:type="dxa"/>
          <w:trHeight w:val="51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92719">
            <w:pPr>
              <w:rPr>
                <w:rFonts w:hint="eastAsia" w:ascii="宋体" w:hAnsi="宋体" w:eastAsia="宋体" w:cs="宋体"/>
                <w:color w:val="auto"/>
                <w:highlight w:val="none"/>
                <w:shd w:val="clear" w:color="auto" w:fill="auto"/>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7BE5B473">
            <w:pPr>
              <w:widowControl/>
              <w:jc w:val="left"/>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触摸屏</w:t>
            </w:r>
          </w:p>
        </w:tc>
        <w:tc>
          <w:tcPr>
            <w:tcW w:w="5187" w:type="dxa"/>
            <w:tcBorders>
              <w:top w:val="single" w:color="000000" w:sz="4" w:space="0"/>
              <w:left w:val="single" w:color="000000" w:sz="4" w:space="0"/>
              <w:bottom w:val="single" w:color="000000" w:sz="4" w:space="0"/>
              <w:right w:val="single" w:color="000000" w:sz="4" w:space="0"/>
            </w:tcBorders>
            <w:noWrap/>
            <w:vAlign w:val="center"/>
          </w:tcPr>
          <w:p w14:paraId="246C4337">
            <w:pPr>
              <w:widowControl/>
              <w:jc w:val="left"/>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西门子、施耐德、AB、GE、同档次及以上</w:t>
            </w: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14:paraId="71A949EB">
            <w:pPr>
              <w:widowControl/>
              <w:jc w:val="left"/>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核心部件</w:t>
            </w:r>
          </w:p>
        </w:tc>
      </w:tr>
      <w:tr w14:paraId="5B1B7E12">
        <w:tblPrEx>
          <w:tblCellMar>
            <w:top w:w="0" w:type="dxa"/>
            <w:left w:w="108" w:type="dxa"/>
            <w:bottom w:w="0" w:type="dxa"/>
            <w:right w:w="108" w:type="dxa"/>
          </w:tblCellMar>
        </w:tblPrEx>
        <w:trPr>
          <w:gridAfter w:val="1"/>
          <w:wAfter w:w="8" w:type="dxa"/>
          <w:trHeight w:val="51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DC3F5F">
            <w:pPr>
              <w:rPr>
                <w:rFonts w:hint="eastAsia" w:ascii="宋体" w:hAnsi="宋体" w:eastAsia="宋体" w:cs="宋体"/>
                <w:color w:val="auto"/>
                <w:highlight w:val="none"/>
                <w:shd w:val="clear" w:color="auto" w:fill="auto"/>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65BE2F14">
            <w:pPr>
              <w:widowControl/>
              <w:jc w:val="left"/>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变频器</w:t>
            </w:r>
          </w:p>
        </w:tc>
        <w:tc>
          <w:tcPr>
            <w:tcW w:w="5187" w:type="dxa"/>
            <w:tcBorders>
              <w:top w:val="single" w:color="000000" w:sz="4" w:space="0"/>
              <w:left w:val="single" w:color="000000" w:sz="4" w:space="0"/>
              <w:bottom w:val="single" w:color="000000" w:sz="4" w:space="0"/>
              <w:right w:val="single" w:color="000000" w:sz="4" w:space="0"/>
            </w:tcBorders>
            <w:noWrap/>
            <w:vAlign w:val="center"/>
          </w:tcPr>
          <w:p w14:paraId="231242B9">
            <w:pPr>
              <w:widowControl/>
              <w:jc w:val="left"/>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ABB、西门子、三垦、同档次及以上</w:t>
            </w: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14:paraId="40FABFFF">
            <w:pPr>
              <w:widowControl/>
              <w:jc w:val="left"/>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核心部件</w:t>
            </w:r>
          </w:p>
        </w:tc>
      </w:tr>
      <w:tr w14:paraId="7DCE29AA">
        <w:tblPrEx>
          <w:tblCellMar>
            <w:top w:w="0" w:type="dxa"/>
            <w:left w:w="108" w:type="dxa"/>
            <w:bottom w:w="0" w:type="dxa"/>
            <w:right w:w="108" w:type="dxa"/>
          </w:tblCellMar>
        </w:tblPrEx>
        <w:trPr>
          <w:gridAfter w:val="1"/>
          <w:wAfter w:w="8" w:type="dxa"/>
          <w:trHeight w:val="51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AE91D">
            <w:pPr>
              <w:rPr>
                <w:rFonts w:hint="eastAsia" w:ascii="宋体" w:hAnsi="宋体" w:eastAsia="宋体" w:cs="宋体"/>
                <w:color w:val="auto"/>
                <w:highlight w:val="none"/>
                <w:shd w:val="clear" w:color="auto" w:fill="auto"/>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4A92D76D">
            <w:pPr>
              <w:widowControl/>
              <w:jc w:val="left"/>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压力传感器</w:t>
            </w:r>
          </w:p>
        </w:tc>
        <w:tc>
          <w:tcPr>
            <w:tcW w:w="5187" w:type="dxa"/>
            <w:tcBorders>
              <w:top w:val="single" w:color="000000" w:sz="4" w:space="0"/>
              <w:left w:val="single" w:color="000000" w:sz="4" w:space="0"/>
              <w:bottom w:val="single" w:color="000000" w:sz="4" w:space="0"/>
              <w:right w:val="single" w:color="000000" w:sz="4" w:space="0"/>
            </w:tcBorders>
            <w:noWrap/>
            <w:vAlign w:val="center"/>
          </w:tcPr>
          <w:p w14:paraId="07715590">
            <w:pPr>
              <w:widowControl/>
              <w:jc w:val="left"/>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施耐德、丹弗斯、麦克、同档次及以上</w:t>
            </w: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14:paraId="3259AED3">
            <w:pPr>
              <w:widowControl/>
              <w:jc w:val="left"/>
              <w:textAlignment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bidi="ar"/>
              </w:rPr>
              <w:t>核心部件</w:t>
            </w:r>
          </w:p>
        </w:tc>
      </w:tr>
    </w:tbl>
    <w:p w14:paraId="1A71172D">
      <w:pPr>
        <w:spacing w:line="440" w:lineRule="exact"/>
        <w:ind w:firstLine="482" w:firstLineChars="200"/>
        <w:rPr>
          <w:rFonts w:hint="eastAsia" w:ascii="宋体" w:hAnsi="宋体" w:eastAsia="宋体" w:cs="宋体"/>
          <w:b/>
          <w:bCs/>
          <w:color w:val="auto"/>
          <w:sz w:val="24"/>
          <w:highlight w:val="none"/>
          <w:u w:val="single"/>
          <w:shd w:val="clear" w:color="auto" w:fill="auto"/>
        </w:rPr>
      </w:pPr>
      <w:r>
        <w:rPr>
          <w:rFonts w:hint="eastAsia" w:ascii="宋体" w:hAnsi="宋体" w:eastAsia="宋体" w:cs="宋体"/>
          <w:b/>
          <w:bCs/>
          <w:color w:val="auto"/>
          <w:sz w:val="24"/>
          <w:highlight w:val="none"/>
          <w:u w:val="single"/>
          <w:shd w:val="clear" w:color="auto" w:fill="auto"/>
        </w:rPr>
        <w:t>注：本招标文件如涉及各类品牌、型号，则所述品牌、型号是结合实际现有情况的推荐性参考方案，投标人也可根据招标文件得要求推荐性能相当或高于、服务条款相等或高于、符合招标人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人实际业务需求同档次优质品牌的说明书，无法在投标文件中提供的，其投标可能会被拒绝（或作无效投标）。</w:t>
      </w:r>
    </w:p>
    <w:p w14:paraId="76148F33">
      <w:pPr>
        <w:spacing w:line="440" w:lineRule="exact"/>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（三）水质检测设备</w:t>
      </w:r>
    </w:p>
    <w:p w14:paraId="7E193FD7">
      <w:pPr>
        <w:pStyle w:val="53"/>
        <w:spacing w:line="440" w:lineRule="exact"/>
        <w:ind w:firstLine="482"/>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（1）、浊度技术参数</w:t>
      </w:r>
    </w:p>
    <w:p w14:paraId="7FC55DB0">
      <w:pPr>
        <w:pStyle w:val="53"/>
        <w:numPr>
          <w:ilvl w:val="0"/>
          <w:numId w:val="4"/>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测量原理：散射比浊法（符合US EPA180.1或ISO7027标准，90°散射测量原理）；</w:t>
      </w:r>
    </w:p>
    <w:p w14:paraId="78830CB6">
      <w:pPr>
        <w:pStyle w:val="53"/>
        <w:numPr>
          <w:ilvl w:val="0"/>
          <w:numId w:val="4"/>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光源及材料：LED灯或钨灯(白光)；</w:t>
      </w:r>
    </w:p>
    <w:p w14:paraId="4F6A7218">
      <w:pPr>
        <w:pStyle w:val="53"/>
        <w:numPr>
          <w:ilvl w:val="0"/>
          <w:numId w:val="4"/>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量程：0-4/40/400NTU；</w:t>
      </w:r>
    </w:p>
    <w:p w14:paraId="34D9E95F">
      <w:pPr>
        <w:pStyle w:val="53"/>
        <w:numPr>
          <w:ilvl w:val="0"/>
          <w:numId w:val="4"/>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精度：读数的±1%或0.02 NTU，取大者；</w:t>
      </w:r>
    </w:p>
    <w:p w14:paraId="6ED15A03">
      <w:pPr>
        <w:pStyle w:val="53"/>
        <w:numPr>
          <w:ilvl w:val="0"/>
          <w:numId w:val="4"/>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分辨率：0.001NTU；</w:t>
      </w:r>
    </w:p>
    <w:p w14:paraId="0332110F">
      <w:pPr>
        <w:pStyle w:val="53"/>
        <w:numPr>
          <w:ilvl w:val="0"/>
          <w:numId w:val="4"/>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重复性：2%；</w:t>
      </w:r>
    </w:p>
    <w:p w14:paraId="3A3110B5">
      <w:pPr>
        <w:pStyle w:val="53"/>
        <w:numPr>
          <w:ilvl w:val="0"/>
          <w:numId w:val="4"/>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进水流量：200～500 mL/min；</w:t>
      </w:r>
    </w:p>
    <w:p w14:paraId="7354B6C0">
      <w:pPr>
        <w:pStyle w:val="53"/>
        <w:numPr>
          <w:ilvl w:val="0"/>
          <w:numId w:val="4"/>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工作温度：0～50℃；</w:t>
      </w:r>
    </w:p>
    <w:p w14:paraId="2D23FA93">
      <w:pPr>
        <w:pStyle w:val="53"/>
        <w:numPr>
          <w:ilvl w:val="0"/>
          <w:numId w:val="4"/>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工作湿度：95% /无凝露；</w:t>
      </w:r>
    </w:p>
    <w:p w14:paraId="1F2368EC">
      <w:pPr>
        <w:pStyle w:val="53"/>
        <w:numPr>
          <w:ilvl w:val="0"/>
          <w:numId w:val="4"/>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最低测量采样时间：连续测量；</w:t>
      </w:r>
    </w:p>
    <w:p w14:paraId="3D4B79D2">
      <w:pPr>
        <w:pStyle w:val="53"/>
        <w:numPr>
          <w:ilvl w:val="0"/>
          <w:numId w:val="4"/>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最大压力：10bar（25℃时）；</w:t>
      </w:r>
    </w:p>
    <w:p w14:paraId="772D7DB6">
      <w:pPr>
        <w:pStyle w:val="53"/>
        <w:numPr>
          <w:ilvl w:val="0"/>
          <w:numId w:val="4"/>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浊度流通池具有消泡和调压功能；</w:t>
      </w:r>
    </w:p>
    <w:p w14:paraId="7D814BE7">
      <w:pPr>
        <w:pStyle w:val="53"/>
        <w:numPr>
          <w:ilvl w:val="0"/>
          <w:numId w:val="4"/>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标定：出厂时已经标定，无需现场标定，可支持现场标定；</w:t>
      </w:r>
    </w:p>
    <w:p w14:paraId="4EE14C88">
      <w:pPr>
        <w:pStyle w:val="53"/>
        <w:numPr>
          <w:ilvl w:val="0"/>
          <w:numId w:val="4"/>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外壳材料：PVC或不锈钢；</w:t>
      </w:r>
    </w:p>
    <w:p w14:paraId="204C0796">
      <w:pPr>
        <w:pStyle w:val="53"/>
        <w:numPr>
          <w:ilvl w:val="0"/>
          <w:numId w:val="4"/>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探头防护等级：IP68；</w:t>
      </w:r>
    </w:p>
    <w:p w14:paraId="4B4F3851">
      <w:pPr>
        <w:pStyle w:val="53"/>
        <w:numPr>
          <w:ilvl w:val="0"/>
          <w:numId w:val="4"/>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电缆长度：10m（支持最长100m）；</w:t>
      </w:r>
    </w:p>
    <w:p w14:paraId="73D8A384">
      <w:pPr>
        <w:pStyle w:val="53"/>
        <w:spacing w:line="440" w:lineRule="exact"/>
        <w:ind w:firstLine="482"/>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（2）、余氯技术参数</w:t>
      </w:r>
    </w:p>
    <w:p w14:paraId="21CA00FF">
      <w:pPr>
        <w:pStyle w:val="53"/>
        <w:numPr>
          <w:ilvl w:val="0"/>
          <w:numId w:val="5"/>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检测方法：恒压电极法（无需更换电极膜和电解液）；</w:t>
      </w:r>
    </w:p>
    <w:p w14:paraId="063871F3">
      <w:pPr>
        <w:pStyle w:val="53"/>
        <w:numPr>
          <w:ilvl w:val="0"/>
          <w:numId w:val="5"/>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传感器材质：双铂金电极环</w:t>
      </w:r>
      <w:r>
        <w:rPr>
          <w:rFonts w:hint="eastAsia" w:eastAsia="宋体" w:cs="宋体"/>
          <w:color w:val="auto"/>
          <w:sz w:val="24"/>
          <w:szCs w:val="24"/>
          <w:highlight w:val="none"/>
          <w:shd w:val="clear" w:color="auto" w:fill="auto"/>
          <w:lang w:eastAsia="zh-CN"/>
        </w:rPr>
        <w:t>或黄金＋</w:t>
      </w:r>
      <w:r>
        <w:rPr>
          <w:rFonts w:hint="eastAsia" w:ascii="宋体" w:hAnsi="宋体" w:eastAsia="宋体" w:cs="宋体"/>
          <w:color w:val="auto"/>
          <w:sz w:val="24"/>
          <w:szCs w:val="24"/>
          <w:highlight w:val="none"/>
          <w:shd w:val="clear" w:color="auto" w:fill="auto"/>
        </w:rPr>
        <w:t>铂金电极环；</w:t>
      </w:r>
    </w:p>
    <w:p w14:paraId="170DF3AD">
      <w:pPr>
        <w:pStyle w:val="53"/>
        <w:numPr>
          <w:ilvl w:val="0"/>
          <w:numId w:val="5"/>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量程：0-2.000/20.00ppm；</w:t>
      </w:r>
    </w:p>
    <w:p w14:paraId="5C01DB59">
      <w:pPr>
        <w:pStyle w:val="53"/>
        <w:numPr>
          <w:ilvl w:val="0"/>
          <w:numId w:val="5"/>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精度：0.2% F.S.或0.03 mg/L，取大者；</w:t>
      </w:r>
    </w:p>
    <w:p w14:paraId="1D848BE1">
      <w:pPr>
        <w:pStyle w:val="53"/>
        <w:numPr>
          <w:ilvl w:val="0"/>
          <w:numId w:val="5"/>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分辨率：0.001ppm；</w:t>
      </w:r>
    </w:p>
    <w:p w14:paraId="75BC3543">
      <w:pPr>
        <w:pStyle w:val="53"/>
        <w:numPr>
          <w:ilvl w:val="0"/>
          <w:numId w:val="5"/>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重复性：0.1%；</w:t>
      </w:r>
    </w:p>
    <w:p w14:paraId="45E913ED">
      <w:pPr>
        <w:pStyle w:val="53"/>
        <w:numPr>
          <w:ilvl w:val="0"/>
          <w:numId w:val="5"/>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进水流量：200～500ml/min；</w:t>
      </w:r>
    </w:p>
    <w:p w14:paraId="2E75A934">
      <w:pPr>
        <w:pStyle w:val="53"/>
        <w:numPr>
          <w:ilvl w:val="0"/>
          <w:numId w:val="5"/>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信号漂移：1个月小于5%；</w:t>
      </w:r>
    </w:p>
    <w:p w14:paraId="5EB58E8F">
      <w:pPr>
        <w:pStyle w:val="53"/>
        <w:numPr>
          <w:ilvl w:val="0"/>
          <w:numId w:val="5"/>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最低测量采样时间：连续测量；</w:t>
      </w:r>
    </w:p>
    <w:p w14:paraId="0AC88E54">
      <w:pPr>
        <w:pStyle w:val="53"/>
        <w:numPr>
          <w:ilvl w:val="0"/>
          <w:numId w:val="5"/>
        </w:numPr>
        <w:spacing w:line="440" w:lineRule="exact"/>
        <w:ind w:firstLine="480"/>
        <w:rPr>
          <w:rFonts w:hint="eastAsia" w:ascii="宋体" w:hAnsi="宋体" w:eastAsia="宋体" w:cs="宋体"/>
          <w:color w:val="auto"/>
          <w:sz w:val="24"/>
          <w:szCs w:val="24"/>
          <w:highlight w:val="none"/>
          <w:shd w:val="clear" w:color="auto" w:fill="auto"/>
        </w:rPr>
      </w:pPr>
      <w:bookmarkStart w:id="48" w:name="_Hlk81420006"/>
      <w:r>
        <w:rPr>
          <w:rFonts w:hint="eastAsia" w:ascii="宋体" w:hAnsi="宋体" w:eastAsia="宋体" w:cs="宋体"/>
          <w:color w:val="auto"/>
          <w:sz w:val="24"/>
          <w:szCs w:val="24"/>
          <w:highlight w:val="none"/>
          <w:shd w:val="clear" w:color="auto" w:fill="auto"/>
        </w:rPr>
        <w:t>工作温度：0～50℃；</w:t>
      </w:r>
    </w:p>
    <w:bookmarkEnd w:id="48"/>
    <w:p w14:paraId="61627B27">
      <w:pPr>
        <w:pStyle w:val="53"/>
        <w:numPr>
          <w:ilvl w:val="0"/>
          <w:numId w:val="5"/>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工作湿度：95% /无凝露；</w:t>
      </w:r>
    </w:p>
    <w:p w14:paraId="49B1F2C6">
      <w:pPr>
        <w:pStyle w:val="53"/>
        <w:numPr>
          <w:ilvl w:val="0"/>
          <w:numId w:val="5"/>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pH补偿：具有手动和自动pH补偿；</w:t>
      </w:r>
    </w:p>
    <w:p w14:paraId="57191F8F">
      <w:pPr>
        <w:pStyle w:val="53"/>
        <w:numPr>
          <w:ilvl w:val="0"/>
          <w:numId w:val="5"/>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温度补偿：具有手动和自动温度补偿；</w:t>
      </w:r>
    </w:p>
    <w:p w14:paraId="3CCF3E45">
      <w:pPr>
        <w:pStyle w:val="53"/>
        <w:spacing w:line="440" w:lineRule="exact"/>
        <w:ind w:firstLine="482"/>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（3）、pH技术参数</w:t>
      </w:r>
    </w:p>
    <w:p w14:paraId="7865E6A9">
      <w:pPr>
        <w:pStyle w:val="53"/>
        <w:numPr>
          <w:ilvl w:val="0"/>
          <w:numId w:val="6"/>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测量范围：0-14pH；</w:t>
      </w:r>
    </w:p>
    <w:p w14:paraId="7E59F0FC">
      <w:pPr>
        <w:pStyle w:val="53"/>
        <w:numPr>
          <w:ilvl w:val="0"/>
          <w:numId w:val="6"/>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精度：0.2% F.S.或±0.02，取大者；</w:t>
      </w:r>
    </w:p>
    <w:p w14:paraId="418519A7">
      <w:pPr>
        <w:pStyle w:val="53"/>
        <w:numPr>
          <w:ilvl w:val="0"/>
          <w:numId w:val="6"/>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进水流量：200～500 ml/min；</w:t>
      </w:r>
    </w:p>
    <w:p w14:paraId="50028FF3">
      <w:pPr>
        <w:pStyle w:val="53"/>
        <w:numPr>
          <w:ilvl w:val="0"/>
          <w:numId w:val="6"/>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重复性：0.1%；</w:t>
      </w:r>
    </w:p>
    <w:p w14:paraId="3E0694A7">
      <w:pPr>
        <w:pStyle w:val="53"/>
        <w:numPr>
          <w:ilvl w:val="0"/>
          <w:numId w:val="6"/>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传感器材质：复合电极；</w:t>
      </w:r>
    </w:p>
    <w:p w14:paraId="315326DC">
      <w:pPr>
        <w:pStyle w:val="53"/>
        <w:numPr>
          <w:ilvl w:val="0"/>
          <w:numId w:val="6"/>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分辨率：0.01；</w:t>
      </w:r>
    </w:p>
    <w:p w14:paraId="3E1F16D6">
      <w:pPr>
        <w:pStyle w:val="53"/>
        <w:numPr>
          <w:ilvl w:val="0"/>
          <w:numId w:val="6"/>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测量原理：玻璃电极法；</w:t>
      </w:r>
    </w:p>
    <w:p w14:paraId="7FD7AABE">
      <w:pPr>
        <w:pStyle w:val="53"/>
        <w:numPr>
          <w:ilvl w:val="0"/>
          <w:numId w:val="6"/>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最低测量采样时间：连续测量；</w:t>
      </w:r>
    </w:p>
    <w:p w14:paraId="0903CFF4">
      <w:pPr>
        <w:pStyle w:val="53"/>
        <w:numPr>
          <w:ilvl w:val="0"/>
          <w:numId w:val="6"/>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温度补偿：具有手动和自动温度补偿；</w:t>
      </w:r>
    </w:p>
    <w:p w14:paraId="6C2751B4">
      <w:pPr>
        <w:pStyle w:val="53"/>
        <w:numPr>
          <w:ilvl w:val="0"/>
          <w:numId w:val="6"/>
        </w:numPr>
        <w:spacing w:line="440" w:lineRule="exact"/>
        <w:ind w:firstLine="480"/>
        <w:rPr>
          <w:rFonts w:hint="eastAsia" w:ascii="宋体" w:hAnsi="宋体" w:eastAsia="宋体" w:cs="宋体"/>
          <w:color w:val="auto"/>
          <w:sz w:val="24"/>
          <w:szCs w:val="24"/>
          <w:highlight w:val="none"/>
          <w:shd w:val="clear" w:color="auto" w:fill="auto"/>
        </w:rPr>
      </w:pPr>
      <w:bookmarkStart w:id="49" w:name="_Hlk81420038"/>
      <w:r>
        <w:rPr>
          <w:rFonts w:hint="eastAsia" w:ascii="宋体" w:hAnsi="宋体" w:eastAsia="宋体" w:cs="宋体"/>
          <w:color w:val="auto"/>
          <w:sz w:val="24"/>
          <w:szCs w:val="24"/>
          <w:highlight w:val="none"/>
          <w:shd w:val="clear" w:color="auto" w:fill="auto"/>
        </w:rPr>
        <w:t>工作温度：0～50℃</w:t>
      </w:r>
    </w:p>
    <w:bookmarkEnd w:id="49"/>
    <w:p w14:paraId="3F44FF5C">
      <w:pPr>
        <w:pStyle w:val="53"/>
        <w:numPr>
          <w:ilvl w:val="0"/>
          <w:numId w:val="6"/>
        </w:numPr>
        <w:spacing w:line="440" w:lineRule="exact"/>
        <w:ind w:firstLine="480"/>
        <w:rPr>
          <w:rFonts w:hint="eastAsia" w:ascii="宋体" w:hAnsi="宋体" w:eastAsia="宋体" w:cs="宋体"/>
          <w:b/>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工作湿度：95% /无凝露；</w:t>
      </w:r>
    </w:p>
    <w:p w14:paraId="652D9173">
      <w:pPr>
        <w:pStyle w:val="53"/>
        <w:spacing w:line="440" w:lineRule="exact"/>
        <w:ind w:firstLine="482"/>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（4）、集成机柜技术要求：</w:t>
      </w:r>
    </w:p>
    <w:p w14:paraId="65AB0F43">
      <w:pPr>
        <w:pStyle w:val="53"/>
        <w:numPr>
          <w:ilvl w:val="0"/>
          <w:numId w:val="7"/>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监测柜应具有统一外观，美观、大方。应具备安全性高，集成度高，安装方便，运行稳定等特点；</w:t>
      </w:r>
    </w:p>
    <w:p w14:paraId="7DDA737F">
      <w:pPr>
        <w:pStyle w:val="53"/>
        <w:numPr>
          <w:ilvl w:val="0"/>
          <w:numId w:val="7"/>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监测柜应采用不锈钢材料，柜体、门板、底座板厚不低于1.0mm；</w:t>
      </w:r>
    </w:p>
    <w:p w14:paraId="3AF92D39">
      <w:pPr>
        <w:pStyle w:val="53"/>
        <w:numPr>
          <w:ilvl w:val="0"/>
          <w:numId w:val="7"/>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监测机柜内部应分区域，使其美观，整洁，功能性完好；</w:t>
      </w:r>
    </w:p>
    <w:p w14:paraId="707C4687">
      <w:pPr>
        <w:pStyle w:val="53"/>
        <w:numPr>
          <w:ilvl w:val="0"/>
          <w:numId w:val="7"/>
        </w:numPr>
        <w:spacing w:line="44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含配电及远传单元。</w:t>
      </w:r>
    </w:p>
    <w:p w14:paraId="3803B1FA">
      <w:pPr>
        <w:pStyle w:val="53"/>
        <w:spacing w:line="440" w:lineRule="exact"/>
        <w:ind w:firstLine="482"/>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（5）、主要配件推荐品牌</w:t>
      </w:r>
    </w:p>
    <w:tbl>
      <w:tblPr>
        <w:tblStyle w:val="27"/>
        <w:tblW w:w="0" w:type="auto"/>
        <w:jc w:val="center"/>
        <w:tblLayout w:type="fixed"/>
        <w:tblCellMar>
          <w:top w:w="15" w:type="dxa"/>
          <w:left w:w="15" w:type="dxa"/>
          <w:bottom w:w="15" w:type="dxa"/>
          <w:right w:w="15" w:type="dxa"/>
        </w:tblCellMar>
      </w:tblPr>
      <w:tblGrid>
        <w:gridCol w:w="2209"/>
        <w:gridCol w:w="5817"/>
      </w:tblGrid>
      <w:tr w14:paraId="2D28E21D">
        <w:tblPrEx>
          <w:tblCellMar>
            <w:top w:w="15" w:type="dxa"/>
            <w:left w:w="15" w:type="dxa"/>
            <w:bottom w:w="15" w:type="dxa"/>
            <w:right w:w="15" w:type="dxa"/>
          </w:tblCellMar>
        </w:tblPrEx>
        <w:trPr>
          <w:trHeight w:val="567" w:hRule="atLeast"/>
          <w:jc w:val="center"/>
        </w:trPr>
        <w:tc>
          <w:tcPr>
            <w:tcW w:w="2209" w:type="dxa"/>
            <w:tcBorders>
              <w:top w:val="single" w:color="000000" w:sz="4" w:space="0"/>
              <w:left w:val="single" w:color="000000" w:sz="4" w:space="0"/>
              <w:bottom w:val="single" w:color="000000" w:sz="4" w:space="0"/>
              <w:right w:val="single" w:color="000000" w:sz="4" w:space="0"/>
            </w:tcBorders>
            <w:noWrap w:val="0"/>
            <w:vAlign w:val="center"/>
          </w:tcPr>
          <w:p w14:paraId="6DD78CC6">
            <w:pPr>
              <w:jc w:val="center"/>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配件名称</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37E2DB85">
            <w:pPr>
              <w:jc w:val="center"/>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推荐品牌</w:t>
            </w:r>
          </w:p>
        </w:tc>
      </w:tr>
      <w:tr w14:paraId="5A8FDAC5">
        <w:tblPrEx>
          <w:tblCellMar>
            <w:top w:w="15" w:type="dxa"/>
            <w:left w:w="15" w:type="dxa"/>
            <w:bottom w:w="15" w:type="dxa"/>
            <w:right w:w="15" w:type="dxa"/>
          </w:tblCellMar>
        </w:tblPrEx>
        <w:trPr>
          <w:trHeight w:val="567" w:hRule="atLeast"/>
          <w:jc w:val="center"/>
        </w:trPr>
        <w:tc>
          <w:tcPr>
            <w:tcW w:w="2209" w:type="dxa"/>
            <w:tcBorders>
              <w:top w:val="single" w:color="000000" w:sz="4" w:space="0"/>
              <w:left w:val="single" w:color="000000" w:sz="4" w:space="0"/>
              <w:bottom w:val="single" w:color="000000" w:sz="4" w:space="0"/>
              <w:right w:val="single" w:color="000000" w:sz="4" w:space="0"/>
            </w:tcBorders>
            <w:noWrap w:val="0"/>
            <w:vAlign w:val="center"/>
          </w:tcPr>
          <w:p w14:paraId="2078202E">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sz w:val="22"/>
                <w:szCs w:val="22"/>
                <w:highlight w:val="none"/>
                <w:shd w:val="clear" w:color="auto" w:fill="auto"/>
              </w:rPr>
              <w:t>水质在线仪表</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4D3B5605">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sz w:val="22"/>
                <w:szCs w:val="22"/>
                <w:highlight w:val="none"/>
                <w:shd w:val="clear" w:color="auto" w:fill="auto"/>
              </w:rPr>
              <w:t>HACH、B&amp;C、</w:t>
            </w:r>
            <w:r>
              <w:rPr>
                <w:rFonts w:hint="eastAsia" w:ascii="宋体" w:hAnsi="宋体" w:cs="宋体"/>
                <w:color w:val="auto"/>
                <w:sz w:val="22"/>
                <w:szCs w:val="22"/>
                <w:highlight w:val="none"/>
                <w:shd w:val="clear" w:color="auto" w:fill="auto"/>
                <w:lang w:eastAsia="zh-CN"/>
              </w:rPr>
              <w:t>岛津</w:t>
            </w:r>
            <w:r>
              <w:rPr>
                <w:rFonts w:hint="eastAsia" w:ascii="宋体" w:hAnsi="宋体" w:eastAsia="宋体" w:cs="宋体"/>
                <w:color w:val="auto"/>
                <w:highlight w:val="none"/>
                <w:shd w:val="clear" w:color="auto" w:fill="auto"/>
              </w:rPr>
              <w:t>、同档次或以上</w:t>
            </w:r>
          </w:p>
        </w:tc>
      </w:tr>
      <w:tr w14:paraId="0368D68C">
        <w:tblPrEx>
          <w:tblCellMar>
            <w:top w:w="15" w:type="dxa"/>
            <w:left w:w="15" w:type="dxa"/>
            <w:bottom w:w="15" w:type="dxa"/>
            <w:right w:w="15" w:type="dxa"/>
          </w:tblCellMar>
        </w:tblPrEx>
        <w:trPr>
          <w:trHeight w:val="567" w:hRule="atLeast"/>
          <w:jc w:val="center"/>
        </w:trPr>
        <w:tc>
          <w:tcPr>
            <w:tcW w:w="2209" w:type="dxa"/>
            <w:tcBorders>
              <w:top w:val="single" w:color="000000" w:sz="4" w:space="0"/>
              <w:left w:val="single" w:color="000000" w:sz="4" w:space="0"/>
              <w:bottom w:val="single" w:color="000000" w:sz="4" w:space="0"/>
              <w:right w:val="single" w:color="000000" w:sz="4" w:space="0"/>
            </w:tcBorders>
            <w:noWrap w:val="0"/>
            <w:vAlign w:val="center"/>
          </w:tcPr>
          <w:p w14:paraId="66FE89B0">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sz w:val="22"/>
                <w:szCs w:val="22"/>
                <w:highlight w:val="none"/>
                <w:shd w:val="clear" w:color="auto" w:fill="auto"/>
              </w:rPr>
              <w:t>通讯模块</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7DC80071">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sz w:val="22"/>
                <w:szCs w:val="22"/>
                <w:highlight w:val="none"/>
                <w:shd w:val="clear" w:color="auto" w:fill="auto"/>
              </w:rPr>
              <w:t>浙江和达、厦门四联、深圳宏电</w:t>
            </w:r>
            <w:r>
              <w:rPr>
                <w:rFonts w:hint="eastAsia" w:ascii="宋体" w:hAnsi="宋体" w:eastAsia="宋体" w:cs="宋体"/>
                <w:color w:val="auto"/>
                <w:highlight w:val="none"/>
                <w:shd w:val="clear" w:color="auto" w:fill="auto"/>
              </w:rPr>
              <w:t>、同档次或以上</w:t>
            </w:r>
          </w:p>
        </w:tc>
      </w:tr>
    </w:tbl>
    <w:p w14:paraId="59E55EBE">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（四）、远传监控设备</w:t>
      </w:r>
    </w:p>
    <w:tbl>
      <w:tblPr>
        <w:tblStyle w:val="27"/>
        <w:tblW w:w="8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3585"/>
        <w:gridCol w:w="1563"/>
      </w:tblGrid>
      <w:tr w14:paraId="2A7F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dxa"/>
            <w:vMerge w:val="restart"/>
            <w:noWrap w:val="0"/>
            <w:vAlign w:val="center"/>
          </w:tcPr>
          <w:p w14:paraId="0B9641B5">
            <w:pPr>
              <w:widowControl/>
              <w:spacing w:line="360" w:lineRule="exact"/>
              <w:jc w:val="left"/>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b/>
                <w:color w:val="auto"/>
                <w:sz w:val="24"/>
                <w:highlight w:val="none"/>
                <w:shd w:val="clear" w:color="auto" w:fill="auto"/>
              </w:rPr>
              <w:t>远传监控设备</w:t>
            </w:r>
            <w:r>
              <w:rPr>
                <w:rFonts w:hint="eastAsia" w:ascii="宋体" w:hAnsi="宋体" w:eastAsia="宋体" w:cs="宋体"/>
                <w:b/>
                <w:color w:val="auto"/>
                <w:sz w:val="24"/>
                <w:highlight w:val="none"/>
                <w:shd w:val="clear" w:color="auto" w:fill="auto"/>
                <w:lang w:val="en-US" w:eastAsia="zh-CN"/>
              </w:rPr>
              <w:t>基本配置</w:t>
            </w:r>
          </w:p>
        </w:tc>
        <w:tc>
          <w:tcPr>
            <w:tcW w:w="3585" w:type="dxa"/>
            <w:noWrap w:val="0"/>
            <w:vAlign w:val="center"/>
          </w:tcPr>
          <w:p w14:paraId="1ED82041">
            <w:pPr>
              <w:widowControl/>
              <w:spacing w:line="360" w:lineRule="exact"/>
              <w:jc w:val="left"/>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浮球阀      （只）</w:t>
            </w:r>
          </w:p>
        </w:tc>
        <w:tc>
          <w:tcPr>
            <w:tcW w:w="1563" w:type="dxa"/>
            <w:noWrap w:val="0"/>
            <w:vAlign w:val="center"/>
          </w:tcPr>
          <w:p w14:paraId="77BE3A5B">
            <w:pPr>
              <w:widowControl/>
              <w:spacing w:line="36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2</w:t>
            </w:r>
          </w:p>
        </w:tc>
      </w:tr>
      <w:tr w14:paraId="5B4B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dxa"/>
            <w:vMerge w:val="continue"/>
            <w:noWrap w:val="0"/>
            <w:vAlign w:val="center"/>
          </w:tcPr>
          <w:p w14:paraId="067536D0">
            <w:pPr>
              <w:widowControl/>
              <w:spacing w:line="360" w:lineRule="exact"/>
              <w:jc w:val="left"/>
              <w:rPr>
                <w:rFonts w:hint="eastAsia" w:ascii="宋体" w:hAnsi="宋体" w:eastAsia="宋体" w:cs="宋体"/>
                <w:color w:val="auto"/>
                <w:kern w:val="0"/>
                <w:szCs w:val="21"/>
                <w:highlight w:val="none"/>
                <w:shd w:val="clear" w:color="auto" w:fill="auto"/>
              </w:rPr>
            </w:pPr>
          </w:p>
        </w:tc>
        <w:tc>
          <w:tcPr>
            <w:tcW w:w="3585" w:type="dxa"/>
            <w:noWrap w:val="0"/>
            <w:vAlign w:val="center"/>
          </w:tcPr>
          <w:p w14:paraId="23DC5DCD">
            <w:pPr>
              <w:widowControl/>
              <w:spacing w:line="360" w:lineRule="exact"/>
              <w:jc w:val="left"/>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消毒设备    （台）</w:t>
            </w:r>
          </w:p>
        </w:tc>
        <w:tc>
          <w:tcPr>
            <w:tcW w:w="1563" w:type="dxa"/>
            <w:noWrap w:val="0"/>
            <w:vAlign w:val="center"/>
          </w:tcPr>
          <w:p w14:paraId="13483CE8">
            <w:pPr>
              <w:widowControl/>
              <w:spacing w:line="36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2</w:t>
            </w:r>
          </w:p>
        </w:tc>
      </w:tr>
      <w:tr w14:paraId="526A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dxa"/>
            <w:vMerge w:val="continue"/>
            <w:noWrap w:val="0"/>
            <w:vAlign w:val="center"/>
          </w:tcPr>
          <w:p w14:paraId="672BAE98">
            <w:pPr>
              <w:widowControl/>
              <w:spacing w:line="360" w:lineRule="exact"/>
              <w:jc w:val="left"/>
              <w:rPr>
                <w:rFonts w:hint="eastAsia" w:ascii="宋体" w:hAnsi="宋体" w:eastAsia="宋体" w:cs="宋体"/>
                <w:color w:val="auto"/>
                <w:kern w:val="0"/>
                <w:szCs w:val="21"/>
                <w:highlight w:val="none"/>
                <w:shd w:val="clear" w:color="auto" w:fill="auto"/>
              </w:rPr>
            </w:pPr>
          </w:p>
        </w:tc>
        <w:tc>
          <w:tcPr>
            <w:tcW w:w="3585" w:type="dxa"/>
            <w:noWrap w:val="0"/>
            <w:vAlign w:val="center"/>
          </w:tcPr>
          <w:p w14:paraId="22DDF74F">
            <w:pPr>
              <w:widowControl/>
              <w:spacing w:line="360" w:lineRule="exact"/>
              <w:jc w:val="left"/>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水质检测    （台）</w:t>
            </w:r>
          </w:p>
        </w:tc>
        <w:tc>
          <w:tcPr>
            <w:tcW w:w="1563" w:type="dxa"/>
            <w:noWrap w:val="0"/>
            <w:vAlign w:val="center"/>
          </w:tcPr>
          <w:p w14:paraId="0444A677">
            <w:pPr>
              <w:widowControl/>
              <w:spacing w:line="36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w:t>
            </w:r>
          </w:p>
        </w:tc>
      </w:tr>
      <w:tr w14:paraId="7E90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dxa"/>
            <w:vMerge w:val="continue"/>
            <w:noWrap w:val="0"/>
            <w:vAlign w:val="center"/>
          </w:tcPr>
          <w:p w14:paraId="4DCBF0BF">
            <w:pPr>
              <w:widowControl/>
              <w:spacing w:line="360" w:lineRule="exact"/>
              <w:jc w:val="left"/>
              <w:rPr>
                <w:rFonts w:hint="eastAsia" w:ascii="宋体" w:hAnsi="宋体" w:eastAsia="宋体" w:cs="宋体"/>
                <w:color w:val="auto"/>
                <w:kern w:val="0"/>
                <w:szCs w:val="21"/>
                <w:highlight w:val="none"/>
                <w:shd w:val="clear" w:color="auto" w:fill="auto"/>
              </w:rPr>
            </w:pPr>
          </w:p>
        </w:tc>
        <w:tc>
          <w:tcPr>
            <w:tcW w:w="3585" w:type="dxa"/>
            <w:noWrap w:val="0"/>
            <w:vAlign w:val="center"/>
          </w:tcPr>
          <w:p w14:paraId="7AB1210E">
            <w:pPr>
              <w:widowControl/>
              <w:spacing w:line="360" w:lineRule="exact"/>
              <w:jc w:val="left"/>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轴流风机    （台）</w:t>
            </w:r>
          </w:p>
        </w:tc>
        <w:tc>
          <w:tcPr>
            <w:tcW w:w="1563" w:type="dxa"/>
            <w:noWrap w:val="0"/>
            <w:vAlign w:val="center"/>
          </w:tcPr>
          <w:p w14:paraId="28DE326A">
            <w:pPr>
              <w:widowControl/>
              <w:spacing w:line="36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w:t>
            </w:r>
          </w:p>
        </w:tc>
      </w:tr>
      <w:tr w14:paraId="385D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dxa"/>
            <w:vMerge w:val="continue"/>
            <w:noWrap w:val="0"/>
            <w:vAlign w:val="center"/>
          </w:tcPr>
          <w:p w14:paraId="2C102C65">
            <w:pPr>
              <w:widowControl/>
              <w:spacing w:line="360" w:lineRule="exact"/>
              <w:jc w:val="center"/>
              <w:rPr>
                <w:rFonts w:hint="eastAsia" w:ascii="宋体" w:hAnsi="宋体" w:eastAsia="宋体" w:cs="宋体"/>
                <w:color w:val="auto"/>
                <w:kern w:val="0"/>
                <w:szCs w:val="21"/>
                <w:highlight w:val="none"/>
                <w:shd w:val="clear" w:color="auto" w:fill="auto"/>
              </w:rPr>
            </w:pPr>
          </w:p>
        </w:tc>
        <w:tc>
          <w:tcPr>
            <w:tcW w:w="3585" w:type="dxa"/>
            <w:noWrap w:val="0"/>
            <w:vAlign w:val="center"/>
          </w:tcPr>
          <w:p w14:paraId="01627236">
            <w:pPr>
              <w:widowControl/>
              <w:spacing w:line="360" w:lineRule="exact"/>
              <w:jc w:val="left"/>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烟感       （只）</w:t>
            </w:r>
          </w:p>
        </w:tc>
        <w:tc>
          <w:tcPr>
            <w:tcW w:w="1563" w:type="dxa"/>
            <w:noWrap w:val="0"/>
            <w:vAlign w:val="center"/>
          </w:tcPr>
          <w:p w14:paraId="75109016">
            <w:pPr>
              <w:widowControl/>
              <w:spacing w:line="36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w:t>
            </w:r>
          </w:p>
        </w:tc>
      </w:tr>
      <w:tr w14:paraId="750B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dxa"/>
            <w:vMerge w:val="continue"/>
            <w:noWrap w:val="0"/>
            <w:vAlign w:val="center"/>
          </w:tcPr>
          <w:p w14:paraId="608494AE">
            <w:pPr>
              <w:widowControl/>
              <w:spacing w:line="360" w:lineRule="exact"/>
              <w:jc w:val="left"/>
              <w:rPr>
                <w:rFonts w:hint="eastAsia" w:ascii="宋体" w:hAnsi="宋体" w:eastAsia="宋体" w:cs="宋体"/>
                <w:color w:val="auto"/>
                <w:kern w:val="0"/>
                <w:szCs w:val="21"/>
                <w:highlight w:val="none"/>
                <w:shd w:val="clear" w:color="auto" w:fill="auto"/>
              </w:rPr>
            </w:pPr>
          </w:p>
        </w:tc>
        <w:tc>
          <w:tcPr>
            <w:tcW w:w="3585" w:type="dxa"/>
            <w:noWrap w:val="0"/>
            <w:vAlign w:val="center"/>
          </w:tcPr>
          <w:p w14:paraId="69749D2E">
            <w:pPr>
              <w:widowControl/>
              <w:spacing w:line="360" w:lineRule="exact"/>
              <w:jc w:val="left"/>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温湿度      （只）</w:t>
            </w:r>
          </w:p>
        </w:tc>
        <w:tc>
          <w:tcPr>
            <w:tcW w:w="1563" w:type="dxa"/>
            <w:noWrap w:val="0"/>
            <w:vAlign w:val="center"/>
          </w:tcPr>
          <w:p w14:paraId="6F22A948">
            <w:pPr>
              <w:widowControl/>
              <w:spacing w:line="36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w:t>
            </w:r>
          </w:p>
        </w:tc>
      </w:tr>
      <w:tr w14:paraId="17E5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dxa"/>
            <w:vMerge w:val="continue"/>
            <w:noWrap w:val="0"/>
            <w:vAlign w:val="center"/>
          </w:tcPr>
          <w:p w14:paraId="6795AC4D">
            <w:pPr>
              <w:widowControl/>
              <w:spacing w:line="360" w:lineRule="exact"/>
              <w:jc w:val="left"/>
              <w:rPr>
                <w:rFonts w:hint="eastAsia" w:ascii="宋体" w:hAnsi="宋体" w:eastAsia="宋体" w:cs="宋体"/>
                <w:color w:val="auto"/>
                <w:kern w:val="0"/>
                <w:szCs w:val="21"/>
                <w:highlight w:val="none"/>
                <w:shd w:val="clear" w:color="auto" w:fill="auto"/>
              </w:rPr>
            </w:pPr>
          </w:p>
        </w:tc>
        <w:tc>
          <w:tcPr>
            <w:tcW w:w="3585" w:type="dxa"/>
            <w:noWrap w:val="0"/>
            <w:vAlign w:val="center"/>
          </w:tcPr>
          <w:p w14:paraId="7DF5DF4B">
            <w:pPr>
              <w:widowControl/>
              <w:spacing w:line="360" w:lineRule="exact"/>
              <w:jc w:val="left"/>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地面液位    （只）</w:t>
            </w:r>
          </w:p>
        </w:tc>
        <w:tc>
          <w:tcPr>
            <w:tcW w:w="1563" w:type="dxa"/>
            <w:noWrap w:val="0"/>
            <w:vAlign w:val="center"/>
          </w:tcPr>
          <w:p w14:paraId="447E9FCD">
            <w:pPr>
              <w:widowControl/>
              <w:spacing w:line="36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w:t>
            </w:r>
          </w:p>
        </w:tc>
      </w:tr>
      <w:tr w14:paraId="3A1E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dxa"/>
            <w:vMerge w:val="continue"/>
            <w:noWrap w:val="0"/>
            <w:vAlign w:val="center"/>
          </w:tcPr>
          <w:p w14:paraId="77973F14">
            <w:pPr>
              <w:widowControl/>
              <w:spacing w:line="360" w:lineRule="exact"/>
              <w:jc w:val="left"/>
              <w:rPr>
                <w:rFonts w:hint="eastAsia" w:ascii="宋体" w:hAnsi="宋体" w:eastAsia="宋体" w:cs="宋体"/>
                <w:color w:val="auto"/>
                <w:kern w:val="0"/>
                <w:szCs w:val="21"/>
                <w:highlight w:val="none"/>
                <w:shd w:val="clear" w:color="auto" w:fill="auto"/>
              </w:rPr>
            </w:pPr>
          </w:p>
        </w:tc>
        <w:tc>
          <w:tcPr>
            <w:tcW w:w="3585" w:type="dxa"/>
            <w:noWrap w:val="0"/>
            <w:vAlign w:val="center"/>
          </w:tcPr>
          <w:p w14:paraId="4BD90416">
            <w:pPr>
              <w:widowControl/>
              <w:spacing w:line="360" w:lineRule="exact"/>
              <w:jc w:val="left"/>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UPS         （台）</w:t>
            </w:r>
          </w:p>
        </w:tc>
        <w:tc>
          <w:tcPr>
            <w:tcW w:w="1563" w:type="dxa"/>
            <w:noWrap w:val="0"/>
            <w:vAlign w:val="center"/>
          </w:tcPr>
          <w:p w14:paraId="3BB43618">
            <w:pPr>
              <w:widowControl/>
              <w:spacing w:line="36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w:t>
            </w:r>
          </w:p>
        </w:tc>
      </w:tr>
      <w:tr w14:paraId="32C2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dxa"/>
            <w:vMerge w:val="continue"/>
            <w:noWrap w:val="0"/>
            <w:vAlign w:val="center"/>
          </w:tcPr>
          <w:p w14:paraId="15388D4F">
            <w:pPr>
              <w:widowControl/>
              <w:spacing w:line="360" w:lineRule="exact"/>
              <w:jc w:val="left"/>
              <w:rPr>
                <w:rFonts w:hint="eastAsia" w:ascii="宋体" w:hAnsi="宋体" w:eastAsia="宋体" w:cs="宋体"/>
                <w:color w:val="auto"/>
                <w:kern w:val="0"/>
                <w:szCs w:val="21"/>
                <w:highlight w:val="none"/>
                <w:shd w:val="clear" w:color="auto" w:fill="auto"/>
              </w:rPr>
            </w:pPr>
          </w:p>
        </w:tc>
        <w:tc>
          <w:tcPr>
            <w:tcW w:w="3585" w:type="dxa"/>
            <w:noWrap w:val="0"/>
            <w:vAlign w:val="center"/>
          </w:tcPr>
          <w:p w14:paraId="263360B0">
            <w:pPr>
              <w:widowControl/>
              <w:spacing w:line="360" w:lineRule="exact"/>
              <w:jc w:val="left"/>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摄像头(枪)  （只）</w:t>
            </w:r>
          </w:p>
        </w:tc>
        <w:tc>
          <w:tcPr>
            <w:tcW w:w="1563" w:type="dxa"/>
            <w:noWrap w:val="0"/>
            <w:vAlign w:val="center"/>
          </w:tcPr>
          <w:p w14:paraId="34B23331">
            <w:pPr>
              <w:widowControl/>
              <w:spacing w:line="36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4</w:t>
            </w:r>
          </w:p>
        </w:tc>
      </w:tr>
      <w:tr w14:paraId="7B77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dxa"/>
            <w:vMerge w:val="continue"/>
            <w:noWrap w:val="0"/>
            <w:vAlign w:val="center"/>
          </w:tcPr>
          <w:p w14:paraId="10F283AA">
            <w:pPr>
              <w:widowControl/>
              <w:spacing w:line="360" w:lineRule="exact"/>
              <w:jc w:val="left"/>
              <w:rPr>
                <w:rFonts w:hint="eastAsia" w:ascii="宋体" w:hAnsi="宋体" w:eastAsia="宋体" w:cs="宋体"/>
                <w:color w:val="auto"/>
                <w:kern w:val="0"/>
                <w:szCs w:val="21"/>
                <w:highlight w:val="none"/>
                <w:shd w:val="clear" w:color="auto" w:fill="auto"/>
              </w:rPr>
            </w:pPr>
          </w:p>
        </w:tc>
        <w:tc>
          <w:tcPr>
            <w:tcW w:w="3585" w:type="dxa"/>
            <w:noWrap w:val="0"/>
            <w:vAlign w:val="center"/>
          </w:tcPr>
          <w:p w14:paraId="7A95F99D">
            <w:pPr>
              <w:widowControl/>
              <w:spacing w:line="360" w:lineRule="exact"/>
              <w:jc w:val="left"/>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红外探测    （只）</w:t>
            </w:r>
          </w:p>
        </w:tc>
        <w:tc>
          <w:tcPr>
            <w:tcW w:w="1563" w:type="dxa"/>
            <w:noWrap w:val="0"/>
            <w:vAlign w:val="center"/>
          </w:tcPr>
          <w:p w14:paraId="257DA4E3">
            <w:pPr>
              <w:widowControl/>
              <w:spacing w:line="36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2</w:t>
            </w:r>
          </w:p>
        </w:tc>
      </w:tr>
      <w:tr w14:paraId="08A3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dxa"/>
            <w:vMerge w:val="continue"/>
            <w:noWrap w:val="0"/>
            <w:vAlign w:val="center"/>
          </w:tcPr>
          <w:p w14:paraId="157E2B81">
            <w:pPr>
              <w:widowControl/>
              <w:spacing w:line="360" w:lineRule="exact"/>
              <w:jc w:val="left"/>
              <w:rPr>
                <w:rFonts w:hint="eastAsia" w:ascii="宋体" w:hAnsi="宋体" w:eastAsia="宋体" w:cs="宋体"/>
                <w:color w:val="auto"/>
                <w:kern w:val="0"/>
                <w:szCs w:val="21"/>
                <w:highlight w:val="none"/>
                <w:shd w:val="clear" w:color="auto" w:fill="auto"/>
              </w:rPr>
            </w:pPr>
          </w:p>
        </w:tc>
        <w:tc>
          <w:tcPr>
            <w:tcW w:w="3585" w:type="dxa"/>
            <w:noWrap w:val="0"/>
            <w:vAlign w:val="center"/>
          </w:tcPr>
          <w:p w14:paraId="12D49930">
            <w:pPr>
              <w:widowControl/>
              <w:spacing w:line="360" w:lineRule="exact"/>
              <w:jc w:val="left"/>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门禁        （套）</w:t>
            </w:r>
          </w:p>
        </w:tc>
        <w:tc>
          <w:tcPr>
            <w:tcW w:w="1563" w:type="dxa"/>
            <w:noWrap w:val="0"/>
            <w:vAlign w:val="center"/>
          </w:tcPr>
          <w:p w14:paraId="6C23D60B">
            <w:pPr>
              <w:widowControl/>
              <w:spacing w:line="36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w:t>
            </w:r>
          </w:p>
        </w:tc>
      </w:tr>
    </w:tbl>
    <w:p w14:paraId="24078ABC">
      <w:pPr>
        <w:spacing w:line="44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（1）、上位机及数据传输相关要求</w:t>
      </w:r>
    </w:p>
    <w:p w14:paraId="65518F21">
      <w:pPr>
        <w:numPr>
          <w:ilvl w:val="0"/>
          <w:numId w:val="0"/>
        </w:numPr>
        <w:spacing w:line="440" w:lineRule="exact"/>
        <w:ind w:left="0" w:leftChars="0" w:firstLine="480"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b/>
          <w:bCs/>
          <w:color w:val="auto"/>
          <w:kern w:val="2"/>
          <w:sz w:val="24"/>
          <w:szCs w:val="24"/>
          <w:highlight w:val="none"/>
          <w:shd w:val="clear" w:color="auto" w:fill="auto"/>
          <w:lang w:val="en-US" w:eastAsia="zh-CN" w:bidi="ar-SA"/>
        </w:rPr>
        <w:t>①</w:t>
      </w:r>
      <w:r>
        <w:rPr>
          <w:rFonts w:hint="eastAsia" w:ascii="宋体" w:hAnsi="宋体" w:eastAsia="宋体" w:cs="宋体"/>
          <w:b/>
          <w:bCs/>
          <w:color w:val="auto"/>
          <w:sz w:val="24"/>
          <w:highlight w:val="none"/>
          <w:shd w:val="clear" w:color="auto" w:fill="auto"/>
        </w:rPr>
        <w:t>设备传输协议需与公司现有软件平台无缝对接，兼容目前的上位机InTouch软件、公司物联网平台等。</w:t>
      </w:r>
    </w:p>
    <w:p w14:paraId="4A502A7C">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②</w:t>
      </w:r>
      <w:r>
        <w:rPr>
          <w:rFonts w:hint="eastAsia" w:ascii="宋体" w:hAnsi="宋体" w:eastAsia="宋体" w:cs="宋体"/>
          <w:color w:val="auto"/>
          <w:sz w:val="24"/>
          <w:highlight w:val="none"/>
          <w:shd w:val="clear" w:color="auto" w:fill="auto"/>
        </w:rPr>
        <w:t>数据传输需全局考虑系统的安全性，满足网络通讯、数据传输等方面的安全要求，需提供可靠稳定的数据安全保护机制。</w:t>
      </w:r>
    </w:p>
    <w:p w14:paraId="0CAEDA20">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③</w:t>
      </w:r>
      <w:r>
        <w:rPr>
          <w:rFonts w:hint="eastAsia" w:ascii="宋体" w:hAnsi="宋体" w:eastAsia="宋体" w:cs="宋体"/>
          <w:color w:val="auto"/>
          <w:sz w:val="24"/>
          <w:highlight w:val="none"/>
          <w:shd w:val="clear" w:color="auto" w:fill="auto"/>
        </w:rPr>
        <w:t>确保上传数据的完整性，在下位机自动过滤乱码，数据丢失等异常数据；</w:t>
      </w:r>
    </w:p>
    <w:p w14:paraId="32F2C46F">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④</w:t>
      </w:r>
      <w:r>
        <w:rPr>
          <w:rFonts w:hint="eastAsia" w:ascii="宋体" w:hAnsi="宋体" w:eastAsia="宋体" w:cs="宋体"/>
          <w:color w:val="auto"/>
          <w:sz w:val="24"/>
          <w:highlight w:val="none"/>
          <w:shd w:val="clear" w:color="auto" w:fill="auto"/>
        </w:rPr>
        <w:t>具备数据补发功能，能通过上位机指令进行数据补发；</w:t>
      </w:r>
    </w:p>
    <w:p w14:paraId="614BDECD">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⑤</w:t>
      </w:r>
      <w:r>
        <w:rPr>
          <w:rFonts w:hint="eastAsia" w:ascii="宋体" w:hAnsi="宋体" w:eastAsia="宋体" w:cs="宋体"/>
          <w:color w:val="auto"/>
          <w:sz w:val="24"/>
          <w:highlight w:val="none"/>
          <w:shd w:val="clear" w:color="auto" w:fill="auto"/>
        </w:rPr>
        <w:t>数据传输采用光纤传输。</w:t>
      </w:r>
    </w:p>
    <w:p w14:paraId="07150440">
      <w:pPr>
        <w:spacing w:line="440" w:lineRule="exact"/>
        <w:ind w:firstLine="480" w:firstLineChars="200"/>
        <w:rPr>
          <w:rFonts w:hint="eastAsia" w:ascii="宋体" w:hAnsi="宋体" w:eastAsia="宋体" w:cs="宋体"/>
          <w:color w:val="auto"/>
          <w:sz w:val="24"/>
          <w:highlight w:val="none"/>
          <w:shd w:val="clear" w:color="auto" w:fill="auto"/>
        </w:rPr>
      </w:pPr>
    </w:p>
    <w:p w14:paraId="5B01EBB6">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（2）、下位机数据采集要求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268"/>
        <w:gridCol w:w="851"/>
        <w:gridCol w:w="1725"/>
        <w:gridCol w:w="1535"/>
        <w:gridCol w:w="1984"/>
      </w:tblGrid>
      <w:tr w14:paraId="7BB1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14" w:type="dxa"/>
            <w:shd w:val="clear" w:color="000000" w:fill="auto"/>
            <w:noWrap w:val="0"/>
            <w:vAlign w:val="center"/>
          </w:tcPr>
          <w:p w14:paraId="00492EC3">
            <w:pPr>
              <w:widowControl/>
              <w:spacing w:line="320" w:lineRule="exact"/>
              <w:jc w:val="center"/>
              <w:rPr>
                <w:rFonts w:hint="eastAsia" w:ascii="宋体" w:hAnsi="宋体" w:eastAsia="宋体" w:cs="宋体"/>
                <w:b/>
                <w:color w:val="auto"/>
                <w:kern w:val="0"/>
                <w:szCs w:val="21"/>
                <w:highlight w:val="none"/>
                <w:shd w:val="clear" w:color="auto" w:fill="auto"/>
              </w:rPr>
            </w:pPr>
            <w:r>
              <w:rPr>
                <w:rFonts w:hint="eastAsia" w:ascii="宋体" w:hAnsi="宋体" w:eastAsia="宋体" w:cs="宋体"/>
                <w:b/>
                <w:color w:val="auto"/>
                <w:kern w:val="0"/>
                <w:szCs w:val="21"/>
                <w:highlight w:val="none"/>
                <w:shd w:val="clear" w:color="auto" w:fill="auto"/>
              </w:rPr>
              <w:t>类别</w:t>
            </w:r>
          </w:p>
        </w:tc>
        <w:tc>
          <w:tcPr>
            <w:tcW w:w="2268" w:type="dxa"/>
            <w:shd w:val="clear" w:color="000000" w:fill="auto"/>
            <w:noWrap w:val="0"/>
            <w:vAlign w:val="center"/>
          </w:tcPr>
          <w:p w14:paraId="5E06420A">
            <w:pPr>
              <w:widowControl/>
              <w:spacing w:line="320" w:lineRule="exact"/>
              <w:jc w:val="center"/>
              <w:rPr>
                <w:rFonts w:hint="eastAsia" w:ascii="宋体" w:hAnsi="宋体" w:eastAsia="宋体" w:cs="宋体"/>
                <w:b/>
                <w:color w:val="auto"/>
                <w:kern w:val="0"/>
                <w:szCs w:val="21"/>
                <w:highlight w:val="none"/>
                <w:shd w:val="clear" w:color="auto" w:fill="auto"/>
              </w:rPr>
            </w:pPr>
            <w:r>
              <w:rPr>
                <w:rFonts w:hint="eastAsia" w:ascii="宋体" w:hAnsi="宋体" w:eastAsia="宋体" w:cs="宋体"/>
                <w:b/>
                <w:color w:val="auto"/>
                <w:kern w:val="0"/>
                <w:szCs w:val="21"/>
                <w:highlight w:val="none"/>
                <w:shd w:val="clear" w:color="auto" w:fill="auto"/>
              </w:rPr>
              <w:t>数据与信号采集</w:t>
            </w:r>
          </w:p>
        </w:tc>
        <w:tc>
          <w:tcPr>
            <w:tcW w:w="851" w:type="dxa"/>
            <w:shd w:val="clear" w:color="000000" w:fill="auto"/>
            <w:noWrap w:val="0"/>
            <w:vAlign w:val="center"/>
          </w:tcPr>
          <w:p w14:paraId="41485090">
            <w:pPr>
              <w:widowControl/>
              <w:spacing w:line="320" w:lineRule="exact"/>
              <w:jc w:val="center"/>
              <w:rPr>
                <w:rFonts w:hint="eastAsia" w:ascii="宋体" w:hAnsi="宋体" w:eastAsia="宋体" w:cs="宋体"/>
                <w:b/>
                <w:color w:val="auto"/>
                <w:kern w:val="0"/>
                <w:szCs w:val="21"/>
                <w:highlight w:val="none"/>
                <w:shd w:val="clear" w:color="auto" w:fill="auto"/>
              </w:rPr>
            </w:pPr>
            <w:r>
              <w:rPr>
                <w:rFonts w:hint="eastAsia" w:ascii="宋体" w:hAnsi="宋体" w:eastAsia="宋体" w:cs="宋体"/>
                <w:b/>
                <w:color w:val="auto"/>
                <w:kern w:val="0"/>
                <w:szCs w:val="21"/>
                <w:highlight w:val="none"/>
                <w:shd w:val="clear" w:color="auto" w:fill="auto"/>
              </w:rPr>
              <w:t>数据量</w:t>
            </w:r>
          </w:p>
        </w:tc>
        <w:tc>
          <w:tcPr>
            <w:tcW w:w="1725" w:type="dxa"/>
            <w:shd w:val="clear" w:color="000000" w:fill="auto"/>
            <w:noWrap w:val="0"/>
            <w:vAlign w:val="center"/>
          </w:tcPr>
          <w:p w14:paraId="2E344818">
            <w:pPr>
              <w:widowControl/>
              <w:spacing w:line="320" w:lineRule="exact"/>
              <w:jc w:val="center"/>
              <w:rPr>
                <w:rFonts w:hint="eastAsia" w:ascii="宋体" w:hAnsi="宋体" w:eastAsia="宋体" w:cs="宋体"/>
                <w:b/>
                <w:color w:val="auto"/>
                <w:kern w:val="0"/>
                <w:szCs w:val="21"/>
                <w:highlight w:val="none"/>
                <w:shd w:val="clear" w:color="auto" w:fill="auto"/>
              </w:rPr>
            </w:pPr>
            <w:r>
              <w:rPr>
                <w:rFonts w:hint="eastAsia" w:ascii="宋体" w:hAnsi="宋体" w:eastAsia="宋体" w:cs="宋体"/>
                <w:b/>
                <w:color w:val="auto"/>
                <w:kern w:val="0"/>
                <w:szCs w:val="21"/>
                <w:highlight w:val="none"/>
                <w:shd w:val="clear" w:color="auto" w:fill="auto"/>
              </w:rPr>
              <w:t>数据格式</w:t>
            </w:r>
          </w:p>
        </w:tc>
        <w:tc>
          <w:tcPr>
            <w:tcW w:w="1535" w:type="dxa"/>
            <w:shd w:val="clear" w:color="000000" w:fill="auto"/>
            <w:noWrap w:val="0"/>
            <w:vAlign w:val="center"/>
          </w:tcPr>
          <w:p w14:paraId="4468B4EC">
            <w:pPr>
              <w:widowControl/>
              <w:spacing w:line="320" w:lineRule="exact"/>
              <w:jc w:val="center"/>
              <w:rPr>
                <w:rFonts w:hint="eastAsia" w:ascii="宋体" w:hAnsi="宋体" w:eastAsia="宋体" w:cs="宋体"/>
                <w:b/>
                <w:color w:val="auto"/>
                <w:kern w:val="0"/>
                <w:szCs w:val="21"/>
                <w:highlight w:val="none"/>
                <w:shd w:val="clear" w:color="auto" w:fill="auto"/>
              </w:rPr>
            </w:pPr>
            <w:r>
              <w:rPr>
                <w:rFonts w:hint="eastAsia" w:ascii="宋体" w:hAnsi="宋体" w:eastAsia="宋体" w:cs="宋体"/>
                <w:b/>
                <w:color w:val="auto"/>
                <w:kern w:val="0"/>
                <w:szCs w:val="21"/>
                <w:highlight w:val="none"/>
                <w:shd w:val="clear" w:color="auto" w:fill="auto"/>
              </w:rPr>
              <w:t>配套设备</w:t>
            </w:r>
          </w:p>
        </w:tc>
        <w:tc>
          <w:tcPr>
            <w:tcW w:w="1984" w:type="dxa"/>
            <w:shd w:val="clear" w:color="000000" w:fill="auto"/>
            <w:noWrap w:val="0"/>
            <w:vAlign w:val="center"/>
          </w:tcPr>
          <w:p w14:paraId="21E8CB00">
            <w:pPr>
              <w:widowControl/>
              <w:spacing w:line="320" w:lineRule="exact"/>
              <w:jc w:val="center"/>
              <w:rPr>
                <w:rFonts w:hint="eastAsia" w:ascii="宋体" w:hAnsi="宋体" w:eastAsia="宋体" w:cs="宋体"/>
                <w:b/>
                <w:color w:val="auto"/>
                <w:kern w:val="0"/>
                <w:szCs w:val="21"/>
                <w:highlight w:val="none"/>
                <w:shd w:val="clear" w:color="auto" w:fill="auto"/>
              </w:rPr>
            </w:pPr>
            <w:r>
              <w:rPr>
                <w:rFonts w:hint="eastAsia" w:ascii="宋体" w:hAnsi="宋体" w:eastAsia="宋体" w:cs="宋体"/>
                <w:b/>
                <w:color w:val="auto"/>
                <w:kern w:val="0"/>
                <w:szCs w:val="21"/>
                <w:highlight w:val="none"/>
                <w:shd w:val="clear" w:color="auto" w:fill="auto"/>
              </w:rPr>
              <w:t>配套设备性能要求</w:t>
            </w:r>
          </w:p>
        </w:tc>
      </w:tr>
      <w:tr w14:paraId="2818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Merge w:val="restart"/>
            <w:noWrap w:val="0"/>
            <w:vAlign w:val="center"/>
          </w:tcPr>
          <w:p w14:paraId="17374F7C">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泵房</w:t>
            </w:r>
          </w:p>
          <w:p w14:paraId="7A058B21">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环境</w:t>
            </w:r>
          </w:p>
        </w:tc>
        <w:tc>
          <w:tcPr>
            <w:tcW w:w="2268" w:type="dxa"/>
            <w:noWrap w:val="0"/>
            <w:vAlign w:val="center"/>
          </w:tcPr>
          <w:p w14:paraId="3FF5F8B5">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烟感</w:t>
            </w:r>
          </w:p>
        </w:tc>
        <w:tc>
          <w:tcPr>
            <w:tcW w:w="851" w:type="dxa"/>
            <w:noWrap w:val="0"/>
            <w:vAlign w:val="center"/>
          </w:tcPr>
          <w:p w14:paraId="152EAE30">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1路</w:t>
            </w:r>
          </w:p>
        </w:tc>
        <w:tc>
          <w:tcPr>
            <w:tcW w:w="1725" w:type="dxa"/>
            <w:noWrap w:val="0"/>
            <w:vAlign w:val="center"/>
          </w:tcPr>
          <w:p w14:paraId="5F216549">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无源开关量</w:t>
            </w:r>
          </w:p>
        </w:tc>
        <w:tc>
          <w:tcPr>
            <w:tcW w:w="1535" w:type="dxa"/>
            <w:noWrap w:val="0"/>
            <w:vAlign w:val="center"/>
          </w:tcPr>
          <w:p w14:paraId="08FF6795">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烟雾探测器</w:t>
            </w:r>
          </w:p>
        </w:tc>
        <w:tc>
          <w:tcPr>
            <w:tcW w:w="1984" w:type="dxa"/>
            <w:noWrap w:val="0"/>
            <w:vAlign w:val="center"/>
          </w:tcPr>
          <w:p w14:paraId="70E17A4C">
            <w:pPr>
              <w:widowControl/>
              <w:spacing w:line="320" w:lineRule="exact"/>
              <w:jc w:val="left"/>
              <w:rPr>
                <w:rFonts w:hint="eastAsia" w:ascii="宋体" w:hAnsi="宋体" w:eastAsia="宋体" w:cs="宋体"/>
                <w:color w:val="auto"/>
                <w:kern w:val="0"/>
                <w:szCs w:val="21"/>
                <w:highlight w:val="none"/>
                <w:shd w:val="clear" w:color="auto" w:fill="auto"/>
                <w:lang w:eastAsia="zh-CN"/>
              </w:rPr>
            </w:pPr>
          </w:p>
        </w:tc>
      </w:tr>
      <w:tr w14:paraId="7A2D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Merge w:val="continue"/>
            <w:noWrap w:val="0"/>
            <w:vAlign w:val="center"/>
          </w:tcPr>
          <w:p w14:paraId="606FA663">
            <w:pPr>
              <w:widowControl/>
              <w:spacing w:line="320" w:lineRule="exact"/>
              <w:jc w:val="left"/>
              <w:rPr>
                <w:rFonts w:hint="eastAsia" w:ascii="宋体" w:hAnsi="宋体" w:eastAsia="宋体" w:cs="宋体"/>
                <w:color w:val="auto"/>
                <w:kern w:val="0"/>
                <w:szCs w:val="21"/>
                <w:highlight w:val="none"/>
                <w:shd w:val="clear" w:color="auto" w:fill="auto"/>
              </w:rPr>
            </w:pPr>
          </w:p>
        </w:tc>
        <w:tc>
          <w:tcPr>
            <w:tcW w:w="2268" w:type="dxa"/>
            <w:noWrap w:val="0"/>
            <w:vAlign w:val="center"/>
          </w:tcPr>
          <w:p w14:paraId="39401BEC">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环境温度、湿度</w:t>
            </w:r>
          </w:p>
        </w:tc>
        <w:tc>
          <w:tcPr>
            <w:tcW w:w="851" w:type="dxa"/>
            <w:noWrap w:val="0"/>
            <w:vAlign w:val="center"/>
          </w:tcPr>
          <w:p w14:paraId="5A076719">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2路</w:t>
            </w:r>
          </w:p>
        </w:tc>
        <w:tc>
          <w:tcPr>
            <w:tcW w:w="1725" w:type="dxa"/>
            <w:noWrap w:val="0"/>
            <w:vAlign w:val="center"/>
          </w:tcPr>
          <w:p w14:paraId="2320098E">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4-20mA模拟量</w:t>
            </w:r>
          </w:p>
        </w:tc>
        <w:tc>
          <w:tcPr>
            <w:tcW w:w="1535" w:type="dxa"/>
            <w:noWrap w:val="0"/>
            <w:vAlign w:val="center"/>
          </w:tcPr>
          <w:p w14:paraId="7FF6E07A">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温湿度仪</w:t>
            </w:r>
          </w:p>
        </w:tc>
        <w:tc>
          <w:tcPr>
            <w:tcW w:w="1984" w:type="dxa"/>
            <w:noWrap w:val="0"/>
            <w:vAlign w:val="center"/>
          </w:tcPr>
          <w:p w14:paraId="5BF4D03A">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温度：-40℃～120℃</w:t>
            </w:r>
          </w:p>
          <w:p w14:paraId="533EE205">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湿度：0％RH～100％RH</w:t>
            </w:r>
          </w:p>
        </w:tc>
      </w:tr>
      <w:tr w14:paraId="705D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Merge w:val="continue"/>
            <w:noWrap w:val="0"/>
            <w:vAlign w:val="center"/>
          </w:tcPr>
          <w:p w14:paraId="1AA02310">
            <w:pPr>
              <w:widowControl/>
              <w:spacing w:line="320" w:lineRule="exact"/>
              <w:jc w:val="left"/>
              <w:rPr>
                <w:rFonts w:hint="eastAsia" w:ascii="宋体" w:hAnsi="宋体" w:eastAsia="宋体" w:cs="宋体"/>
                <w:color w:val="auto"/>
                <w:kern w:val="0"/>
                <w:szCs w:val="21"/>
                <w:highlight w:val="none"/>
                <w:shd w:val="clear" w:color="auto" w:fill="auto"/>
              </w:rPr>
            </w:pPr>
          </w:p>
        </w:tc>
        <w:tc>
          <w:tcPr>
            <w:tcW w:w="2268" w:type="dxa"/>
            <w:noWrap w:val="0"/>
            <w:vAlign w:val="center"/>
          </w:tcPr>
          <w:p w14:paraId="0F3411C4">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地面液位</w:t>
            </w:r>
          </w:p>
        </w:tc>
        <w:tc>
          <w:tcPr>
            <w:tcW w:w="851" w:type="dxa"/>
            <w:noWrap w:val="0"/>
            <w:vAlign w:val="center"/>
          </w:tcPr>
          <w:p w14:paraId="0D79B9D1">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1路</w:t>
            </w:r>
          </w:p>
        </w:tc>
        <w:tc>
          <w:tcPr>
            <w:tcW w:w="1725" w:type="dxa"/>
            <w:noWrap w:val="0"/>
            <w:vAlign w:val="center"/>
          </w:tcPr>
          <w:p w14:paraId="7269B23D">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4-20mA模拟量</w:t>
            </w:r>
          </w:p>
        </w:tc>
        <w:tc>
          <w:tcPr>
            <w:tcW w:w="1535" w:type="dxa"/>
            <w:noWrap w:val="0"/>
            <w:vAlign w:val="center"/>
          </w:tcPr>
          <w:p w14:paraId="6DD9092B">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液位仪</w:t>
            </w:r>
          </w:p>
        </w:tc>
        <w:tc>
          <w:tcPr>
            <w:tcW w:w="1984" w:type="dxa"/>
            <w:noWrap w:val="0"/>
            <w:vAlign w:val="center"/>
          </w:tcPr>
          <w:p w14:paraId="2F3BC5A6">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量程：0～0.5M</w:t>
            </w:r>
          </w:p>
        </w:tc>
      </w:tr>
      <w:tr w14:paraId="2D7C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Merge w:val="restart"/>
            <w:noWrap w:val="0"/>
            <w:vAlign w:val="center"/>
          </w:tcPr>
          <w:p w14:paraId="19B0709F">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泵房</w:t>
            </w:r>
          </w:p>
          <w:p w14:paraId="66C5D432">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供电</w:t>
            </w:r>
          </w:p>
        </w:tc>
        <w:tc>
          <w:tcPr>
            <w:tcW w:w="2268" w:type="dxa"/>
            <w:noWrap w:val="0"/>
            <w:vAlign w:val="center"/>
          </w:tcPr>
          <w:p w14:paraId="0836358E">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市电状态</w:t>
            </w:r>
          </w:p>
        </w:tc>
        <w:tc>
          <w:tcPr>
            <w:tcW w:w="851" w:type="dxa"/>
            <w:noWrap w:val="0"/>
            <w:vAlign w:val="center"/>
          </w:tcPr>
          <w:p w14:paraId="6C3EFACE">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1路</w:t>
            </w:r>
          </w:p>
        </w:tc>
        <w:tc>
          <w:tcPr>
            <w:tcW w:w="1725" w:type="dxa"/>
            <w:noWrap w:val="0"/>
            <w:vAlign w:val="center"/>
          </w:tcPr>
          <w:p w14:paraId="239E9CE7">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无源开关量</w:t>
            </w:r>
          </w:p>
        </w:tc>
        <w:tc>
          <w:tcPr>
            <w:tcW w:w="1535" w:type="dxa"/>
            <w:noWrap w:val="0"/>
            <w:vAlign w:val="center"/>
          </w:tcPr>
          <w:p w14:paraId="27C4DF79">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UPS</w:t>
            </w:r>
          </w:p>
        </w:tc>
        <w:tc>
          <w:tcPr>
            <w:tcW w:w="1984" w:type="dxa"/>
            <w:noWrap w:val="0"/>
            <w:vAlign w:val="center"/>
          </w:tcPr>
          <w:p w14:paraId="7259C779">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持续放电时间不少于30分钟</w:t>
            </w:r>
          </w:p>
        </w:tc>
      </w:tr>
      <w:tr w14:paraId="2121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Merge w:val="continue"/>
            <w:noWrap w:val="0"/>
            <w:vAlign w:val="center"/>
          </w:tcPr>
          <w:p w14:paraId="7BD50D14">
            <w:pPr>
              <w:widowControl/>
              <w:spacing w:line="320" w:lineRule="exact"/>
              <w:jc w:val="left"/>
              <w:rPr>
                <w:rFonts w:hint="eastAsia" w:ascii="宋体" w:hAnsi="宋体" w:eastAsia="宋体" w:cs="宋体"/>
                <w:color w:val="auto"/>
                <w:kern w:val="0"/>
                <w:szCs w:val="21"/>
                <w:highlight w:val="none"/>
                <w:shd w:val="clear" w:color="auto" w:fill="auto"/>
              </w:rPr>
            </w:pPr>
          </w:p>
        </w:tc>
        <w:tc>
          <w:tcPr>
            <w:tcW w:w="2268" w:type="dxa"/>
            <w:noWrap w:val="0"/>
            <w:vAlign w:val="center"/>
          </w:tcPr>
          <w:p w14:paraId="6606AC32">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三相线电压U</w:t>
            </w:r>
            <w:r>
              <w:rPr>
                <w:rFonts w:hint="eastAsia" w:ascii="宋体" w:hAnsi="宋体" w:eastAsia="宋体" w:cs="宋体"/>
                <w:color w:val="auto"/>
                <w:kern w:val="0"/>
                <w:szCs w:val="21"/>
                <w:highlight w:val="none"/>
                <w:shd w:val="clear" w:color="auto" w:fill="auto"/>
                <w:vertAlign w:val="subscript"/>
              </w:rPr>
              <w:t>ab、</w:t>
            </w:r>
            <w:r>
              <w:rPr>
                <w:rFonts w:hint="eastAsia" w:ascii="宋体" w:hAnsi="宋体" w:eastAsia="宋体" w:cs="宋体"/>
                <w:color w:val="auto"/>
                <w:kern w:val="0"/>
                <w:szCs w:val="21"/>
                <w:highlight w:val="none"/>
                <w:shd w:val="clear" w:color="auto" w:fill="auto"/>
              </w:rPr>
              <w:t>U</w:t>
            </w:r>
            <w:r>
              <w:rPr>
                <w:rFonts w:hint="eastAsia" w:ascii="宋体" w:hAnsi="宋体" w:eastAsia="宋体" w:cs="宋体"/>
                <w:color w:val="auto"/>
                <w:kern w:val="0"/>
                <w:szCs w:val="21"/>
                <w:highlight w:val="none"/>
                <w:shd w:val="clear" w:color="auto" w:fill="auto"/>
                <w:vertAlign w:val="subscript"/>
              </w:rPr>
              <w:t>bc、</w:t>
            </w:r>
            <w:r>
              <w:rPr>
                <w:rFonts w:hint="eastAsia" w:ascii="宋体" w:hAnsi="宋体" w:eastAsia="宋体" w:cs="宋体"/>
                <w:color w:val="auto"/>
                <w:kern w:val="0"/>
                <w:szCs w:val="21"/>
                <w:highlight w:val="none"/>
                <w:shd w:val="clear" w:color="auto" w:fill="auto"/>
              </w:rPr>
              <w:t>U</w:t>
            </w:r>
            <w:r>
              <w:rPr>
                <w:rFonts w:hint="eastAsia" w:ascii="宋体" w:hAnsi="宋体" w:eastAsia="宋体" w:cs="宋体"/>
                <w:color w:val="auto"/>
                <w:kern w:val="0"/>
                <w:szCs w:val="21"/>
                <w:highlight w:val="none"/>
                <w:shd w:val="clear" w:color="auto" w:fill="auto"/>
                <w:vertAlign w:val="subscript"/>
              </w:rPr>
              <w:t>ca</w:t>
            </w:r>
          </w:p>
        </w:tc>
        <w:tc>
          <w:tcPr>
            <w:tcW w:w="851" w:type="dxa"/>
            <w:vMerge w:val="restart"/>
            <w:noWrap w:val="0"/>
            <w:vAlign w:val="center"/>
          </w:tcPr>
          <w:p w14:paraId="33CFCE34">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1组</w:t>
            </w:r>
          </w:p>
        </w:tc>
        <w:tc>
          <w:tcPr>
            <w:tcW w:w="1725" w:type="dxa"/>
            <w:vMerge w:val="restart"/>
            <w:noWrap w:val="0"/>
            <w:vAlign w:val="center"/>
          </w:tcPr>
          <w:p w14:paraId="7D284CB4">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RS485，遵循DLT645-2007协议规约</w:t>
            </w:r>
          </w:p>
        </w:tc>
        <w:tc>
          <w:tcPr>
            <w:tcW w:w="1535" w:type="dxa"/>
            <w:vMerge w:val="restart"/>
            <w:noWrap w:val="0"/>
            <w:vAlign w:val="center"/>
          </w:tcPr>
          <w:p w14:paraId="47924B93">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w:t>
            </w:r>
          </w:p>
        </w:tc>
        <w:tc>
          <w:tcPr>
            <w:tcW w:w="1984" w:type="dxa"/>
            <w:vMerge w:val="restart"/>
            <w:noWrap w:val="0"/>
            <w:vAlign w:val="center"/>
          </w:tcPr>
          <w:p w14:paraId="1B76E45C">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w:t>
            </w:r>
          </w:p>
        </w:tc>
      </w:tr>
      <w:tr w14:paraId="6DA5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Merge w:val="continue"/>
            <w:noWrap w:val="0"/>
            <w:vAlign w:val="center"/>
          </w:tcPr>
          <w:p w14:paraId="428FFCC5">
            <w:pPr>
              <w:widowControl/>
              <w:spacing w:line="320" w:lineRule="exact"/>
              <w:jc w:val="left"/>
              <w:rPr>
                <w:rFonts w:hint="eastAsia" w:ascii="宋体" w:hAnsi="宋体" w:eastAsia="宋体" w:cs="宋体"/>
                <w:color w:val="auto"/>
                <w:kern w:val="0"/>
                <w:szCs w:val="21"/>
                <w:highlight w:val="none"/>
                <w:shd w:val="clear" w:color="auto" w:fill="auto"/>
              </w:rPr>
            </w:pPr>
          </w:p>
        </w:tc>
        <w:tc>
          <w:tcPr>
            <w:tcW w:w="2268" w:type="dxa"/>
            <w:noWrap w:val="0"/>
            <w:vAlign w:val="center"/>
          </w:tcPr>
          <w:p w14:paraId="3039CBFF">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三相线电流Ia、Ib、Ic</w:t>
            </w:r>
          </w:p>
        </w:tc>
        <w:tc>
          <w:tcPr>
            <w:tcW w:w="851" w:type="dxa"/>
            <w:vMerge w:val="continue"/>
            <w:noWrap w:val="0"/>
            <w:vAlign w:val="center"/>
          </w:tcPr>
          <w:p w14:paraId="16EB4957">
            <w:pPr>
              <w:widowControl/>
              <w:spacing w:line="320" w:lineRule="exact"/>
              <w:jc w:val="left"/>
              <w:rPr>
                <w:rFonts w:hint="eastAsia" w:ascii="宋体" w:hAnsi="宋体" w:eastAsia="宋体" w:cs="宋体"/>
                <w:color w:val="auto"/>
                <w:kern w:val="0"/>
                <w:szCs w:val="21"/>
                <w:highlight w:val="none"/>
                <w:shd w:val="clear" w:color="auto" w:fill="auto"/>
              </w:rPr>
            </w:pPr>
          </w:p>
        </w:tc>
        <w:tc>
          <w:tcPr>
            <w:tcW w:w="1725" w:type="dxa"/>
            <w:vMerge w:val="continue"/>
            <w:noWrap w:val="0"/>
            <w:vAlign w:val="center"/>
          </w:tcPr>
          <w:p w14:paraId="44A89FF4">
            <w:pPr>
              <w:widowControl/>
              <w:spacing w:line="320" w:lineRule="exact"/>
              <w:jc w:val="left"/>
              <w:rPr>
                <w:rFonts w:hint="eastAsia" w:ascii="宋体" w:hAnsi="宋体" w:eastAsia="宋体" w:cs="宋体"/>
                <w:color w:val="auto"/>
                <w:kern w:val="0"/>
                <w:szCs w:val="21"/>
                <w:highlight w:val="none"/>
                <w:shd w:val="clear" w:color="auto" w:fill="auto"/>
              </w:rPr>
            </w:pPr>
          </w:p>
        </w:tc>
        <w:tc>
          <w:tcPr>
            <w:tcW w:w="1535" w:type="dxa"/>
            <w:vMerge w:val="continue"/>
            <w:noWrap w:val="0"/>
            <w:vAlign w:val="center"/>
          </w:tcPr>
          <w:p w14:paraId="0696C13A">
            <w:pPr>
              <w:widowControl/>
              <w:spacing w:line="320" w:lineRule="exact"/>
              <w:jc w:val="left"/>
              <w:rPr>
                <w:rFonts w:hint="eastAsia" w:ascii="宋体" w:hAnsi="宋体" w:eastAsia="宋体" w:cs="宋体"/>
                <w:color w:val="auto"/>
                <w:kern w:val="0"/>
                <w:szCs w:val="21"/>
                <w:highlight w:val="none"/>
                <w:shd w:val="clear" w:color="auto" w:fill="auto"/>
              </w:rPr>
            </w:pPr>
          </w:p>
        </w:tc>
        <w:tc>
          <w:tcPr>
            <w:tcW w:w="1984" w:type="dxa"/>
            <w:vMerge w:val="continue"/>
            <w:noWrap w:val="0"/>
            <w:vAlign w:val="center"/>
          </w:tcPr>
          <w:p w14:paraId="338225E6">
            <w:pPr>
              <w:widowControl/>
              <w:spacing w:line="320" w:lineRule="exact"/>
              <w:jc w:val="left"/>
              <w:rPr>
                <w:rFonts w:hint="eastAsia" w:ascii="宋体" w:hAnsi="宋体" w:eastAsia="宋体" w:cs="宋体"/>
                <w:color w:val="auto"/>
                <w:kern w:val="0"/>
                <w:szCs w:val="21"/>
                <w:highlight w:val="none"/>
                <w:shd w:val="clear" w:color="auto" w:fill="auto"/>
              </w:rPr>
            </w:pPr>
          </w:p>
        </w:tc>
      </w:tr>
      <w:tr w14:paraId="6958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Merge w:val="continue"/>
            <w:noWrap w:val="0"/>
            <w:vAlign w:val="center"/>
          </w:tcPr>
          <w:p w14:paraId="7761BBB4">
            <w:pPr>
              <w:widowControl/>
              <w:spacing w:line="320" w:lineRule="exact"/>
              <w:jc w:val="left"/>
              <w:rPr>
                <w:rFonts w:hint="eastAsia" w:ascii="宋体" w:hAnsi="宋体" w:eastAsia="宋体" w:cs="宋体"/>
                <w:color w:val="auto"/>
                <w:kern w:val="0"/>
                <w:szCs w:val="21"/>
                <w:highlight w:val="none"/>
                <w:shd w:val="clear" w:color="auto" w:fill="auto"/>
              </w:rPr>
            </w:pPr>
          </w:p>
        </w:tc>
        <w:tc>
          <w:tcPr>
            <w:tcW w:w="2268" w:type="dxa"/>
            <w:noWrap w:val="0"/>
            <w:vAlign w:val="center"/>
          </w:tcPr>
          <w:p w14:paraId="7AD483F6">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电表当前总有功功率</w:t>
            </w:r>
          </w:p>
        </w:tc>
        <w:tc>
          <w:tcPr>
            <w:tcW w:w="851" w:type="dxa"/>
            <w:vMerge w:val="continue"/>
            <w:noWrap w:val="0"/>
            <w:vAlign w:val="center"/>
          </w:tcPr>
          <w:p w14:paraId="1CCC0C3A">
            <w:pPr>
              <w:widowControl/>
              <w:spacing w:line="320" w:lineRule="exact"/>
              <w:jc w:val="left"/>
              <w:rPr>
                <w:rFonts w:hint="eastAsia" w:ascii="宋体" w:hAnsi="宋体" w:eastAsia="宋体" w:cs="宋体"/>
                <w:color w:val="auto"/>
                <w:kern w:val="0"/>
                <w:szCs w:val="21"/>
                <w:highlight w:val="none"/>
                <w:shd w:val="clear" w:color="auto" w:fill="auto"/>
              </w:rPr>
            </w:pPr>
          </w:p>
        </w:tc>
        <w:tc>
          <w:tcPr>
            <w:tcW w:w="1725" w:type="dxa"/>
            <w:vMerge w:val="continue"/>
            <w:noWrap w:val="0"/>
            <w:vAlign w:val="center"/>
          </w:tcPr>
          <w:p w14:paraId="3076C333">
            <w:pPr>
              <w:widowControl/>
              <w:spacing w:line="320" w:lineRule="exact"/>
              <w:jc w:val="left"/>
              <w:rPr>
                <w:rFonts w:hint="eastAsia" w:ascii="宋体" w:hAnsi="宋体" w:eastAsia="宋体" w:cs="宋体"/>
                <w:color w:val="auto"/>
                <w:kern w:val="0"/>
                <w:szCs w:val="21"/>
                <w:highlight w:val="none"/>
                <w:shd w:val="clear" w:color="auto" w:fill="auto"/>
              </w:rPr>
            </w:pPr>
          </w:p>
        </w:tc>
        <w:tc>
          <w:tcPr>
            <w:tcW w:w="1535" w:type="dxa"/>
            <w:vMerge w:val="continue"/>
            <w:noWrap w:val="0"/>
            <w:vAlign w:val="center"/>
          </w:tcPr>
          <w:p w14:paraId="332C1EE6">
            <w:pPr>
              <w:widowControl/>
              <w:spacing w:line="320" w:lineRule="exact"/>
              <w:jc w:val="left"/>
              <w:rPr>
                <w:rFonts w:hint="eastAsia" w:ascii="宋体" w:hAnsi="宋体" w:eastAsia="宋体" w:cs="宋体"/>
                <w:color w:val="auto"/>
                <w:kern w:val="0"/>
                <w:szCs w:val="21"/>
                <w:highlight w:val="none"/>
                <w:shd w:val="clear" w:color="auto" w:fill="auto"/>
              </w:rPr>
            </w:pPr>
          </w:p>
        </w:tc>
        <w:tc>
          <w:tcPr>
            <w:tcW w:w="1984" w:type="dxa"/>
            <w:vMerge w:val="continue"/>
            <w:noWrap w:val="0"/>
            <w:vAlign w:val="center"/>
          </w:tcPr>
          <w:p w14:paraId="409E7946">
            <w:pPr>
              <w:widowControl/>
              <w:spacing w:line="320" w:lineRule="exact"/>
              <w:jc w:val="left"/>
              <w:rPr>
                <w:rFonts w:hint="eastAsia" w:ascii="宋体" w:hAnsi="宋体" w:eastAsia="宋体" w:cs="宋体"/>
                <w:color w:val="auto"/>
                <w:kern w:val="0"/>
                <w:szCs w:val="21"/>
                <w:highlight w:val="none"/>
                <w:shd w:val="clear" w:color="auto" w:fill="auto"/>
              </w:rPr>
            </w:pPr>
          </w:p>
        </w:tc>
      </w:tr>
      <w:tr w14:paraId="15E2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Merge w:val="restart"/>
            <w:noWrap w:val="0"/>
            <w:vAlign w:val="center"/>
          </w:tcPr>
          <w:p w14:paraId="55EF6A87">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视频</w:t>
            </w:r>
          </w:p>
          <w:p w14:paraId="36A58755">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安防</w:t>
            </w:r>
          </w:p>
          <w:p w14:paraId="36518022">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门禁</w:t>
            </w:r>
          </w:p>
        </w:tc>
        <w:tc>
          <w:tcPr>
            <w:tcW w:w="2268" w:type="dxa"/>
            <w:noWrap w:val="0"/>
            <w:vAlign w:val="center"/>
          </w:tcPr>
          <w:p w14:paraId="0A3220B5">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视频图像（枪）</w:t>
            </w:r>
          </w:p>
        </w:tc>
        <w:tc>
          <w:tcPr>
            <w:tcW w:w="851" w:type="dxa"/>
            <w:noWrap w:val="0"/>
            <w:vAlign w:val="center"/>
          </w:tcPr>
          <w:p w14:paraId="635D49EE">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（详见清单）</w:t>
            </w:r>
          </w:p>
        </w:tc>
        <w:tc>
          <w:tcPr>
            <w:tcW w:w="1725" w:type="dxa"/>
            <w:noWrap w:val="0"/>
            <w:vAlign w:val="center"/>
          </w:tcPr>
          <w:p w14:paraId="4BFD89DE">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TCP/IP</w:t>
            </w:r>
          </w:p>
        </w:tc>
        <w:tc>
          <w:tcPr>
            <w:tcW w:w="1535" w:type="dxa"/>
            <w:noWrap w:val="0"/>
            <w:vAlign w:val="center"/>
          </w:tcPr>
          <w:p w14:paraId="4728C1EB">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视频系统</w:t>
            </w:r>
          </w:p>
        </w:tc>
        <w:tc>
          <w:tcPr>
            <w:tcW w:w="1984" w:type="dxa"/>
            <w:noWrap w:val="0"/>
            <w:vAlign w:val="center"/>
          </w:tcPr>
          <w:p w14:paraId="2D66038B">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视频照射范围：供水设备电气控制柜；泵机组设备；集水井；进出主通道；</w:t>
            </w:r>
          </w:p>
          <w:p w14:paraId="1B492B5B">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视频录像保存不少于90天。</w:t>
            </w:r>
          </w:p>
        </w:tc>
      </w:tr>
      <w:tr w14:paraId="17C5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Merge w:val="continue"/>
            <w:noWrap w:val="0"/>
            <w:vAlign w:val="center"/>
          </w:tcPr>
          <w:p w14:paraId="24B8FB2E">
            <w:pPr>
              <w:widowControl/>
              <w:spacing w:line="320" w:lineRule="exact"/>
              <w:jc w:val="left"/>
              <w:rPr>
                <w:rFonts w:hint="eastAsia" w:ascii="宋体" w:hAnsi="宋体" w:eastAsia="宋体" w:cs="宋体"/>
                <w:color w:val="auto"/>
                <w:kern w:val="0"/>
                <w:szCs w:val="21"/>
                <w:highlight w:val="none"/>
                <w:shd w:val="clear" w:color="auto" w:fill="auto"/>
              </w:rPr>
            </w:pPr>
          </w:p>
        </w:tc>
        <w:tc>
          <w:tcPr>
            <w:tcW w:w="2268" w:type="dxa"/>
            <w:noWrap w:val="0"/>
            <w:vAlign w:val="center"/>
          </w:tcPr>
          <w:p w14:paraId="1C11726A">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红外状态</w:t>
            </w:r>
          </w:p>
        </w:tc>
        <w:tc>
          <w:tcPr>
            <w:tcW w:w="851" w:type="dxa"/>
            <w:noWrap w:val="0"/>
            <w:vAlign w:val="center"/>
          </w:tcPr>
          <w:p w14:paraId="34D3E560">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1路</w:t>
            </w:r>
          </w:p>
          <w:p w14:paraId="12743C55">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1路</w:t>
            </w:r>
          </w:p>
        </w:tc>
        <w:tc>
          <w:tcPr>
            <w:tcW w:w="1725" w:type="dxa"/>
            <w:noWrap w:val="0"/>
            <w:vAlign w:val="center"/>
          </w:tcPr>
          <w:p w14:paraId="0ECFB6E4">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无源开关量</w:t>
            </w:r>
          </w:p>
          <w:p w14:paraId="61A24FB3">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TCP/IP</w:t>
            </w:r>
          </w:p>
        </w:tc>
        <w:tc>
          <w:tcPr>
            <w:tcW w:w="1535" w:type="dxa"/>
            <w:noWrap w:val="0"/>
            <w:vAlign w:val="center"/>
          </w:tcPr>
          <w:p w14:paraId="40C6A18F">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红外报警系统</w:t>
            </w:r>
          </w:p>
        </w:tc>
        <w:tc>
          <w:tcPr>
            <w:tcW w:w="1984" w:type="dxa"/>
            <w:noWrap w:val="0"/>
            <w:vAlign w:val="center"/>
          </w:tcPr>
          <w:p w14:paraId="05EFD627">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红外探测器数量与泵房门数相对应；</w:t>
            </w:r>
          </w:p>
          <w:p w14:paraId="2643B1C0">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红外触发后，现场保持30S声光警示。</w:t>
            </w:r>
          </w:p>
        </w:tc>
      </w:tr>
      <w:tr w14:paraId="5101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Merge w:val="continue"/>
            <w:noWrap w:val="0"/>
            <w:vAlign w:val="center"/>
          </w:tcPr>
          <w:p w14:paraId="3AE1E6C1">
            <w:pPr>
              <w:widowControl/>
              <w:spacing w:line="320" w:lineRule="exact"/>
              <w:jc w:val="left"/>
              <w:rPr>
                <w:rFonts w:hint="eastAsia" w:ascii="宋体" w:hAnsi="宋体" w:eastAsia="宋体" w:cs="宋体"/>
                <w:color w:val="auto"/>
                <w:kern w:val="0"/>
                <w:szCs w:val="21"/>
                <w:highlight w:val="none"/>
                <w:shd w:val="clear" w:color="auto" w:fill="auto"/>
              </w:rPr>
            </w:pPr>
          </w:p>
        </w:tc>
        <w:tc>
          <w:tcPr>
            <w:tcW w:w="2268" w:type="dxa"/>
            <w:noWrap w:val="0"/>
            <w:vAlign w:val="center"/>
          </w:tcPr>
          <w:p w14:paraId="130CC2C8">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门禁状态</w:t>
            </w:r>
          </w:p>
        </w:tc>
        <w:tc>
          <w:tcPr>
            <w:tcW w:w="851" w:type="dxa"/>
            <w:noWrap w:val="0"/>
            <w:vAlign w:val="center"/>
          </w:tcPr>
          <w:p w14:paraId="02AC7BB0">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1路</w:t>
            </w:r>
          </w:p>
        </w:tc>
        <w:tc>
          <w:tcPr>
            <w:tcW w:w="1725" w:type="dxa"/>
            <w:noWrap w:val="0"/>
            <w:vAlign w:val="center"/>
          </w:tcPr>
          <w:p w14:paraId="79BD5FEC">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TCP/IP</w:t>
            </w:r>
          </w:p>
        </w:tc>
        <w:tc>
          <w:tcPr>
            <w:tcW w:w="1535" w:type="dxa"/>
            <w:noWrap w:val="0"/>
            <w:vAlign w:val="center"/>
          </w:tcPr>
          <w:p w14:paraId="0B11066F">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门禁系统</w:t>
            </w:r>
          </w:p>
        </w:tc>
        <w:tc>
          <w:tcPr>
            <w:tcW w:w="1984" w:type="dxa"/>
            <w:noWrap w:val="0"/>
            <w:vAlign w:val="center"/>
          </w:tcPr>
          <w:p w14:paraId="5DF6E6BE">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泵房主出入口加装门禁系统，其余次要通道不作要求。</w:t>
            </w:r>
          </w:p>
        </w:tc>
      </w:tr>
      <w:tr w14:paraId="78F7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noWrap w:val="0"/>
            <w:vAlign w:val="center"/>
          </w:tcPr>
          <w:p w14:paraId="5516D367">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供水</w:t>
            </w:r>
          </w:p>
          <w:p w14:paraId="6FD3FD5E">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设备</w:t>
            </w:r>
          </w:p>
        </w:tc>
        <w:tc>
          <w:tcPr>
            <w:tcW w:w="2268" w:type="dxa"/>
            <w:noWrap w:val="0"/>
            <w:vAlign w:val="center"/>
          </w:tcPr>
          <w:p w14:paraId="76B6D292">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“进出水压力、泵机状态参数、变频器状态参数、控制模式、各保护功能状态、流量参数、电量参数”等</w:t>
            </w:r>
          </w:p>
        </w:tc>
        <w:tc>
          <w:tcPr>
            <w:tcW w:w="851" w:type="dxa"/>
            <w:noWrap w:val="0"/>
            <w:vAlign w:val="center"/>
          </w:tcPr>
          <w:p w14:paraId="4A8D26AD">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（详见清单）</w:t>
            </w:r>
          </w:p>
        </w:tc>
        <w:tc>
          <w:tcPr>
            <w:tcW w:w="1725" w:type="dxa"/>
            <w:noWrap w:val="0"/>
            <w:vAlign w:val="center"/>
          </w:tcPr>
          <w:p w14:paraId="372856FC">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RS485，MODBUS协议数据读取，具体以设备厂商提供的通讯协议为准</w:t>
            </w:r>
          </w:p>
        </w:tc>
        <w:tc>
          <w:tcPr>
            <w:tcW w:w="1535" w:type="dxa"/>
            <w:noWrap w:val="0"/>
            <w:vAlign w:val="center"/>
          </w:tcPr>
          <w:p w14:paraId="5E27E752">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w:t>
            </w:r>
          </w:p>
        </w:tc>
        <w:tc>
          <w:tcPr>
            <w:tcW w:w="1984" w:type="dxa"/>
            <w:noWrap w:val="0"/>
            <w:vAlign w:val="center"/>
          </w:tcPr>
          <w:p w14:paraId="78EEE1A0">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w:t>
            </w:r>
          </w:p>
        </w:tc>
      </w:tr>
      <w:tr w14:paraId="5FF6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Merge w:val="restart"/>
            <w:noWrap w:val="0"/>
            <w:vAlign w:val="center"/>
          </w:tcPr>
          <w:p w14:paraId="2673204B">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电动</w:t>
            </w:r>
          </w:p>
          <w:p w14:paraId="630C79EB">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阀门</w:t>
            </w:r>
          </w:p>
        </w:tc>
        <w:tc>
          <w:tcPr>
            <w:tcW w:w="2268" w:type="dxa"/>
            <w:vMerge w:val="restart"/>
            <w:noWrap w:val="0"/>
            <w:vAlign w:val="center"/>
          </w:tcPr>
          <w:p w14:paraId="33186AED">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“全开、全关、故障”状态</w:t>
            </w:r>
          </w:p>
        </w:tc>
        <w:tc>
          <w:tcPr>
            <w:tcW w:w="851" w:type="dxa"/>
            <w:vMerge w:val="restart"/>
            <w:noWrap w:val="0"/>
            <w:vAlign w:val="center"/>
          </w:tcPr>
          <w:p w14:paraId="52E33E26">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每只阀门3路</w:t>
            </w:r>
          </w:p>
          <w:p w14:paraId="0B05FE06">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阀门数量按实</w:t>
            </w:r>
          </w:p>
        </w:tc>
        <w:tc>
          <w:tcPr>
            <w:tcW w:w="1725" w:type="dxa"/>
            <w:vMerge w:val="restart"/>
            <w:noWrap w:val="0"/>
            <w:vAlign w:val="center"/>
          </w:tcPr>
          <w:p w14:paraId="72E8F11D">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无源开关量</w:t>
            </w:r>
          </w:p>
        </w:tc>
        <w:tc>
          <w:tcPr>
            <w:tcW w:w="1535" w:type="dxa"/>
            <w:vMerge w:val="restart"/>
            <w:noWrap w:val="0"/>
            <w:vAlign w:val="center"/>
          </w:tcPr>
          <w:p w14:paraId="369D0292">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w:t>
            </w:r>
          </w:p>
        </w:tc>
        <w:tc>
          <w:tcPr>
            <w:tcW w:w="1984" w:type="dxa"/>
            <w:vMerge w:val="restart"/>
            <w:noWrap w:val="0"/>
            <w:vAlign w:val="center"/>
          </w:tcPr>
          <w:p w14:paraId="6EF9B8CD">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w:t>
            </w:r>
          </w:p>
        </w:tc>
      </w:tr>
      <w:tr w14:paraId="64ED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Merge w:val="continue"/>
            <w:noWrap w:val="0"/>
            <w:vAlign w:val="center"/>
          </w:tcPr>
          <w:p w14:paraId="79A397CD">
            <w:pPr>
              <w:widowControl/>
              <w:spacing w:line="320" w:lineRule="exact"/>
              <w:jc w:val="left"/>
              <w:rPr>
                <w:rFonts w:hint="eastAsia" w:ascii="宋体" w:hAnsi="宋体" w:eastAsia="宋体" w:cs="宋体"/>
                <w:color w:val="auto"/>
                <w:kern w:val="0"/>
                <w:szCs w:val="21"/>
                <w:highlight w:val="none"/>
                <w:shd w:val="clear" w:color="auto" w:fill="auto"/>
              </w:rPr>
            </w:pPr>
          </w:p>
        </w:tc>
        <w:tc>
          <w:tcPr>
            <w:tcW w:w="2268" w:type="dxa"/>
            <w:vMerge w:val="continue"/>
            <w:noWrap w:val="0"/>
            <w:vAlign w:val="center"/>
          </w:tcPr>
          <w:p w14:paraId="13994A35">
            <w:pPr>
              <w:widowControl/>
              <w:spacing w:line="320" w:lineRule="exact"/>
              <w:jc w:val="left"/>
              <w:rPr>
                <w:rFonts w:hint="eastAsia" w:ascii="宋体" w:hAnsi="宋体" w:eastAsia="宋体" w:cs="宋体"/>
                <w:color w:val="auto"/>
                <w:kern w:val="0"/>
                <w:szCs w:val="21"/>
                <w:highlight w:val="none"/>
                <w:shd w:val="clear" w:color="auto" w:fill="auto"/>
              </w:rPr>
            </w:pPr>
          </w:p>
        </w:tc>
        <w:tc>
          <w:tcPr>
            <w:tcW w:w="851" w:type="dxa"/>
            <w:vMerge w:val="continue"/>
            <w:noWrap w:val="0"/>
            <w:vAlign w:val="center"/>
          </w:tcPr>
          <w:p w14:paraId="370A13A0">
            <w:pPr>
              <w:widowControl/>
              <w:spacing w:line="320" w:lineRule="exact"/>
              <w:jc w:val="left"/>
              <w:rPr>
                <w:rFonts w:hint="eastAsia" w:ascii="宋体" w:hAnsi="宋体" w:eastAsia="宋体" w:cs="宋体"/>
                <w:color w:val="auto"/>
                <w:kern w:val="0"/>
                <w:szCs w:val="21"/>
                <w:highlight w:val="none"/>
                <w:shd w:val="clear" w:color="auto" w:fill="auto"/>
              </w:rPr>
            </w:pPr>
          </w:p>
        </w:tc>
        <w:tc>
          <w:tcPr>
            <w:tcW w:w="1725" w:type="dxa"/>
            <w:vMerge w:val="continue"/>
            <w:noWrap w:val="0"/>
            <w:vAlign w:val="center"/>
          </w:tcPr>
          <w:p w14:paraId="0313C2AC">
            <w:pPr>
              <w:widowControl/>
              <w:spacing w:line="320" w:lineRule="exact"/>
              <w:jc w:val="left"/>
              <w:rPr>
                <w:rFonts w:hint="eastAsia" w:ascii="宋体" w:hAnsi="宋体" w:eastAsia="宋体" w:cs="宋体"/>
                <w:color w:val="auto"/>
                <w:kern w:val="0"/>
                <w:szCs w:val="21"/>
                <w:highlight w:val="none"/>
                <w:shd w:val="clear" w:color="auto" w:fill="auto"/>
              </w:rPr>
            </w:pPr>
          </w:p>
        </w:tc>
        <w:tc>
          <w:tcPr>
            <w:tcW w:w="1535" w:type="dxa"/>
            <w:vMerge w:val="continue"/>
            <w:noWrap w:val="0"/>
            <w:vAlign w:val="center"/>
          </w:tcPr>
          <w:p w14:paraId="317CDA44">
            <w:pPr>
              <w:widowControl/>
              <w:spacing w:line="320" w:lineRule="exact"/>
              <w:jc w:val="left"/>
              <w:rPr>
                <w:rFonts w:hint="eastAsia" w:ascii="宋体" w:hAnsi="宋体" w:eastAsia="宋体" w:cs="宋体"/>
                <w:color w:val="auto"/>
                <w:kern w:val="0"/>
                <w:szCs w:val="21"/>
                <w:highlight w:val="none"/>
                <w:shd w:val="clear" w:color="auto" w:fill="auto"/>
              </w:rPr>
            </w:pPr>
          </w:p>
        </w:tc>
        <w:tc>
          <w:tcPr>
            <w:tcW w:w="1984" w:type="dxa"/>
            <w:vMerge w:val="continue"/>
            <w:noWrap w:val="0"/>
            <w:vAlign w:val="center"/>
          </w:tcPr>
          <w:p w14:paraId="09437363">
            <w:pPr>
              <w:widowControl/>
              <w:spacing w:line="320" w:lineRule="exact"/>
              <w:jc w:val="left"/>
              <w:rPr>
                <w:rFonts w:hint="eastAsia" w:ascii="宋体" w:hAnsi="宋体" w:eastAsia="宋体" w:cs="宋体"/>
                <w:color w:val="auto"/>
                <w:kern w:val="0"/>
                <w:szCs w:val="21"/>
                <w:highlight w:val="none"/>
                <w:shd w:val="clear" w:color="auto" w:fill="auto"/>
              </w:rPr>
            </w:pPr>
          </w:p>
        </w:tc>
      </w:tr>
      <w:tr w14:paraId="62DB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noWrap w:val="0"/>
            <w:vAlign w:val="center"/>
          </w:tcPr>
          <w:p w14:paraId="0017F26E">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水质</w:t>
            </w:r>
          </w:p>
          <w:p w14:paraId="3131F035">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检测</w:t>
            </w:r>
          </w:p>
        </w:tc>
        <w:tc>
          <w:tcPr>
            <w:tcW w:w="2268" w:type="dxa"/>
            <w:noWrap w:val="0"/>
            <w:vAlign w:val="center"/>
          </w:tcPr>
          <w:p w14:paraId="2CBFA320">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“浊度、余氯、PH”</w:t>
            </w:r>
          </w:p>
        </w:tc>
        <w:tc>
          <w:tcPr>
            <w:tcW w:w="851" w:type="dxa"/>
            <w:noWrap w:val="0"/>
            <w:vAlign w:val="center"/>
          </w:tcPr>
          <w:p w14:paraId="77733D6F">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1路</w:t>
            </w:r>
          </w:p>
        </w:tc>
        <w:tc>
          <w:tcPr>
            <w:tcW w:w="1725" w:type="dxa"/>
            <w:noWrap w:val="0"/>
            <w:vAlign w:val="center"/>
          </w:tcPr>
          <w:p w14:paraId="6B3E76BA">
            <w:pPr>
              <w:widowControl/>
              <w:spacing w:line="320" w:lineRule="exac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TCP/IP</w:t>
            </w:r>
          </w:p>
        </w:tc>
        <w:tc>
          <w:tcPr>
            <w:tcW w:w="1535" w:type="dxa"/>
            <w:noWrap w:val="0"/>
            <w:vAlign w:val="center"/>
          </w:tcPr>
          <w:p w14:paraId="495F86DC">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w:t>
            </w:r>
          </w:p>
        </w:tc>
        <w:tc>
          <w:tcPr>
            <w:tcW w:w="1984" w:type="dxa"/>
            <w:noWrap w:val="0"/>
            <w:vAlign w:val="center"/>
          </w:tcPr>
          <w:p w14:paraId="66FBA89F">
            <w:pPr>
              <w:widowControl/>
              <w:spacing w:line="320" w:lineRule="exac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w:t>
            </w:r>
          </w:p>
        </w:tc>
      </w:tr>
    </w:tbl>
    <w:p w14:paraId="4AA038B7">
      <w:pPr>
        <w:spacing w:line="440" w:lineRule="exact"/>
        <w:rPr>
          <w:rFonts w:hint="eastAsia" w:ascii="宋体" w:hAnsi="宋体" w:eastAsia="宋体" w:cs="宋体"/>
          <w:color w:val="auto"/>
          <w:sz w:val="24"/>
          <w:highlight w:val="none"/>
          <w:shd w:val="clear" w:color="auto" w:fill="auto"/>
        </w:rPr>
      </w:pPr>
    </w:p>
    <w:p w14:paraId="0E66A833">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（3）、现场设备控制要求</w:t>
      </w:r>
    </w:p>
    <w:tbl>
      <w:tblPr>
        <w:tblStyle w:val="27"/>
        <w:tblW w:w="0" w:type="auto"/>
        <w:jc w:val="center"/>
        <w:tblLayout w:type="fixed"/>
        <w:tblCellMar>
          <w:top w:w="0" w:type="dxa"/>
          <w:left w:w="108" w:type="dxa"/>
          <w:bottom w:w="0" w:type="dxa"/>
          <w:right w:w="108" w:type="dxa"/>
        </w:tblCellMar>
      </w:tblPr>
      <w:tblGrid>
        <w:gridCol w:w="880"/>
        <w:gridCol w:w="2527"/>
        <w:gridCol w:w="993"/>
        <w:gridCol w:w="1417"/>
        <w:gridCol w:w="3260"/>
      </w:tblGrid>
      <w:tr w14:paraId="022F8793">
        <w:tblPrEx>
          <w:tblCellMar>
            <w:top w:w="0" w:type="dxa"/>
            <w:left w:w="108" w:type="dxa"/>
            <w:bottom w:w="0" w:type="dxa"/>
            <w:right w:w="108" w:type="dxa"/>
          </w:tblCellMar>
        </w:tblPrEx>
        <w:trPr>
          <w:trHeight w:val="454" w:hRule="atLeast"/>
          <w:jc w:val="center"/>
        </w:trPr>
        <w:tc>
          <w:tcPr>
            <w:tcW w:w="88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1BCE15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auto"/>
                <w:kern w:val="0"/>
                <w:szCs w:val="21"/>
                <w:highlight w:val="none"/>
                <w:shd w:val="clear" w:color="auto" w:fill="auto"/>
              </w:rPr>
            </w:pPr>
            <w:r>
              <w:rPr>
                <w:rFonts w:hint="eastAsia" w:ascii="宋体" w:hAnsi="宋体" w:eastAsia="宋体" w:cs="宋体"/>
                <w:b/>
                <w:color w:val="auto"/>
                <w:kern w:val="0"/>
                <w:szCs w:val="21"/>
                <w:highlight w:val="none"/>
                <w:shd w:val="clear" w:color="auto" w:fill="auto"/>
              </w:rPr>
              <w:t>类别</w:t>
            </w:r>
          </w:p>
        </w:tc>
        <w:tc>
          <w:tcPr>
            <w:tcW w:w="2527" w:type="dxa"/>
            <w:tcBorders>
              <w:top w:val="single" w:color="auto" w:sz="4" w:space="0"/>
              <w:left w:val="nil"/>
              <w:bottom w:val="single" w:color="auto" w:sz="4" w:space="0"/>
              <w:right w:val="single" w:color="auto" w:sz="4" w:space="0"/>
            </w:tcBorders>
            <w:shd w:val="clear" w:color="000000" w:fill="auto"/>
            <w:noWrap w:val="0"/>
            <w:vAlign w:val="center"/>
          </w:tcPr>
          <w:p w14:paraId="6F6B214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auto"/>
                <w:kern w:val="0"/>
                <w:szCs w:val="21"/>
                <w:highlight w:val="none"/>
                <w:shd w:val="clear" w:color="auto" w:fill="auto"/>
              </w:rPr>
            </w:pPr>
            <w:r>
              <w:rPr>
                <w:rFonts w:hint="eastAsia" w:ascii="宋体" w:hAnsi="宋体" w:eastAsia="宋体" w:cs="宋体"/>
                <w:b/>
                <w:color w:val="auto"/>
                <w:kern w:val="0"/>
                <w:szCs w:val="21"/>
                <w:highlight w:val="none"/>
                <w:shd w:val="clear" w:color="auto" w:fill="auto"/>
              </w:rPr>
              <w:t>控制功能</w:t>
            </w:r>
          </w:p>
        </w:tc>
        <w:tc>
          <w:tcPr>
            <w:tcW w:w="993" w:type="dxa"/>
            <w:tcBorders>
              <w:top w:val="single" w:color="auto" w:sz="4" w:space="0"/>
              <w:left w:val="nil"/>
              <w:bottom w:val="single" w:color="auto" w:sz="4" w:space="0"/>
              <w:right w:val="single" w:color="auto" w:sz="4" w:space="0"/>
            </w:tcBorders>
            <w:shd w:val="clear" w:color="000000" w:fill="auto"/>
            <w:noWrap w:val="0"/>
            <w:vAlign w:val="center"/>
          </w:tcPr>
          <w:p w14:paraId="417576F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auto"/>
                <w:kern w:val="0"/>
                <w:szCs w:val="21"/>
                <w:highlight w:val="none"/>
                <w:shd w:val="clear" w:color="auto" w:fill="auto"/>
              </w:rPr>
            </w:pPr>
            <w:r>
              <w:rPr>
                <w:rFonts w:hint="eastAsia" w:ascii="宋体" w:hAnsi="宋体" w:eastAsia="宋体" w:cs="宋体"/>
                <w:b/>
                <w:color w:val="auto"/>
                <w:kern w:val="0"/>
                <w:szCs w:val="21"/>
                <w:highlight w:val="none"/>
                <w:shd w:val="clear" w:color="auto" w:fill="auto"/>
              </w:rPr>
              <w:t>数量</w:t>
            </w:r>
          </w:p>
        </w:tc>
        <w:tc>
          <w:tcPr>
            <w:tcW w:w="1417" w:type="dxa"/>
            <w:tcBorders>
              <w:top w:val="single" w:color="auto" w:sz="4" w:space="0"/>
              <w:left w:val="nil"/>
              <w:bottom w:val="single" w:color="auto" w:sz="4" w:space="0"/>
              <w:right w:val="single" w:color="auto" w:sz="4" w:space="0"/>
            </w:tcBorders>
            <w:shd w:val="clear" w:color="000000" w:fill="auto"/>
            <w:noWrap w:val="0"/>
            <w:vAlign w:val="center"/>
          </w:tcPr>
          <w:p w14:paraId="4085746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auto"/>
                <w:kern w:val="0"/>
                <w:szCs w:val="21"/>
                <w:highlight w:val="none"/>
                <w:shd w:val="clear" w:color="auto" w:fill="auto"/>
              </w:rPr>
            </w:pPr>
            <w:r>
              <w:rPr>
                <w:rFonts w:hint="eastAsia" w:ascii="宋体" w:hAnsi="宋体" w:eastAsia="宋体" w:cs="宋体"/>
                <w:b/>
                <w:color w:val="auto"/>
                <w:kern w:val="0"/>
                <w:szCs w:val="21"/>
                <w:highlight w:val="none"/>
                <w:shd w:val="clear" w:color="auto" w:fill="auto"/>
              </w:rPr>
              <w:t>数据格式</w:t>
            </w:r>
          </w:p>
        </w:tc>
        <w:tc>
          <w:tcPr>
            <w:tcW w:w="3260" w:type="dxa"/>
            <w:tcBorders>
              <w:top w:val="single" w:color="auto" w:sz="4" w:space="0"/>
              <w:left w:val="nil"/>
              <w:bottom w:val="single" w:color="auto" w:sz="4" w:space="0"/>
              <w:right w:val="single" w:color="000000" w:sz="4" w:space="0"/>
            </w:tcBorders>
            <w:shd w:val="clear" w:color="000000" w:fill="auto"/>
            <w:noWrap w:val="0"/>
            <w:vAlign w:val="center"/>
          </w:tcPr>
          <w:p w14:paraId="7AB9014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auto"/>
                <w:kern w:val="0"/>
                <w:szCs w:val="21"/>
                <w:highlight w:val="none"/>
                <w:shd w:val="clear" w:color="auto" w:fill="auto"/>
              </w:rPr>
            </w:pPr>
            <w:r>
              <w:rPr>
                <w:rFonts w:hint="eastAsia" w:ascii="宋体" w:hAnsi="宋体" w:eastAsia="宋体" w:cs="宋体"/>
                <w:b/>
                <w:color w:val="auto"/>
                <w:kern w:val="0"/>
                <w:szCs w:val="21"/>
                <w:highlight w:val="none"/>
                <w:shd w:val="clear" w:color="auto" w:fill="auto"/>
              </w:rPr>
              <w:t>控制功能要求</w:t>
            </w:r>
          </w:p>
        </w:tc>
      </w:tr>
      <w:tr w14:paraId="5A2E9DF0">
        <w:tblPrEx>
          <w:tblCellMar>
            <w:top w:w="0" w:type="dxa"/>
            <w:left w:w="108" w:type="dxa"/>
            <w:bottom w:w="0" w:type="dxa"/>
            <w:right w:w="108" w:type="dxa"/>
          </w:tblCellMar>
        </w:tblPrEx>
        <w:trPr>
          <w:trHeight w:val="454" w:hRule="atLeast"/>
          <w:jc w:val="center"/>
        </w:trPr>
        <w:tc>
          <w:tcPr>
            <w:tcW w:w="880" w:type="dxa"/>
            <w:tcBorders>
              <w:top w:val="nil"/>
              <w:left w:val="single" w:color="auto" w:sz="4" w:space="0"/>
              <w:bottom w:val="single" w:color="auto" w:sz="4" w:space="0"/>
              <w:right w:val="single" w:color="auto" w:sz="4" w:space="0"/>
            </w:tcBorders>
            <w:noWrap w:val="0"/>
            <w:vAlign w:val="center"/>
          </w:tcPr>
          <w:p w14:paraId="43B1A2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供水</w:t>
            </w:r>
          </w:p>
          <w:p w14:paraId="5808245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设备</w:t>
            </w:r>
          </w:p>
        </w:tc>
        <w:tc>
          <w:tcPr>
            <w:tcW w:w="2527" w:type="dxa"/>
            <w:tcBorders>
              <w:top w:val="nil"/>
              <w:left w:val="nil"/>
              <w:bottom w:val="single" w:color="auto" w:sz="4" w:space="0"/>
              <w:right w:val="single" w:color="auto" w:sz="4" w:space="0"/>
            </w:tcBorders>
            <w:noWrap w:val="0"/>
            <w:vAlign w:val="center"/>
          </w:tcPr>
          <w:p w14:paraId="245F71B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远程启停、参数修改等，具体以设备提供的功能为准</w:t>
            </w:r>
          </w:p>
        </w:tc>
        <w:tc>
          <w:tcPr>
            <w:tcW w:w="993" w:type="dxa"/>
            <w:tcBorders>
              <w:top w:val="nil"/>
              <w:left w:val="nil"/>
              <w:bottom w:val="single" w:color="auto" w:sz="4" w:space="0"/>
              <w:right w:val="single" w:color="auto" w:sz="4" w:space="0"/>
            </w:tcBorders>
            <w:noWrap w:val="0"/>
            <w:vAlign w:val="center"/>
          </w:tcPr>
          <w:p w14:paraId="179722B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（详见清单）</w:t>
            </w:r>
          </w:p>
        </w:tc>
        <w:tc>
          <w:tcPr>
            <w:tcW w:w="1417" w:type="dxa"/>
            <w:tcBorders>
              <w:top w:val="nil"/>
              <w:left w:val="nil"/>
              <w:bottom w:val="single" w:color="auto" w:sz="4" w:space="0"/>
              <w:right w:val="single" w:color="auto" w:sz="4" w:space="0"/>
            </w:tcBorders>
            <w:noWrap w:val="0"/>
            <w:vAlign w:val="center"/>
          </w:tcPr>
          <w:p w14:paraId="75D23CD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RS485，</w:t>
            </w:r>
          </w:p>
          <w:p w14:paraId="1EA1D4E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MODBUS协议</w:t>
            </w:r>
          </w:p>
        </w:tc>
        <w:tc>
          <w:tcPr>
            <w:tcW w:w="3260" w:type="dxa"/>
            <w:tcBorders>
              <w:top w:val="single" w:color="auto" w:sz="4" w:space="0"/>
              <w:left w:val="nil"/>
              <w:bottom w:val="single" w:color="auto" w:sz="4" w:space="0"/>
              <w:right w:val="single" w:color="000000" w:sz="4" w:space="0"/>
            </w:tcBorders>
            <w:noWrap w:val="0"/>
            <w:vAlign w:val="center"/>
          </w:tcPr>
          <w:p w14:paraId="0BFF457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具体以设备厂商提供的电气图纸和通讯协议为准</w:t>
            </w:r>
          </w:p>
        </w:tc>
      </w:tr>
      <w:tr w14:paraId="0B38A674">
        <w:tblPrEx>
          <w:tblCellMar>
            <w:top w:w="0" w:type="dxa"/>
            <w:left w:w="108" w:type="dxa"/>
            <w:bottom w:w="0" w:type="dxa"/>
            <w:right w:w="108" w:type="dxa"/>
          </w:tblCellMar>
        </w:tblPrEx>
        <w:trPr>
          <w:trHeight w:val="454" w:hRule="atLeast"/>
          <w:jc w:val="center"/>
        </w:trPr>
        <w:tc>
          <w:tcPr>
            <w:tcW w:w="880" w:type="dxa"/>
            <w:tcBorders>
              <w:top w:val="nil"/>
              <w:left w:val="single" w:color="auto" w:sz="4" w:space="0"/>
              <w:bottom w:val="single" w:color="auto" w:sz="4" w:space="0"/>
              <w:right w:val="single" w:color="auto" w:sz="4" w:space="0"/>
            </w:tcBorders>
            <w:noWrap w:val="0"/>
            <w:vAlign w:val="center"/>
          </w:tcPr>
          <w:p w14:paraId="1621CA3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电动</w:t>
            </w:r>
          </w:p>
          <w:p w14:paraId="0A5D1DF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阀门</w:t>
            </w:r>
          </w:p>
        </w:tc>
        <w:tc>
          <w:tcPr>
            <w:tcW w:w="2527" w:type="dxa"/>
            <w:tcBorders>
              <w:top w:val="nil"/>
              <w:left w:val="nil"/>
              <w:bottom w:val="single" w:color="auto" w:sz="4" w:space="0"/>
              <w:right w:val="single" w:color="auto" w:sz="4" w:space="0"/>
            </w:tcBorders>
            <w:noWrap w:val="0"/>
            <w:vAlign w:val="center"/>
          </w:tcPr>
          <w:p w14:paraId="46B1ECA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远程开/关</w:t>
            </w:r>
          </w:p>
        </w:tc>
        <w:tc>
          <w:tcPr>
            <w:tcW w:w="993" w:type="dxa"/>
            <w:tcBorders>
              <w:top w:val="nil"/>
              <w:left w:val="nil"/>
              <w:bottom w:val="single" w:color="auto" w:sz="4" w:space="0"/>
              <w:right w:val="single" w:color="auto" w:sz="4" w:space="0"/>
            </w:tcBorders>
            <w:noWrap w:val="0"/>
            <w:vAlign w:val="center"/>
          </w:tcPr>
          <w:p w14:paraId="4B21C09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（详见清单）</w:t>
            </w:r>
          </w:p>
        </w:tc>
        <w:tc>
          <w:tcPr>
            <w:tcW w:w="1417" w:type="dxa"/>
            <w:tcBorders>
              <w:top w:val="nil"/>
              <w:left w:val="nil"/>
              <w:bottom w:val="single" w:color="auto" w:sz="4" w:space="0"/>
              <w:right w:val="single" w:color="auto" w:sz="4" w:space="0"/>
            </w:tcBorders>
            <w:noWrap w:val="0"/>
            <w:vAlign w:val="center"/>
          </w:tcPr>
          <w:p w14:paraId="24F21B4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开关量</w:t>
            </w:r>
          </w:p>
        </w:tc>
        <w:tc>
          <w:tcPr>
            <w:tcW w:w="3260" w:type="dxa"/>
            <w:tcBorders>
              <w:top w:val="single" w:color="auto" w:sz="4" w:space="0"/>
              <w:left w:val="nil"/>
              <w:bottom w:val="single" w:color="auto" w:sz="4" w:space="0"/>
              <w:right w:val="single" w:color="000000" w:sz="4" w:space="0"/>
            </w:tcBorders>
            <w:noWrap w:val="0"/>
            <w:vAlign w:val="center"/>
          </w:tcPr>
          <w:p w14:paraId="15D88BC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具体以现场安装实物为准</w:t>
            </w:r>
          </w:p>
        </w:tc>
      </w:tr>
      <w:tr w14:paraId="504C7478">
        <w:tblPrEx>
          <w:tblCellMar>
            <w:top w:w="0" w:type="dxa"/>
            <w:left w:w="108" w:type="dxa"/>
            <w:bottom w:w="0" w:type="dxa"/>
            <w:right w:w="108" w:type="dxa"/>
          </w:tblCellMar>
        </w:tblPrEx>
        <w:trPr>
          <w:trHeight w:val="454" w:hRule="atLeast"/>
          <w:jc w:val="center"/>
        </w:trPr>
        <w:tc>
          <w:tcPr>
            <w:tcW w:w="880" w:type="dxa"/>
            <w:tcBorders>
              <w:top w:val="nil"/>
              <w:left w:val="single" w:color="auto" w:sz="4" w:space="0"/>
              <w:bottom w:val="single" w:color="auto" w:sz="4" w:space="0"/>
              <w:right w:val="single" w:color="auto" w:sz="4" w:space="0"/>
            </w:tcBorders>
            <w:noWrap w:val="0"/>
            <w:vAlign w:val="center"/>
          </w:tcPr>
          <w:p w14:paraId="13C190C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轴流</w:t>
            </w:r>
          </w:p>
          <w:p w14:paraId="7DD296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风机</w:t>
            </w:r>
          </w:p>
        </w:tc>
        <w:tc>
          <w:tcPr>
            <w:tcW w:w="2527" w:type="dxa"/>
            <w:tcBorders>
              <w:top w:val="nil"/>
              <w:left w:val="nil"/>
              <w:bottom w:val="single" w:color="auto" w:sz="4" w:space="0"/>
              <w:right w:val="single" w:color="auto" w:sz="4" w:space="0"/>
            </w:tcBorders>
            <w:noWrap w:val="0"/>
            <w:vAlign w:val="center"/>
          </w:tcPr>
          <w:p w14:paraId="12188FF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定时开/关</w:t>
            </w:r>
          </w:p>
        </w:tc>
        <w:tc>
          <w:tcPr>
            <w:tcW w:w="993" w:type="dxa"/>
            <w:tcBorders>
              <w:top w:val="nil"/>
              <w:left w:val="nil"/>
              <w:bottom w:val="single" w:color="auto" w:sz="4" w:space="0"/>
              <w:right w:val="single" w:color="auto" w:sz="4" w:space="0"/>
            </w:tcBorders>
            <w:noWrap w:val="0"/>
            <w:vAlign w:val="center"/>
          </w:tcPr>
          <w:p w14:paraId="56D4A5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1台</w:t>
            </w:r>
          </w:p>
        </w:tc>
        <w:tc>
          <w:tcPr>
            <w:tcW w:w="1417" w:type="dxa"/>
            <w:tcBorders>
              <w:top w:val="nil"/>
              <w:left w:val="nil"/>
              <w:bottom w:val="single" w:color="auto" w:sz="4" w:space="0"/>
              <w:right w:val="single" w:color="auto" w:sz="4" w:space="0"/>
            </w:tcBorders>
            <w:noWrap w:val="0"/>
            <w:vAlign w:val="center"/>
          </w:tcPr>
          <w:p w14:paraId="2A36E12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开关量</w:t>
            </w:r>
          </w:p>
        </w:tc>
        <w:tc>
          <w:tcPr>
            <w:tcW w:w="3260" w:type="dxa"/>
            <w:tcBorders>
              <w:top w:val="single" w:color="auto" w:sz="4" w:space="0"/>
              <w:left w:val="nil"/>
              <w:bottom w:val="single" w:color="auto" w:sz="4" w:space="0"/>
              <w:right w:val="single" w:color="000000" w:sz="4" w:space="0"/>
            </w:tcBorders>
            <w:noWrap w:val="0"/>
            <w:vAlign w:val="center"/>
          </w:tcPr>
          <w:p w14:paraId="1B08910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三相轴流风机，根据用户设定时间自动启停</w:t>
            </w:r>
          </w:p>
        </w:tc>
      </w:tr>
      <w:tr w14:paraId="66D1B207">
        <w:tblPrEx>
          <w:tblCellMar>
            <w:top w:w="0" w:type="dxa"/>
            <w:left w:w="108" w:type="dxa"/>
            <w:bottom w:w="0" w:type="dxa"/>
            <w:right w:w="108" w:type="dxa"/>
          </w:tblCellMar>
        </w:tblPrEx>
        <w:trPr>
          <w:trHeight w:val="454" w:hRule="atLeast"/>
          <w:jc w:val="center"/>
        </w:trPr>
        <w:tc>
          <w:tcPr>
            <w:tcW w:w="880" w:type="dxa"/>
            <w:tcBorders>
              <w:top w:val="nil"/>
              <w:left w:val="single" w:color="auto" w:sz="4" w:space="0"/>
              <w:bottom w:val="single" w:color="auto" w:sz="4" w:space="0"/>
              <w:right w:val="single" w:color="auto" w:sz="4" w:space="0"/>
            </w:tcBorders>
            <w:noWrap w:val="0"/>
            <w:vAlign w:val="center"/>
          </w:tcPr>
          <w:p w14:paraId="216080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集水井</w:t>
            </w:r>
          </w:p>
          <w:p w14:paraId="0DF3843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抽水泵</w:t>
            </w:r>
          </w:p>
        </w:tc>
        <w:tc>
          <w:tcPr>
            <w:tcW w:w="2527" w:type="dxa"/>
            <w:tcBorders>
              <w:top w:val="nil"/>
              <w:left w:val="nil"/>
              <w:bottom w:val="single" w:color="auto" w:sz="4" w:space="0"/>
              <w:right w:val="single" w:color="auto" w:sz="4" w:space="0"/>
            </w:tcBorders>
            <w:noWrap w:val="0"/>
            <w:vAlign w:val="center"/>
          </w:tcPr>
          <w:p w14:paraId="3778D1F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远程开/关</w:t>
            </w:r>
          </w:p>
        </w:tc>
        <w:tc>
          <w:tcPr>
            <w:tcW w:w="993" w:type="dxa"/>
            <w:tcBorders>
              <w:top w:val="nil"/>
              <w:left w:val="nil"/>
              <w:bottom w:val="single" w:color="auto" w:sz="4" w:space="0"/>
              <w:right w:val="single" w:color="auto" w:sz="4" w:space="0"/>
            </w:tcBorders>
            <w:noWrap w:val="0"/>
            <w:vAlign w:val="center"/>
          </w:tcPr>
          <w:p w14:paraId="418EEAB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1台</w:t>
            </w:r>
          </w:p>
        </w:tc>
        <w:tc>
          <w:tcPr>
            <w:tcW w:w="1417" w:type="dxa"/>
            <w:tcBorders>
              <w:top w:val="nil"/>
              <w:left w:val="nil"/>
              <w:bottom w:val="single" w:color="auto" w:sz="4" w:space="0"/>
              <w:right w:val="single" w:color="auto" w:sz="4" w:space="0"/>
            </w:tcBorders>
            <w:noWrap w:val="0"/>
            <w:vAlign w:val="center"/>
          </w:tcPr>
          <w:p w14:paraId="29273AC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开关量</w:t>
            </w:r>
          </w:p>
        </w:tc>
        <w:tc>
          <w:tcPr>
            <w:tcW w:w="3260" w:type="dxa"/>
            <w:tcBorders>
              <w:top w:val="single" w:color="auto" w:sz="4" w:space="0"/>
              <w:left w:val="nil"/>
              <w:bottom w:val="single" w:color="auto" w:sz="4" w:space="0"/>
              <w:right w:val="single" w:color="000000" w:sz="4" w:space="0"/>
            </w:tcBorders>
            <w:noWrap w:val="0"/>
            <w:vAlign w:val="center"/>
          </w:tcPr>
          <w:p w14:paraId="11CB81A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预留1组远程控制指令通道</w:t>
            </w:r>
          </w:p>
        </w:tc>
      </w:tr>
      <w:tr w14:paraId="32FD317A">
        <w:tblPrEx>
          <w:tblCellMar>
            <w:top w:w="0" w:type="dxa"/>
            <w:left w:w="108" w:type="dxa"/>
            <w:bottom w:w="0" w:type="dxa"/>
            <w:right w:w="108" w:type="dxa"/>
          </w:tblCellMar>
        </w:tblPrEx>
        <w:trPr>
          <w:trHeight w:val="454" w:hRule="atLeast"/>
          <w:jc w:val="center"/>
        </w:trPr>
        <w:tc>
          <w:tcPr>
            <w:tcW w:w="880" w:type="dxa"/>
            <w:vMerge w:val="restart"/>
            <w:tcBorders>
              <w:top w:val="nil"/>
              <w:left w:val="single" w:color="auto" w:sz="4" w:space="0"/>
              <w:bottom w:val="single" w:color="auto" w:sz="4" w:space="0"/>
              <w:right w:val="single" w:color="auto" w:sz="4" w:space="0"/>
            </w:tcBorders>
            <w:noWrap w:val="0"/>
            <w:vAlign w:val="center"/>
          </w:tcPr>
          <w:p w14:paraId="15B10BD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安防</w:t>
            </w:r>
          </w:p>
          <w:p w14:paraId="164D68E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门禁</w:t>
            </w:r>
          </w:p>
        </w:tc>
        <w:tc>
          <w:tcPr>
            <w:tcW w:w="2527" w:type="dxa"/>
            <w:tcBorders>
              <w:top w:val="nil"/>
              <w:left w:val="nil"/>
              <w:bottom w:val="single" w:color="auto" w:sz="4" w:space="0"/>
              <w:right w:val="single" w:color="auto" w:sz="4" w:space="0"/>
            </w:tcBorders>
            <w:noWrap w:val="0"/>
            <w:vAlign w:val="center"/>
          </w:tcPr>
          <w:p w14:paraId="5C980D6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（红外）远程撤/设防</w:t>
            </w:r>
          </w:p>
        </w:tc>
        <w:tc>
          <w:tcPr>
            <w:tcW w:w="993" w:type="dxa"/>
            <w:tcBorders>
              <w:top w:val="nil"/>
              <w:left w:val="nil"/>
              <w:bottom w:val="single" w:color="auto" w:sz="4" w:space="0"/>
              <w:right w:val="single" w:color="auto" w:sz="4" w:space="0"/>
            </w:tcBorders>
            <w:noWrap w:val="0"/>
            <w:vAlign w:val="center"/>
          </w:tcPr>
          <w:p w14:paraId="088BCC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1路</w:t>
            </w:r>
          </w:p>
        </w:tc>
        <w:tc>
          <w:tcPr>
            <w:tcW w:w="1417" w:type="dxa"/>
            <w:tcBorders>
              <w:top w:val="nil"/>
              <w:left w:val="nil"/>
              <w:bottom w:val="single" w:color="auto" w:sz="4" w:space="0"/>
              <w:right w:val="single" w:color="auto" w:sz="4" w:space="0"/>
            </w:tcBorders>
            <w:noWrap w:val="0"/>
            <w:vAlign w:val="center"/>
          </w:tcPr>
          <w:p w14:paraId="14B2036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TCP/IP</w:t>
            </w:r>
          </w:p>
        </w:tc>
        <w:tc>
          <w:tcPr>
            <w:tcW w:w="3260" w:type="dxa"/>
            <w:tcBorders>
              <w:top w:val="single" w:color="auto" w:sz="4" w:space="0"/>
              <w:left w:val="nil"/>
              <w:bottom w:val="single" w:color="auto" w:sz="4" w:space="0"/>
              <w:right w:val="single" w:color="000000" w:sz="4" w:space="0"/>
            </w:tcBorders>
            <w:noWrap w:val="0"/>
            <w:vAlign w:val="center"/>
          </w:tcPr>
          <w:p w14:paraId="1F8E5D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lang w:eastAsia="zh-CN"/>
              </w:rPr>
            </w:pPr>
          </w:p>
        </w:tc>
      </w:tr>
      <w:tr w14:paraId="6B575D72">
        <w:tblPrEx>
          <w:tblCellMar>
            <w:top w:w="0" w:type="dxa"/>
            <w:left w:w="108" w:type="dxa"/>
            <w:bottom w:w="0" w:type="dxa"/>
            <w:right w:w="108" w:type="dxa"/>
          </w:tblCellMar>
        </w:tblPrEx>
        <w:trPr>
          <w:trHeight w:val="454" w:hRule="atLeast"/>
          <w:jc w:val="center"/>
        </w:trPr>
        <w:tc>
          <w:tcPr>
            <w:tcW w:w="880" w:type="dxa"/>
            <w:vMerge w:val="continue"/>
            <w:tcBorders>
              <w:top w:val="nil"/>
              <w:left w:val="single" w:color="auto" w:sz="4" w:space="0"/>
              <w:bottom w:val="single" w:color="auto" w:sz="4" w:space="0"/>
              <w:right w:val="single" w:color="auto" w:sz="4" w:space="0"/>
            </w:tcBorders>
            <w:noWrap w:val="0"/>
            <w:vAlign w:val="center"/>
          </w:tcPr>
          <w:p w14:paraId="24E280B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p>
        </w:tc>
        <w:tc>
          <w:tcPr>
            <w:tcW w:w="2527" w:type="dxa"/>
            <w:tcBorders>
              <w:top w:val="nil"/>
              <w:left w:val="nil"/>
              <w:bottom w:val="single" w:color="auto" w:sz="4" w:space="0"/>
              <w:right w:val="single" w:color="auto" w:sz="4" w:space="0"/>
            </w:tcBorders>
            <w:noWrap w:val="0"/>
            <w:vAlign w:val="center"/>
          </w:tcPr>
          <w:p w14:paraId="3D9D2F8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（门禁）开门</w:t>
            </w:r>
          </w:p>
        </w:tc>
        <w:tc>
          <w:tcPr>
            <w:tcW w:w="993" w:type="dxa"/>
            <w:tcBorders>
              <w:top w:val="nil"/>
              <w:left w:val="nil"/>
              <w:bottom w:val="single" w:color="auto" w:sz="4" w:space="0"/>
              <w:right w:val="single" w:color="auto" w:sz="4" w:space="0"/>
            </w:tcBorders>
            <w:noWrap w:val="0"/>
            <w:vAlign w:val="center"/>
          </w:tcPr>
          <w:p w14:paraId="130FD82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1路</w:t>
            </w:r>
          </w:p>
        </w:tc>
        <w:tc>
          <w:tcPr>
            <w:tcW w:w="1417" w:type="dxa"/>
            <w:tcBorders>
              <w:top w:val="nil"/>
              <w:left w:val="nil"/>
              <w:bottom w:val="single" w:color="auto" w:sz="4" w:space="0"/>
              <w:right w:val="single" w:color="auto" w:sz="4" w:space="0"/>
            </w:tcBorders>
            <w:noWrap w:val="0"/>
            <w:vAlign w:val="center"/>
          </w:tcPr>
          <w:p w14:paraId="50FD45D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TCP/IP</w:t>
            </w:r>
          </w:p>
        </w:tc>
        <w:tc>
          <w:tcPr>
            <w:tcW w:w="3260" w:type="dxa"/>
            <w:tcBorders>
              <w:top w:val="single" w:color="auto" w:sz="4" w:space="0"/>
              <w:left w:val="nil"/>
              <w:bottom w:val="single" w:color="auto" w:sz="4" w:space="0"/>
              <w:right w:val="single" w:color="000000" w:sz="4" w:space="0"/>
            </w:tcBorders>
            <w:noWrap w:val="0"/>
            <w:vAlign w:val="center"/>
          </w:tcPr>
          <w:p w14:paraId="6B7BE04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Cs w:val="21"/>
                <w:highlight w:val="none"/>
                <w:shd w:val="clear" w:color="auto" w:fill="auto"/>
                <w:lang w:eastAsia="zh-CN"/>
              </w:rPr>
            </w:pPr>
          </w:p>
        </w:tc>
      </w:tr>
    </w:tbl>
    <w:p w14:paraId="798E2199">
      <w:pPr>
        <w:spacing w:line="440" w:lineRule="exact"/>
        <w:ind w:firstLine="480" w:firstLineChars="200"/>
        <w:rPr>
          <w:rFonts w:hint="eastAsia" w:ascii="宋体" w:hAnsi="宋体" w:eastAsia="宋体" w:cs="宋体"/>
          <w:color w:val="auto"/>
          <w:sz w:val="24"/>
          <w:highlight w:val="none"/>
          <w:shd w:val="clear" w:color="auto" w:fill="auto"/>
        </w:rPr>
      </w:pPr>
    </w:p>
    <w:p w14:paraId="6C06DC99">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（4）、具体技术要求及器件性能指标</w:t>
      </w:r>
    </w:p>
    <w:p w14:paraId="5EBE9CF9">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①　</w:t>
      </w:r>
      <w:r>
        <w:rPr>
          <w:rFonts w:hint="eastAsia" w:ascii="宋体" w:hAnsi="宋体" w:eastAsia="宋体" w:cs="宋体"/>
          <w:color w:val="auto"/>
          <w:sz w:val="24"/>
          <w:highlight w:val="none"/>
          <w:shd w:val="clear" w:color="auto" w:fill="auto"/>
        </w:rPr>
        <w:t>基本功能要求</w:t>
      </w:r>
    </w:p>
    <w:p w14:paraId="53FE753F">
      <w:pPr>
        <w:numPr>
          <w:ilvl w:val="0"/>
          <w:numId w:val="8"/>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凡通过4-20mA模拟信号或MODBUS协议进行数据采集和设备控制的，线材统一采集屏蔽电缆；</w:t>
      </w:r>
    </w:p>
    <w:p w14:paraId="4E0BDB87">
      <w:pPr>
        <w:numPr>
          <w:ilvl w:val="0"/>
          <w:numId w:val="8"/>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支持多路数据同时上发。</w:t>
      </w:r>
    </w:p>
    <w:p w14:paraId="00301394">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②　</w:t>
      </w:r>
      <w:r>
        <w:rPr>
          <w:rFonts w:hint="eastAsia" w:ascii="宋体" w:hAnsi="宋体" w:eastAsia="宋体" w:cs="宋体"/>
          <w:color w:val="auto"/>
          <w:sz w:val="24"/>
          <w:highlight w:val="none"/>
          <w:shd w:val="clear" w:color="auto" w:fill="auto"/>
        </w:rPr>
        <w:t>各器件要求及性能指标</w:t>
      </w:r>
    </w:p>
    <w:p w14:paraId="34E5C19D">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1)</w:t>
      </w:r>
      <w:r>
        <w:rPr>
          <w:rFonts w:hint="eastAsia" w:ascii="宋体" w:hAnsi="宋体" w:eastAsia="宋体" w:cs="宋体"/>
          <w:color w:val="auto"/>
          <w:sz w:val="24"/>
          <w:highlight w:val="none"/>
          <w:shd w:val="clear" w:color="auto" w:fill="auto"/>
        </w:rPr>
        <w:t>机柜</w:t>
      </w:r>
    </w:p>
    <w:p w14:paraId="39EEDD6E">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1.</w:t>
      </w:r>
      <w:r>
        <w:rPr>
          <w:rFonts w:hint="eastAsia" w:ascii="宋体" w:hAnsi="宋体" w:eastAsia="宋体" w:cs="宋体"/>
          <w:color w:val="auto"/>
          <w:sz w:val="24"/>
          <w:highlight w:val="none"/>
          <w:shd w:val="clear" w:color="auto" w:fill="auto"/>
        </w:rPr>
        <w:t>电气控制柜的构造和外形尺寸应满足功能要求。与其它柜体设备并列安装时，应做到外观尺寸一致、颜色协调。</w:t>
      </w:r>
    </w:p>
    <w:p w14:paraId="5B3EEA42">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2.</w:t>
      </w:r>
      <w:r>
        <w:rPr>
          <w:rFonts w:hint="eastAsia" w:ascii="宋体" w:hAnsi="宋体" w:eastAsia="宋体" w:cs="宋体"/>
          <w:color w:val="auto"/>
          <w:sz w:val="24"/>
          <w:highlight w:val="none"/>
          <w:shd w:val="clear" w:color="auto" w:fill="auto"/>
        </w:rPr>
        <w:t>机柜整体采用落地安装，与底座基础槽钢采用螺栓连接固定，应采取有效的防尘、防水、防潮等安全措施，柜体安装强制通风风扇，做到有效通风、合理布置。</w:t>
      </w:r>
    </w:p>
    <w:p w14:paraId="60DD2078">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3.</w:t>
      </w:r>
      <w:r>
        <w:rPr>
          <w:rFonts w:hint="eastAsia" w:ascii="宋体" w:hAnsi="宋体" w:eastAsia="宋体" w:cs="宋体"/>
          <w:color w:val="auto"/>
          <w:sz w:val="24"/>
          <w:highlight w:val="none"/>
          <w:shd w:val="clear" w:color="auto" w:fill="auto"/>
        </w:rPr>
        <w:t>柜内元器件布置合理，空间利用率高，后期操作维护方便，同类型器件集中布置。电气间隙与爬电距离、绝缘电阻与介电强度、安全接地保护、电磁兼容性（EMC）试验、环境试验要求、强度和严密性要求等电气性能均应符合国家相关规程规定。</w:t>
      </w:r>
    </w:p>
    <w:p w14:paraId="04404A39">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4.</w:t>
      </w:r>
      <w:r>
        <w:rPr>
          <w:rFonts w:hint="eastAsia" w:ascii="宋体" w:hAnsi="宋体" w:eastAsia="宋体" w:cs="宋体"/>
          <w:color w:val="auto"/>
          <w:sz w:val="24"/>
          <w:highlight w:val="none"/>
          <w:shd w:val="clear" w:color="auto" w:fill="auto"/>
        </w:rPr>
        <w:t>机柜结构为前面开门，侧面板均可拆卸，前后有密封材料。</w:t>
      </w:r>
    </w:p>
    <w:p w14:paraId="14878246">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5.</w:t>
      </w:r>
      <w:r>
        <w:rPr>
          <w:rFonts w:hint="eastAsia" w:ascii="宋体" w:hAnsi="宋体" w:eastAsia="宋体" w:cs="宋体"/>
          <w:color w:val="auto"/>
          <w:sz w:val="24"/>
          <w:highlight w:val="none"/>
          <w:shd w:val="clear" w:color="auto" w:fill="auto"/>
        </w:rPr>
        <w:t>机柜制作钢板采用国产优质（A3 及以上等级）冷扎板，板厚不低于 2mm。柜体外壳防护等级不低于 IP54，验收时必须提供原材料的原厂出厂合格证复印件。</w:t>
      </w:r>
    </w:p>
    <w:p w14:paraId="67D5A549">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6.</w:t>
      </w:r>
      <w:r>
        <w:rPr>
          <w:rFonts w:hint="eastAsia" w:ascii="宋体" w:hAnsi="宋体" w:eastAsia="宋体" w:cs="宋体"/>
          <w:color w:val="auto"/>
          <w:sz w:val="24"/>
          <w:highlight w:val="none"/>
          <w:shd w:val="clear" w:color="auto" w:fill="auto"/>
        </w:rPr>
        <w:t>机柜及安装板、支架内外表面需作静电喷涂环氧树脂漆处理。</w:t>
      </w:r>
    </w:p>
    <w:p w14:paraId="62574472">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7.</w:t>
      </w:r>
      <w:r>
        <w:rPr>
          <w:rFonts w:hint="eastAsia" w:ascii="宋体" w:hAnsi="宋体" w:eastAsia="宋体" w:cs="宋体"/>
          <w:color w:val="auto"/>
          <w:sz w:val="24"/>
          <w:highlight w:val="none"/>
          <w:shd w:val="clear" w:color="auto" w:fill="auto"/>
        </w:rPr>
        <w:t>机柜应有防雷击和防过电压措施并有可靠保护接地端子。</w:t>
      </w:r>
    </w:p>
    <w:p w14:paraId="4402E637">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8.</w:t>
      </w:r>
      <w:r>
        <w:rPr>
          <w:rFonts w:hint="eastAsia" w:ascii="宋体" w:hAnsi="宋体" w:eastAsia="宋体" w:cs="宋体"/>
          <w:color w:val="auto"/>
          <w:sz w:val="24"/>
          <w:highlight w:val="none"/>
          <w:shd w:val="clear" w:color="auto" w:fill="auto"/>
        </w:rPr>
        <w:t>机柜内所有的导线、电缆都要作合适的标记，以互相识别。在导线、电缆终端接线后，应采用不可移动的箍套或用清洁的热收缩套管作标签固定在接结端子排前实现，不得使用吊牌作标签。标签应同现场线缆的标识系统相一致，且每根线缆的标识都是唯一的。</w:t>
      </w:r>
    </w:p>
    <w:p w14:paraId="5635500B">
      <w:pPr>
        <w:spacing w:line="440" w:lineRule="exact"/>
        <w:ind w:firstLine="480" w:firstLineChars="200"/>
        <w:rPr>
          <w:rFonts w:hint="eastAsia" w:ascii="宋体" w:hAnsi="宋体" w:eastAsia="宋体" w:cs="宋体"/>
          <w:color w:val="auto"/>
          <w:sz w:val="24"/>
          <w:highlight w:val="none"/>
          <w:shd w:val="clear" w:color="auto" w:fill="auto"/>
        </w:rPr>
      </w:pPr>
    </w:p>
    <w:p w14:paraId="41996399">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2)</w:t>
      </w:r>
      <w:r>
        <w:rPr>
          <w:rFonts w:hint="eastAsia" w:ascii="宋体" w:hAnsi="宋体" w:eastAsia="宋体" w:cs="宋体"/>
          <w:color w:val="auto"/>
          <w:sz w:val="24"/>
          <w:highlight w:val="none"/>
          <w:shd w:val="clear" w:color="auto" w:fill="auto"/>
        </w:rPr>
        <w:t>主采集器（主控器件）</w:t>
      </w:r>
    </w:p>
    <w:p w14:paraId="08BB270F">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1.</w:t>
      </w:r>
      <w:r>
        <w:rPr>
          <w:rFonts w:hint="eastAsia" w:ascii="宋体" w:hAnsi="宋体" w:eastAsia="宋体" w:cs="宋体"/>
          <w:color w:val="auto"/>
          <w:sz w:val="24"/>
          <w:highlight w:val="none"/>
          <w:shd w:val="clear" w:color="auto" w:fill="auto"/>
        </w:rPr>
        <w:t>主采集器采用通用PLC模块。</w:t>
      </w:r>
    </w:p>
    <w:p w14:paraId="42E2941D">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2.</w:t>
      </w:r>
      <w:r>
        <w:rPr>
          <w:rFonts w:hint="eastAsia" w:ascii="宋体" w:hAnsi="宋体" w:eastAsia="宋体" w:cs="宋体"/>
          <w:color w:val="auto"/>
          <w:sz w:val="24"/>
          <w:highlight w:val="none"/>
          <w:shd w:val="clear" w:color="auto" w:fill="auto"/>
        </w:rPr>
        <w:t>为保障稳定可靠及防止相互干扰，主采集器（主控器件）与供水设备采用独立的一对一模式。</w:t>
      </w:r>
    </w:p>
    <w:p w14:paraId="6A9F77A9">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3.</w:t>
      </w:r>
      <w:r>
        <w:rPr>
          <w:rFonts w:hint="eastAsia" w:ascii="宋体" w:hAnsi="宋体" w:eastAsia="宋体" w:cs="宋体"/>
          <w:color w:val="auto"/>
          <w:sz w:val="24"/>
          <w:highlight w:val="none"/>
          <w:shd w:val="clear" w:color="auto" w:fill="auto"/>
        </w:rPr>
        <w:t>为便于现场数据查看、功能设置，需为主采集器（主控器件）配置相应的触摸显示屏，触摸屏软件界面上应显示当前采集的数据、控制设备的状态、以及能够让用户查询、修改或保存相关的参数值。</w:t>
      </w:r>
    </w:p>
    <w:p w14:paraId="04B0CF2C">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4.</w:t>
      </w:r>
      <w:r>
        <w:rPr>
          <w:rFonts w:hint="eastAsia" w:ascii="宋体" w:hAnsi="宋体" w:eastAsia="宋体" w:cs="宋体"/>
          <w:color w:val="auto"/>
          <w:sz w:val="24"/>
          <w:highlight w:val="none"/>
          <w:shd w:val="clear" w:color="auto" w:fill="auto"/>
        </w:rPr>
        <w:t>无源开关量信号采集通道冗余量不少于30%，4-20mA模拟量信号采集通道冗余量不少于30%。</w:t>
      </w:r>
    </w:p>
    <w:p w14:paraId="05FB34EF">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5.</w:t>
      </w:r>
      <w:r>
        <w:rPr>
          <w:rFonts w:hint="eastAsia" w:ascii="宋体" w:hAnsi="宋体" w:eastAsia="宋体" w:cs="宋体"/>
          <w:color w:val="auto"/>
          <w:sz w:val="24"/>
          <w:highlight w:val="none"/>
          <w:shd w:val="clear" w:color="auto" w:fill="auto"/>
        </w:rPr>
        <w:t>技术参数：</w:t>
      </w:r>
    </w:p>
    <w:p w14:paraId="757387F9">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5.1、PLC应采用国际知名品牌，采用32 位及以上工业级微处理器，处理速度应达到微秒级，用户工作内存不小于512K，支持不低于2000个的任务或程序块；</w:t>
      </w:r>
    </w:p>
    <w:p w14:paraId="75F646B9">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5.2、支持编程语言：梯形图、语句表、功能块、SFC等。</w:t>
      </w:r>
    </w:p>
    <w:p w14:paraId="7D9D489D">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5.3、支持多种通讯方式：以太网通信、串口通信、PROFIBUS通信、蓝牙通信等；</w:t>
      </w:r>
    </w:p>
    <w:p w14:paraId="39F69392">
      <w:pPr>
        <w:spacing w:line="440" w:lineRule="exact"/>
        <w:ind w:firstLine="480" w:firstLineChars="200"/>
        <w:rPr>
          <w:rFonts w:hint="eastAsia" w:ascii="宋体" w:hAnsi="宋体" w:eastAsia="宋体" w:cs="宋体"/>
          <w:color w:val="auto"/>
          <w:sz w:val="24"/>
          <w:highlight w:val="none"/>
          <w:shd w:val="clear" w:color="auto" w:fill="auto"/>
        </w:rPr>
      </w:pPr>
    </w:p>
    <w:p w14:paraId="1DE0E984">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3)</w:t>
      </w:r>
      <w:r>
        <w:rPr>
          <w:rFonts w:hint="eastAsia" w:ascii="宋体" w:hAnsi="宋体" w:eastAsia="宋体" w:cs="宋体"/>
          <w:color w:val="auto"/>
          <w:sz w:val="24"/>
          <w:highlight w:val="none"/>
          <w:shd w:val="clear" w:color="auto" w:fill="auto"/>
        </w:rPr>
        <w:t>开关电源</w:t>
      </w:r>
    </w:p>
    <w:p w14:paraId="4D819276">
      <w:pPr>
        <w:numPr>
          <w:ilvl w:val="0"/>
          <w:numId w:val="9"/>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开关电源配置额定功率不小于额定负载功率的125%。</w:t>
      </w:r>
    </w:p>
    <w:p w14:paraId="5C68EEB7">
      <w:pPr>
        <w:numPr>
          <w:ilvl w:val="0"/>
          <w:numId w:val="9"/>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技术参数：</w:t>
      </w:r>
    </w:p>
    <w:p w14:paraId="6565C6B0">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2.1、输入电压范围：176～264VAC</w:t>
      </w:r>
    </w:p>
    <w:p w14:paraId="1DF53F95">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2.2、输出电压范围：24VDC，0～2.2A</w:t>
      </w:r>
    </w:p>
    <w:p w14:paraId="6D6ADA63">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2.3、输出电压精度：±1%</w:t>
      </w:r>
    </w:p>
    <w:p w14:paraId="1871D95B">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2.4、纹波：150mVp-p</w:t>
      </w:r>
    </w:p>
    <w:p w14:paraId="414E5F3B">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2.5、效率：88%</w:t>
      </w:r>
    </w:p>
    <w:p w14:paraId="751EED5D">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2.6、漏电流：&lt;0.75mA / 240VAC</w:t>
      </w:r>
    </w:p>
    <w:p w14:paraId="29F93208">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2.7、过载保护（自动复原）、过电压保护（重启复原）</w:t>
      </w:r>
    </w:p>
    <w:p w14:paraId="3DD4A1FA">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2.8、工作温度：-30～+70℃</w:t>
      </w:r>
    </w:p>
    <w:p w14:paraId="2A4026CB">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4)</w:t>
      </w:r>
      <w:r>
        <w:rPr>
          <w:rFonts w:hint="eastAsia" w:ascii="宋体" w:hAnsi="宋体" w:eastAsia="宋体" w:cs="宋体"/>
          <w:color w:val="auto"/>
          <w:sz w:val="24"/>
          <w:highlight w:val="none"/>
          <w:shd w:val="clear" w:color="auto" w:fill="auto"/>
        </w:rPr>
        <w:t>UPS</w:t>
      </w:r>
    </w:p>
    <w:p w14:paraId="4E1C3DE5">
      <w:pPr>
        <w:numPr>
          <w:ilvl w:val="0"/>
          <w:numId w:val="10"/>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市电停电后，UPS蓄电池持续放电时间不少于30分钟。</w:t>
      </w:r>
    </w:p>
    <w:p w14:paraId="570D9A08">
      <w:pPr>
        <w:numPr>
          <w:ilvl w:val="0"/>
          <w:numId w:val="10"/>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技术参数：</w:t>
      </w:r>
    </w:p>
    <w:p w14:paraId="2BE4FF7F">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2.1、输入电压：220VAC（115VAC~300VAC）</w:t>
      </w:r>
    </w:p>
    <w:p w14:paraId="48AAF8C3">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2.2、输出电压：220VAC</w:t>
      </w:r>
    </w:p>
    <w:p w14:paraId="1C6510BD">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2.3、功率因数：0.8</w:t>
      </w:r>
    </w:p>
    <w:p w14:paraId="06E8FC0C">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2.4、电压精度：±2%</w:t>
      </w:r>
    </w:p>
    <w:p w14:paraId="05F45096">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2.5、输出频率：50±0.2 Hz</w:t>
      </w:r>
    </w:p>
    <w:p w14:paraId="561F6476">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2.6、过载能力（市电，25℃）</w:t>
      </w:r>
    </w:p>
    <w:p w14:paraId="599CABF0">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108%±5%&lt;负载≤150%±5%，大于25s转旁路并报警</w:t>
      </w:r>
    </w:p>
    <w:p w14:paraId="1988EE45">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150%±5%&lt;负载&lt;200%±5%，大于300ms 转旁路并报警</w:t>
      </w:r>
    </w:p>
    <w:p w14:paraId="330DD474">
      <w:pPr>
        <w:spacing w:line="440" w:lineRule="exact"/>
        <w:ind w:firstLine="480" w:firstLineChars="200"/>
        <w:rPr>
          <w:rFonts w:hint="eastAsia" w:ascii="宋体" w:hAnsi="宋体" w:eastAsia="宋体" w:cs="宋体"/>
          <w:color w:val="auto"/>
          <w:sz w:val="24"/>
          <w:highlight w:val="none"/>
          <w:shd w:val="clear" w:color="auto" w:fill="auto"/>
        </w:rPr>
      </w:pPr>
    </w:p>
    <w:p w14:paraId="70B617E8">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5)</w:t>
      </w:r>
      <w:r>
        <w:rPr>
          <w:rFonts w:hint="eastAsia" w:ascii="宋体" w:hAnsi="宋体" w:eastAsia="宋体" w:cs="宋体"/>
          <w:color w:val="auto"/>
          <w:sz w:val="24"/>
          <w:highlight w:val="none"/>
          <w:shd w:val="clear" w:color="auto" w:fill="auto"/>
        </w:rPr>
        <w:t>信号隔离模块</w:t>
      </w:r>
    </w:p>
    <w:p w14:paraId="0A830350">
      <w:pPr>
        <w:numPr>
          <w:ilvl w:val="0"/>
          <w:numId w:val="11"/>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凡通过RS485接口进行数据采集、设备控制的，均应接入信号隔离模块；</w:t>
      </w:r>
    </w:p>
    <w:p w14:paraId="5E7B407D">
      <w:pPr>
        <w:numPr>
          <w:ilvl w:val="0"/>
          <w:numId w:val="11"/>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信号隔离模块通道冗余量不少于20%；</w:t>
      </w:r>
    </w:p>
    <w:p w14:paraId="2EE3FBAC">
      <w:pPr>
        <w:numPr>
          <w:ilvl w:val="0"/>
          <w:numId w:val="11"/>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技术参数：</w:t>
      </w:r>
    </w:p>
    <w:p w14:paraId="67395BC8">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3.1、接口特性：接口兼容EIA/TIA的RS- 485 标准</w:t>
      </w:r>
    </w:p>
    <w:p w14:paraId="7EAA516B">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3.2、电气接口：RS-485输入端与输出端均采用十位接线柱连接器</w:t>
      </w:r>
    </w:p>
    <w:p w14:paraId="160BCDBE">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3.3、保护等级：两端RS-485接口每线600W的雷击浪涌保护，±15KV ESD保护</w:t>
      </w:r>
    </w:p>
    <w:p w14:paraId="0FA0EF0B">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3.4、隔离度：隔离电压2500Vrms  500DC连续.DC/DC模块</w:t>
      </w:r>
    </w:p>
    <w:p w14:paraId="7075EC23">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3.5、工作方式：异步半双工</w:t>
      </w:r>
    </w:p>
    <w:p w14:paraId="3EE0A2BC">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3.6、传输介质：双绞线或屏蔽线</w:t>
      </w:r>
    </w:p>
    <w:p w14:paraId="695F540F">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3.7、传输速率：300-115.2Kbps</w:t>
      </w:r>
    </w:p>
    <w:p w14:paraId="71E8235D">
      <w:pPr>
        <w:spacing w:line="440" w:lineRule="exact"/>
        <w:ind w:firstLine="480" w:firstLineChars="200"/>
        <w:rPr>
          <w:rFonts w:hint="eastAsia" w:ascii="宋体" w:hAnsi="宋体" w:eastAsia="宋体" w:cs="宋体"/>
          <w:color w:val="auto"/>
          <w:sz w:val="24"/>
          <w:highlight w:val="none"/>
          <w:shd w:val="clear" w:color="auto" w:fill="auto"/>
        </w:rPr>
      </w:pPr>
    </w:p>
    <w:p w14:paraId="5A5CDA65">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6)</w:t>
      </w:r>
      <w:r>
        <w:rPr>
          <w:rFonts w:hint="eastAsia" w:ascii="宋体" w:hAnsi="宋体" w:eastAsia="宋体" w:cs="宋体"/>
          <w:color w:val="auto"/>
          <w:sz w:val="24"/>
          <w:highlight w:val="none"/>
          <w:shd w:val="clear" w:color="auto" w:fill="auto"/>
        </w:rPr>
        <w:t>交换机</w:t>
      </w:r>
    </w:p>
    <w:p w14:paraId="52136FE8">
      <w:pPr>
        <w:numPr>
          <w:ilvl w:val="0"/>
          <w:numId w:val="12"/>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交换机网口冗余量不少于30%；</w:t>
      </w:r>
    </w:p>
    <w:p w14:paraId="6E5F7A84">
      <w:pPr>
        <w:numPr>
          <w:ilvl w:val="0"/>
          <w:numId w:val="12"/>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技术参数：</w:t>
      </w:r>
    </w:p>
    <w:p w14:paraId="5D8B68D1">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2.1、传输速率：10/100/1000Mbps</w:t>
      </w:r>
    </w:p>
    <w:p w14:paraId="3B5ED800">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2.2、交换方式：存储-转发</w:t>
      </w:r>
    </w:p>
    <w:p w14:paraId="2ECA40A4">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2.3、背板带宽：16Gbps</w:t>
      </w:r>
    </w:p>
    <w:p w14:paraId="5E76E031">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2.4、端口描述：8个10/100/1000Mbps RJ45 端口</w:t>
      </w:r>
    </w:p>
    <w:p w14:paraId="75C2E5A3">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2.5、传输模式：全双工/半双工自适应</w:t>
      </w:r>
    </w:p>
    <w:p w14:paraId="42198E0C">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2.6、网络标准：IEEE 802.3、IEEE 802.3u、IEEE 802.3ab、IEEE 802.3x</w:t>
      </w:r>
    </w:p>
    <w:p w14:paraId="51E6B336">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2.7、状态指示灯：每端口具有1个Link/Ack指示灯</w:t>
      </w:r>
    </w:p>
    <w:p w14:paraId="6A6CDF9A">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2.8、电源电压：DC 9V，0.6A</w:t>
      </w:r>
    </w:p>
    <w:p w14:paraId="55D678BB">
      <w:pPr>
        <w:spacing w:line="440" w:lineRule="exact"/>
        <w:ind w:firstLine="480" w:firstLineChars="200"/>
        <w:rPr>
          <w:rFonts w:hint="eastAsia" w:ascii="宋体" w:hAnsi="宋体" w:eastAsia="宋体" w:cs="宋体"/>
          <w:color w:val="auto"/>
          <w:sz w:val="24"/>
          <w:highlight w:val="none"/>
          <w:shd w:val="clear" w:color="auto" w:fill="auto"/>
        </w:rPr>
      </w:pPr>
    </w:p>
    <w:p w14:paraId="04A453DE">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7)</w:t>
      </w:r>
      <w:r>
        <w:rPr>
          <w:rFonts w:hint="eastAsia" w:ascii="宋体" w:hAnsi="宋体" w:eastAsia="宋体" w:cs="宋体"/>
          <w:color w:val="auto"/>
          <w:sz w:val="24"/>
          <w:highlight w:val="none"/>
          <w:shd w:val="clear" w:color="auto" w:fill="auto"/>
        </w:rPr>
        <w:t>烟雾探测器</w:t>
      </w:r>
    </w:p>
    <w:p w14:paraId="645310AF">
      <w:pPr>
        <w:numPr>
          <w:ilvl w:val="0"/>
          <w:numId w:val="13"/>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烟雾探测器安装于电气控制柜正中间位置的屋顶部位；</w:t>
      </w:r>
    </w:p>
    <w:p w14:paraId="7AC42C9F">
      <w:pPr>
        <w:numPr>
          <w:ilvl w:val="0"/>
          <w:numId w:val="13"/>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技术参数：</w:t>
      </w:r>
    </w:p>
    <w:p w14:paraId="6E07164B">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2.1、电源：DC12V-24V</w:t>
      </w:r>
    </w:p>
    <w:p w14:paraId="39B28D01">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2.2、静态电流：≤2mA</w:t>
      </w:r>
    </w:p>
    <w:p w14:paraId="7D91D152">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2.3、报警电流：≤10mA  </w:t>
      </w:r>
    </w:p>
    <w:p w14:paraId="13B00B16">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2.4、工作温度：-10℃～50℃ </w:t>
      </w:r>
    </w:p>
    <w:p w14:paraId="68D827FA">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2.5、报警方式：联网输出 / LED指示报警  </w:t>
      </w:r>
    </w:p>
    <w:p w14:paraId="19C65E34">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2.6、报警输出：继电器输出</w:t>
      </w:r>
    </w:p>
    <w:p w14:paraId="65039673">
      <w:pPr>
        <w:spacing w:line="440" w:lineRule="exact"/>
        <w:ind w:firstLine="480" w:firstLineChars="200"/>
        <w:rPr>
          <w:rFonts w:hint="eastAsia" w:ascii="宋体" w:hAnsi="宋体" w:eastAsia="宋体" w:cs="宋体"/>
          <w:color w:val="auto"/>
          <w:sz w:val="24"/>
          <w:highlight w:val="none"/>
          <w:shd w:val="clear" w:color="auto" w:fill="auto"/>
        </w:rPr>
      </w:pPr>
    </w:p>
    <w:p w14:paraId="185DF6C2">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8)</w:t>
      </w:r>
      <w:r>
        <w:rPr>
          <w:rFonts w:hint="eastAsia" w:ascii="宋体" w:hAnsi="宋体" w:eastAsia="宋体" w:cs="宋体"/>
          <w:color w:val="auto"/>
          <w:sz w:val="24"/>
          <w:highlight w:val="none"/>
          <w:shd w:val="clear" w:color="auto" w:fill="auto"/>
        </w:rPr>
        <w:t>环境温湿度仪</w:t>
      </w:r>
    </w:p>
    <w:p w14:paraId="417DBF3A">
      <w:pPr>
        <w:numPr>
          <w:ilvl w:val="0"/>
          <w:numId w:val="14"/>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技术参数：</w:t>
      </w:r>
    </w:p>
    <w:p w14:paraId="2B0EC049">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1.1、量程：湿度：0％RH～100％RH，温度：-40℃～120℃</w:t>
      </w:r>
    </w:p>
    <w:p w14:paraId="1E1D790D">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1.2、精度：湿度±2％RH (5％RH～95％RH，25℃)，温度±0.5℃（25℃）</w:t>
      </w:r>
    </w:p>
    <w:p w14:paraId="4E540120">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1.3、电源电压：22～26VDC</w:t>
      </w:r>
    </w:p>
    <w:p w14:paraId="5CED0FCE">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1.4、输出信号：4～20mADC</w:t>
      </w:r>
    </w:p>
    <w:p w14:paraId="7D75F1B9">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1.5、安装方式：壁挂式（固定墙面）</w:t>
      </w:r>
    </w:p>
    <w:p w14:paraId="395E6C32">
      <w:pPr>
        <w:spacing w:line="440" w:lineRule="exact"/>
        <w:ind w:firstLine="480" w:firstLineChars="200"/>
        <w:rPr>
          <w:rFonts w:hint="eastAsia" w:ascii="宋体" w:hAnsi="宋体" w:eastAsia="宋体" w:cs="宋体"/>
          <w:color w:val="auto"/>
          <w:sz w:val="24"/>
          <w:highlight w:val="none"/>
          <w:shd w:val="clear" w:color="auto" w:fill="auto"/>
        </w:rPr>
      </w:pPr>
    </w:p>
    <w:p w14:paraId="7FBE2477">
      <w:pPr>
        <w:numPr>
          <w:ilvl w:val="0"/>
          <w:numId w:val="0"/>
        </w:numPr>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9)</w:t>
      </w:r>
      <w:r>
        <w:rPr>
          <w:rFonts w:hint="eastAsia" w:ascii="宋体" w:hAnsi="宋体" w:eastAsia="宋体" w:cs="宋体"/>
          <w:color w:val="auto"/>
          <w:sz w:val="24"/>
          <w:highlight w:val="none"/>
          <w:shd w:val="clear" w:color="auto" w:fill="auto"/>
        </w:rPr>
        <w:t>液位仪</w:t>
      </w:r>
    </w:p>
    <w:p w14:paraId="16AFFF50">
      <w:pPr>
        <w:numPr>
          <w:ilvl w:val="0"/>
          <w:numId w:val="15"/>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地面液位仪安装于排水沟（或集水井）内，利于及时探测积水情况。</w:t>
      </w:r>
    </w:p>
    <w:p w14:paraId="49A00680">
      <w:pPr>
        <w:numPr>
          <w:ilvl w:val="0"/>
          <w:numId w:val="15"/>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如泵房有多间独立空间结构，且相互之间无连通的沟（渠）等排水设施，则每间独立空间结构均需单独配置地面液位。</w:t>
      </w:r>
    </w:p>
    <w:p w14:paraId="1450C236">
      <w:pPr>
        <w:numPr>
          <w:ilvl w:val="0"/>
          <w:numId w:val="15"/>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技术参数：</w:t>
      </w:r>
    </w:p>
    <w:p w14:paraId="2F1216D7">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3.1、量程：0-0.5M或0-5M</w:t>
      </w:r>
    </w:p>
    <w:p w14:paraId="40F83C99">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3.2、精度：±0.5％FS</w:t>
      </w:r>
    </w:p>
    <w:p w14:paraId="5D328C43">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3.3、电源电压：15～28VDC</w:t>
      </w:r>
    </w:p>
    <w:p w14:paraId="36C38214">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3.4、输出信号：4～20mADC</w:t>
      </w:r>
    </w:p>
    <w:p w14:paraId="4CED7DB6">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3.5、使用温度范围：-30℃～＋70℃；</w:t>
      </w:r>
    </w:p>
    <w:p w14:paraId="67E46B8F">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3.6、防护等级：IP68 (传感器部分)；IP65 (接线盒部分)</w:t>
      </w:r>
    </w:p>
    <w:p w14:paraId="4FCD255C">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3.7、防爆等级:ExiaⅡCT6</w:t>
      </w:r>
    </w:p>
    <w:p w14:paraId="7E713E6E">
      <w:pPr>
        <w:spacing w:line="440" w:lineRule="exact"/>
        <w:ind w:firstLine="480" w:firstLineChars="200"/>
        <w:rPr>
          <w:rFonts w:hint="eastAsia" w:ascii="宋体" w:hAnsi="宋体" w:eastAsia="宋体" w:cs="宋体"/>
          <w:color w:val="auto"/>
          <w:sz w:val="24"/>
          <w:highlight w:val="none"/>
          <w:shd w:val="clear" w:color="auto" w:fill="auto"/>
        </w:rPr>
      </w:pPr>
    </w:p>
    <w:p w14:paraId="27E4B06D">
      <w:pPr>
        <w:numPr>
          <w:ilvl w:val="0"/>
          <w:numId w:val="0"/>
        </w:numPr>
        <w:tabs>
          <w:tab w:val="left" w:pos="1050"/>
        </w:tabs>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10)</w:t>
      </w:r>
      <w:r>
        <w:rPr>
          <w:rFonts w:hint="eastAsia" w:ascii="宋体" w:hAnsi="宋体" w:eastAsia="宋体" w:cs="宋体"/>
          <w:color w:val="auto"/>
          <w:sz w:val="24"/>
          <w:highlight w:val="none"/>
          <w:shd w:val="clear" w:color="auto" w:fill="auto"/>
        </w:rPr>
        <w:t>视频图像</w:t>
      </w:r>
    </w:p>
    <w:p w14:paraId="017351F4">
      <w:pPr>
        <w:numPr>
          <w:ilvl w:val="0"/>
          <w:numId w:val="16"/>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视频图像覆盖范围主要包括：设备电气控制柜；泵机组设备；集水井；进出主通道；</w:t>
      </w:r>
    </w:p>
    <w:p w14:paraId="2637D6BE">
      <w:pPr>
        <w:numPr>
          <w:ilvl w:val="0"/>
          <w:numId w:val="16"/>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视频录像保存不少于90天。</w:t>
      </w:r>
    </w:p>
    <w:p w14:paraId="38797EE2">
      <w:pPr>
        <w:numPr>
          <w:ilvl w:val="0"/>
          <w:numId w:val="16"/>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技术参数：</w:t>
      </w:r>
    </w:p>
    <w:p w14:paraId="2258544D">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3.1、视频主机采用NVR（Net Video Recoder）产品。网络音视频输入最大16路；音视频输出支持HDMI\VGA\RCA接口；硬盘挂接数量按实际选择（按最少保存90天历史记录计算），最多挂接4SATA，单个硬盘最大容量4TB；网络协议支持UPnP\NTP\SADP\DHCP\PPPoE等；</w:t>
      </w:r>
    </w:p>
    <w:p w14:paraId="784474A5">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3.2、摄像头采用网络枪式摄像机，匹配视频主机各类规格要求。像素最低200万，支持红外（或柔光）补光；DC供电；焦距根据实际选用（室内近距广角、室外远距）。</w:t>
      </w:r>
    </w:p>
    <w:p w14:paraId="69EF651F">
      <w:pPr>
        <w:spacing w:line="440" w:lineRule="exact"/>
        <w:ind w:firstLine="480" w:firstLineChars="200"/>
        <w:rPr>
          <w:rFonts w:hint="eastAsia" w:ascii="宋体" w:hAnsi="宋体" w:eastAsia="宋体" w:cs="宋体"/>
          <w:color w:val="auto"/>
          <w:sz w:val="24"/>
          <w:highlight w:val="none"/>
          <w:shd w:val="clear" w:color="auto" w:fill="auto"/>
        </w:rPr>
      </w:pPr>
    </w:p>
    <w:p w14:paraId="1725FCD9">
      <w:pPr>
        <w:numPr>
          <w:ilvl w:val="0"/>
          <w:numId w:val="0"/>
        </w:numPr>
        <w:tabs>
          <w:tab w:val="left" w:pos="1060"/>
        </w:tabs>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11)</w:t>
      </w:r>
      <w:r>
        <w:rPr>
          <w:rFonts w:hint="eastAsia" w:ascii="宋体" w:hAnsi="宋体" w:eastAsia="宋体" w:cs="宋体"/>
          <w:color w:val="auto"/>
          <w:sz w:val="24"/>
          <w:highlight w:val="none"/>
          <w:shd w:val="clear" w:color="auto" w:fill="auto"/>
        </w:rPr>
        <w:t>红外安防</w:t>
      </w:r>
    </w:p>
    <w:p w14:paraId="63545F4C">
      <w:pPr>
        <w:numPr>
          <w:ilvl w:val="0"/>
          <w:numId w:val="17"/>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红外探测器数量与泵房门数相对应；</w:t>
      </w:r>
    </w:p>
    <w:p w14:paraId="6D49DB2D">
      <w:pPr>
        <w:numPr>
          <w:ilvl w:val="0"/>
          <w:numId w:val="17"/>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红外触发后，输出一路无源开关量信号至主采集器，现场保持30S声光警示。</w:t>
      </w:r>
    </w:p>
    <w:p w14:paraId="0D0C4B40">
      <w:pPr>
        <w:numPr>
          <w:ilvl w:val="0"/>
          <w:numId w:val="17"/>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技术参数：</w:t>
      </w:r>
    </w:p>
    <w:p w14:paraId="1E89F717">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报警主机采用网络报警主机。支持8路（或16路）报警输入，4路报警输出；支持遥控器、键盘、平台等多种布撤防方式；支持外置蓄电池，蓄电池电压实时监测，主辅电源可自动切换；支持软件可视化编程，配置参数导入导出，维护便捷；支持主机防拆报警，支持探测器防拆报警（不占用防区）。</w:t>
      </w:r>
    </w:p>
    <w:p w14:paraId="24FEE5AC">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3.2、探测器电源采用12VDC或24VDC，具有红外+微波探测技术，独立接线端子，支持外罩防拆功能。</w:t>
      </w:r>
    </w:p>
    <w:p w14:paraId="55CAEBE3">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3.3、布防键盘独立安装，位置视具体定，安装高度离地1.2M，型号规格匹配报警主机。</w:t>
      </w:r>
    </w:p>
    <w:p w14:paraId="7D442185">
      <w:pPr>
        <w:spacing w:line="440" w:lineRule="exact"/>
        <w:ind w:firstLine="480" w:firstLineChars="200"/>
        <w:rPr>
          <w:rFonts w:hint="eastAsia" w:ascii="宋体" w:hAnsi="宋体" w:eastAsia="宋体" w:cs="宋体"/>
          <w:color w:val="auto"/>
          <w:sz w:val="24"/>
          <w:highlight w:val="none"/>
          <w:shd w:val="clear" w:color="auto" w:fill="auto"/>
        </w:rPr>
      </w:pPr>
    </w:p>
    <w:p w14:paraId="59C1D14E">
      <w:pPr>
        <w:numPr>
          <w:ilvl w:val="0"/>
          <w:numId w:val="0"/>
        </w:numPr>
        <w:tabs>
          <w:tab w:val="left" w:pos="1040"/>
        </w:tabs>
        <w:spacing w:line="440" w:lineRule="exact"/>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12)</w:t>
      </w:r>
      <w:r>
        <w:rPr>
          <w:rFonts w:hint="eastAsia" w:ascii="宋体" w:hAnsi="宋体" w:eastAsia="宋体" w:cs="宋体"/>
          <w:color w:val="auto"/>
          <w:sz w:val="24"/>
          <w:highlight w:val="none"/>
          <w:shd w:val="clear" w:color="auto" w:fill="auto"/>
        </w:rPr>
        <w:t>门禁系统</w:t>
      </w:r>
    </w:p>
    <w:p w14:paraId="66EDC3AD">
      <w:pPr>
        <w:numPr>
          <w:ilvl w:val="0"/>
          <w:numId w:val="18"/>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泵房主出入口加装门禁系统，其余次要通道不作要求。</w:t>
      </w:r>
    </w:p>
    <w:p w14:paraId="03FF8DCB">
      <w:pPr>
        <w:numPr>
          <w:ilvl w:val="0"/>
          <w:numId w:val="18"/>
        </w:numPr>
        <w:spacing w:line="440" w:lineRule="exact"/>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技术参数：</w:t>
      </w:r>
    </w:p>
    <w:p w14:paraId="1664019F">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2.1、支持TCP/IP网络通信。</w:t>
      </w:r>
    </w:p>
    <w:p w14:paraId="67E20340">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2.2、可存储10万笔合法卡，30万笔刷卡记录。</w:t>
      </w:r>
    </w:p>
    <w:p w14:paraId="6CCCDC9A">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2.3、支持多门互锁功能、反潜回功能、多重卡开门功能、首卡开门功能、超级卡和超级密码开门、在线升级功能、中心远程开门功能。</w:t>
      </w:r>
    </w:p>
    <w:p w14:paraId="61400884">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2.4、支持读卡器防拆报警、门未关妥报警、门被外力开起报警、开门等待超时报警、胁迫卡和胁迫码报警、黑名单报警、非法卡超次刷卡报警。可通过网络和报警输出接口输出报警信号。</w:t>
      </w:r>
    </w:p>
    <w:p w14:paraId="03E530BB">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2.5、支持防区报警输入，具有防短、防剪功能。</w:t>
      </w:r>
    </w:p>
    <w:p w14:paraId="1FF524E3">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2.6、同时支持RS485接口和韦根接口读卡器的接入，RS485接口采用双接口设计，支持环路断点故障检测和冗余功能；韦根格式支持W26、W34、W37等多种格式，能无缝兼容第三方韦根接口读卡器。</w:t>
      </w:r>
    </w:p>
    <w:p w14:paraId="039BA86F">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2.7、支持普通卡/黑名单/巡更卡/来宾卡/胁迫卡/超级卡等多种卡片类型。</w:t>
      </w:r>
    </w:p>
    <w:p w14:paraId="747E27DA">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2.8、支持NTP校时、手动校时、自动校时功能。</w:t>
      </w:r>
    </w:p>
    <w:p w14:paraId="26900E48">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2.9、支持脱机记录保持功能和纪录储存空间不足警告功能。</w:t>
      </w:r>
    </w:p>
    <w:p w14:paraId="0224E4CC">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2.10、主机断电后数据可以永久保存。</w:t>
      </w:r>
    </w:p>
    <w:p w14:paraId="123941C9">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2.11、读卡器支持按键、非接触式IC卡（或支持二代身份证卡）；每个门禁需配10张卡。</w:t>
      </w:r>
    </w:p>
    <w:p w14:paraId="12065934">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2.12、电磁锁吸力280KG，带状态信号输出，通电上锁，断电开锁。</w:t>
      </w:r>
    </w:p>
    <w:p w14:paraId="4C22369F">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（5）、主要配件推荐品牌</w:t>
      </w:r>
    </w:p>
    <w:tbl>
      <w:tblPr>
        <w:tblStyle w:val="27"/>
        <w:tblW w:w="0" w:type="auto"/>
        <w:tblInd w:w="0" w:type="dxa"/>
        <w:tblLayout w:type="fixed"/>
        <w:tblCellMar>
          <w:top w:w="15" w:type="dxa"/>
          <w:left w:w="15" w:type="dxa"/>
          <w:bottom w:w="15" w:type="dxa"/>
          <w:right w:w="15" w:type="dxa"/>
        </w:tblCellMar>
      </w:tblPr>
      <w:tblGrid>
        <w:gridCol w:w="2209"/>
        <w:gridCol w:w="5817"/>
      </w:tblGrid>
      <w:tr w14:paraId="22C81DF3">
        <w:tblPrEx>
          <w:tblCellMar>
            <w:top w:w="15" w:type="dxa"/>
            <w:left w:w="15" w:type="dxa"/>
            <w:bottom w:w="15" w:type="dxa"/>
            <w:right w:w="15" w:type="dxa"/>
          </w:tblCellMar>
        </w:tblPrEx>
        <w:trPr>
          <w:trHeight w:val="510" w:hRule="atLeast"/>
        </w:trPr>
        <w:tc>
          <w:tcPr>
            <w:tcW w:w="2209" w:type="dxa"/>
            <w:tcBorders>
              <w:top w:val="single" w:color="000000" w:sz="4" w:space="0"/>
              <w:left w:val="single" w:color="000000" w:sz="4" w:space="0"/>
              <w:bottom w:val="single" w:color="000000" w:sz="4" w:space="0"/>
              <w:right w:val="single" w:color="000000" w:sz="4" w:space="0"/>
            </w:tcBorders>
            <w:noWrap w:val="0"/>
            <w:vAlign w:val="center"/>
          </w:tcPr>
          <w:p w14:paraId="0B336EDF">
            <w:pPr>
              <w:jc w:val="center"/>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配件名称</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298C80C2">
            <w:pPr>
              <w:jc w:val="center"/>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推荐品牌</w:t>
            </w:r>
          </w:p>
        </w:tc>
      </w:tr>
      <w:tr w14:paraId="4B86C5B2">
        <w:tblPrEx>
          <w:tblCellMar>
            <w:top w:w="15" w:type="dxa"/>
            <w:left w:w="15" w:type="dxa"/>
            <w:bottom w:w="15" w:type="dxa"/>
            <w:right w:w="15" w:type="dxa"/>
          </w:tblCellMar>
        </w:tblPrEx>
        <w:trPr>
          <w:trHeight w:val="510" w:hRule="atLeast"/>
        </w:trPr>
        <w:tc>
          <w:tcPr>
            <w:tcW w:w="2209" w:type="dxa"/>
            <w:tcBorders>
              <w:top w:val="single" w:color="000000" w:sz="4" w:space="0"/>
              <w:left w:val="single" w:color="000000" w:sz="4" w:space="0"/>
              <w:bottom w:val="single" w:color="000000" w:sz="4" w:space="0"/>
              <w:right w:val="single" w:color="000000" w:sz="4" w:space="0"/>
            </w:tcBorders>
            <w:noWrap w:val="0"/>
            <w:vAlign w:val="center"/>
          </w:tcPr>
          <w:p w14:paraId="4C1B6F90">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主采集器</w:t>
            </w:r>
          </w:p>
          <w:p w14:paraId="59826308">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（主控器件）</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3DBE73F1">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西门子、施耐德、艾默生、和达、同档次或以上</w:t>
            </w:r>
          </w:p>
        </w:tc>
      </w:tr>
      <w:tr w14:paraId="3E09EF81">
        <w:tblPrEx>
          <w:tblCellMar>
            <w:top w:w="15" w:type="dxa"/>
            <w:left w:w="15" w:type="dxa"/>
            <w:bottom w:w="15" w:type="dxa"/>
            <w:right w:w="15" w:type="dxa"/>
          </w:tblCellMar>
        </w:tblPrEx>
        <w:trPr>
          <w:trHeight w:val="510" w:hRule="atLeast"/>
        </w:trPr>
        <w:tc>
          <w:tcPr>
            <w:tcW w:w="2209" w:type="dxa"/>
            <w:tcBorders>
              <w:top w:val="single" w:color="000000" w:sz="4" w:space="0"/>
              <w:left w:val="single" w:color="000000" w:sz="4" w:space="0"/>
              <w:bottom w:val="single" w:color="000000" w:sz="4" w:space="0"/>
              <w:right w:val="single" w:color="000000" w:sz="4" w:space="0"/>
            </w:tcBorders>
            <w:noWrap w:val="0"/>
            <w:vAlign w:val="center"/>
          </w:tcPr>
          <w:p w14:paraId="4BC114DF">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开关电源</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73749043">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明纬、施耐德、ABB、同档次或以上</w:t>
            </w:r>
          </w:p>
        </w:tc>
      </w:tr>
      <w:tr w14:paraId="48B49393">
        <w:tblPrEx>
          <w:tblCellMar>
            <w:top w:w="15" w:type="dxa"/>
            <w:left w:w="15" w:type="dxa"/>
            <w:bottom w:w="15" w:type="dxa"/>
            <w:right w:w="15" w:type="dxa"/>
          </w:tblCellMar>
        </w:tblPrEx>
        <w:trPr>
          <w:trHeight w:val="510" w:hRule="atLeast"/>
        </w:trPr>
        <w:tc>
          <w:tcPr>
            <w:tcW w:w="2209" w:type="dxa"/>
            <w:tcBorders>
              <w:top w:val="single" w:color="000000" w:sz="4" w:space="0"/>
              <w:left w:val="single" w:color="000000" w:sz="4" w:space="0"/>
              <w:bottom w:val="single" w:color="000000" w:sz="4" w:space="0"/>
              <w:right w:val="single" w:color="000000" w:sz="4" w:space="0"/>
            </w:tcBorders>
            <w:noWrap w:val="0"/>
            <w:vAlign w:val="center"/>
          </w:tcPr>
          <w:p w14:paraId="0977A3AB">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烟雾报警器</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34086A65">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同安迪、海湾、豪恩、同档次或以上</w:t>
            </w:r>
          </w:p>
        </w:tc>
      </w:tr>
      <w:tr w14:paraId="27522500">
        <w:tblPrEx>
          <w:tblCellMar>
            <w:top w:w="15" w:type="dxa"/>
            <w:left w:w="15" w:type="dxa"/>
            <w:bottom w:w="15" w:type="dxa"/>
            <w:right w:w="15" w:type="dxa"/>
          </w:tblCellMar>
        </w:tblPrEx>
        <w:trPr>
          <w:trHeight w:val="510" w:hRule="atLeast"/>
        </w:trPr>
        <w:tc>
          <w:tcPr>
            <w:tcW w:w="2209" w:type="dxa"/>
            <w:tcBorders>
              <w:top w:val="single" w:color="000000" w:sz="4" w:space="0"/>
              <w:left w:val="single" w:color="000000" w:sz="4" w:space="0"/>
              <w:bottom w:val="single" w:color="000000" w:sz="4" w:space="0"/>
              <w:right w:val="single" w:color="000000" w:sz="4" w:space="0"/>
            </w:tcBorders>
            <w:noWrap w:val="0"/>
            <w:vAlign w:val="center"/>
          </w:tcPr>
          <w:p w14:paraId="285DC499">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温湿度变送器</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1C206FB3">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昆仑海岸、霍尼韦尔、OMEGA、同档次或以上</w:t>
            </w:r>
          </w:p>
        </w:tc>
      </w:tr>
      <w:tr w14:paraId="1E7863E3">
        <w:tblPrEx>
          <w:tblCellMar>
            <w:top w:w="15" w:type="dxa"/>
            <w:left w:w="15" w:type="dxa"/>
            <w:bottom w:w="15" w:type="dxa"/>
            <w:right w:w="15" w:type="dxa"/>
          </w:tblCellMar>
        </w:tblPrEx>
        <w:trPr>
          <w:trHeight w:val="510" w:hRule="atLeast"/>
        </w:trPr>
        <w:tc>
          <w:tcPr>
            <w:tcW w:w="2209" w:type="dxa"/>
            <w:tcBorders>
              <w:top w:val="single" w:color="000000" w:sz="4" w:space="0"/>
              <w:left w:val="single" w:color="000000" w:sz="4" w:space="0"/>
              <w:bottom w:val="single" w:color="000000" w:sz="4" w:space="0"/>
              <w:right w:val="single" w:color="000000" w:sz="4" w:space="0"/>
            </w:tcBorders>
            <w:noWrap w:val="0"/>
            <w:vAlign w:val="center"/>
          </w:tcPr>
          <w:p w14:paraId="26E1759B">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液位变送器</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1664F7B9">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麦克、E+H、艾默生、同档次或以上</w:t>
            </w:r>
          </w:p>
        </w:tc>
      </w:tr>
      <w:tr w14:paraId="764D14DC">
        <w:tblPrEx>
          <w:tblCellMar>
            <w:top w:w="15" w:type="dxa"/>
            <w:left w:w="15" w:type="dxa"/>
            <w:bottom w:w="15" w:type="dxa"/>
            <w:right w:w="15" w:type="dxa"/>
          </w:tblCellMar>
        </w:tblPrEx>
        <w:trPr>
          <w:trHeight w:val="510" w:hRule="atLeast"/>
        </w:trPr>
        <w:tc>
          <w:tcPr>
            <w:tcW w:w="2209" w:type="dxa"/>
            <w:tcBorders>
              <w:top w:val="single" w:color="000000" w:sz="4" w:space="0"/>
              <w:left w:val="single" w:color="000000" w:sz="4" w:space="0"/>
              <w:bottom w:val="single" w:color="000000" w:sz="4" w:space="0"/>
              <w:right w:val="single" w:color="000000" w:sz="4" w:space="0"/>
            </w:tcBorders>
            <w:noWrap w:val="0"/>
            <w:vAlign w:val="center"/>
          </w:tcPr>
          <w:p w14:paraId="11DE3B8B">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UPS</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0B369E66">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山特、APC、科士达、西门子、同档次或以上</w:t>
            </w:r>
          </w:p>
        </w:tc>
      </w:tr>
      <w:tr w14:paraId="0496A1D0">
        <w:tblPrEx>
          <w:tblCellMar>
            <w:top w:w="15" w:type="dxa"/>
            <w:left w:w="15" w:type="dxa"/>
            <w:bottom w:w="15" w:type="dxa"/>
            <w:right w:w="15" w:type="dxa"/>
          </w:tblCellMar>
        </w:tblPrEx>
        <w:trPr>
          <w:trHeight w:val="510" w:hRule="atLeast"/>
        </w:trPr>
        <w:tc>
          <w:tcPr>
            <w:tcW w:w="2209" w:type="dxa"/>
            <w:tcBorders>
              <w:top w:val="single" w:color="000000" w:sz="4" w:space="0"/>
              <w:left w:val="single" w:color="000000" w:sz="4" w:space="0"/>
              <w:bottom w:val="single" w:color="000000" w:sz="4" w:space="0"/>
              <w:right w:val="single" w:color="000000" w:sz="4" w:space="0"/>
            </w:tcBorders>
            <w:noWrap w:val="0"/>
            <w:vAlign w:val="center"/>
          </w:tcPr>
          <w:p w14:paraId="688CF1AB">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信号隔离模块</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00BD1804">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宇泰、米科、KNICK、联测、同档次或以上</w:t>
            </w:r>
          </w:p>
        </w:tc>
      </w:tr>
      <w:tr w14:paraId="4ECBD656">
        <w:tblPrEx>
          <w:tblCellMar>
            <w:top w:w="15" w:type="dxa"/>
            <w:left w:w="15" w:type="dxa"/>
            <w:bottom w:w="15" w:type="dxa"/>
            <w:right w:w="15" w:type="dxa"/>
          </w:tblCellMar>
        </w:tblPrEx>
        <w:trPr>
          <w:trHeight w:val="510" w:hRule="atLeast"/>
        </w:trPr>
        <w:tc>
          <w:tcPr>
            <w:tcW w:w="2209" w:type="dxa"/>
            <w:tcBorders>
              <w:top w:val="single" w:color="000000" w:sz="4" w:space="0"/>
              <w:left w:val="single" w:color="000000" w:sz="4" w:space="0"/>
              <w:bottom w:val="single" w:color="000000" w:sz="4" w:space="0"/>
              <w:right w:val="single" w:color="000000" w:sz="4" w:space="0"/>
            </w:tcBorders>
            <w:noWrap w:val="0"/>
            <w:vAlign w:val="center"/>
          </w:tcPr>
          <w:p w14:paraId="1224C041">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交换机</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5D6F59B3">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MOXA、TP-LINK、华为、同档次或以上</w:t>
            </w:r>
          </w:p>
        </w:tc>
      </w:tr>
      <w:tr w14:paraId="1D511393">
        <w:tblPrEx>
          <w:tblCellMar>
            <w:top w:w="15" w:type="dxa"/>
            <w:left w:w="15" w:type="dxa"/>
            <w:bottom w:w="15" w:type="dxa"/>
            <w:right w:w="15" w:type="dxa"/>
          </w:tblCellMar>
        </w:tblPrEx>
        <w:trPr>
          <w:trHeight w:val="510" w:hRule="atLeast"/>
        </w:trPr>
        <w:tc>
          <w:tcPr>
            <w:tcW w:w="2209" w:type="dxa"/>
            <w:tcBorders>
              <w:top w:val="single" w:color="000000" w:sz="4" w:space="0"/>
              <w:left w:val="single" w:color="000000" w:sz="4" w:space="0"/>
              <w:bottom w:val="single" w:color="000000" w:sz="4" w:space="0"/>
              <w:right w:val="single" w:color="000000" w:sz="4" w:space="0"/>
            </w:tcBorders>
            <w:noWrap w:val="0"/>
            <w:vAlign w:val="center"/>
          </w:tcPr>
          <w:p w14:paraId="5FC95050">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视频图像</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4606BEDF">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海康威视、杭州大华、宇视、同档次或以上</w:t>
            </w:r>
          </w:p>
        </w:tc>
      </w:tr>
      <w:tr w14:paraId="544A3DF7">
        <w:tblPrEx>
          <w:tblCellMar>
            <w:top w:w="15" w:type="dxa"/>
            <w:left w:w="15" w:type="dxa"/>
            <w:bottom w:w="15" w:type="dxa"/>
            <w:right w:w="15" w:type="dxa"/>
          </w:tblCellMar>
        </w:tblPrEx>
        <w:trPr>
          <w:trHeight w:val="510" w:hRule="atLeast"/>
        </w:trPr>
        <w:tc>
          <w:tcPr>
            <w:tcW w:w="2209" w:type="dxa"/>
            <w:tcBorders>
              <w:top w:val="single" w:color="000000" w:sz="4" w:space="0"/>
              <w:left w:val="single" w:color="000000" w:sz="4" w:space="0"/>
              <w:bottom w:val="single" w:color="000000" w:sz="4" w:space="0"/>
              <w:right w:val="single" w:color="000000" w:sz="4" w:space="0"/>
            </w:tcBorders>
            <w:noWrap w:val="0"/>
            <w:vAlign w:val="center"/>
          </w:tcPr>
          <w:p w14:paraId="6AA54795">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红外安防</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4B812CB1">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海康威视、杭州大华、宇视、同档次或以上</w:t>
            </w:r>
          </w:p>
        </w:tc>
      </w:tr>
      <w:tr w14:paraId="038D0071">
        <w:tblPrEx>
          <w:tblCellMar>
            <w:top w:w="15" w:type="dxa"/>
            <w:left w:w="15" w:type="dxa"/>
            <w:bottom w:w="15" w:type="dxa"/>
            <w:right w:w="15" w:type="dxa"/>
          </w:tblCellMar>
        </w:tblPrEx>
        <w:trPr>
          <w:trHeight w:val="510" w:hRule="atLeast"/>
        </w:trPr>
        <w:tc>
          <w:tcPr>
            <w:tcW w:w="2209" w:type="dxa"/>
            <w:tcBorders>
              <w:top w:val="single" w:color="000000" w:sz="4" w:space="0"/>
              <w:left w:val="single" w:color="000000" w:sz="4" w:space="0"/>
              <w:bottom w:val="single" w:color="000000" w:sz="4" w:space="0"/>
              <w:right w:val="single" w:color="000000" w:sz="4" w:space="0"/>
            </w:tcBorders>
            <w:noWrap w:val="0"/>
            <w:vAlign w:val="center"/>
          </w:tcPr>
          <w:p w14:paraId="3482695B">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门禁</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7B37856B">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海康威视、杭州大华、宇视、同档次或以上</w:t>
            </w:r>
          </w:p>
        </w:tc>
      </w:tr>
      <w:tr w14:paraId="06CDA25C">
        <w:tblPrEx>
          <w:tblCellMar>
            <w:top w:w="15" w:type="dxa"/>
            <w:left w:w="15" w:type="dxa"/>
            <w:bottom w:w="15" w:type="dxa"/>
            <w:right w:w="15" w:type="dxa"/>
          </w:tblCellMar>
        </w:tblPrEx>
        <w:trPr>
          <w:trHeight w:val="510" w:hRule="atLeast"/>
        </w:trPr>
        <w:tc>
          <w:tcPr>
            <w:tcW w:w="2209" w:type="dxa"/>
            <w:tcBorders>
              <w:top w:val="single" w:color="000000" w:sz="4" w:space="0"/>
              <w:left w:val="single" w:color="000000" w:sz="4" w:space="0"/>
              <w:bottom w:val="single" w:color="000000" w:sz="4" w:space="0"/>
              <w:right w:val="single" w:color="000000" w:sz="4" w:space="0"/>
            </w:tcBorders>
            <w:noWrap w:val="0"/>
            <w:vAlign w:val="center"/>
          </w:tcPr>
          <w:p w14:paraId="7747F141">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中间继电器</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6E1E4E8A">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欧姆龙、施耐德、西门子、同档次或以上</w:t>
            </w:r>
          </w:p>
        </w:tc>
      </w:tr>
      <w:tr w14:paraId="55F39099">
        <w:tblPrEx>
          <w:tblCellMar>
            <w:top w:w="15" w:type="dxa"/>
            <w:left w:w="15" w:type="dxa"/>
            <w:bottom w:w="15" w:type="dxa"/>
            <w:right w:w="15" w:type="dxa"/>
          </w:tblCellMar>
        </w:tblPrEx>
        <w:trPr>
          <w:trHeight w:val="510" w:hRule="atLeast"/>
        </w:trPr>
        <w:tc>
          <w:tcPr>
            <w:tcW w:w="2209" w:type="dxa"/>
            <w:tcBorders>
              <w:top w:val="single" w:color="000000" w:sz="4" w:space="0"/>
              <w:left w:val="single" w:color="000000" w:sz="4" w:space="0"/>
              <w:bottom w:val="single" w:color="000000" w:sz="4" w:space="0"/>
              <w:right w:val="single" w:color="000000" w:sz="4" w:space="0"/>
            </w:tcBorders>
            <w:noWrap w:val="0"/>
            <w:vAlign w:val="center"/>
          </w:tcPr>
          <w:p w14:paraId="460B2C36">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按钮、指示灯</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47808710">
            <w:pPr>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APT、欧姆龙、施耐德、同档次或以上</w:t>
            </w:r>
          </w:p>
        </w:tc>
      </w:tr>
    </w:tbl>
    <w:p w14:paraId="0F7BD56F">
      <w:pPr>
        <w:rPr>
          <w:rFonts w:hint="eastAsia" w:ascii="宋体" w:hAnsi="宋体" w:eastAsia="宋体" w:cs="宋体"/>
          <w:color w:val="auto"/>
          <w:highlight w:val="none"/>
          <w:shd w:val="clear" w:color="auto" w:fill="auto"/>
        </w:rPr>
      </w:pPr>
    </w:p>
    <w:p w14:paraId="655B0DE0">
      <w:pPr>
        <w:spacing w:before="308" w:line="216" w:lineRule="auto"/>
        <w:ind w:left="2916"/>
        <w:jc w:val="both"/>
        <w:rPr>
          <w:rFonts w:hint="eastAsia" w:ascii="宋体" w:hAnsi="宋体" w:eastAsia="宋体" w:cs="宋体"/>
          <w:color w:val="auto"/>
          <w:sz w:val="29"/>
          <w:szCs w:val="29"/>
          <w:highlight w:val="none"/>
          <w:shd w:val="clear" w:color="auto" w:fill="auto"/>
        </w:rPr>
      </w:pPr>
    </w:p>
    <w:p w14:paraId="3DCDA9FE">
      <w:pPr>
        <w:jc w:val="both"/>
        <w:rPr>
          <w:rFonts w:hint="eastAsia" w:ascii="宋体" w:hAnsi="宋体" w:eastAsia="宋体" w:cs="宋体"/>
          <w:color w:val="auto"/>
          <w:highlight w:val="none"/>
          <w:shd w:val="clear" w:color="auto" w:fill="auto"/>
        </w:rPr>
        <w:sectPr>
          <w:footerReference r:id="rId16" w:type="default"/>
          <w:pgSz w:w="11907" w:h="16840"/>
          <w:pgMar w:top="1418" w:right="1559" w:bottom="1418" w:left="1474" w:header="0" w:footer="726" w:gutter="0"/>
          <w:cols w:space="720" w:num="1"/>
        </w:sectPr>
      </w:pPr>
    </w:p>
    <w:p w14:paraId="089560FD">
      <w:pPr>
        <w:spacing w:before="318" w:line="225" w:lineRule="auto"/>
        <w:ind w:left="2735" w:firstLine="310" w:firstLineChars="100"/>
        <w:jc w:val="both"/>
        <w:outlineLvl w:val="0"/>
        <w:rPr>
          <w:rFonts w:hint="eastAsia" w:ascii="宋体" w:hAnsi="宋体" w:eastAsia="宋体" w:cs="宋体"/>
          <w:color w:val="auto"/>
          <w:sz w:val="31"/>
          <w:szCs w:val="31"/>
          <w:highlight w:val="none"/>
          <w:shd w:val="clear" w:color="auto" w:fill="auto"/>
        </w:rPr>
      </w:pPr>
      <w:bookmarkStart w:id="50" w:name="_bookmark14"/>
      <w:bookmarkEnd w:id="50"/>
      <w:r>
        <w:rPr>
          <w:rFonts w:hint="eastAsia" w:ascii="宋体" w:hAnsi="宋体" w:eastAsia="宋体" w:cs="宋体"/>
          <w:color w:val="auto"/>
          <w:sz w:val="31"/>
          <w:szCs w:val="31"/>
          <w:highlight w:val="none"/>
          <w:shd w:val="clear" w:color="auto" w:fill="auto"/>
        </w:rPr>
        <w:t>第六章 投标文件格式</w:t>
      </w:r>
    </w:p>
    <w:p w14:paraId="2384D3AB">
      <w:pPr>
        <w:spacing w:line="343" w:lineRule="auto"/>
        <w:jc w:val="both"/>
        <w:rPr>
          <w:rFonts w:hint="eastAsia" w:ascii="宋体" w:hAnsi="宋体" w:eastAsia="宋体" w:cs="宋体"/>
          <w:color w:val="auto"/>
          <w:highlight w:val="none"/>
          <w:shd w:val="clear" w:color="auto" w:fill="auto"/>
        </w:rPr>
      </w:pPr>
    </w:p>
    <w:p w14:paraId="65FA9CEF">
      <w:pPr>
        <w:spacing w:before="91" w:line="222" w:lineRule="auto"/>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目   录</w:t>
      </w:r>
    </w:p>
    <w:p w14:paraId="74388FE0">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highlight w:val="none"/>
          <w:shd w:val="clear" w:color="auto" w:fill="auto"/>
        </w:rPr>
      </w:pPr>
      <w:r>
        <w:rPr>
          <w:rFonts w:hint="eastAsia" w:ascii="宋体" w:hAnsi="宋体" w:eastAsia="宋体" w:cs="宋体"/>
          <w:b/>
          <w:bCs/>
          <w:snapToGrid w:val="0"/>
          <w:color w:val="auto"/>
          <w:kern w:val="0"/>
          <w:sz w:val="28"/>
          <w:szCs w:val="28"/>
          <w:highlight w:val="none"/>
          <w:shd w:val="clear" w:color="auto" w:fill="auto"/>
          <w:lang w:val="en-US" w:eastAsia="zh-CN" w:bidi="ar"/>
        </w:rPr>
        <w:t>一、投标文件商务标格式</w:t>
      </w:r>
    </w:p>
    <w:p w14:paraId="08DF7C06">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、投标函(格式一)</w:t>
      </w:r>
      <w:r>
        <w:rPr>
          <w:rFonts w:hint="eastAsia" w:ascii="宋体" w:hAnsi="宋体" w:eastAsia="宋体" w:cs="宋体"/>
          <w:color w:val="auto"/>
          <w:sz w:val="24"/>
          <w:szCs w:val="24"/>
          <w:highlight w:val="none"/>
          <w:shd w:val="clear" w:color="auto" w:fill="auto"/>
          <w:lang w:eastAsia="zh-CN"/>
        </w:rPr>
        <w:t>；</w:t>
      </w:r>
    </w:p>
    <w:p w14:paraId="3E751D71">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、投标报价表(格式</w:t>
      </w:r>
      <w:r>
        <w:rPr>
          <w:rFonts w:hint="eastAsia" w:ascii="宋体" w:hAnsi="宋体" w:eastAsia="宋体" w:cs="宋体"/>
          <w:color w:val="auto"/>
          <w:sz w:val="24"/>
          <w:szCs w:val="24"/>
          <w:highlight w:val="none"/>
          <w:shd w:val="clear" w:color="auto" w:fill="auto"/>
          <w:lang w:val="en-US" w:eastAsia="zh-CN"/>
        </w:rPr>
        <w:t>二</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w:t>
      </w:r>
    </w:p>
    <w:p w14:paraId="6F4ECBF8">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47" w:firstLineChars="118"/>
        <w:jc w:val="both"/>
        <w:textAlignment w:val="baseline"/>
        <w:outlineLvl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、投标人须知前附表规定的构成投标文件的其他材料</w:t>
      </w:r>
      <w:r>
        <w:rPr>
          <w:rFonts w:hint="eastAsia" w:ascii="宋体" w:hAnsi="宋体" w:eastAsia="宋体" w:cs="宋体"/>
          <w:color w:val="auto"/>
          <w:sz w:val="24"/>
          <w:szCs w:val="24"/>
          <w:highlight w:val="none"/>
          <w:shd w:val="clear" w:color="auto" w:fill="auto"/>
          <w:lang w:eastAsia="zh-CN"/>
        </w:rPr>
        <w:t>。</w:t>
      </w:r>
    </w:p>
    <w:p w14:paraId="1B04E6B6">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p>
    <w:p w14:paraId="1A1B8D1B">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highlight w:val="none"/>
          <w:shd w:val="clear" w:color="auto" w:fill="auto"/>
        </w:rPr>
      </w:pPr>
      <w:r>
        <w:rPr>
          <w:rFonts w:hint="eastAsia" w:ascii="宋体" w:hAnsi="宋体" w:eastAsia="宋体" w:cs="宋体"/>
          <w:b/>
          <w:bCs/>
          <w:snapToGrid w:val="0"/>
          <w:color w:val="auto"/>
          <w:kern w:val="0"/>
          <w:sz w:val="28"/>
          <w:szCs w:val="28"/>
          <w:highlight w:val="none"/>
          <w:shd w:val="clear" w:color="auto" w:fill="auto"/>
          <w:lang w:val="en-US" w:eastAsia="zh-CN" w:bidi="ar"/>
        </w:rPr>
        <w:t>二、投标文件技术标格式</w:t>
      </w:r>
    </w:p>
    <w:p w14:paraId="13396D01">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技术评分索引表</w:t>
      </w:r>
      <w:r>
        <w:rPr>
          <w:rFonts w:hint="eastAsia" w:ascii="宋体" w:hAnsi="宋体" w:eastAsia="宋体" w:cs="宋体"/>
          <w:color w:val="auto"/>
          <w:sz w:val="24"/>
          <w:szCs w:val="24"/>
          <w:highlight w:val="none"/>
          <w:shd w:val="clear" w:color="auto" w:fill="auto"/>
          <w:lang w:eastAsia="zh-CN"/>
        </w:rPr>
        <w:t>；</w:t>
      </w:r>
    </w:p>
    <w:p w14:paraId="074BF0AD">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、评审打分的资料及格式(格式</w:t>
      </w:r>
      <w:r>
        <w:rPr>
          <w:rFonts w:hint="eastAsia" w:ascii="宋体" w:hAnsi="宋体" w:eastAsia="宋体" w:cs="宋体"/>
          <w:color w:val="auto"/>
          <w:sz w:val="24"/>
          <w:szCs w:val="24"/>
          <w:highlight w:val="none"/>
          <w:shd w:val="clear" w:color="auto" w:fill="auto"/>
          <w:lang w:val="en-US" w:eastAsia="zh-CN"/>
        </w:rPr>
        <w:t>三</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w:t>
      </w:r>
    </w:p>
    <w:p w14:paraId="31CB8A2B">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项目管理人员配备表（</w:t>
      </w:r>
      <w:r>
        <w:rPr>
          <w:rFonts w:hint="eastAsia" w:ascii="宋体" w:hAnsi="宋体" w:eastAsia="宋体" w:cs="宋体"/>
          <w:color w:val="auto"/>
          <w:sz w:val="24"/>
          <w:szCs w:val="24"/>
          <w:highlight w:val="none"/>
          <w:shd w:val="clear" w:color="auto" w:fill="auto"/>
          <w:lang w:eastAsia="zh-CN"/>
        </w:rPr>
        <w:t>格式</w:t>
      </w:r>
      <w:r>
        <w:rPr>
          <w:rFonts w:hint="eastAsia" w:ascii="宋体" w:hAnsi="宋体" w:eastAsia="宋体" w:cs="宋体"/>
          <w:color w:val="auto"/>
          <w:sz w:val="24"/>
          <w:szCs w:val="24"/>
          <w:highlight w:val="none"/>
          <w:shd w:val="clear" w:color="auto" w:fill="auto"/>
        </w:rPr>
        <w:t>四）；</w:t>
      </w:r>
    </w:p>
    <w:p w14:paraId="443ACF4C">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投标人已承接的项目业绩表（</w:t>
      </w:r>
      <w:r>
        <w:rPr>
          <w:rFonts w:hint="eastAsia" w:ascii="宋体" w:hAnsi="宋体" w:eastAsia="宋体" w:cs="宋体"/>
          <w:color w:val="auto"/>
          <w:sz w:val="24"/>
          <w:szCs w:val="24"/>
          <w:highlight w:val="none"/>
          <w:shd w:val="clear" w:color="auto" w:fill="auto"/>
          <w:lang w:eastAsia="zh-CN"/>
        </w:rPr>
        <w:t>格式</w:t>
      </w:r>
      <w:r>
        <w:rPr>
          <w:rFonts w:hint="eastAsia" w:ascii="宋体" w:hAnsi="宋体" w:eastAsia="宋体" w:cs="宋体"/>
          <w:color w:val="auto"/>
          <w:sz w:val="24"/>
          <w:szCs w:val="24"/>
          <w:highlight w:val="none"/>
          <w:shd w:val="clear" w:color="auto" w:fill="auto"/>
        </w:rPr>
        <w:t>五）；</w:t>
      </w:r>
    </w:p>
    <w:p w14:paraId="31D1E808">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投标人应提供针对项目的完整技术解决方案（格式自拟）；</w:t>
      </w:r>
    </w:p>
    <w:p w14:paraId="2EB63B34">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针对本项目的完整技术解决方案和实施方案；详细阐述项目方案的实现思路及关键技术；符合本项目对当前和未来发展的要求；以及对功能设计和实施计划的建议；</w:t>
      </w:r>
    </w:p>
    <w:p w14:paraId="1B044912">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质量保证措施（格式自拟）；</w:t>
      </w:r>
    </w:p>
    <w:p w14:paraId="15CD29F9">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优惠条件（如有，格式自拟）</w:t>
      </w:r>
      <w:r>
        <w:rPr>
          <w:rFonts w:hint="eastAsia" w:ascii="宋体" w:hAnsi="宋体" w:eastAsia="宋体" w:cs="宋体"/>
          <w:color w:val="auto"/>
          <w:sz w:val="24"/>
          <w:szCs w:val="24"/>
          <w:highlight w:val="none"/>
          <w:shd w:val="clear" w:color="auto" w:fill="auto"/>
          <w:lang w:eastAsia="zh-CN"/>
        </w:rPr>
        <w:t>；</w:t>
      </w:r>
    </w:p>
    <w:p w14:paraId="576C7CF9">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投标人承诺给予招标人的各种优惠条件，包括设备价格、运输、保险、安装调试、付款条件、技术服务、售后服务等方面的优惠</w:t>
      </w:r>
    </w:p>
    <w:p w14:paraId="0EBF1440">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技术偏离说明表（</w:t>
      </w:r>
      <w:r>
        <w:rPr>
          <w:rFonts w:hint="eastAsia" w:ascii="宋体" w:hAnsi="宋体" w:eastAsia="宋体" w:cs="宋体"/>
          <w:color w:val="auto"/>
          <w:sz w:val="24"/>
          <w:szCs w:val="24"/>
          <w:highlight w:val="none"/>
          <w:shd w:val="clear" w:color="auto" w:fill="auto"/>
          <w:lang w:eastAsia="zh-CN"/>
        </w:rPr>
        <w:t>格式</w:t>
      </w:r>
      <w:r>
        <w:rPr>
          <w:rFonts w:hint="eastAsia" w:ascii="宋体" w:hAnsi="宋体" w:eastAsia="宋体" w:cs="宋体"/>
          <w:color w:val="auto"/>
          <w:sz w:val="24"/>
          <w:szCs w:val="24"/>
          <w:highlight w:val="none"/>
          <w:shd w:val="clear" w:color="auto" w:fill="auto"/>
        </w:rPr>
        <w:t>六）；</w:t>
      </w:r>
    </w:p>
    <w:p w14:paraId="64D130B0">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在投标文件技术偏离说明表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14:paraId="3DDB0A71">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针对本项目建设的详细实施计划（格式自拟）；</w:t>
      </w:r>
    </w:p>
    <w:p w14:paraId="21B15220">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本项目详细工作实施组织方案，包括(但不限于)以下内容：组织机构、工作时间进度表、工作程序和步骤、管理和协调方法、关键步骤的思路和要点。</w:t>
      </w:r>
    </w:p>
    <w:p w14:paraId="20E45D3D">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rPr>
        <w:t>项目验收之前、验收之后的维护方案（格式自拟）；</w:t>
      </w:r>
    </w:p>
    <w:p w14:paraId="52D74C4C">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验收之前、验收之后的维护方案；针对本项目的维护方案，包括本地(绍兴)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14:paraId="05D87D52">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11、</w:t>
      </w:r>
      <w:r>
        <w:rPr>
          <w:rFonts w:hint="eastAsia" w:ascii="宋体" w:hAnsi="宋体" w:eastAsia="宋体" w:cs="宋体"/>
          <w:color w:val="auto"/>
          <w:sz w:val="24"/>
          <w:szCs w:val="24"/>
          <w:highlight w:val="none"/>
          <w:shd w:val="clear" w:color="auto" w:fill="auto"/>
        </w:rPr>
        <w:t>备品备件清单（含随机自带的备品备件和质保期后供招标人选择的备品备件及配套零部件，明细备品备件及价格，且供货价格不高于中标价格；中标货物设备应提供易损部件的备件和整机备品）；（如果有，格式自拟）</w:t>
      </w:r>
      <w:r>
        <w:rPr>
          <w:rFonts w:hint="eastAsia" w:ascii="宋体" w:hAnsi="宋体" w:eastAsia="宋体" w:cs="宋体"/>
          <w:color w:val="auto"/>
          <w:sz w:val="24"/>
          <w:szCs w:val="24"/>
          <w:highlight w:val="none"/>
          <w:shd w:val="clear" w:color="auto" w:fill="auto"/>
          <w:lang w:eastAsia="zh-CN"/>
        </w:rPr>
        <w:t>；</w:t>
      </w:r>
    </w:p>
    <w:p w14:paraId="07B6688E">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eastAsia="宋体" w:cs="宋体"/>
          <w:color w:val="auto"/>
          <w:sz w:val="24"/>
          <w:szCs w:val="24"/>
          <w:highlight w:val="none"/>
          <w:shd w:val="clear" w:color="auto" w:fill="auto"/>
        </w:rPr>
        <w:t>培训计划；（如果有）；</w:t>
      </w:r>
    </w:p>
    <w:p w14:paraId="2A3D5DC8">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13、</w:t>
      </w:r>
      <w:r>
        <w:rPr>
          <w:rFonts w:hint="eastAsia" w:ascii="宋体" w:hAnsi="宋体" w:eastAsia="宋体" w:cs="宋体"/>
          <w:color w:val="auto"/>
          <w:sz w:val="24"/>
          <w:szCs w:val="24"/>
          <w:highlight w:val="none"/>
          <w:shd w:val="clear" w:color="auto" w:fill="auto"/>
        </w:rPr>
        <w:t>验收方案（格式自拟）；</w:t>
      </w:r>
    </w:p>
    <w:p w14:paraId="61A325B7">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14、</w:t>
      </w:r>
      <w:r>
        <w:rPr>
          <w:rFonts w:hint="eastAsia" w:ascii="宋体" w:hAnsi="宋体" w:eastAsia="宋体" w:cs="宋体"/>
          <w:color w:val="auto"/>
          <w:sz w:val="24"/>
          <w:szCs w:val="24"/>
          <w:highlight w:val="none"/>
          <w:shd w:val="clear" w:color="auto" w:fill="auto"/>
        </w:rPr>
        <w:t>投标人售后服务机构证明材料</w:t>
      </w:r>
      <w:r>
        <w:rPr>
          <w:rFonts w:hint="eastAsia" w:ascii="宋体" w:hAnsi="宋体" w:eastAsia="宋体" w:cs="宋体"/>
          <w:color w:val="auto"/>
          <w:sz w:val="24"/>
          <w:szCs w:val="24"/>
          <w:highlight w:val="none"/>
          <w:shd w:val="clear" w:color="auto" w:fill="auto"/>
          <w:lang w:eastAsia="zh-CN"/>
        </w:rPr>
        <w:t>；</w:t>
      </w:r>
    </w:p>
    <w:p w14:paraId="2C118211">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营业执照或投标人在本地（绍兴市行政区域范围内）设立的项目部、办公室、办事处等机构的证明材料或投标人作出的中标后提供本地化服务的承诺。</w:t>
      </w:r>
    </w:p>
    <w:p w14:paraId="2158EA06">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15、</w:t>
      </w:r>
      <w:r>
        <w:rPr>
          <w:rFonts w:hint="eastAsia" w:ascii="宋体" w:hAnsi="宋体" w:eastAsia="宋体" w:cs="宋体"/>
          <w:color w:val="auto"/>
          <w:sz w:val="24"/>
          <w:szCs w:val="24"/>
          <w:highlight w:val="none"/>
          <w:shd w:val="clear" w:color="auto" w:fill="auto"/>
        </w:rPr>
        <w:t>廉政承诺书（</w:t>
      </w:r>
      <w:r>
        <w:rPr>
          <w:rFonts w:hint="eastAsia" w:ascii="宋体" w:hAnsi="宋体" w:eastAsia="宋体" w:cs="宋体"/>
          <w:color w:val="auto"/>
          <w:sz w:val="24"/>
          <w:szCs w:val="24"/>
          <w:highlight w:val="none"/>
          <w:shd w:val="clear" w:color="auto" w:fill="auto"/>
          <w:lang w:eastAsia="zh-CN"/>
        </w:rPr>
        <w:t>格式</w:t>
      </w:r>
      <w:r>
        <w:rPr>
          <w:rFonts w:hint="eastAsia" w:ascii="宋体" w:hAnsi="宋体" w:eastAsia="宋体" w:cs="宋体"/>
          <w:color w:val="auto"/>
          <w:sz w:val="24"/>
          <w:szCs w:val="24"/>
          <w:highlight w:val="none"/>
          <w:shd w:val="clear" w:color="auto" w:fill="auto"/>
        </w:rPr>
        <w:t>七）；</w:t>
      </w:r>
    </w:p>
    <w:p w14:paraId="42D17553">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16、</w:t>
      </w:r>
      <w:r>
        <w:rPr>
          <w:rFonts w:hint="eastAsia" w:ascii="宋体" w:hAnsi="宋体" w:eastAsia="宋体" w:cs="宋体"/>
          <w:color w:val="auto"/>
          <w:sz w:val="24"/>
          <w:szCs w:val="24"/>
          <w:highlight w:val="none"/>
          <w:shd w:val="clear" w:color="auto" w:fill="auto"/>
        </w:rPr>
        <w:t>未尽事宜请各投标单位按技术标评分细则和相对应标项相关要求制作（重要）；</w:t>
      </w:r>
    </w:p>
    <w:p w14:paraId="452ABFE2">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17、</w:t>
      </w:r>
      <w:r>
        <w:rPr>
          <w:rFonts w:hint="eastAsia" w:ascii="宋体" w:hAnsi="宋体" w:eastAsia="宋体" w:cs="宋体"/>
          <w:color w:val="auto"/>
          <w:sz w:val="24"/>
          <w:szCs w:val="24"/>
          <w:highlight w:val="none"/>
          <w:shd w:val="clear" w:color="auto" w:fill="auto"/>
        </w:rPr>
        <w:t>投标人认为需要提供的其他资料（如有，格式自拟）。</w:t>
      </w:r>
    </w:p>
    <w:p w14:paraId="5CEF2B9A">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rPr>
      </w:pPr>
    </w:p>
    <w:p w14:paraId="77C0925D">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highlight w:val="none"/>
          <w:shd w:val="clear" w:color="auto" w:fill="auto"/>
        </w:rPr>
      </w:pPr>
      <w:r>
        <w:rPr>
          <w:rFonts w:hint="eastAsia" w:ascii="宋体" w:hAnsi="宋体" w:eastAsia="宋体" w:cs="宋体"/>
          <w:b/>
          <w:bCs/>
          <w:snapToGrid w:val="0"/>
          <w:color w:val="auto"/>
          <w:kern w:val="0"/>
          <w:sz w:val="28"/>
          <w:szCs w:val="28"/>
          <w:highlight w:val="none"/>
          <w:shd w:val="clear" w:color="auto" w:fill="auto"/>
          <w:lang w:val="en-US" w:eastAsia="zh-CN" w:bidi="ar"/>
        </w:rPr>
        <w:t>三、投标文件资格审查资料格式</w:t>
      </w:r>
    </w:p>
    <w:p w14:paraId="0EAC7A67">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、法定代表人身份证明(格式</w:t>
      </w:r>
      <w:r>
        <w:rPr>
          <w:rFonts w:hint="eastAsia" w:ascii="宋体" w:hAnsi="宋体" w:eastAsia="宋体" w:cs="宋体"/>
          <w:color w:val="auto"/>
          <w:sz w:val="24"/>
          <w:szCs w:val="24"/>
          <w:highlight w:val="none"/>
          <w:shd w:val="clear" w:color="auto" w:fill="auto"/>
          <w:lang w:val="en-US" w:eastAsia="zh-CN"/>
        </w:rPr>
        <w:t>八</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w:t>
      </w:r>
    </w:p>
    <w:p w14:paraId="11B00241">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、实质性响应招标文件的资料及格式(格式</w:t>
      </w:r>
      <w:r>
        <w:rPr>
          <w:rFonts w:hint="eastAsia" w:ascii="宋体" w:hAnsi="宋体" w:eastAsia="宋体" w:cs="宋体"/>
          <w:color w:val="auto"/>
          <w:sz w:val="24"/>
          <w:szCs w:val="24"/>
          <w:highlight w:val="none"/>
          <w:shd w:val="clear" w:color="auto" w:fill="auto"/>
          <w:lang w:val="en-US" w:eastAsia="zh-CN"/>
        </w:rPr>
        <w:t>九</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w:t>
      </w:r>
    </w:p>
    <w:p w14:paraId="37FCA6D5">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①</w:t>
      </w:r>
      <w:r>
        <w:rPr>
          <w:rFonts w:hint="eastAsia" w:ascii="宋体" w:hAnsi="宋体" w:eastAsia="宋体" w:cs="宋体"/>
          <w:color w:val="auto"/>
          <w:sz w:val="24"/>
          <w:szCs w:val="24"/>
          <w:highlight w:val="none"/>
          <w:shd w:val="clear" w:color="auto" w:fill="auto"/>
        </w:rPr>
        <w:t>企业法人营业执照</w:t>
      </w:r>
      <w:r>
        <w:rPr>
          <w:rFonts w:hint="eastAsia" w:ascii="宋体" w:hAnsi="宋体" w:eastAsia="宋体" w:cs="宋体"/>
          <w:color w:val="auto"/>
          <w:sz w:val="24"/>
          <w:szCs w:val="24"/>
          <w:highlight w:val="none"/>
          <w:shd w:val="clear" w:color="auto" w:fill="auto"/>
          <w:lang w:eastAsia="zh-CN"/>
        </w:rPr>
        <w:t>；</w:t>
      </w:r>
    </w:p>
    <w:p w14:paraId="7B91B0E8">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②</w:t>
      </w:r>
      <w:r>
        <w:rPr>
          <w:rFonts w:hint="eastAsia" w:ascii="宋体" w:hAnsi="宋体" w:eastAsia="宋体" w:cs="宋体"/>
          <w:color w:val="auto"/>
          <w:sz w:val="24"/>
          <w:szCs w:val="24"/>
          <w:highlight w:val="none"/>
          <w:shd w:val="clear" w:color="auto" w:fill="auto"/>
        </w:rPr>
        <w:t>法定代表人授权委托书(投标文件委托代理人签字的提供)(格式</w:t>
      </w:r>
      <w:r>
        <w:rPr>
          <w:rFonts w:hint="eastAsia" w:ascii="宋体" w:hAnsi="宋体" w:eastAsia="宋体" w:cs="宋体"/>
          <w:color w:val="auto"/>
          <w:sz w:val="24"/>
          <w:szCs w:val="24"/>
          <w:highlight w:val="none"/>
          <w:shd w:val="clear" w:color="auto" w:fill="auto"/>
          <w:lang w:val="en-US" w:eastAsia="zh-CN"/>
        </w:rPr>
        <w:t>十</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w:t>
      </w:r>
    </w:p>
    <w:p w14:paraId="130FA0F5">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strike/>
          <w:dstrike w:val="0"/>
          <w:color w:val="auto"/>
          <w:sz w:val="24"/>
          <w:szCs w:val="24"/>
          <w:highlight w:val="none"/>
          <w:shd w:val="clear" w:color="auto" w:fill="auto"/>
          <w:lang w:eastAsia="zh-CN"/>
        </w:rPr>
      </w:pPr>
      <w:r>
        <w:rPr>
          <w:rFonts w:hint="eastAsia" w:ascii="宋体" w:hAnsi="宋体" w:eastAsia="宋体" w:cs="宋体"/>
          <w:strike/>
          <w:dstrike w:val="0"/>
          <w:color w:val="auto"/>
          <w:sz w:val="24"/>
          <w:szCs w:val="24"/>
          <w:highlight w:val="none"/>
          <w:shd w:val="clear" w:color="auto" w:fill="auto"/>
          <w:lang w:val="en-US" w:eastAsia="zh-CN"/>
        </w:rPr>
        <w:t>③</w:t>
      </w:r>
      <w:r>
        <w:rPr>
          <w:rFonts w:hint="eastAsia" w:ascii="宋体" w:hAnsi="宋体" w:eastAsia="宋体" w:cs="宋体"/>
          <w:strike/>
          <w:dstrike w:val="0"/>
          <w:color w:val="auto"/>
          <w:sz w:val="24"/>
          <w:szCs w:val="24"/>
          <w:highlight w:val="none"/>
          <w:shd w:val="clear" w:color="auto" w:fill="auto"/>
        </w:rPr>
        <w:t>联合体协议书(采用联合体投标的提供，格式自拟)（若有）</w:t>
      </w:r>
      <w:r>
        <w:rPr>
          <w:rFonts w:hint="eastAsia" w:ascii="宋体" w:hAnsi="宋体" w:eastAsia="宋体" w:cs="宋体"/>
          <w:strike/>
          <w:dstrike w:val="0"/>
          <w:color w:val="auto"/>
          <w:sz w:val="24"/>
          <w:szCs w:val="24"/>
          <w:highlight w:val="none"/>
          <w:shd w:val="clear" w:color="auto" w:fill="auto"/>
          <w:lang w:eastAsia="zh-CN"/>
        </w:rPr>
        <w:t>；</w:t>
      </w:r>
    </w:p>
    <w:p w14:paraId="6C7407F9">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④</w:t>
      </w:r>
      <w:r>
        <w:rPr>
          <w:rFonts w:hint="eastAsia" w:ascii="宋体" w:hAnsi="宋体" w:eastAsia="宋体" w:cs="宋体"/>
          <w:color w:val="auto"/>
          <w:sz w:val="24"/>
          <w:szCs w:val="24"/>
          <w:highlight w:val="none"/>
          <w:shd w:val="clear" w:color="auto" w:fill="auto"/>
        </w:rPr>
        <w:t>投标保证金缴纳证明材料（缴纳单位和投标单位名称必须一致，缴纳方式详见招标公告，附基本账户开户证明）(格式</w:t>
      </w:r>
      <w:r>
        <w:rPr>
          <w:rFonts w:hint="eastAsia" w:ascii="宋体" w:hAnsi="宋体" w:eastAsia="宋体" w:cs="宋体"/>
          <w:color w:val="auto"/>
          <w:sz w:val="24"/>
          <w:szCs w:val="24"/>
          <w:highlight w:val="none"/>
          <w:shd w:val="clear" w:color="auto" w:fill="auto"/>
          <w:lang w:val="en-US" w:eastAsia="zh-CN"/>
        </w:rPr>
        <w:t>十</w:t>
      </w:r>
      <w:r>
        <w:rPr>
          <w:rFonts w:hint="eastAsia" w:ascii="宋体" w:hAnsi="宋体" w:cs="宋体"/>
          <w:color w:val="auto"/>
          <w:sz w:val="24"/>
          <w:szCs w:val="24"/>
          <w:highlight w:val="none"/>
          <w:shd w:val="clear" w:color="auto" w:fill="auto"/>
          <w:lang w:val="en-US" w:eastAsia="zh-CN"/>
        </w:rPr>
        <w:t>一</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eastAsia="zh-CN"/>
        </w:rPr>
        <w:t>；</w:t>
      </w:r>
    </w:p>
    <w:p w14:paraId="2F8FC745">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strike/>
          <w:dstrike w:val="0"/>
          <w:color w:val="auto"/>
          <w:sz w:val="24"/>
          <w:szCs w:val="24"/>
          <w:highlight w:val="none"/>
          <w:shd w:val="clear" w:color="auto" w:fill="auto"/>
          <w:lang w:eastAsia="zh-CN"/>
        </w:rPr>
      </w:pPr>
      <w:r>
        <w:rPr>
          <w:rFonts w:hint="eastAsia" w:ascii="宋体" w:hAnsi="宋体" w:eastAsia="宋体" w:cs="宋体"/>
          <w:strike/>
          <w:dstrike w:val="0"/>
          <w:color w:val="auto"/>
          <w:sz w:val="24"/>
          <w:szCs w:val="24"/>
          <w:highlight w:val="none"/>
          <w:shd w:val="clear" w:color="auto" w:fill="auto"/>
          <w:lang w:val="en-US" w:eastAsia="zh-CN"/>
        </w:rPr>
        <w:t>⑤</w:t>
      </w:r>
      <w:r>
        <w:rPr>
          <w:rFonts w:hint="eastAsia" w:ascii="宋体" w:hAnsi="宋体" w:eastAsia="宋体" w:cs="宋体"/>
          <w:strike/>
          <w:dstrike w:val="0"/>
          <w:color w:val="auto"/>
          <w:sz w:val="24"/>
          <w:szCs w:val="24"/>
          <w:highlight w:val="none"/>
          <w:shd w:val="clear" w:color="auto" w:fill="auto"/>
        </w:rPr>
        <w:t>中小企业声明函（见格式八）（若有）(格式</w:t>
      </w:r>
      <w:r>
        <w:rPr>
          <w:rFonts w:hint="eastAsia" w:ascii="宋体" w:hAnsi="宋体" w:eastAsia="宋体" w:cs="宋体"/>
          <w:strike/>
          <w:dstrike w:val="0"/>
          <w:color w:val="auto"/>
          <w:sz w:val="24"/>
          <w:szCs w:val="24"/>
          <w:highlight w:val="none"/>
          <w:shd w:val="clear" w:color="auto" w:fill="auto"/>
          <w:lang w:val="en-US" w:eastAsia="zh-CN"/>
        </w:rPr>
        <w:t>十</w:t>
      </w:r>
      <w:r>
        <w:rPr>
          <w:rFonts w:hint="eastAsia" w:ascii="宋体" w:hAnsi="宋体" w:cs="宋体"/>
          <w:strike/>
          <w:dstrike w:val="0"/>
          <w:color w:val="auto"/>
          <w:sz w:val="24"/>
          <w:szCs w:val="24"/>
          <w:highlight w:val="none"/>
          <w:shd w:val="clear" w:color="auto" w:fill="auto"/>
          <w:lang w:val="en-US" w:eastAsia="zh-CN"/>
        </w:rPr>
        <w:t>二</w:t>
      </w:r>
      <w:r>
        <w:rPr>
          <w:rFonts w:hint="eastAsia" w:ascii="宋体" w:hAnsi="宋体" w:eastAsia="宋体" w:cs="宋体"/>
          <w:strike/>
          <w:dstrike w:val="0"/>
          <w:color w:val="auto"/>
          <w:sz w:val="24"/>
          <w:szCs w:val="24"/>
          <w:highlight w:val="none"/>
          <w:shd w:val="clear" w:color="auto" w:fill="auto"/>
        </w:rPr>
        <w:t>)</w:t>
      </w:r>
      <w:r>
        <w:rPr>
          <w:rFonts w:hint="eastAsia" w:ascii="宋体" w:hAnsi="宋体" w:cs="宋体"/>
          <w:strike/>
          <w:dstrike w:val="0"/>
          <w:color w:val="auto"/>
          <w:sz w:val="24"/>
          <w:szCs w:val="24"/>
          <w:highlight w:val="none"/>
          <w:shd w:val="clear" w:color="auto" w:fill="auto"/>
          <w:lang w:eastAsia="zh-CN"/>
        </w:rPr>
        <w:t>；</w:t>
      </w:r>
    </w:p>
    <w:p w14:paraId="0A2DD807">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highlight w:val="none"/>
          <w:shd w:val="clear" w:color="auto" w:fill="auto"/>
        </w:rPr>
      </w:pPr>
      <w:r>
        <w:rPr>
          <w:rFonts w:hint="eastAsia" w:ascii="宋体" w:hAnsi="宋体" w:eastAsia="宋体" w:cs="宋体"/>
          <w:snapToGrid w:val="0"/>
          <w:color w:val="auto"/>
          <w:sz w:val="24"/>
          <w:szCs w:val="24"/>
          <w:highlight w:val="none"/>
          <w:shd w:val="clear" w:color="auto" w:fill="auto"/>
          <w:lang w:val="en-US" w:eastAsia="zh-CN" w:bidi="ar-SA"/>
        </w:rPr>
        <w:t>⑥投标承诺书（格式十三）；</w:t>
      </w:r>
    </w:p>
    <w:p w14:paraId="7FFCD1F1">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⑦</w:t>
      </w:r>
      <w:r>
        <w:rPr>
          <w:rFonts w:hint="eastAsia" w:ascii="宋体" w:hAnsi="宋体" w:eastAsia="宋体" w:cs="宋体"/>
          <w:color w:val="auto"/>
          <w:sz w:val="24"/>
          <w:szCs w:val="24"/>
          <w:highlight w:val="none"/>
          <w:shd w:val="clear" w:color="auto" w:fill="auto"/>
        </w:rPr>
        <w:t>省级及以上卫生部门颁发的设备制造商的供水设备饮用水卫生安全产品卫生许可批件；如部分省份因省级及以上卫生部门下放了“部分涉及饮用水卫生安全产品行政审批项目权限”的，提供下放职能文件或提供卫生部门系统官网的文件截图，允许提供符合下放职能文件要求的“涉及饮用水卫生安全产品卫生许可批件”</w:t>
      </w:r>
      <w:r>
        <w:rPr>
          <w:rFonts w:hint="eastAsia" w:ascii="宋体" w:hAnsi="宋体" w:eastAsia="宋体" w:cs="宋体"/>
          <w:color w:val="auto"/>
          <w:sz w:val="24"/>
          <w:szCs w:val="24"/>
          <w:highlight w:val="none"/>
          <w:shd w:val="clear" w:color="auto" w:fill="auto"/>
          <w:lang w:eastAsia="zh-CN"/>
        </w:rPr>
        <w:t>；</w:t>
      </w:r>
    </w:p>
    <w:p w14:paraId="354227C1">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⑧</w:t>
      </w:r>
      <w:r>
        <w:rPr>
          <w:rFonts w:hint="eastAsia" w:ascii="宋体" w:hAnsi="宋体" w:eastAsia="宋体" w:cs="宋体"/>
          <w:color w:val="auto"/>
          <w:sz w:val="24"/>
          <w:szCs w:val="24"/>
          <w:highlight w:val="none"/>
          <w:shd w:val="clear" w:color="auto" w:fill="auto"/>
        </w:rPr>
        <w:t>投标产品制造商的有效授权书和制造商的营业执照（仅经销商提供）</w:t>
      </w:r>
      <w:r>
        <w:rPr>
          <w:rFonts w:hint="eastAsia" w:ascii="宋体" w:hAnsi="宋体" w:eastAsia="宋体" w:cs="宋体"/>
          <w:color w:val="auto"/>
          <w:sz w:val="24"/>
          <w:szCs w:val="24"/>
          <w:highlight w:val="none"/>
          <w:shd w:val="clear" w:color="auto" w:fill="auto"/>
          <w:lang w:eastAsia="zh-CN"/>
        </w:rPr>
        <w:t>；</w:t>
      </w:r>
    </w:p>
    <w:p w14:paraId="1ACD50D7">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83" w:firstLineChars="118"/>
        <w:jc w:val="both"/>
        <w:textAlignment w:val="baseline"/>
        <w:outlineLvl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、投标人基本情况表(格式</w:t>
      </w:r>
      <w:r>
        <w:rPr>
          <w:rFonts w:hint="eastAsia" w:ascii="宋体" w:hAnsi="宋体" w:eastAsia="宋体" w:cs="宋体"/>
          <w:color w:val="auto"/>
          <w:sz w:val="24"/>
          <w:szCs w:val="24"/>
          <w:highlight w:val="none"/>
          <w:shd w:val="clear" w:color="auto" w:fill="auto"/>
          <w:lang w:val="en-US" w:eastAsia="zh-CN"/>
        </w:rPr>
        <w:t>十四</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w:t>
      </w:r>
    </w:p>
    <w:p w14:paraId="6F68FD5C">
      <w:pPr>
        <w:keepNext w:val="0"/>
        <w:keepLines w:val="0"/>
        <w:pageBreakBefore w:val="0"/>
        <w:widowControl/>
        <w:kinsoku w:val="0"/>
        <w:wordWrap/>
        <w:overflowPunct/>
        <w:topLinePunct w:val="0"/>
        <w:autoSpaceDE w:val="0"/>
        <w:autoSpaceDN w:val="0"/>
        <w:bidi w:val="0"/>
        <w:adjustRightInd w:val="0"/>
        <w:snapToGrid w:val="0"/>
        <w:spacing w:line="440" w:lineRule="exact"/>
        <w:ind w:left="-2" w:leftChars="-1" w:firstLine="247" w:firstLineChars="118"/>
        <w:jc w:val="both"/>
        <w:textAlignment w:val="baseline"/>
        <w:outlineLvl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、投标人须知前附表规定的构成投标文件的其他材料</w:t>
      </w:r>
      <w:r>
        <w:rPr>
          <w:rFonts w:hint="eastAsia" w:ascii="宋体" w:hAnsi="宋体" w:eastAsia="宋体" w:cs="宋体"/>
          <w:color w:val="auto"/>
          <w:sz w:val="24"/>
          <w:szCs w:val="24"/>
          <w:highlight w:val="none"/>
          <w:shd w:val="clear" w:color="auto" w:fill="auto"/>
          <w:lang w:eastAsia="zh-CN"/>
        </w:rPr>
        <w:t>。</w:t>
      </w:r>
    </w:p>
    <w:p w14:paraId="65F7ABBC">
      <w:pPr>
        <w:pStyle w:val="20"/>
        <w:rPr>
          <w:rFonts w:hint="eastAsia" w:ascii="宋体" w:hAnsi="宋体" w:eastAsia="宋体" w:cs="宋体"/>
          <w:color w:val="auto"/>
          <w:highlight w:val="none"/>
          <w:shd w:val="clear" w:color="auto" w:fill="auto"/>
        </w:rPr>
      </w:pPr>
    </w:p>
    <w:p w14:paraId="617895F3">
      <w:pPr>
        <w:spacing w:line="360" w:lineRule="auto"/>
        <w:jc w:val="both"/>
        <w:rPr>
          <w:rFonts w:hint="eastAsia" w:ascii="宋体" w:hAnsi="宋体" w:eastAsia="宋体" w:cs="宋体"/>
          <w:color w:val="auto"/>
          <w:highlight w:val="none"/>
          <w:shd w:val="clear" w:color="auto" w:fill="auto"/>
        </w:rPr>
        <w:sectPr>
          <w:footerReference r:id="rId17" w:type="default"/>
          <w:pgSz w:w="11907" w:h="16840"/>
          <w:pgMar w:top="1418" w:right="1559" w:bottom="1418" w:left="1474" w:header="0" w:footer="723" w:gutter="0"/>
          <w:cols w:space="720" w:num="1"/>
        </w:sectPr>
      </w:pPr>
    </w:p>
    <w:p w14:paraId="442532DA">
      <w:pPr>
        <w:keepNext w:val="0"/>
        <w:keepLines w:val="0"/>
        <w:widowControl/>
        <w:suppressLineNumbers w:val="0"/>
        <w:jc w:val="left"/>
        <w:rPr>
          <w:rFonts w:hint="eastAsia" w:ascii="宋体" w:hAnsi="宋体" w:eastAsia="宋体" w:cs="宋体"/>
          <w:color w:val="auto"/>
          <w:highlight w:val="none"/>
          <w:shd w:val="clear" w:color="auto" w:fill="auto"/>
        </w:rPr>
      </w:pPr>
      <w:bookmarkStart w:id="51" w:name="_bookmark15"/>
      <w:bookmarkEnd w:id="51"/>
      <w:r>
        <w:rPr>
          <w:rFonts w:hint="eastAsia" w:ascii="宋体" w:hAnsi="宋体" w:eastAsia="宋体" w:cs="宋体"/>
          <w:b/>
          <w:bCs/>
          <w:snapToGrid w:val="0"/>
          <w:color w:val="auto"/>
          <w:kern w:val="0"/>
          <w:sz w:val="28"/>
          <w:szCs w:val="28"/>
          <w:highlight w:val="none"/>
          <w:shd w:val="clear" w:color="auto" w:fill="auto"/>
          <w:lang w:val="en-US" w:eastAsia="zh-CN" w:bidi="ar"/>
        </w:rPr>
        <w:t>一、投标文件商务标格式</w:t>
      </w:r>
    </w:p>
    <w:p w14:paraId="513397C8">
      <w:pPr>
        <w:spacing w:line="360" w:lineRule="auto"/>
        <w:jc w:val="center"/>
        <w:rPr>
          <w:rFonts w:hint="eastAsia" w:ascii="宋体" w:hAnsi="宋体" w:eastAsia="宋体" w:cs="宋体"/>
          <w:color w:val="auto"/>
          <w:sz w:val="32"/>
          <w:szCs w:val="32"/>
          <w:highlight w:val="none"/>
          <w:shd w:val="clear" w:color="auto" w:fill="auto"/>
        </w:rPr>
      </w:pPr>
    </w:p>
    <w:p w14:paraId="30214FEB">
      <w:pPr>
        <w:rPr>
          <w:rFonts w:hint="eastAsia" w:ascii="宋体" w:hAnsi="宋体" w:eastAsia="宋体" w:cs="宋体"/>
          <w:color w:val="auto"/>
          <w:sz w:val="36"/>
          <w:szCs w:val="36"/>
          <w:highlight w:val="none"/>
          <w:shd w:val="clear" w:color="auto" w:fill="auto"/>
          <w:lang w:val="en-US" w:eastAsia="zh-CN"/>
        </w:rPr>
      </w:pPr>
      <w:r>
        <w:rPr>
          <w:rFonts w:hint="eastAsia" w:ascii="宋体" w:hAnsi="宋体" w:eastAsia="宋体" w:cs="宋体"/>
          <w:color w:val="auto"/>
          <w:sz w:val="36"/>
          <w:szCs w:val="36"/>
          <w:highlight w:val="none"/>
          <w:shd w:val="clear" w:color="auto" w:fill="auto"/>
          <w:lang w:val="en-US" w:eastAsia="zh-CN"/>
        </w:rPr>
        <w:t xml:space="preserve">封面                              □正  </w:t>
      </w:r>
      <w:r>
        <w:rPr>
          <w:rFonts w:hint="eastAsia" w:ascii="宋体" w:hAnsi="宋体" w:cs="宋体"/>
          <w:color w:val="auto"/>
          <w:sz w:val="36"/>
          <w:szCs w:val="36"/>
          <w:highlight w:val="none"/>
          <w:shd w:val="clear" w:color="auto" w:fill="auto"/>
          <w:lang w:val="en-US" w:eastAsia="zh-CN"/>
        </w:rPr>
        <w:t>□</w:t>
      </w:r>
      <w:r>
        <w:rPr>
          <w:rFonts w:hint="eastAsia" w:ascii="宋体" w:hAnsi="宋体" w:eastAsia="宋体" w:cs="宋体"/>
          <w:color w:val="auto"/>
          <w:sz w:val="36"/>
          <w:szCs w:val="36"/>
          <w:highlight w:val="none"/>
          <w:shd w:val="clear" w:color="auto" w:fill="auto"/>
          <w:lang w:val="en-US" w:eastAsia="zh-CN"/>
        </w:rPr>
        <w:t>副本</w:t>
      </w:r>
    </w:p>
    <w:p w14:paraId="30AB010C">
      <w:pPr>
        <w:spacing w:line="360" w:lineRule="auto"/>
        <w:jc w:val="center"/>
        <w:rPr>
          <w:rFonts w:hint="eastAsia" w:ascii="宋体" w:hAnsi="宋体" w:eastAsia="宋体" w:cs="宋体"/>
          <w:color w:val="auto"/>
          <w:sz w:val="32"/>
          <w:szCs w:val="32"/>
          <w:highlight w:val="none"/>
          <w:shd w:val="clear" w:color="auto" w:fill="auto"/>
        </w:rPr>
      </w:pPr>
    </w:p>
    <w:p w14:paraId="46759CC5">
      <w:pPr>
        <w:spacing w:line="360" w:lineRule="auto"/>
        <w:jc w:val="center"/>
        <w:rPr>
          <w:rFonts w:hint="eastAsia" w:ascii="宋体" w:hAnsi="宋体" w:eastAsia="宋体" w:cs="宋体"/>
          <w:color w:val="auto"/>
          <w:sz w:val="32"/>
          <w:szCs w:val="32"/>
          <w:highlight w:val="none"/>
          <w:shd w:val="clear" w:color="auto" w:fill="auto"/>
        </w:rPr>
      </w:pPr>
    </w:p>
    <w:p w14:paraId="540F98AB">
      <w:pPr>
        <w:spacing w:line="360" w:lineRule="auto"/>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b/>
          <w:color w:val="auto"/>
          <w:sz w:val="32"/>
          <w:szCs w:val="32"/>
          <w:highlight w:val="none"/>
          <w:u w:val="single"/>
          <w:shd w:val="clear" w:color="auto" w:fill="auto"/>
        </w:rPr>
        <w:t xml:space="preserve">                    </w:t>
      </w:r>
      <w:r>
        <w:rPr>
          <w:rFonts w:hint="eastAsia" w:ascii="宋体" w:hAnsi="宋体" w:eastAsia="宋体" w:cs="宋体"/>
          <w:color w:val="auto"/>
          <w:sz w:val="28"/>
          <w:szCs w:val="28"/>
          <w:highlight w:val="none"/>
          <w:shd w:val="clear" w:color="auto" w:fill="auto"/>
        </w:rPr>
        <w:t>（项目名称）项目</w:t>
      </w:r>
    </w:p>
    <w:p w14:paraId="326B8192">
      <w:pPr>
        <w:spacing w:line="360" w:lineRule="auto"/>
        <w:jc w:val="center"/>
        <w:rPr>
          <w:rFonts w:hint="eastAsia" w:ascii="宋体" w:hAnsi="宋体" w:eastAsia="宋体" w:cs="宋体"/>
          <w:color w:val="auto"/>
          <w:sz w:val="44"/>
          <w:szCs w:val="44"/>
          <w:highlight w:val="none"/>
          <w:shd w:val="clear" w:color="auto" w:fill="auto"/>
        </w:rPr>
      </w:pPr>
      <w:r>
        <w:rPr>
          <w:rFonts w:hint="eastAsia" w:ascii="宋体" w:hAnsi="宋体" w:eastAsia="宋体" w:cs="宋体"/>
          <w:color w:val="auto"/>
          <w:sz w:val="44"/>
          <w:szCs w:val="44"/>
          <w:highlight w:val="none"/>
          <w:shd w:val="clear" w:color="auto" w:fill="auto"/>
        </w:rPr>
        <w:t>投  标  文  件</w:t>
      </w:r>
    </w:p>
    <w:p w14:paraId="5A7034F7">
      <w:pPr>
        <w:spacing w:line="360" w:lineRule="auto"/>
        <w:jc w:val="center"/>
        <w:rPr>
          <w:rFonts w:hint="eastAsia" w:ascii="宋体" w:hAnsi="宋体" w:eastAsia="宋体" w:cs="宋体"/>
          <w:color w:val="auto"/>
          <w:sz w:val="32"/>
          <w:szCs w:val="32"/>
          <w:highlight w:val="none"/>
          <w:shd w:val="clear" w:color="auto" w:fill="auto"/>
        </w:rPr>
      </w:pPr>
    </w:p>
    <w:p w14:paraId="3E7B7796">
      <w:pPr>
        <w:spacing w:line="360" w:lineRule="auto"/>
        <w:jc w:val="center"/>
        <w:outlineLvl w:val="1"/>
        <w:rPr>
          <w:rFonts w:hint="eastAsia" w:ascii="宋体" w:hAnsi="宋体" w:eastAsia="宋体" w:cs="宋体"/>
          <w:color w:val="auto"/>
          <w:sz w:val="32"/>
          <w:szCs w:val="32"/>
          <w:highlight w:val="none"/>
          <w:shd w:val="clear" w:color="auto" w:fill="auto"/>
        </w:rPr>
      </w:pPr>
      <w:bookmarkStart w:id="52" w:name="_Toc96678568"/>
      <w:bookmarkStart w:id="53" w:name="_Toc28682"/>
      <w:r>
        <w:rPr>
          <w:rFonts w:hint="eastAsia" w:ascii="宋体" w:hAnsi="宋体" w:eastAsia="宋体" w:cs="宋体"/>
          <w:color w:val="auto"/>
          <w:sz w:val="32"/>
          <w:szCs w:val="32"/>
          <w:highlight w:val="none"/>
          <w:shd w:val="clear" w:color="auto" w:fill="auto"/>
        </w:rPr>
        <w:t>（商务标）</w:t>
      </w:r>
      <w:bookmarkEnd w:id="52"/>
      <w:bookmarkEnd w:id="53"/>
    </w:p>
    <w:p w14:paraId="49959766">
      <w:pPr>
        <w:spacing w:line="360" w:lineRule="auto"/>
        <w:jc w:val="center"/>
        <w:rPr>
          <w:rFonts w:hint="eastAsia" w:ascii="宋体" w:hAnsi="宋体" w:eastAsia="宋体" w:cs="宋体"/>
          <w:color w:val="auto"/>
          <w:sz w:val="32"/>
          <w:szCs w:val="32"/>
          <w:highlight w:val="none"/>
          <w:shd w:val="clear" w:color="auto" w:fill="auto"/>
        </w:rPr>
      </w:pPr>
    </w:p>
    <w:p w14:paraId="21FD33B2">
      <w:pPr>
        <w:spacing w:line="360" w:lineRule="auto"/>
        <w:jc w:val="center"/>
        <w:rPr>
          <w:rFonts w:hint="eastAsia" w:ascii="宋体" w:hAnsi="宋体" w:eastAsia="宋体" w:cs="宋体"/>
          <w:color w:val="auto"/>
          <w:sz w:val="32"/>
          <w:szCs w:val="32"/>
          <w:highlight w:val="none"/>
          <w:shd w:val="clear" w:color="auto" w:fill="auto"/>
        </w:rPr>
      </w:pPr>
    </w:p>
    <w:p w14:paraId="2E927B58">
      <w:pPr>
        <w:spacing w:line="360" w:lineRule="auto"/>
        <w:jc w:val="center"/>
        <w:rPr>
          <w:rFonts w:hint="eastAsia" w:ascii="宋体" w:hAnsi="宋体" w:eastAsia="宋体" w:cs="宋体"/>
          <w:color w:val="auto"/>
          <w:sz w:val="32"/>
          <w:szCs w:val="32"/>
          <w:highlight w:val="none"/>
          <w:shd w:val="clear" w:color="auto" w:fill="auto"/>
        </w:rPr>
      </w:pPr>
    </w:p>
    <w:p w14:paraId="0A2FCD03">
      <w:pPr>
        <w:spacing w:line="360" w:lineRule="auto"/>
        <w:jc w:val="center"/>
        <w:rPr>
          <w:rFonts w:hint="eastAsia" w:ascii="宋体" w:hAnsi="宋体" w:eastAsia="宋体" w:cs="宋体"/>
          <w:color w:val="auto"/>
          <w:sz w:val="32"/>
          <w:szCs w:val="32"/>
          <w:highlight w:val="none"/>
          <w:shd w:val="clear" w:color="auto" w:fill="auto"/>
        </w:rPr>
      </w:pPr>
    </w:p>
    <w:p w14:paraId="1DFED7F1">
      <w:pPr>
        <w:spacing w:line="360" w:lineRule="auto"/>
        <w:jc w:val="center"/>
        <w:rPr>
          <w:rFonts w:hint="eastAsia" w:ascii="宋体" w:hAnsi="宋体" w:eastAsia="宋体" w:cs="宋体"/>
          <w:color w:val="auto"/>
          <w:sz w:val="32"/>
          <w:szCs w:val="32"/>
          <w:highlight w:val="none"/>
          <w:shd w:val="clear" w:color="auto" w:fill="auto"/>
        </w:rPr>
      </w:pPr>
    </w:p>
    <w:p w14:paraId="70B889A7">
      <w:pPr>
        <w:spacing w:line="360" w:lineRule="auto"/>
        <w:jc w:val="center"/>
        <w:rPr>
          <w:rFonts w:hint="eastAsia" w:ascii="宋体" w:hAnsi="宋体" w:eastAsia="宋体" w:cs="宋体"/>
          <w:color w:val="auto"/>
          <w:sz w:val="32"/>
          <w:szCs w:val="32"/>
          <w:highlight w:val="none"/>
          <w:shd w:val="clear" w:color="auto" w:fill="auto"/>
        </w:rPr>
      </w:pPr>
    </w:p>
    <w:p w14:paraId="2790A284">
      <w:pPr>
        <w:spacing w:line="360" w:lineRule="auto"/>
        <w:jc w:val="center"/>
        <w:rPr>
          <w:rFonts w:hint="eastAsia" w:ascii="宋体" w:hAnsi="宋体" w:eastAsia="宋体" w:cs="宋体"/>
          <w:color w:val="auto"/>
          <w:sz w:val="32"/>
          <w:szCs w:val="32"/>
          <w:highlight w:val="none"/>
          <w:shd w:val="clear" w:color="auto" w:fill="auto"/>
        </w:rPr>
      </w:pPr>
    </w:p>
    <w:p w14:paraId="02152528">
      <w:pPr>
        <w:spacing w:line="360" w:lineRule="auto"/>
        <w:ind w:firstLine="565" w:firstLineChars="202"/>
        <w:rPr>
          <w:rFonts w:hint="eastAsia" w:ascii="宋体" w:hAnsi="宋体" w:eastAsia="宋体" w:cs="宋体"/>
          <w:color w:val="auto"/>
          <w:sz w:val="28"/>
          <w:szCs w:val="28"/>
          <w:highlight w:val="none"/>
          <w:shd w:val="clear" w:color="auto" w:fill="auto"/>
        </w:rPr>
      </w:pPr>
    </w:p>
    <w:p w14:paraId="24B9ACCC">
      <w:pPr>
        <w:spacing w:line="360" w:lineRule="auto"/>
        <w:ind w:firstLine="565" w:firstLineChars="202"/>
        <w:rPr>
          <w:rFonts w:hint="eastAsia" w:ascii="宋体" w:hAnsi="宋体" w:eastAsia="宋体" w:cs="宋体"/>
          <w:color w:val="auto"/>
          <w:sz w:val="28"/>
          <w:szCs w:val="28"/>
          <w:highlight w:val="none"/>
          <w:shd w:val="clear" w:color="auto" w:fill="auto"/>
        </w:rPr>
      </w:pPr>
    </w:p>
    <w:p w14:paraId="364454A0">
      <w:pPr>
        <w:spacing w:line="360" w:lineRule="auto"/>
        <w:ind w:firstLine="565" w:firstLineChars="202"/>
        <w:rPr>
          <w:rFonts w:hint="eastAsia" w:ascii="宋体" w:hAnsi="宋体" w:eastAsia="宋体" w:cs="宋体"/>
          <w:color w:val="auto"/>
          <w:sz w:val="28"/>
          <w:szCs w:val="28"/>
          <w:highlight w:val="none"/>
          <w:shd w:val="clear" w:color="auto" w:fill="auto"/>
        </w:rPr>
      </w:pPr>
    </w:p>
    <w:p w14:paraId="65628330">
      <w:pPr>
        <w:spacing w:line="360" w:lineRule="auto"/>
        <w:ind w:firstLine="565" w:firstLineChars="202"/>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投标人：</w:t>
      </w:r>
      <w:r>
        <w:rPr>
          <w:rFonts w:hint="eastAsia" w:ascii="宋体" w:hAnsi="宋体" w:eastAsia="宋体" w:cs="宋体"/>
          <w:color w:val="auto"/>
          <w:sz w:val="28"/>
          <w:szCs w:val="28"/>
          <w:highlight w:val="none"/>
          <w:u w:val="single"/>
          <w:shd w:val="clear" w:color="auto" w:fill="auto"/>
        </w:rPr>
        <w:t xml:space="preserve">              </w:t>
      </w:r>
      <w:r>
        <w:rPr>
          <w:rFonts w:hint="eastAsia" w:ascii="宋体" w:hAnsi="宋体" w:eastAsia="宋体" w:cs="宋体"/>
          <w:color w:val="auto"/>
          <w:sz w:val="28"/>
          <w:szCs w:val="28"/>
          <w:highlight w:val="none"/>
          <w:shd w:val="clear" w:color="auto" w:fill="auto"/>
        </w:rPr>
        <w:t>（盖单位章）</w:t>
      </w:r>
    </w:p>
    <w:p w14:paraId="6EF3D534">
      <w:pPr>
        <w:spacing w:line="360" w:lineRule="auto"/>
        <w:ind w:firstLine="565" w:firstLineChars="202"/>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法定代表人或其授权代表：</w:t>
      </w:r>
      <w:r>
        <w:rPr>
          <w:rFonts w:hint="eastAsia" w:ascii="宋体" w:hAnsi="宋体" w:eastAsia="宋体" w:cs="宋体"/>
          <w:color w:val="auto"/>
          <w:sz w:val="28"/>
          <w:szCs w:val="28"/>
          <w:highlight w:val="none"/>
          <w:u w:val="single"/>
          <w:shd w:val="clear" w:color="auto" w:fill="auto"/>
        </w:rPr>
        <w:t xml:space="preserve">             </w:t>
      </w:r>
      <w:r>
        <w:rPr>
          <w:rFonts w:hint="eastAsia" w:ascii="宋体" w:hAnsi="宋体" w:eastAsia="宋体" w:cs="宋体"/>
          <w:color w:val="auto"/>
          <w:sz w:val="28"/>
          <w:szCs w:val="28"/>
          <w:highlight w:val="none"/>
          <w:shd w:val="clear" w:color="auto" w:fill="auto"/>
        </w:rPr>
        <w:t>（签字或盖章）</w:t>
      </w:r>
    </w:p>
    <w:p w14:paraId="7D029D2D">
      <w:pPr>
        <w:spacing w:line="360" w:lineRule="auto"/>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年   月   日</w:t>
      </w:r>
    </w:p>
    <w:p w14:paraId="3E24F150">
      <w:pPr>
        <w:spacing w:before="310" w:line="221" w:lineRule="auto"/>
        <w:ind w:left="281"/>
        <w:jc w:val="both"/>
        <w:rPr>
          <w:rFonts w:hint="eastAsia" w:ascii="宋体" w:hAnsi="宋体" w:eastAsia="宋体" w:cs="宋体"/>
          <w:color w:val="auto"/>
          <w:sz w:val="28"/>
          <w:szCs w:val="28"/>
          <w:highlight w:val="none"/>
          <w:shd w:val="clear" w:color="auto" w:fill="auto"/>
        </w:rPr>
      </w:pPr>
    </w:p>
    <w:p w14:paraId="0F158475">
      <w:pPr>
        <w:spacing w:before="310" w:line="221" w:lineRule="auto"/>
        <w:ind w:left="281"/>
        <w:jc w:val="both"/>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格式一：投标函</w:t>
      </w:r>
    </w:p>
    <w:p w14:paraId="37C28194">
      <w:pPr>
        <w:tabs>
          <w:tab w:val="left" w:pos="3955"/>
        </w:tabs>
        <w:spacing w:before="298" w:line="337" w:lineRule="auto"/>
        <w:ind w:left="237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u w:val="single"/>
          <w:shd w:val="clear" w:color="auto" w:fill="auto"/>
        </w:rPr>
        <w:tab/>
      </w:r>
      <w:r>
        <w:rPr>
          <w:rFonts w:hint="eastAsia" w:ascii="宋体" w:hAnsi="宋体" w:eastAsia="宋体" w:cs="宋体"/>
          <w:color w:val="auto"/>
          <w:sz w:val="23"/>
          <w:szCs w:val="23"/>
          <w:highlight w:val="none"/>
          <w:shd w:val="clear" w:color="auto" w:fill="auto"/>
        </w:rPr>
        <w:t>建设项目货物投标函</w:t>
      </w:r>
    </w:p>
    <w:p w14:paraId="45A0446C">
      <w:pPr>
        <w:spacing w:line="372" w:lineRule="auto"/>
        <w:jc w:val="both"/>
        <w:rPr>
          <w:rFonts w:hint="eastAsia" w:ascii="宋体" w:hAnsi="宋体" w:eastAsia="宋体" w:cs="宋体"/>
          <w:color w:val="auto"/>
          <w:highlight w:val="none"/>
          <w:shd w:val="clear" w:color="auto" w:fill="auto"/>
        </w:rPr>
      </w:pPr>
    </w:p>
    <w:p w14:paraId="1B3C39D8">
      <w:pPr>
        <w:tabs>
          <w:tab w:val="left" w:pos="2775"/>
        </w:tabs>
        <w:spacing w:before="74" w:line="229" w:lineRule="auto"/>
        <w:ind w:left="23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u w:val="single"/>
          <w:shd w:val="clear" w:color="auto" w:fill="auto"/>
        </w:rPr>
        <w:tab/>
      </w:r>
      <w:r>
        <w:rPr>
          <w:rFonts w:hint="eastAsia" w:ascii="宋体" w:hAnsi="宋体" w:eastAsia="宋体" w:cs="宋体"/>
          <w:color w:val="auto"/>
          <w:sz w:val="23"/>
          <w:szCs w:val="23"/>
          <w:highlight w:val="none"/>
          <w:shd w:val="clear" w:color="auto" w:fill="auto"/>
        </w:rPr>
        <w:t>(招标人)：</w:t>
      </w:r>
    </w:p>
    <w:p w14:paraId="258BC476">
      <w:pPr>
        <w:spacing w:before="185" w:line="369" w:lineRule="auto"/>
        <w:ind w:firstLine="483"/>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我方已全面阅读和研究了</w:t>
      </w:r>
      <w:r>
        <w:rPr>
          <w:rFonts w:hint="eastAsia" w:ascii="宋体" w:hAnsi="宋体" w:eastAsia="宋体" w:cs="宋体"/>
          <w:color w:val="auto"/>
          <w:sz w:val="23"/>
          <w:szCs w:val="23"/>
          <w:highlight w:val="none"/>
          <w:u w:val="single"/>
          <w:shd w:val="clear" w:color="auto" w:fill="auto"/>
          <w:lang w:val="en-US" w:eastAsia="zh-CN"/>
        </w:rPr>
        <w:t xml:space="preserve">           </w:t>
      </w:r>
      <w:r>
        <w:rPr>
          <w:rFonts w:hint="eastAsia" w:ascii="宋体" w:hAnsi="宋体" w:eastAsia="宋体" w:cs="宋体"/>
          <w:color w:val="auto"/>
          <w:sz w:val="23"/>
          <w:szCs w:val="23"/>
          <w:highlight w:val="none"/>
          <w:shd w:val="clear" w:color="auto" w:fill="auto"/>
        </w:rPr>
        <w:t>建设项目招标文件和招标补充文件，并经过对施工现场的踏勘，澄清疑问，已充分理解并掌握了本项目招标的全部有关情况。同意接受招标文件的全部内容和条件，并按此确定本项目投标的要约内容，以本投标函向你</w:t>
      </w:r>
      <w:r>
        <w:rPr>
          <w:rFonts w:hint="eastAsia" w:ascii="宋体" w:hAnsi="宋体" w:eastAsia="宋体" w:cs="宋体"/>
          <w:color w:val="auto"/>
          <w:sz w:val="23"/>
          <w:szCs w:val="23"/>
          <w:highlight w:val="none"/>
          <w:shd w:val="clear" w:color="auto" w:fill="auto"/>
        </w:rPr>
        <w:t>方发包的</w:t>
      </w:r>
      <w:r>
        <w:rPr>
          <w:rFonts w:hint="eastAsia" w:ascii="宋体" w:hAnsi="宋体" w:eastAsia="宋体" w:cs="宋体"/>
          <w:color w:val="auto"/>
          <w:sz w:val="23"/>
          <w:szCs w:val="23"/>
          <w:highlight w:val="none"/>
          <w:u w:val="single"/>
          <w:shd w:val="clear" w:color="auto" w:fill="auto"/>
          <w:lang w:val="en-US" w:eastAsia="zh-CN"/>
        </w:rPr>
        <w:t xml:space="preserve">            </w:t>
      </w:r>
      <w:r>
        <w:rPr>
          <w:rFonts w:hint="eastAsia" w:ascii="宋体" w:hAnsi="宋体" w:eastAsia="宋体" w:cs="宋体"/>
          <w:color w:val="auto"/>
          <w:sz w:val="23"/>
          <w:szCs w:val="23"/>
          <w:highlight w:val="none"/>
          <w:shd w:val="clear" w:color="auto" w:fill="auto"/>
        </w:rPr>
        <w:t>建设项目全部内容进行投标。最终报价为人民币(大写)</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u w:val="single"/>
          <w:shd w:val="clear" w:color="auto" w:fill="auto"/>
          <w:lang w:val="en-US" w:eastAsia="zh-CN"/>
        </w:rPr>
        <w:t xml:space="preserve">  </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元，品牌</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u w:val="single"/>
          <w:shd w:val="clear" w:color="auto" w:fill="auto"/>
          <w:lang w:val="en-US" w:eastAsia="zh-CN"/>
        </w:rPr>
        <w:t xml:space="preserve"> </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，产地</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u w:val="single"/>
          <w:shd w:val="clear" w:color="auto" w:fill="auto"/>
          <w:lang w:val="en-US" w:eastAsia="zh-CN"/>
        </w:rPr>
        <w:t xml:space="preserve">   </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，交货期</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总供货周期两年，单个项目合同签订后</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日历天内完成供货及安装调试</w:t>
      </w:r>
      <w:r>
        <w:rPr>
          <w:rFonts w:hint="eastAsia" w:ascii="宋体" w:hAnsi="宋体" w:eastAsia="宋体" w:cs="宋体"/>
          <w:color w:val="auto"/>
          <w:sz w:val="23"/>
          <w:szCs w:val="23"/>
          <w:highlight w:val="none"/>
          <w:shd w:val="clear" w:color="auto" w:fill="auto"/>
        </w:rPr>
        <w:t>，质量标准</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u w:val="single"/>
          <w:shd w:val="clear" w:color="auto" w:fill="auto"/>
          <w:lang w:val="en-US" w:eastAsia="zh-CN"/>
        </w:rPr>
        <w:t>合格</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，税率：</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u w:val="single"/>
          <w:shd w:val="clear" w:color="auto" w:fill="auto"/>
          <w:lang w:val="en-US" w:eastAsia="zh-CN"/>
        </w:rPr>
        <w:t>%</w:t>
      </w:r>
      <w:r>
        <w:rPr>
          <w:rFonts w:hint="eastAsia" w:ascii="宋体" w:hAnsi="宋体" w:eastAsia="宋体" w:cs="宋体"/>
          <w:color w:val="auto"/>
          <w:sz w:val="23"/>
          <w:szCs w:val="23"/>
          <w:highlight w:val="none"/>
          <w:shd w:val="clear" w:color="auto" w:fill="auto"/>
        </w:rPr>
        <w:t>。</w:t>
      </w:r>
    </w:p>
    <w:p w14:paraId="4B28B944">
      <w:pPr>
        <w:spacing w:before="3" w:line="374" w:lineRule="auto"/>
        <w:ind w:right="63" w:firstLine="482"/>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我方将严格按照有关建设工程招标投标法规及招标文件的规定参加投标，并理解贵方不一定接受最低标价的投标，对定标结果也没有解释义务。如由我方中标，在接到你方发出的中标通知书起天内递交</w:t>
      </w:r>
      <w:r>
        <w:rPr>
          <w:rFonts w:hint="eastAsia" w:ascii="宋体" w:hAnsi="宋体" w:eastAsia="宋体" w:cs="宋体"/>
          <w:color w:val="auto"/>
          <w:sz w:val="23"/>
          <w:szCs w:val="23"/>
          <w:highlight w:val="none"/>
          <w:u w:val="single"/>
          <w:shd w:val="clear" w:color="auto" w:fill="auto"/>
          <w:lang w:val="en-US" w:eastAsia="zh-CN"/>
        </w:rPr>
        <w:t>15万元</w:t>
      </w:r>
      <w:r>
        <w:rPr>
          <w:rFonts w:hint="eastAsia" w:ascii="宋体" w:hAnsi="宋体" w:eastAsia="宋体" w:cs="宋体"/>
          <w:color w:val="auto"/>
          <w:sz w:val="23"/>
          <w:szCs w:val="23"/>
          <w:highlight w:val="none"/>
          <w:u w:val="single"/>
          <w:shd w:val="clear" w:color="auto" w:fill="auto"/>
        </w:rPr>
        <w:t>的履约保证金</w:t>
      </w:r>
      <w:r>
        <w:rPr>
          <w:rFonts w:hint="eastAsia" w:ascii="宋体" w:hAnsi="宋体" w:eastAsia="宋体" w:cs="宋体"/>
          <w:color w:val="auto"/>
          <w:sz w:val="23"/>
          <w:szCs w:val="23"/>
          <w:highlight w:val="none"/>
          <w:shd w:val="clear" w:color="auto" w:fill="auto"/>
        </w:rPr>
        <w:t>，并按中标通知</w:t>
      </w:r>
      <w:r>
        <w:rPr>
          <w:rFonts w:hint="eastAsia" w:ascii="宋体" w:hAnsi="宋体" w:eastAsia="宋体" w:cs="宋体"/>
          <w:color w:val="auto"/>
          <w:sz w:val="23"/>
          <w:szCs w:val="23"/>
          <w:highlight w:val="none"/>
          <w:shd w:val="clear" w:color="auto" w:fill="auto"/>
        </w:rPr>
        <w:t>书、招标文件和本投标函的约定与你方签订委托合同，履行规定的一切责任和义务。</w:t>
      </w:r>
    </w:p>
    <w:p w14:paraId="5C5932C3">
      <w:pPr>
        <w:spacing w:before="1" w:line="375" w:lineRule="auto"/>
        <w:ind w:left="5" w:right="63" w:firstLine="54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我们同意从投标之日起在</w:t>
      </w:r>
      <w:r>
        <w:rPr>
          <w:rFonts w:hint="eastAsia" w:ascii="宋体" w:hAnsi="宋体" w:eastAsia="宋体" w:cs="宋体"/>
          <w:color w:val="auto"/>
          <w:sz w:val="23"/>
          <w:szCs w:val="23"/>
          <w:highlight w:val="none"/>
          <w:u w:val="single"/>
          <w:shd w:val="clear" w:color="auto" w:fill="auto"/>
          <w:lang w:val="en-US" w:eastAsia="zh-CN"/>
        </w:rPr>
        <w:t xml:space="preserve"> 90 </w:t>
      </w:r>
      <w:r>
        <w:rPr>
          <w:rFonts w:hint="eastAsia" w:ascii="宋体" w:hAnsi="宋体" w:eastAsia="宋体" w:cs="宋体"/>
          <w:color w:val="auto"/>
          <w:sz w:val="23"/>
          <w:szCs w:val="23"/>
          <w:highlight w:val="none"/>
          <w:shd w:val="clear" w:color="auto" w:fill="auto"/>
        </w:rPr>
        <w:t>天的有效期内恪守本招标文件，在此期限期满之前的任何时间，本投标函全部条款内容对我方具有约束力。</w:t>
      </w:r>
    </w:p>
    <w:p w14:paraId="5FAAAFEC">
      <w:pPr>
        <w:spacing w:before="2" w:line="374" w:lineRule="auto"/>
        <w:ind w:left="1" w:right="63" w:firstLine="546"/>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在合同协议书正式签署生效之前，本投标函连同你方的中标通知书将构成我们双方之间共同遵守的文件，对双方具有约束力。</w:t>
      </w:r>
    </w:p>
    <w:p w14:paraId="0ADF272F">
      <w:pPr>
        <w:spacing w:before="1" w:line="373" w:lineRule="auto"/>
        <w:ind w:left="3334" w:right="84" w:firstLine="132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投标单位：</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 xml:space="preserve"> (盖章)</w:t>
      </w:r>
    </w:p>
    <w:p w14:paraId="2B0E9AEB">
      <w:pPr>
        <w:spacing w:before="1" w:line="373" w:lineRule="auto"/>
        <w:ind w:left="3334" w:right="84" w:firstLine="132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法定代表或委托代理人：(签字或盖章)</w:t>
      </w:r>
    </w:p>
    <w:p w14:paraId="315DAC47">
      <w:pPr>
        <w:spacing w:before="1" w:line="230" w:lineRule="auto"/>
        <w:ind w:firstLine="4715" w:firstLineChars="2050"/>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联系人：</w:t>
      </w:r>
      <w:r>
        <w:rPr>
          <w:rFonts w:hint="eastAsia" w:ascii="宋体" w:hAnsi="宋体" w:eastAsia="宋体" w:cs="宋体"/>
          <w:color w:val="auto"/>
          <w:sz w:val="23"/>
          <w:szCs w:val="23"/>
          <w:highlight w:val="none"/>
          <w:u w:val="single"/>
          <w:shd w:val="clear" w:color="auto" w:fill="auto"/>
        </w:rPr>
        <w:t xml:space="preserve">               </w:t>
      </w:r>
    </w:p>
    <w:p w14:paraId="053676BC">
      <w:pPr>
        <w:spacing w:before="181" w:line="230" w:lineRule="auto"/>
        <w:ind w:firstLine="4715" w:firstLineChars="2050"/>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联系地址：</w:t>
      </w:r>
      <w:r>
        <w:rPr>
          <w:rFonts w:hint="eastAsia" w:ascii="宋体" w:hAnsi="宋体" w:eastAsia="宋体" w:cs="宋体"/>
          <w:color w:val="auto"/>
          <w:sz w:val="23"/>
          <w:szCs w:val="23"/>
          <w:highlight w:val="none"/>
          <w:u w:val="single"/>
          <w:shd w:val="clear" w:color="auto" w:fill="auto"/>
        </w:rPr>
        <w:t xml:space="preserve">              </w:t>
      </w:r>
    </w:p>
    <w:p w14:paraId="430CCF06">
      <w:pPr>
        <w:spacing w:before="182" w:line="230" w:lineRule="auto"/>
        <w:ind w:firstLine="4715" w:firstLineChars="2050"/>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电话：</w:t>
      </w:r>
      <w:r>
        <w:rPr>
          <w:rFonts w:hint="eastAsia" w:ascii="宋体" w:hAnsi="宋体" w:eastAsia="宋体" w:cs="宋体"/>
          <w:color w:val="auto"/>
          <w:sz w:val="23"/>
          <w:szCs w:val="23"/>
          <w:highlight w:val="none"/>
          <w:u w:val="single"/>
          <w:shd w:val="clear" w:color="auto" w:fill="auto"/>
        </w:rPr>
        <w:t xml:space="preserve">               </w:t>
      </w:r>
    </w:p>
    <w:p w14:paraId="1A3A2974">
      <w:pPr>
        <w:tabs>
          <w:tab w:val="left" w:pos="6005"/>
        </w:tabs>
        <w:spacing w:before="178" w:line="384" w:lineRule="auto"/>
        <w:ind w:right="63" w:firstLine="4715" w:firstLineChars="2050"/>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邮编：</w:t>
      </w:r>
      <w:r>
        <w:rPr>
          <w:rFonts w:hint="eastAsia" w:ascii="宋体" w:hAnsi="宋体" w:eastAsia="宋体" w:cs="宋体"/>
          <w:color w:val="auto"/>
          <w:sz w:val="23"/>
          <w:szCs w:val="23"/>
          <w:highlight w:val="none"/>
          <w:u w:val="single"/>
          <w:shd w:val="clear" w:color="auto" w:fill="auto"/>
        </w:rPr>
        <w:t xml:space="preserve">               </w:t>
      </w:r>
    </w:p>
    <w:p w14:paraId="4BFBE52C">
      <w:pPr>
        <w:tabs>
          <w:tab w:val="left" w:pos="6005"/>
        </w:tabs>
        <w:spacing w:before="178" w:line="384" w:lineRule="auto"/>
        <w:ind w:left="5271" w:right="63" w:hanging="593"/>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u w:val="single"/>
          <w:shd w:val="clear" w:color="auto" w:fill="auto"/>
        </w:rPr>
        <w:tab/>
      </w:r>
      <w:r>
        <w:rPr>
          <w:rFonts w:hint="eastAsia" w:ascii="宋体" w:hAnsi="宋体" w:eastAsia="宋体" w:cs="宋体"/>
          <w:color w:val="auto"/>
          <w:sz w:val="23"/>
          <w:szCs w:val="23"/>
          <w:highlight w:val="none"/>
          <w:shd w:val="clear" w:color="auto" w:fill="auto"/>
        </w:rPr>
        <w:t>年</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月</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日</w:t>
      </w:r>
    </w:p>
    <w:p w14:paraId="1CA01E4D">
      <w:pPr>
        <w:rPr>
          <w:rFonts w:hint="eastAsia" w:ascii="宋体" w:hAnsi="宋体" w:eastAsia="宋体" w:cs="宋体"/>
          <w:color w:val="auto"/>
          <w:highlight w:val="none"/>
          <w:shd w:val="clear" w:color="auto" w:fill="auto"/>
        </w:rPr>
      </w:pPr>
      <w:bookmarkStart w:id="54" w:name="_bookmark16"/>
      <w:bookmarkEnd w:id="54"/>
    </w:p>
    <w:p w14:paraId="6BF45FD4">
      <w:pPr>
        <w:jc w:val="both"/>
        <w:rPr>
          <w:rFonts w:hint="eastAsia" w:ascii="宋体" w:hAnsi="宋体" w:eastAsia="宋体" w:cs="宋体"/>
          <w:color w:val="auto"/>
          <w:highlight w:val="none"/>
          <w:shd w:val="clear" w:color="auto" w:fill="auto"/>
        </w:rPr>
      </w:pPr>
    </w:p>
    <w:p w14:paraId="6EADC8AE">
      <w:pPr>
        <w:jc w:val="both"/>
        <w:rPr>
          <w:rFonts w:hint="eastAsia" w:ascii="宋体" w:hAnsi="宋体" w:eastAsia="宋体" w:cs="宋体"/>
          <w:color w:val="auto"/>
          <w:highlight w:val="none"/>
          <w:shd w:val="clear" w:color="auto" w:fill="auto"/>
        </w:rPr>
        <w:sectPr>
          <w:footerReference r:id="rId18" w:type="default"/>
          <w:pgSz w:w="11907" w:h="16840"/>
          <w:pgMar w:top="1418" w:right="1559" w:bottom="1418" w:left="1474" w:header="0" w:footer="723" w:gutter="0"/>
          <w:cols w:space="720" w:num="1"/>
        </w:sectPr>
      </w:pPr>
    </w:p>
    <w:p w14:paraId="1AF15F65">
      <w:pPr>
        <w:spacing w:before="163" w:line="221" w:lineRule="auto"/>
        <w:jc w:val="both"/>
        <w:outlineLvl w:val="1"/>
        <w:rPr>
          <w:rFonts w:hint="eastAsia" w:ascii="宋体" w:hAnsi="宋体" w:eastAsia="宋体" w:cs="宋体"/>
          <w:color w:val="auto"/>
          <w:sz w:val="28"/>
          <w:szCs w:val="28"/>
          <w:highlight w:val="none"/>
          <w:shd w:val="clear" w:color="auto" w:fill="auto"/>
        </w:rPr>
      </w:pPr>
      <w:bookmarkStart w:id="55" w:name="_bookmark18"/>
      <w:bookmarkEnd w:id="55"/>
      <w:r>
        <w:rPr>
          <w:rFonts w:hint="eastAsia" w:ascii="宋体" w:hAnsi="宋体" w:eastAsia="宋体" w:cs="宋体"/>
          <w:color w:val="auto"/>
          <w:sz w:val="28"/>
          <w:szCs w:val="28"/>
          <w:highlight w:val="none"/>
          <w:shd w:val="clear" w:color="auto" w:fill="auto"/>
        </w:rPr>
        <w:t>格式</w:t>
      </w:r>
      <w:r>
        <w:rPr>
          <w:rFonts w:hint="eastAsia" w:ascii="宋体" w:hAnsi="宋体" w:eastAsia="宋体" w:cs="宋体"/>
          <w:color w:val="auto"/>
          <w:sz w:val="28"/>
          <w:szCs w:val="28"/>
          <w:highlight w:val="none"/>
          <w:shd w:val="clear" w:color="auto" w:fill="auto"/>
          <w:lang w:val="en-US" w:eastAsia="zh-CN"/>
        </w:rPr>
        <w:t>二</w:t>
      </w:r>
      <w:r>
        <w:rPr>
          <w:rFonts w:hint="eastAsia" w:ascii="宋体" w:hAnsi="宋体" w:eastAsia="宋体" w:cs="宋体"/>
          <w:color w:val="auto"/>
          <w:sz w:val="28"/>
          <w:szCs w:val="28"/>
          <w:highlight w:val="none"/>
          <w:shd w:val="clear" w:color="auto" w:fill="auto"/>
        </w:rPr>
        <w:t>：投标报价表</w:t>
      </w:r>
    </w:p>
    <w:p w14:paraId="7A27106E">
      <w:pPr>
        <w:spacing w:before="246" w:line="224" w:lineRule="auto"/>
        <w:ind w:left="6702"/>
        <w:jc w:val="both"/>
        <w:outlineLvl w:val="0"/>
        <w:rPr>
          <w:rFonts w:hint="eastAsia" w:ascii="宋体" w:hAnsi="宋体" w:eastAsia="宋体" w:cs="宋体"/>
          <w:color w:val="auto"/>
          <w:sz w:val="31"/>
          <w:szCs w:val="31"/>
          <w:highlight w:val="none"/>
          <w:shd w:val="clear" w:color="auto" w:fill="auto"/>
        </w:rPr>
      </w:pPr>
      <w:r>
        <w:rPr>
          <w:rFonts w:hint="eastAsia" w:ascii="宋体" w:hAnsi="宋体" w:eastAsia="宋体" w:cs="宋体"/>
          <w:color w:val="auto"/>
          <w:sz w:val="31"/>
          <w:szCs w:val="31"/>
          <w:highlight w:val="none"/>
          <w:shd w:val="clear" w:color="auto" w:fill="auto"/>
        </w:rPr>
        <w:t>投标报价表</w:t>
      </w:r>
    </w:p>
    <w:p w14:paraId="77FC5866">
      <w:pPr>
        <w:spacing w:before="130" w:line="229" w:lineRule="auto"/>
        <w:ind w:left="11859"/>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单位：人民币元</w:t>
      </w:r>
    </w:p>
    <w:p w14:paraId="50F6CFE4">
      <w:pPr>
        <w:spacing w:line="98" w:lineRule="auto"/>
        <w:jc w:val="both"/>
        <w:rPr>
          <w:rFonts w:hint="eastAsia" w:ascii="宋体" w:hAnsi="宋体" w:eastAsia="宋体" w:cs="宋体"/>
          <w:color w:val="auto"/>
          <w:sz w:val="2"/>
          <w:highlight w:val="none"/>
          <w:shd w:val="clear" w:color="auto" w:fill="auto"/>
        </w:rPr>
      </w:pPr>
    </w:p>
    <w:tbl>
      <w:tblPr>
        <w:tblStyle w:val="27"/>
        <w:tblW w:w="14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240"/>
        <w:gridCol w:w="1296"/>
        <w:gridCol w:w="1350"/>
        <w:gridCol w:w="1991"/>
        <w:gridCol w:w="1882"/>
        <w:gridCol w:w="1326"/>
        <w:gridCol w:w="1386"/>
        <w:gridCol w:w="1494"/>
        <w:gridCol w:w="1847"/>
      </w:tblGrid>
      <w:tr w14:paraId="59A4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594" w:type="dxa"/>
            <w:noWrap w:val="0"/>
            <w:vAlign w:val="center"/>
          </w:tcPr>
          <w:p w14:paraId="697DEEB0">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b/>
                <w:color w:val="auto"/>
                <w:kern w:val="0"/>
                <w:sz w:val="21"/>
                <w:szCs w:val="21"/>
                <w:highlight w:val="none"/>
                <w:shd w:val="clear" w:color="auto" w:fill="auto"/>
              </w:rPr>
            </w:pPr>
            <w:r>
              <w:rPr>
                <w:rFonts w:hint="eastAsia" w:ascii="宋体" w:hAnsi="宋体" w:eastAsia="宋体" w:cs="宋体"/>
                <w:b/>
                <w:color w:val="auto"/>
                <w:kern w:val="0"/>
                <w:sz w:val="21"/>
                <w:szCs w:val="21"/>
                <w:highlight w:val="none"/>
                <w:shd w:val="clear" w:color="auto" w:fill="auto"/>
              </w:rPr>
              <w:t>序号</w:t>
            </w:r>
          </w:p>
        </w:tc>
        <w:tc>
          <w:tcPr>
            <w:tcW w:w="1240" w:type="dxa"/>
            <w:noWrap w:val="0"/>
            <w:vAlign w:val="center"/>
          </w:tcPr>
          <w:p w14:paraId="52826F83">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b/>
                <w:color w:val="auto"/>
                <w:kern w:val="0"/>
                <w:sz w:val="21"/>
                <w:szCs w:val="21"/>
                <w:highlight w:val="none"/>
                <w:shd w:val="clear" w:color="auto" w:fill="auto"/>
              </w:rPr>
            </w:pPr>
            <w:r>
              <w:rPr>
                <w:rFonts w:hint="eastAsia" w:ascii="宋体" w:hAnsi="宋体" w:eastAsia="宋体" w:cs="宋体"/>
                <w:b/>
                <w:color w:val="auto"/>
                <w:kern w:val="0"/>
                <w:sz w:val="21"/>
                <w:szCs w:val="21"/>
                <w:highlight w:val="none"/>
                <w:shd w:val="clear" w:color="auto" w:fill="auto"/>
              </w:rPr>
              <w:t>项目名称</w:t>
            </w:r>
          </w:p>
        </w:tc>
        <w:tc>
          <w:tcPr>
            <w:tcW w:w="6519" w:type="dxa"/>
            <w:gridSpan w:val="4"/>
            <w:noWrap w:val="0"/>
            <w:vAlign w:val="center"/>
          </w:tcPr>
          <w:p w14:paraId="4BEB7AD7">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b/>
                <w:color w:val="auto"/>
                <w:kern w:val="0"/>
                <w:sz w:val="21"/>
                <w:szCs w:val="21"/>
                <w:highlight w:val="none"/>
                <w:shd w:val="clear" w:color="auto" w:fill="auto"/>
              </w:rPr>
            </w:pPr>
            <w:r>
              <w:rPr>
                <w:rFonts w:hint="eastAsia" w:ascii="宋体" w:hAnsi="宋体" w:eastAsia="宋体" w:cs="宋体"/>
                <w:b/>
                <w:color w:val="auto"/>
                <w:kern w:val="0"/>
                <w:sz w:val="21"/>
                <w:szCs w:val="21"/>
                <w:highlight w:val="none"/>
                <w:shd w:val="clear" w:color="auto" w:fill="auto"/>
              </w:rPr>
              <w:t>设备名称</w:t>
            </w:r>
            <w:r>
              <w:rPr>
                <w:rFonts w:hint="eastAsia" w:ascii="宋体" w:hAnsi="宋体" w:eastAsia="宋体" w:cs="宋体"/>
                <w:b/>
                <w:color w:val="auto"/>
                <w:kern w:val="0"/>
                <w:sz w:val="21"/>
                <w:szCs w:val="21"/>
                <w:highlight w:val="none"/>
                <w:shd w:val="clear" w:color="auto" w:fill="auto"/>
                <w:lang w:val="en-US" w:eastAsia="zh-CN"/>
              </w:rPr>
              <w:t>及规格</w:t>
            </w:r>
          </w:p>
        </w:tc>
        <w:tc>
          <w:tcPr>
            <w:tcW w:w="1326" w:type="dxa"/>
            <w:noWrap w:val="0"/>
            <w:vAlign w:val="center"/>
          </w:tcPr>
          <w:p w14:paraId="4080C9EE">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b/>
                <w:color w:val="auto"/>
                <w:kern w:val="0"/>
                <w:sz w:val="21"/>
                <w:szCs w:val="21"/>
                <w:highlight w:val="none"/>
                <w:shd w:val="clear" w:color="auto" w:fill="auto"/>
                <w:lang w:eastAsia="zh-CN"/>
              </w:rPr>
            </w:pPr>
            <w:r>
              <w:rPr>
                <w:rFonts w:hint="eastAsia" w:ascii="宋体" w:hAnsi="宋体" w:eastAsia="宋体" w:cs="宋体"/>
                <w:b/>
                <w:color w:val="auto"/>
                <w:kern w:val="0"/>
                <w:sz w:val="21"/>
                <w:szCs w:val="21"/>
                <w:highlight w:val="none"/>
                <w:shd w:val="clear" w:color="auto" w:fill="auto"/>
              </w:rPr>
              <w:t>数量</w:t>
            </w:r>
            <w:r>
              <w:rPr>
                <w:rFonts w:hint="eastAsia" w:ascii="宋体" w:hAnsi="宋体" w:cs="宋体"/>
                <w:b/>
                <w:color w:val="auto"/>
                <w:kern w:val="0"/>
                <w:sz w:val="21"/>
                <w:szCs w:val="21"/>
                <w:highlight w:val="none"/>
                <w:shd w:val="clear" w:color="auto" w:fill="auto"/>
                <w:lang w:eastAsia="zh-CN"/>
              </w:rPr>
              <w:t>（套）</w:t>
            </w:r>
          </w:p>
        </w:tc>
        <w:tc>
          <w:tcPr>
            <w:tcW w:w="1386" w:type="dxa"/>
            <w:noWrap w:val="0"/>
            <w:vAlign w:val="center"/>
          </w:tcPr>
          <w:p w14:paraId="0D4ACBEA">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b/>
                <w:color w:val="auto"/>
                <w:kern w:val="0"/>
                <w:sz w:val="21"/>
                <w:szCs w:val="21"/>
                <w:highlight w:val="none"/>
                <w:shd w:val="clear" w:color="auto" w:fill="auto"/>
                <w:lang w:eastAsia="zh-CN"/>
              </w:rPr>
            </w:pPr>
            <w:r>
              <w:rPr>
                <w:rFonts w:hint="eastAsia" w:ascii="宋体" w:hAnsi="宋体" w:cs="宋体"/>
                <w:b/>
                <w:color w:val="auto"/>
                <w:kern w:val="0"/>
                <w:sz w:val="21"/>
                <w:szCs w:val="21"/>
                <w:highlight w:val="none"/>
                <w:shd w:val="clear" w:color="auto" w:fill="auto"/>
                <w:lang w:eastAsia="zh-CN"/>
              </w:rPr>
              <w:t>品牌</w:t>
            </w:r>
          </w:p>
        </w:tc>
        <w:tc>
          <w:tcPr>
            <w:tcW w:w="1494" w:type="dxa"/>
            <w:noWrap w:val="0"/>
            <w:vAlign w:val="center"/>
          </w:tcPr>
          <w:p w14:paraId="50A16CC9">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b/>
                <w:color w:val="auto"/>
                <w:kern w:val="0"/>
                <w:sz w:val="21"/>
                <w:szCs w:val="21"/>
                <w:highlight w:val="none"/>
                <w:shd w:val="clear" w:color="auto" w:fill="auto"/>
                <w:lang w:val="en-US" w:eastAsia="zh-CN"/>
              </w:rPr>
            </w:pPr>
            <w:r>
              <w:rPr>
                <w:rFonts w:hint="eastAsia" w:ascii="宋体" w:hAnsi="宋体" w:eastAsia="宋体" w:cs="宋体"/>
                <w:b/>
                <w:color w:val="auto"/>
                <w:kern w:val="0"/>
                <w:sz w:val="21"/>
                <w:szCs w:val="21"/>
                <w:highlight w:val="none"/>
                <w:shd w:val="clear" w:color="auto" w:fill="auto"/>
                <w:lang w:val="en-US" w:eastAsia="zh-CN"/>
              </w:rPr>
              <w:t>上限价（元）</w:t>
            </w:r>
          </w:p>
        </w:tc>
        <w:tc>
          <w:tcPr>
            <w:tcW w:w="1847" w:type="dxa"/>
            <w:noWrap w:val="0"/>
            <w:vAlign w:val="center"/>
          </w:tcPr>
          <w:p w14:paraId="1CED92AA">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b/>
                <w:color w:val="auto"/>
                <w:kern w:val="0"/>
                <w:sz w:val="21"/>
                <w:szCs w:val="21"/>
                <w:highlight w:val="none"/>
                <w:shd w:val="clear" w:color="auto" w:fill="auto"/>
                <w:lang w:val="en-US" w:eastAsia="zh-CN"/>
              </w:rPr>
            </w:pPr>
            <w:r>
              <w:rPr>
                <w:rFonts w:hint="eastAsia" w:ascii="宋体" w:hAnsi="宋体" w:eastAsia="宋体" w:cs="宋体"/>
                <w:b/>
                <w:color w:val="auto"/>
                <w:kern w:val="0"/>
                <w:sz w:val="21"/>
                <w:szCs w:val="21"/>
                <w:highlight w:val="none"/>
                <w:shd w:val="clear" w:color="auto" w:fill="auto"/>
                <w:lang w:val="en-US" w:eastAsia="zh-CN"/>
              </w:rPr>
              <w:t>投标报价（元）</w:t>
            </w:r>
          </w:p>
        </w:tc>
      </w:tr>
      <w:tr w14:paraId="495C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565DD52E">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1240" w:type="dxa"/>
            <w:vMerge w:val="restart"/>
            <w:shd w:val="clear" w:color="auto" w:fill="auto"/>
            <w:noWrap w:val="0"/>
            <w:vAlign w:val="center"/>
          </w:tcPr>
          <w:p w14:paraId="2A027B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eastAsia="宋体" w:cs="宋体"/>
                <w:i w:val="0"/>
                <w:iCs w:val="0"/>
                <w:color w:val="auto"/>
                <w:sz w:val="21"/>
                <w:szCs w:val="21"/>
                <w:highlight w:val="none"/>
                <w:u w:val="none"/>
                <w:shd w:val="clear" w:color="auto" w:fill="auto"/>
                <w:lang w:val="en-US" w:eastAsia="zh-CN"/>
              </w:rPr>
              <w:t>绍兴市水务产业有限公司二次供水设备年度采购项目</w:t>
            </w:r>
          </w:p>
        </w:tc>
        <w:tc>
          <w:tcPr>
            <w:tcW w:w="1296" w:type="dxa"/>
            <w:vMerge w:val="restart"/>
            <w:shd w:val="clear" w:color="auto" w:fill="FFFFFF"/>
            <w:noWrap w:val="0"/>
            <w:vAlign w:val="center"/>
          </w:tcPr>
          <w:p w14:paraId="0EEC6D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凤林西路以南5号地块</w:t>
            </w:r>
          </w:p>
        </w:tc>
        <w:tc>
          <w:tcPr>
            <w:tcW w:w="1350" w:type="dxa"/>
            <w:vMerge w:val="restart"/>
            <w:shd w:val="clear" w:color="auto" w:fill="auto"/>
            <w:noWrap w:val="0"/>
            <w:vAlign w:val="center"/>
          </w:tcPr>
          <w:p w14:paraId="26DC8B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1991" w:type="dxa"/>
            <w:shd w:val="clear" w:color="auto" w:fill="FFFFFF"/>
            <w:noWrap w:val="0"/>
            <w:vAlign w:val="center"/>
          </w:tcPr>
          <w:p w14:paraId="11AE1A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44E4D9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流量50扬程52</w:t>
            </w:r>
          </w:p>
        </w:tc>
        <w:tc>
          <w:tcPr>
            <w:tcW w:w="1326" w:type="dxa"/>
            <w:shd w:val="clear" w:color="auto" w:fill="FFFFFF"/>
            <w:noWrap w:val="0"/>
            <w:vAlign w:val="center"/>
          </w:tcPr>
          <w:p w14:paraId="6A0DF1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3BCEAB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5D1903A3">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393841</w:t>
            </w:r>
          </w:p>
        </w:tc>
        <w:tc>
          <w:tcPr>
            <w:tcW w:w="1847" w:type="dxa"/>
            <w:noWrap w:val="0"/>
            <w:vAlign w:val="center"/>
          </w:tcPr>
          <w:p w14:paraId="7A72E6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323A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56680FD0">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42140F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48E515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350" w:type="dxa"/>
            <w:vMerge w:val="continue"/>
            <w:shd w:val="clear" w:color="auto" w:fill="auto"/>
            <w:noWrap w:val="0"/>
            <w:vAlign w:val="center"/>
          </w:tcPr>
          <w:p w14:paraId="21EFFE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991" w:type="dxa"/>
            <w:shd w:val="clear" w:color="auto" w:fill="FFFFFF"/>
            <w:noWrap w:val="0"/>
            <w:vAlign w:val="center"/>
          </w:tcPr>
          <w:p w14:paraId="78E286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1029B31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744D65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2"/>
                <w:kern w:val="2"/>
                <w:sz w:val="21"/>
                <w:szCs w:val="21"/>
                <w:highlight w:val="none"/>
                <w:shd w:val="clear" w:color="auto" w:fill="auto"/>
                <w:lang w:val="en-US" w:eastAsia="zh-CN" w:bidi="ar-SA"/>
              </w:rPr>
            </w:pPr>
            <w:r>
              <w:rPr>
                <w:rFonts w:hint="eastAsia" w:ascii="宋体" w:hAnsi="宋体" w:eastAsia="宋体" w:cs="宋体"/>
                <w:color w:val="auto"/>
                <w:spacing w:val="-2"/>
                <w:sz w:val="21"/>
                <w:szCs w:val="21"/>
                <w:highlight w:val="none"/>
                <w:shd w:val="clear" w:color="auto" w:fill="auto"/>
                <w:lang w:val="en-US" w:eastAsia="zh-CN"/>
              </w:rPr>
              <w:t>1</w:t>
            </w:r>
          </w:p>
        </w:tc>
        <w:tc>
          <w:tcPr>
            <w:tcW w:w="1386" w:type="dxa"/>
            <w:noWrap w:val="0"/>
            <w:vAlign w:val="center"/>
          </w:tcPr>
          <w:p w14:paraId="1A0AF8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2"/>
                <w:sz w:val="21"/>
                <w:szCs w:val="21"/>
                <w:highlight w:val="none"/>
                <w:shd w:val="clear" w:color="auto" w:fill="auto"/>
                <w:lang w:val="en-US" w:eastAsia="zh-CN"/>
              </w:rPr>
            </w:pPr>
          </w:p>
        </w:tc>
        <w:tc>
          <w:tcPr>
            <w:tcW w:w="1494" w:type="dxa"/>
            <w:shd w:val="clear" w:color="auto" w:fill="auto"/>
            <w:noWrap w:val="0"/>
            <w:vAlign w:val="center"/>
          </w:tcPr>
          <w:p w14:paraId="0D9BA19C">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snapToGrid w:val="0"/>
                <w:color w:val="auto"/>
                <w:kern w:val="2"/>
                <w:sz w:val="24"/>
                <w:szCs w:val="24"/>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648E6C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2"/>
                <w:kern w:val="2"/>
                <w:sz w:val="21"/>
                <w:szCs w:val="21"/>
                <w:highlight w:val="none"/>
                <w:shd w:val="clear" w:color="auto" w:fill="auto"/>
                <w:lang w:val="en-US" w:eastAsia="zh-CN" w:bidi="ar-SA"/>
              </w:rPr>
            </w:pPr>
          </w:p>
        </w:tc>
      </w:tr>
      <w:tr w14:paraId="20FD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249E57D1">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2EB1F6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4EC1BF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24326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760870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2CB7EE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1BABA1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2"/>
                <w:kern w:val="2"/>
                <w:sz w:val="21"/>
                <w:szCs w:val="21"/>
                <w:highlight w:val="none"/>
                <w:shd w:val="clear" w:color="auto" w:fill="auto"/>
                <w:lang w:val="en-US" w:eastAsia="zh-CN" w:bidi="ar-SA"/>
              </w:rPr>
            </w:pPr>
            <w:r>
              <w:rPr>
                <w:rFonts w:hint="eastAsia" w:ascii="宋体" w:hAnsi="宋体" w:eastAsia="宋体" w:cs="宋体"/>
                <w:color w:val="auto"/>
                <w:spacing w:val="-2"/>
                <w:sz w:val="21"/>
                <w:szCs w:val="21"/>
                <w:highlight w:val="none"/>
                <w:shd w:val="clear" w:color="auto" w:fill="auto"/>
                <w:lang w:val="en-US" w:eastAsia="zh-CN"/>
              </w:rPr>
              <w:t>1</w:t>
            </w:r>
          </w:p>
        </w:tc>
        <w:tc>
          <w:tcPr>
            <w:tcW w:w="1386" w:type="dxa"/>
            <w:noWrap w:val="0"/>
            <w:vAlign w:val="center"/>
          </w:tcPr>
          <w:p w14:paraId="3D4376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2"/>
                <w:sz w:val="21"/>
                <w:szCs w:val="21"/>
                <w:highlight w:val="none"/>
                <w:shd w:val="clear" w:color="auto" w:fill="auto"/>
                <w:lang w:val="en-US" w:eastAsia="zh-CN"/>
              </w:rPr>
            </w:pPr>
          </w:p>
        </w:tc>
        <w:tc>
          <w:tcPr>
            <w:tcW w:w="1494" w:type="dxa"/>
            <w:shd w:val="clear" w:color="auto" w:fill="auto"/>
            <w:noWrap w:val="0"/>
            <w:vAlign w:val="center"/>
          </w:tcPr>
          <w:p w14:paraId="25CA440E">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snapToGrid w:val="0"/>
                <w:color w:val="auto"/>
                <w:kern w:val="2"/>
                <w:sz w:val="24"/>
                <w:szCs w:val="24"/>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38CB23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2"/>
                <w:kern w:val="2"/>
                <w:sz w:val="21"/>
                <w:szCs w:val="21"/>
                <w:highlight w:val="none"/>
                <w:shd w:val="clear" w:color="auto" w:fill="auto"/>
                <w:lang w:val="en-US" w:eastAsia="zh-CN" w:bidi="ar-SA"/>
              </w:rPr>
            </w:pPr>
          </w:p>
        </w:tc>
      </w:tr>
      <w:tr w14:paraId="0B8B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2D560508">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p>
        </w:tc>
        <w:tc>
          <w:tcPr>
            <w:tcW w:w="1240" w:type="dxa"/>
            <w:vMerge w:val="continue"/>
            <w:shd w:val="clear" w:color="auto" w:fill="auto"/>
            <w:noWrap w:val="0"/>
            <w:vAlign w:val="center"/>
          </w:tcPr>
          <w:p w14:paraId="06E499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77D1EB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cs="宋体"/>
                <w:i w:val="0"/>
                <w:iCs w:val="0"/>
                <w:color w:val="auto"/>
                <w:sz w:val="21"/>
                <w:szCs w:val="21"/>
                <w:highlight w:val="none"/>
                <w:u w:val="none"/>
                <w:shd w:val="clear" w:color="auto" w:fill="auto"/>
                <w:lang w:val="en-US" w:eastAsia="zh-CN"/>
              </w:rPr>
              <w:t>尚</w:t>
            </w:r>
            <w:r>
              <w:rPr>
                <w:rFonts w:hint="eastAsia" w:ascii="宋体" w:hAnsi="宋体" w:eastAsia="宋体" w:cs="宋体"/>
                <w:i w:val="0"/>
                <w:iCs w:val="0"/>
                <w:color w:val="auto"/>
                <w:sz w:val="21"/>
                <w:szCs w:val="21"/>
                <w:highlight w:val="none"/>
                <w:u w:val="none"/>
                <w:shd w:val="clear" w:color="auto" w:fill="auto"/>
                <w:lang w:val="en-US" w:eastAsia="zh-CN"/>
              </w:rPr>
              <w:t>都中心</w:t>
            </w:r>
          </w:p>
        </w:tc>
        <w:tc>
          <w:tcPr>
            <w:tcW w:w="1350" w:type="dxa"/>
            <w:vMerge w:val="restart"/>
            <w:shd w:val="clear" w:color="auto" w:fill="auto"/>
            <w:noWrap w:val="0"/>
            <w:vAlign w:val="center"/>
          </w:tcPr>
          <w:p w14:paraId="0F8A38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1991" w:type="dxa"/>
            <w:shd w:val="clear" w:color="auto" w:fill="FFFFFF"/>
            <w:noWrap w:val="0"/>
            <w:vAlign w:val="center"/>
          </w:tcPr>
          <w:p w14:paraId="5E0159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0079A76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流量36扬程45</w:t>
            </w:r>
          </w:p>
        </w:tc>
        <w:tc>
          <w:tcPr>
            <w:tcW w:w="1326" w:type="dxa"/>
            <w:shd w:val="clear" w:color="auto" w:fill="FFFFFF"/>
            <w:noWrap w:val="0"/>
            <w:vAlign w:val="center"/>
          </w:tcPr>
          <w:p w14:paraId="738855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61771A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shd w:val="clear" w:color="auto" w:fill="auto"/>
            <w:noWrap w:val="0"/>
            <w:vAlign w:val="center"/>
          </w:tcPr>
          <w:p w14:paraId="0FC1F33E">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snapToGrid w:val="0"/>
                <w:color w:val="auto"/>
                <w:kern w:val="2"/>
                <w:sz w:val="24"/>
                <w:szCs w:val="24"/>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375770</w:t>
            </w:r>
          </w:p>
        </w:tc>
        <w:tc>
          <w:tcPr>
            <w:tcW w:w="1847" w:type="dxa"/>
            <w:noWrap w:val="0"/>
            <w:vAlign w:val="center"/>
          </w:tcPr>
          <w:p w14:paraId="23D90E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7773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ED5CCEE">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6D84D3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1B330D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4F3E9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58AA84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672E54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流量36扬程80</w:t>
            </w:r>
          </w:p>
        </w:tc>
        <w:tc>
          <w:tcPr>
            <w:tcW w:w="1326" w:type="dxa"/>
            <w:shd w:val="clear" w:color="auto" w:fill="FFFFFF"/>
            <w:noWrap w:val="0"/>
            <w:vAlign w:val="center"/>
          </w:tcPr>
          <w:p w14:paraId="22A117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418505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shd w:val="clear" w:color="auto" w:fill="auto"/>
            <w:noWrap w:val="0"/>
            <w:vAlign w:val="center"/>
          </w:tcPr>
          <w:p w14:paraId="69153271">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snapToGrid w:val="0"/>
                <w:color w:val="auto"/>
                <w:kern w:val="2"/>
                <w:sz w:val="24"/>
                <w:szCs w:val="24"/>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391433</w:t>
            </w:r>
          </w:p>
        </w:tc>
        <w:tc>
          <w:tcPr>
            <w:tcW w:w="1847" w:type="dxa"/>
            <w:noWrap w:val="0"/>
            <w:vAlign w:val="center"/>
          </w:tcPr>
          <w:p w14:paraId="51D0CD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67D8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29016DD8">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32C4BB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46C634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4344C7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04DDEC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3295FF2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流量15扬程115</w:t>
            </w:r>
          </w:p>
        </w:tc>
        <w:tc>
          <w:tcPr>
            <w:tcW w:w="1326" w:type="dxa"/>
            <w:shd w:val="clear" w:color="auto" w:fill="FFFFFF"/>
            <w:noWrap w:val="0"/>
            <w:vAlign w:val="center"/>
          </w:tcPr>
          <w:p w14:paraId="5C72C0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5CD5AD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shd w:val="clear" w:color="auto" w:fill="auto"/>
            <w:noWrap w:val="0"/>
            <w:vAlign w:val="center"/>
          </w:tcPr>
          <w:p w14:paraId="760F17A7">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snapToGrid w:val="0"/>
                <w:color w:val="auto"/>
                <w:kern w:val="2"/>
                <w:sz w:val="24"/>
                <w:szCs w:val="24"/>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317540</w:t>
            </w:r>
          </w:p>
        </w:tc>
        <w:tc>
          <w:tcPr>
            <w:tcW w:w="1847" w:type="dxa"/>
            <w:noWrap w:val="0"/>
            <w:vAlign w:val="center"/>
          </w:tcPr>
          <w:p w14:paraId="05A597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309C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75414219">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598238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361E21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7D2879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221EE8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2EC88C2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65B139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06FEB9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shd w:val="clear" w:color="auto" w:fill="auto"/>
            <w:noWrap w:val="0"/>
            <w:vAlign w:val="center"/>
          </w:tcPr>
          <w:p w14:paraId="33729E21">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pPr>
            <w:r>
              <w:rPr>
                <w:rFonts w:hint="eastAsia" w:ascii="宋体" w:hAnsi="宋体" w:cs="宋体"/>
                <w:i w:val="0"/>
                <w:iCs w:val="0"/>
                <w:color w:val="auto"/>
                <w:kern w:val="0"/>
                <w:sz w:val="24"/>
                <w:szCs w:val="24"/>
                <w:highlight w:val="none"/>
                <w:u w:val="none"/>
                <w:shd w:val="clear" w:color="auto" w:fill="auto"/>
                <w:lang w:val="en-US" w:eastAsia="zh-CN" w:bidi="ar"/>
              </w:rPr>
              <w:t>72000</w:t>
            </w:r>
          </w:p>
        </w:tc>
        <w:tc>
          <w:tcPr>
            <w:tcW w:w="1847" w:type="dxa"/>
            <w:noWrap w:val="0"/>
            <w:vAlign w:val="center"/>
          </w:tcPr>
          <w:p w14:paraId="736381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44E2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0C88D9F">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686260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08EFBD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6CD418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334F59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75A4295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64268B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59DA73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shd w:val="clear" w:color="auto" w:fill="auto"/>
            <w:noWrap w:val="0"/>
            <w:vAlign w:val="center"/>
          </w:tcPr>
          <w:p w14:paraId="7AA2EDA6">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snapToGrid w:val="0"/>
                <w:color w:val="auto"/>
                <w:kern w:val="0"/>
                <w:sz w:val="24"/>
                <w:szCs w:val="24"/>
                <w:highlight w:val="none"/>
                <w:u w:val="none"/>
                <w:shd w:val="clear" w:color="auto" w:fill="auto"/>
                <w:lang w:val="en-US" w:eastAsia="zh-CN" w:bidi="ar"/>
              </w:rPr>
            </w:pPr>
            <w:r>
              <w:rPr>
                <w:rFonts w:hint="eastAsia" w:ascii="宋体" w:hAnsi="宋体" w:cs="宋体"/>
                <w:i w:val="0"/>
                <w:iCs w:val="0"/>
                <w:color w:val="auto"/>
                <w:kern w:val="0"/>
                <w:sz w:val="24"/>
                <w:szCs w:val="24"/>
                <w:highlight w:val="none"/>
                <w:u w:val="none"/>
                <w:shd w:val="clear" w:color="auto" w:fill="auto"/>
                <w:lang w:val="en-US" w:eastAsia="zh-CN" w:bidi="ar"/>
              </w:rPr>
              <w:t>43500</w:t>
            </w:r>
          </w:p>
        </w:tc>
        <w:tc>
          <w:tcPr>
            <w:tcW w:w="1847" w:type="dxa"/>
            <w:noWrap w:val="0"/>
            <w:vAlign w:val="center"/>
          </w:tcPr>
          <w:p w14:paraId="29DA2C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0D2C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79DD32A7">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w:t>
            </w:r>
          </w:p>
        </w:tc>
        <w:tc>
          <w:tcPr>
            <w:tcW w:w="1240" w:type="dxa"/>
            <w:vMerge w:val="continue"/>
            <w:shd w:val="clear" w:color="auto" w:fill="auto"/>
            <w:noWrap w:val="0"/>
            <w:vAlign w:val="center"/>
          </w:tcPr>
          <w:p w14:paraId="2EB002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5ED29A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镜湖新区凤林西路以北6号地块</w:t>
            </w:r>
          </w:p>
        </w:tc>
        <w:tc>
          <w:tcPr>
            <w:tcW w:w="1350" w:type="dxa"/>
            <w:vMerge w:val="restart"/>
            <w:shd w:val="clear" w:color="auto" w:fill="auto"/>
            <w:noWrap w:val="0"/>
            <w:vAlign w:val="center"/>
          </w:tcPr>
          <w:p w14:paraId="5F72AB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1991" w:type="dxa"/>
            <w:shd w:val="clear" w:color="auto" w:fill="FFFFFF"/>
            <w:noWrap w:val="0"/>
            <w:vAlign w:val="center"/>
          </w:tcPr>
          <w:p w14:paraId="310DD3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6FB201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流量45扬程25</w:t>
            </w:r>
          </w:p>
        </w:tc>
        <w:tc>
          <w:tcPr>
            <w:tcW w:w="1326" w:type="dxa"/>
            <w:shd w:val="clear" w:color="auto" w:fill="FFFFFF"/>
            <w:noWrap w:val="0"/>
            <w:vAlign w:val="center"/>
          </w:tcPr>
          <w:p w14:paraId="59A53A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24AF8C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shd w:val="clear" w:color="auto" w:fill="auto"/>
            <w:noWrap w:val="0"/>
            <w:vAlign w:val="center"/>
          </w:tcPr>
          <w:p w14:paraId="77859DA8">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snapToGrid w:val="0"/>
                <w:color w:val="auto"/>
                <w:kern w:val="2"/>
                <w:sz w:val="24"/>
                <w:szCs w:val="24"/>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356275</w:t>
            </w:r>
          </w:p>
        </w:tc>
        <w:tc>
          <w:tcPr>
            <w:tcW w:w="1847" w:type="dxa"/>
            <w:noWrap w:val="0"/>
            <w:vAlign w:val="center"/>
          </w:tcPr>
          <w:p w14:paraId="1684AA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158E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2487E42B">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02BD1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001B5A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3A6F88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4FA6AC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29A4774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流量45扬程35</w:t>
            </w:r>
          </w:p>
        </w:tc>
        <w:tc>
          <w:tcPr>
            <w:tcW w:w="1326" w:type="dxa"/>
            <w:shd w:val="clear" w:color="auto" w:fill="FFFFFF"/>
            <w:noWrap w:val="0"/>
            <w:vAlign w:val="center"/>
          </w:tcPr>
          <w:p w14:paraId="29EEEC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6F9082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6EA458BE">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385328</w:t>
            </w:r>
          </w:p>
        </w:tc>
        <w:tc>
          <w:tcPr>
            <w:tcW w:w="1847" w:type="dxa"/>
            <w:noWrap w:val="0"/>
            <w:vAlign w:val="center"/>
          </w:tcPr>
          <w:p w14:paraId="1F00A6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6085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6BF0FE3A">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E1FA4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41A036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2BD07C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456F34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669F429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37AF7A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5D44AC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24A29504">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0"/>
                <w:sz w:val="24"/>
                <w:szCs w:val="24"/>
                <w:highlight w:val="none"/>
                <w:u w:val="none"/>
                <w:shd w:val="clear" w:color="auto" w:fill="auto"/>
                <w:lang w:val="en-US" w:eastAsia="zh-CN" w:bidi="ar"/>
              </w:rPr>
              <w:t>72000</w:t>
            </w:r>
          </w:p>
        </w:tc>
        <w:tc>
          <w:tcPr>
            <w:tcW w:w="1847" w:type="dxa"/>
            <w:noWrap w:val="0"/>
            <w:vAlign w:val="center"/>
          </w:tcPr>
          <w:p w14:paraId="0848F2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37E4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60A29BF7">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rPr>
            </w:pPr>
          </w:p>
        </w:tc>
        <w:tc>
          <w:tcPr>
            <w:tcW w:w="1240" w:type="dxa"/>
            <w:vMerge w:val="continue"/>
            <w:shd w:val="clear" w:color="auto" w:fill="auto"/>
            <w:noWrap w:val="0"/>
            <w:vAlign w:val="center"/>
          </w:tcPr>
          <w:p w14:paraId="4E6E80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6E31BB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18B3F2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446AA5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5DD4AAB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388A94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7C4F9A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7103EC8E">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0"/>
                <w:sz w:val="24"/>
                <w:szCs w:val="24"/>
                <w:highlight w:val="none"/>
                <w:u w:val="none"/>
                <w:shd w:val="clear" w:color="auto" w:fill="auto"/>
                <w:lang w:val="en-US" w:eastAsia="zh-CN" w:bidi="ar"/>
              </w:rPr>
              <w:t>43500</w:t>
            </w:r>
          </w:p>
        </w:tc>
        <w:tc>
          <w:tcPr>
            <w:tcW w:w="1847" w:type="dxa"/>
            <w:noWrap w:val="0"/>
            <w:vAlign w:val="center"/>
          </w:tcPr>
          <w:p w14:paraId="15B140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516D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1D884174">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w:t>
            </w:r>
          </w:p>
        </w:tc>
        <w:tc>
          <w:tcPr>
            <w:tcW w:w="1240" w:type="dxa"/>
            <w:vMerge w:val="continue"/>
            <w:shd w:val="clear" w:color="auto" w:fill="auto"/>
            <w:noWrap w:val="0"/>
            <w:vAlign w:val="center"/>
          </w:tcPr>
          <w:p w14:paraId="362203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26D74A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镜湖JH-05-02x-42地块</w:t>
            </w:r>
          </w:p>
        </w:tc>
        <w:tc>
          <w:tcPr>
            <w:tcW w:w="1350" w:type="dxa"/>
            <w:vMerge w:val="restart"/>
            <w:shd w:val="clear" w:color="auto" w:fill="auto"/>
            <w:noWrap w:val="0"/>
            <w:vAlign w:val="center"/>
          </w:tcPr>
          <w:p w14:paraId="1EE851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1991" w:type="dxa"/>
            <w:shd w:val="clear" w:color="auto" w:fill="FFFFFF"/>
            <w:noWrap w:val="0"/>
            <w:vAlign w:val="center"/>
          </w:tcPr>
          <w:p w14:paraId="4A4462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500A68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流量36扬程33</w:t>
            </w:r>
          </w:p>
        </w:tc>
        <w:tc>
          <w:tcPr>
            <w:tcW w:w="1326" w:type="dxa"/>
            <w:shd w:val="clear" w:color="auto" w:fill="FFFFFF"/>
            <w:noWrap w:val="0"/>
            <w:vAlign w:val="center"/>
          </w:tcPr>
          <w:p w14:paraId="04856A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39528B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5D8E9BE8">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0"/>
                <w:sz w:val="24"/>
                <w:szCs w:val="24"/>
                <w:highlight w:val="none"/>
                <w:u w:val="none"/>
                <w:shd w:val="clear" w:color="auto" w:fill="auto"/>
                <w:lang w:val="en-US" w:eastAsia="zh-CN" w:bidi="ar"/>
              </w:rPr>
              <w:t>345883</w:t>
            </w:r>
          </w:p>
        </w:tc>
        <w:tc>
          <w:tcPr>
            <w:tcW w:w="1847" w:type="dxa"/>
            <w:noWrap w:val="0"/>
            <w:vAlign w:val="center"/>
          </w:tcPr>
          <w:p w14:paraId="7A2CA4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21B6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48DD5E89">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13EEEE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772E0C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005A60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5A4FB6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57BCD3E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流量36扬程55</w:t>
            </w:r>
          </w:p>
        </w:tc>
        <w:tc>
          <w:tcPr>
            <w:tcW w:w="1326" w:type="dxa"/>
            <w:shd w:val="clear" w:color="auto" w:fill="FFFFFF"/>
            <w:noWrap w:val="0"/>
            <w:vAlign w:val="center"/>
          </w:tcPr>
          <w:p w14:paraId="0D7EAC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6EC3C8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0330B01E">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0"/>
                <w:sz w:val="24"/>
                <w:szCs w:val="24"/>
                <w:highlight w:val="none"/>
                <w:u w:val="none"/>
                <w:shd w:val="clear" w:color="auto" w:fill="auto"/>
                <w:lang w:val="en-US" w:eastAsia="zh-CN" w:bidi="ar"/>
              </w:rPr>
              <w:t>380770</w:t>
            </w:r>
          </w:p>
        </w:tc>
        <w:tc>
          <w:tcPr>
            <w:tcW w:w="1847" w:type="dxa"/>
            <w:noWrap w:val="0"/>
            <w:vAlign w:val="center"/>
          </w:tcPr>
          <w:p w14:paraId="03ED1C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62A4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206DBF8">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3B4D41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74BC83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4C092A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0E2284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71C00E2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49F626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779A76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7513DBCF">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0"/>
                <w:sz w:val="24"/>
                <w:szCs w:val="24"/>
                <w:highlight w:val="none"/>
                <w:u w:val="none"/>
                <w:shd w:val="clear" w:color="auto" w:fill="auto"/>
                <w:lang w:val="en-US" w:eastAsia="zh-CN" w:bidi="ar"/>
              </w:rPr>
              <w:t>72000</w:t>
            </w:r>
          </w:p>
        </w:tc>
        <w:tc>
          <w:tcPr>
            <w:tcW w:w="1847" w:type="dxa"/>
            <w:noWrap w:val="0"/>
            <w:vAlign w:val="center"/>
          </w:tcPr>
          <w:p w14:paraId="4402C0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0F2C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78FC7852">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rPr>
            </w:pPr>
          </w:p>
        </w:tc>
        <w:tc>
          <w:tcPr>
            <w:tcW w:w="1240" w:type="dxa"/>
            <w:vMerge w:val="continue"/>
            <w:shd w:val="clear" w:color="auto" w:fill="auto"/>
            <w:noWrap w:val="0"/>
            <w:vAlign w:val="center"/>
          </w:tcPr>
          <w:p w14:paraId="3AC78D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743A38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6B4C7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33F9F7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59C34A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5E432A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0C9DA3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0147EEE9">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0"/>
                <w:sz w:val="24"/>
                <w:szCs w:val="24"/>
                <w:highlight w:val="none"/>
                <w:u w:val="none"/>
                <w:shd w:val="clear" w:color="auto" w:fill="auto"/>
                <w:lang w:val="en-US" w:eastAsia="zh-CN" w:bidi="ar"/>
              </w:rPr>
              <w:t>43500</w:t>
            </w:r>
          </w:p>
        </w:tc>
        <w:tc>
          <w:tcPr>
            <w:tcW w:w="1847" w:type="dxa"/>
            <w:noWrap w:val="0"/>
            <w:vAlign w:val="center"/>
          </w:tcPr>
          <w:p w14:paraId="267757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5FEB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5E420AAC">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5</w:t>
            </w:r>
          </w:p>
        </w:tc>
        <w:tc>
          <w:tcPr>
            <w:tcW w:w="1240" w:type="dxa"/>
            <w:vMerge w:val="continue"/>
            <w:shd w:val="clear" w:color="auto" w:fill="auto"/>
            <w:noWrap w:val="0"/>
            <w:vAlign w:val="center"/>
          </w:tcPr>
          <w:p w14:paraId="6CB706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32DB4B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镜湖JH-09-03x-09-02地块</w:t>
            </w:r>
          </w:p>
        </w:tc>
        <w:tc>
          <w:tcPr>
            <w:tcW w:w="1350" w:type="dxa"/>
            <w:vMerge w:val="restart"/>
            <w:shd w:val="clear" w:color="auto" w:fill="auto"/>
            <w:noWrap w:val="0"/>
            <w:vAlign w:val="center"/>
          </w:tcPr>
          <w:p w14:paraId="43FD8B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1991" w:type="dxa"/>
            <w:shd w:val="clear" w:color="auto" w:fill="FFFFFF"/>
            <w:noWrap w:val="0"/>
            <w:vAlign w:val="center"/>
          </w:tcPr>
          <w:p w14:paraId="045CA8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1B1C99E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流量61.2扬程41</w:t>
            </w:r>
          </w:p>
        </w:tc>
        <w:tc>
          <w:tcPr>
            <w:tcW w:w="1326" w:type="dxa"/>
            <w:shd w:val="clear" w:color="auto" w:fill="FFFFFF"/>
            <w:noWrap w:val="0"/>
            <w:vAlign w:val="center"/>
          </w:tcPr>
          <w:p w14:paraId="34FAC9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658767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12EE152B">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379238</w:t>
            </w:r>
          </w:p>
        </w:tc>
        <w:tc>
          <w:tcPr>
            <w:tcW w:w="1847" w:type="dxa"/>
            <w:noWrap w:val="0"/>
            <w:vAlign w:val="center"/>
          </w:tcPr>
          <w:p w14:paraId="0A3743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134C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71E142D">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47BA31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1D02FE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AE9A9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2FCE6E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5B98E7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流量61.2扬程63</w:t>
            </w:r>
          </w:p>
        </w:tc>
        <w:tc>
          <w:tcPr>
            <w:tcW w:w="1326" w:type="dxa"/>
            <w:shd w:val="clear" w:color="auto" w:fill="FFFFFF"/>
            <w:noWrap w:val="0"/>
            <w:vAlign w:val="center"/>
          </w:tcPr>
          <w:p w14:paraId="313DC2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705E21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6B010346">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495093</w:t>
            </w:r>
          </w:p>
        </w:tc>
        <w:tc>
          <w:tcPr>
            <w:tcW w:w="1847" w:type="dxa"/>
            <w:noWrap w:val="0"/>
            <w:vAlign w:val="center"/>
          </w:tcPr>
          <w:p w14:paraId="5569E5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2F78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978655A">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1A58B3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189CBF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1C8D78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1119CE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57E7052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71317D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73D55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1D44542">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0"/>
                <w:sz w:val="24"/>
                <w:szCs w:val="24"/>
                <w:highlight w:val="none"/>
                <w:u w:val="none"/>
                <w:shd w:val="clear" w:color="auto" w:fill="auto"/>
                <w:lang w:val="en-US" w:eastAsia="zh-CN" w:bidi="ar"/>
              </w:rPr>
              <w:t>72000</w:t>
            </w:r>
          </w:p>
        </w:tc>
        <w:tc>
          <w:tcPr>
            <w:tcW w:w="1847" w:type="dxa"/>
            <w:noWrap w:val="0"/>
            <w:vAlign w:val="center"/>
          </w:tcPr>
          <w:p w14:paraId="28C95B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2D22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922CFE9">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20295F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39CD52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67D434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71A644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77A4E3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783743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1913F1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69DE1AC">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0"/>
                <w:sz w:val="24"/>
                <w:szCs w:val="24"/>
                <w:highlight w:val="none"/>
                <w:u w:val="none"/>
                <w:shd w:val="clear" w:color="auto" w:fill="auto"/>
                <w:lang w:val="en-US" w:eastAsia="zh-CN" w:bidi="ar"/>
              </w:rPr>
              <w:t>43500</w:t>
            </w:r>
          </w:p>
        </w:tc>
        <w:tc>
          <w:tcPr>
            <w:tcW w:w="1847" w:type="dxa"/>
            <w:noWrap w:val="0"/>
            <w:vAlign w:val="center"/>
          </w:tcPr>
          <w:p w14:paraId="758433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59AE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447DDA2A">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6</w:t>
            </w:r>
          </w:p>
        </w:tc>
        <w:tc>
          <w:tcPr>
            <w:tcW w:w="1240" w:type="dxa"/>
            <w:vMerge w:val="continue"/>
            <w:shd w:val="clear" w:color="auto" w:fill="auto"/>
            <w:noWrap w:val="0"/>
            <w:vAlign w:val="center"/>
          </w:tcPr>
          <w:p w14:paraId="55298C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7FB8A1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棒球未来社区C地块</w:t>
            </w:r>
          </w:p>
        </w:tc>
        <w:tc>
          <w:tcPr>
            <w:tcW w:w="1350" w:type="dxa"/>
            <w:vMerge w:val="restart"/>
            <w:shd w:val="clear" w:color="auto" w:fill="auto"/>
            <w:noWrap w:val="0"/>
            <w:vAlign w:val="center"/>
          </w:tcPr>
          <w:p w14:paraId="6FAF23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1991" w:type="dxa"/>
            <w:shd w:val="clear" w:color="auto" w:fill="FFFFFF"/>
            <w:noWrap w:val="0"/>
            <w:vAlign w:val="center"/>
          </w:tcPr>
          <w:p w14:paraId="0A5CF2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76B3C8B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流量72扬程60</w:t>
            </w:r>
          </w:p>
        </w:tc>
        <w:tc>
          <w:tcPr>
            <w:tcW w:w="1326" w:type="dxa"/>
            <w:shd w:val="clear" w:color="auto" w:fill="FFFFFF"/>
            <w:noWrap w:val="0"/>
            <w:vAlign w:val="center"/>
          </w:tcPr>
          <w:p w14:paraId="619598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133750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1D03C981">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0"/>
                <w:sz w:val="24"/>
                <w:szCs w:val="24"/>
                <w:highlight w:val="none"/>
                <w:u w:val="none"/>
                <w:shd w:val="clear" w:color="auto" w:fill="auto"/>
                <w:lang w:val="en-US" w:eastAsia="zh-CN" w:bidi="ar"/>
              </w:rPr>
              <w:t>495093</w:t>
            </w:r>
          </w:p>
        </w:tc>
        <w:tc>
          <w:tcPr>
            <w:tcW w:w="1847" w:type="dxa"/>
            <w:noWrap w:val="0"/>
            <w:vAlign w:val="center"/>
          </w:tcPr>
          <w:p w14:paraId="26CE08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11E7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492B50D8">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3A3074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43BB74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17C739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0A556D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68BEEC7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流量72扬程80</w:t>
            </w:r>
          </w:p>
        </w:tc>
        <w:tc>
          <w:tcPr>
            <w:tcW w:w="1326" w:type="dxa"/>
            <w:shd w:val="clear" w:color="auto" w:fill="FFFFFF"/>
            <w:noWrap w:val="0"/>
            <w:vAlign w:val="center"/>
          </w:tcPr>
          <w:p w14:paraId="6D1892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3DA46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51022EF3">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570000</w:t>
            </w:r>
          </w:p>
        </w:tc>
        <w:tc>
          <w:tcPr>
            <w:tcW w:w="1847" w:type="dxa"/>
            <w:noWrap w:val="0"/>
            <w:vAlign w:val="center"/>
          </w:tcPr>
          <w:p w14:paraId="69B52E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30DB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56287DB9">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08CEB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6B35B9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006639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583450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5932E34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流量72扬程100</w:t>
            </w:r>
          </w:p>
        </w:tc>
        <w:tc>
          <w:tcPr>
            <w:tcW w:w="1326" w:type="dxa"/>
            <w:shd w:val="clear" w:color="auto" w:fill="FFFFFF"/>
            <w:noWrap w:val="0"/>
            <w:vAlign w:val="center"/>
          </w:tcPr>
          <w:p w14:paraId="7B0EB5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7840B8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1DADB57B">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600000</w:t>
            </w:r>
          </w:p>
        </w:tc>
        <w:tc>
          <w:tcPr>
            <w:tcW w:w="1847" w:type="dxa"/>
            <w:noWrap w:val="0"/>
            <w:vAlign w:val="center"/>
          </w:tcPr>
          <w:p w14:paraId="2D7CCB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342A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127A24D">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48FFC8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4F2FC8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65E7D4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41626E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16DDE56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120EDA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79D6BB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049DB285">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549EAC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517E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722A1FE0">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2E650B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14AFBE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0D247C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6B0A48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43F8EA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068439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4F72C4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50F93AB0">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5BB896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5CB1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3BCDF0AF">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7</w:t>
            </w:r>
          </w:p>
        </w:tc>
        <w:tc>
          <w:tcPr>
            <w:tcW w:w="1240" w:type="dxa"/>
            <w:vMerge w:val="continue"/>
            <w:shd w:val="clear" w:color="auto" w:fill="auto"/>
            <w:noWrap w:val="0"/>
            <w:vAlign w:val="center"/>
          </w:tcPr>
          <w:p w14:paraId="637CFA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64DA9A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越城区瓦窑头4号地块安置房建设工程</w:t>
            </w:r>
          </w:p>
        </w:tc>
        <w:tc>
          <w:tcPr>
            <w:tcW w:w="1350" w:type="dxa"/>
            <w:vMerge w:val="restart"/>
            <w:shd w:val="clear" w:color="auto" w:fill="auto"/>
            <w:noWrap w:val="0"/>
            <w:vAlign w:val="center"/>
          </w:tcPr>
          <w:p w14:paraId="706218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1991" w:type="dxa"/>
            <w:shd w:val="clear" w:color="auto" w:fill="FFFFFF"/>
            <w:noWrap w:val="0"/>
            <w:vAlign w:val="center"/>
          </w:tcPr>
          <w:p w14:paraId="5925E8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691E05E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流量42扬程28</w:t>
            </w:r>
          </w:p>
        </w:tc>
        <w:tc>
          <w:tcPr>
            <w:tcW w:w="1326" w:type="dxa"/>
            <w:shd w:val="clear" w:color="auto" w:fill="FFFFFF"/>
            <w:noWrap w:val="0"/>
            <w:vAlign w:val="center"/>
          </w:tcPr>
          <w:p w14:paraId="2B1CFA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10443E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4129E6E4">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0"/>
                <w:sz w:val="24"/>
                <w:szCs w:val="24"/>
                <w:highlight w:val="none"/>
                <w:u w:val="none"/>
                <w:shd w:val="clear" w:color="auto" w:fill="auto"/>
                <w:lang w:val="en-US" w:eastAsia="zh-CN" w:bidi="ar"/>
              </w:rPr>
              <w:t>356086</w:t>
            </w:r>
          </w:p>
        </w:tc>
        <w:tc>
          <w:tcPr>
            <w:tcW w:w="1847" w:type="dxa"/>
            <w:noWrap w:val="0"/>
            <w:vAlign w:val="center"/>
          </w:tcPr>
          <w:p w14:paraId="79F959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7A5F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697D1D2">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65AE6C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5B566D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04F490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45359D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5CA5FF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25C210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545892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3857FB4A">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3A015F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2F5E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60C0AA7D">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3B09EF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4A6359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72370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42E87F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30DD5B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139994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7704B6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2D429A56">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3BA80B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0614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14F88AE3">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8</w:t>
            </w:r>
          </w:p>
        </w:tc>
        <w:tc>
          <w:tcPr>
            <w:tcW w:w="1240" w:type="dxa"/>
            <w:vMerge w:val="continue"/>
            <w:shd w:val="clear" w:color="auto" w:fill="auto"/>
            <w:noWrap w:val="0"/>
            <w:vAlign w:val="center"/>
          </w:tcPr>
          <w:p w14:paraId="37B6E2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09D851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临江雅苑北安置房建设项目一期</w:t>
            </w:r>
          </w:p>
        </w:tc>
        <w:tc>
          <w:tcPr>
            <w:tcW w:w="1350" w:type="dxa"/>
            <w:vMerge w:val="restart"/>
            <w:shd w:val="clear" w:color="auto" w:fill="auto"/>
            <w:noWrap w:val="0"/>
            <w:vAlign w:val="center"/>
          </w:tcPr>
          <w:p w14:paraId="3AB9EF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1991" w:type="dxa"/>
            <w:shd w:val="clear" w:color="auto" w:fill="FFFFFF"/>
            <w:noWrap w:val="0"/>
            <w:vAlign w:val="center"/>
          </w:tcPr>
          <w:p w14:paraId="5810D1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4070053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流量24扬程40</w:t>
            </w:r>
          </w:p>
        </w:tc>
        <w:tc>
          <w:tcPr>
            <w:tcW w:w="1326" w:type="dxa"/>
            <w:shd w:val="clear" w:color="auto" w:fill="FFFFFF"/>
            <w:noWrap w:val="0"/>
            <w:vAlign w:val="center"/>
          </w:tcPr>
          <w:p w14:paraId="526FB4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0B43AF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6DF3EC73">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0"/>
                <w:sz w:val="24"/>
                <w:szCs w:val="24"/>
                <w:highlight w:val="none"/>
                <w:u w:val="none"/>
                <w:shd w:val="clear" w:color="auto" w:fill="auto"/>
                <w:lang w:val="en-US" w:eastAsia="zh-CN" w:bidi="ar"/>
              </w:rPr>
              <w:t>296429</w:t>
            </w:r>
          </w:p>
        </w:tc>
        <w:tc>
          <w:tcPr>
            <w:tcW w:w="1847" w:type="dxa"/>
            <w:noWrap w:val="0"/>
            <w:vAlign w:val="center"/>
          </w:tcPr>
          <w:p w14:paraId="5A95F6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78A1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620102C0">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644AF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615AB2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08090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1FC0A4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6425FDB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630F4D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189759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523885B2">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44E86D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1BCE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46D7E058">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2D595E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27AE33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368663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488BF5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44D74DF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209ABE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52D330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6355E334">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732DF7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1F92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5C946579">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9</w:t>
            </w:r>
          </w:p>
        </w:tc>
        <w:tc>
          <w:tcPr>
            <w:tcW w:w="1240" w:type="dxa"/>
            <w:vMerge w:val="continue"/>
            <w:shd w:val="clear" w:color="auto" w:fill="auto"/>
            <w:noWrap w:val="0"/>
            <w:vAlign w:val="center"/>
          </w:tcPr>
          <w:p w14:paraId="727D2F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274F99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宝业四季园河东2号地块</w:t>
            </w:r>
          </w:p>
        </w:tc>
        <w:tc>
          <w:tcPr>
            <w:tcW w:w="1350" w:type="dxa"/>
            <w:vMerge w:val="restart"/>
            <w:shd w:val="clear" w:color="auto" w:fill="auto"/>
            <w:noWrap w:val="0"/>
            <w:vAlign w:val="center"/>
          </w:tcPr>
          <w:p w14:paraId="281F86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1991" w:type="dxa"/>
            <w:shd w:val="clear" w:color="auto" w:fill="FFFFFF"/>
            <w:noWrap w:val="0"/>
            <w:vAlign w:val="center"/>
          </w:tcPr>
          <w:p w14:paraId="48E198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3AD92A5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流量18扬程30</w:t>
            </w:r>
          </w:p>
        </w:tc>
        <w:tc>
          <w:tcPr>
            <w:tcW w:w="1326" w:type="dxa"/>
            <w:shd w:val="clear" w:color="auto" w:fill="FFFFFF"/>
            <w:noWrap w:val="0"/>
            <w:vAlign w:val="center"/>
          </w:tcPr>
          <w:p w14:paraId="595F00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2336BE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48FB1547">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0"/>
                <w:sz w:val="24"/>
                <w:szCs w:val="24"/>
                <w:highlight w:val="none"/>
                <w:u w:val="none"/>
                <w:shd w:val="clear" w:color="auto" w:fill="auto"/>
                <w:lang w:val="en-US" w:eastAsia="zh-CN" w:bidi="ar"/>
              </w:rPr>
              <w:t>254502</w:t>
            </w:r>
          </w:p>
        </w:tc>
        <w:tc>
          <w:tcPr>
            <w:tcW w:w="1847" w:type="dxa"/>
            <w:noWrap w:val="0"/>
            <w:vAlign w:val="center"/>
          </w:tcPr>
          <w:p w14:paraId="2E1894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4434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493C61C0">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C908D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235BA8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1A4381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4EF2DA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5AA57A1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53DECB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309710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1C42246A">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5986DC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1560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21DF485D">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3E8DA6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66405D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041D5F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77963E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3FE2C4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6815A9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86" w:type="dxa"/>
            <w:noWrap w:val="0"/>
            <w:vAlign w:val="center"/>
          </w:tcPr>
          <w:p w14:paraId="23433C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1494" w:type="dxa"/>
            <w:noWrap w:val="0"/>
            <w:vAlign w:val="center"/>
          </w:tcPr>
          <w:p w14:paraId="1B62A9A1">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45713D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r w14:paraId="3612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3BA37E33">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w:t>
            </w:r>
          </w:p>
        </w:tc>
        <w:tc>
          <w:tcPr>
            <w:tcW w:w="1240" w:type="dxa"/>
            <w:vMerge w:val="continue"/>
            <w:shd w:val="clear" w:color="auto" w:fill="auto"/>
            <w:noWrap w:val="0"/>
            <w:vAlign w:val="center"/>
          </w:tcPr>
          <w:p w14:paraId="24AC09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3A337B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迎恩门2号地块</w:t>
            </w:r>
          </w:p>
        </w:tc>
        <w:tc>
          <w:tcPr>
            <w:tcW w:w="1350" w:type="dxa"/>
            <w:vMerge w:val="restart"/>
            <w:shd w:val="clear" w:color="auto" w:fill="auto"/>
            <w:noWrap w:val="0"/>
            <w:vAlign w:val="center"/>
          </w:tcPr>
          <w:p w14:paraId="1866F8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1991" w:type="dxa"/>
            <w:shd w:val="clear" w:color="auto" w:fill="FFFFFF"/>
            <w:noWrap w:val="0"/>
            <w:vAlign w:val="center"/>
          </w:tcPr>
          <w:p w14:paraId="38592C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7C2ABCA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流量36扬程37</w:t>
            </w:r>
          </w:p>
        </w:tc>
        <w:tc>
          <w:tcPr>
            <w:tcW w:w="1326" w:type="dxa"/>
            <w:shd w:val="clear" w:color="auto" w:fill="FFFFFF"/>
            <w:noWrap w:val="0"/>
            <w:vAlign w:val="center"/>
          </w:tcPr>
          <w:p w14:paraId="101430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79691E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0F0AABA">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345883</w:t>
            </w:r>
          </w:p>
        </w:tc>
        <w:tc>
          <w:tcPr>
            <w:tcW w:w="1847" w:type="dxa"/>
            <w:noWrap w:val="0"/>
            <w:vAlign w:val="center"/>
          </w:tcPr>
          <w:p w14:paraId="5E0B9C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026A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79D6B242">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53C77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5E1D1F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413148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699528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0EF43D3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流量36扬程59</w:t>
            </w:r>
          </w:p>
        </w:tc>
        <w:tc>
          <w:tcPr>
            <w:tcW w:w="1326" w:type="dxa"/>
            <w:shd w:val="clear" w:color="auto" w:fill="FFFFFF"/>
            <w:noWrap w:val="0"/>
            <w:vAlign w:val="center"/>
          </w:tcPr>
          <w:p w14:paraId="43E2FB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741E50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EEB34D5">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380770</w:t>
            </w:r>
          </w:p>
        </w:tc>
        <w:tc>
          <w:tcPr>
            <w:tcW w:w="1847" w:type="dxa"/>
            <w:noWrap w:val="0"/>
            <w:vAlign w:val="center"/>
          </w:tcPr>
          <w:p w14:paraId="45BB0F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6C64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D2D691B">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650064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7D1CBE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032239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7EFB4E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623AB4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4FE341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756767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322E5F13">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1A4E8C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0985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6FE80B9E">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59AD6B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03EC92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134F0E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1D70FA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06DA283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5A73E4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432AE3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4B6DA7DD">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779B08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31EF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34E891BC">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11</w:t>
            </w:r>
          </w:p>
        </w:tc>
        <w:tc>
          <w:tcPr>
            <w:tcW w:w="1240" w:type="dxa"/>
            <w:vMerge w:val="continue"/>
            <w:shd w:val="clear" w:color="auto" w:fill="auto"/>
            <w:noWrap w:val="0"/>
            <w:vAlign w:val="center"/>
          </w:tcPr>
          <w:p w14:paraId="049BE4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39636C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则水牌2号地块住宅商业项目(二期)-A地块</w:t>
            </w:r>
          </w:p>
        </w:tc>
        <w:tc>
          <w:tcPr>
            <w:tcW w:w="1350" w:type="dxa"/>
            <w:vMerge w:val="restart"/>
            <w:shd w:val="clear" w:color="auto" w:fill="auto"/>
            <w:noWrap w:val="0"/>
            <w:vAlign w:val="center"/>
          </w:tcPr>
          <w:p w14:paraId="17E207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1991" w:type="dxa"/>
            <w:shd w:val="clear" w:color="auto" w:fill="FFFFFF"/>
            <w:noWrap w:val="0"/>
            <w:vAlign w:val="center"/>
          </w:tcPr>
          <w:p w14:paraId="221BD4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71EB15D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w:t>
            </w:r>
            <w:r>
              <w:rPr>
                <w:rFonts w:hint="eastAsia" w:ascii="宋体" w:hAnsi="宋体" w:cs="宋体"/>
                <w:i w:val="0"/>
                <w:iCs w:val="0"/>
                <w:color w:val="auto"/>
                <w:sz w:val="21"/>
                <w:szCs w:val="21"/>
                <w:highlight w:val="none"/>
                <w:u w:val="none"/>
                <w:shd w:val="clear" w:color="auto" w:fill="auto"/>
                <w:lang w:val="en-US" w:eastAsia="zh-CN"/>
              </w:rPr>
              <w:t>30</w:t>
            </w:r>
            <w:r>
              <w:rPr>
                <w:rFonts w:hint="eastAsia" w:ascii="宋体" w:hAnsi="宋体" w:eastAsia="宋体" w:cs="宋体"/>
                <w:i w:val="0"/>
                <w:iCs w:val="0"/>
                <w:color w:val="auto"/>
                <w:sz w:val="21"/>
                <w:szCs w:val="21"/>
                <w:highlight w:val="none"/>
                <w:u w:val="none"/>
                <w:shd w:val="clear" w:color="auto" w:fill="auto"/>
                <w:lang w:val="en-US" w:eastAsia="zh-CN"/>
              </w:rPr>
              <w:t>扬程</w:t>
            </w:r>
            <w:r>
              <w:rPr>
                <w:rFonts w:hint="eastAsia" w:ascii="宋体" w:hAnsi="宋体" w:cs="宋体"/>
                <w:i w:val="0"/>
                <w:iCs w:val="0"/>
                <w:color w:val="auto"/>
                <w:sz w:val="21"/>
                <w:szCs w:val="21"/>
                <w:highlight w:val="none"/>
                <w:u w:val="none"/>
                <w:shd w:val="clear" w:color="auto" w:fill="auto"/>
                <w:lang w:val="en-US" w:eastAsia="zh-CN"/>
              </w:rPr>
              <w:t>4</w:t>
            </w: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26" w:type="dxa"/>
            <w:shd w:val="clear" w:color="auto" w:fill="FFFFFF"/>
            <w:noWrap w:val="0"/>
            <w:vAlign w:val="center"/>
          </w:tcPr>
          <w:p w14:paraId="35CE58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2C095F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1F685C94">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353189</w:t>
            </w:r>
          </w:p>
        </w:tc>
        <w:tc>
          <w:tcPr>
            <w:tcW w:w="1847" w:type="dxa"/>
            <w:noWrap w:val="0"/>
            <w:vAlign w:val="center"/>
          </w:tcPr>
          <w:p w14:paraId="28E53C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515D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7E813CB9">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0DCDD8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2CD26F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4842F7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617425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7DAC80E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流量26扬程61</w:t>
            </w:r>
          </w:p>
        </w:tc>
        <w:tc>
          <w:tcPr>
            <w:tcW w:w="1326" w:type="dxa"/>
            <w:shd w:val="clear" w:color="auto" w:fill="FFFFFF"/>
            <w:noWrap w:val="0"/>
            <w:vAlign w:val="center"/>
          </w:tcPr>
          <w:p w14:paraId="6C6282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6EAEDE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2AF520BD">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353189</w:t>
            </w:r>
          </w:p>
        </w:tc>
        <w:tc>
          <w:tcPr>
            <w:tcW w:w="1847" w:type="dxa"/>
            <w:noWrap w:val="0"/>
            <w:vAlign w:val="center"/>
          </w:tcPr>
          <w:p w14:paraId="79CB44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09CC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1262CE7">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657600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24D0CE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3E35D9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671983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426575B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109AE1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17C0A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32AD95A6">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0D7824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719B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0A8BD7A3">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5F6C57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7EAC2A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147107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3F9F72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25DD96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00B29B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664CF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132B9111">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6B624D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10AE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472C7AF9">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12</w:t>
            </w:r>
          </w:p>
        </w:tc>
        <w:tc>
          <w:tcPr>
            <w:tcW w:w="1240" w:type="dxa"/>
            <w:vMerge w:val="continue"/>
            <w:shd w:val="clear" w:color="auto" w:fill="auto"/>
            <w:noWrap w:val="0"/>
            <w:vAlign w:val="center"/>
          </w:tcPr>
          <w:p w14:paraId="7AB790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3E7C28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杭电绍兴校区配套人才住房建设项目</w:t>
            </w:r>
          </w:p>
        </w:tc>
        <w:tc>
          <w:tcPr>
            <w:tcW w:w="1350" w:type="dxa"/>
            <w:vMerge w:val="restart"/>
            <w:shd w:val="clear" w:color="auto" w:fill="auto"/>
            <w:noWrap w:val="0"/>
            <w:vAlign w:val="center"/>
          </w:tcPr>
          <w:p w14:paraId="6259D6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1991" w:type="dxa"/>
            <w:shd w:val="clear" w:color="auto" w:fill="FFFFFF"/>
            <w:noWrap w:val="0"/>
            <w:vAlign w:val="center"/>
          </w:tcPr>
          <w:p w14:paraId="5AF935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21CF7B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流量40扬程50</w:t>
            </w:r>
          </w:p>
        </w:tc>
        <w:tc>
          <w:tcPr>
            <w:tcW w:w="1326" w:type="dxa"/>
            <w:shd w:val="clear" w:color="auto" w:fill="FFFFFF"/>
            <w:noWrap w:val="0"/>
            <w:vAlign w:val="center"/>
          </w:tcPr>
          <w:p w14:paraId="4B70D9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670EB2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B1039F3">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375770</w:t>
            </w:r>
          </w:p>
        </w:tc>
        <w:tc>
          <w:tcPr>
            <w:tcW w:w="1847" w:type="dxa"/>
            <w:noWrap w:val="0"/>
            <w:vAlign w:val="center"/>
          </w:tcPr>
          <w:p w14:paraId="19CAF6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234E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79293FF9">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1858DF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6D70FC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666BD2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5FC6E1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7F68F12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流量40扬程50</w:t>
            </w:r>
          </w:p>
        </w:tc>
        <w:tc>
          <w:tcPr>
            <w:tcW w:w="1326" w:type="dxa"/>
            <w:shd w:val="clear" w:color="auto" w:fill="FFFFFF"/>
            <w:noWrap w:val="0"/>
            <w:vAlign w:val="center"/>
          </w:tcPr>
          <w:p w14:paraId="4F49D7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0652A6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41DAB6A2">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375770</w:t>
            </w:r>
          </w:p>
        </w:tc>
        <w:tc>
          <w:tcPr>
            <w:tcW w:w="1847" w:type="dxa"/>
            <w:noWrap w:val="0"/>
            <w:vAlign w:val="center"/>
          </w:tcPr>
          <w:p w14:paraId="7DE897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030E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2DADF3AB">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1F2160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60621B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E41BA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04D3EF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2BF8DEC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6DBAFE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2EAC34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157BB19F">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235E26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7FE6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7E8E1192">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2BBF6C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520019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840B0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5F414A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3F4692A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0104A7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61D6A8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064962A1">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4BD41B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0964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2D4C867E">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13</w:t>
            </w:r>
          </w:p>
        </w:tc>
        <w:tc>
          <w:tcPr>
            <w:tcW w:w="1240" w:type="dxa"/>
            <w:vMerge w:val="continue"/>
            <w:shd w:val="clear" w:color="auto" w:fill="auto"/>
            <w:noWrap w:val="0"/>
            <w:vAlign w:val="center"/>
          </w:tcPr>
          <w:p w14:paraId="637F0D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7A6B69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洋泾湖12号地块</w:t>
            </w:r>
          </w:p>
        </w:tc>
        <w:tc>
          <w:tcPr>
            <w:tcW w:w="1350" w:type="dxa"/>
            <w:vMerge w:val="restart"/>
            <w:shd w:val="clear" w:color="auto" w:fill="auto"/>
            <w:noWrap w:val="0"/>
            <w:vAlign w:val="center"/>
          </w:tcPr>
          <w:p w14:paraId="43FE03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1991" w:type="dxa"/>
            <w:shd w:val="clear" w:color="auto" w:fill="FFFFFF"/>
            <w:noWrap w:val="0"/>
            <w:vAlign w:val="center"/>
          </w:tcPr>
          <w:p w14:paraId="6F5BC5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57CE3D5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流量50扬程48</w:t>
            </w:r>
          </w:p>
        </w:tc>
        <w:tc>
          <w:tcPr>
            <w:tcW w:w="1326" w:type="dxa"/>
            <w:shd w:val="clear" w:color="auto" w:fill="FFFFFF"/>
            <w:noWrap w:val="0"/>
            <w:vAlign w:val="center"/>
          </w:tcPr>
          <w:p w14:paraId="2F02B0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4CF685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185D4005">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391312</w:t>
            </w:r>
          </w:p>
        </w:tc>
        <w:tc>
          <w:tcPr>
            <w:tcW w:w="1847" w:type="dxa"/>
            <w:noWrap w:val="0"/>
            <w:vAlign w:val="center"/>
          </w:tcPr>
          <w:p w14:paraId="4681EE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38C4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441E312F">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468BCC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73C7FC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2DA928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0C99A7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6DFDBDE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流量50扬程48</w:t>
            </w:r>
          </w:p>
        </w:tc>
        <w:tc>
          <w:tcPr>
            <w:tcW w:w="1326" w:type="dxa"/>
            <w:shd w:val="clear" w:color="auto" w:fill="FFFFFF"/>
            <w:noWrap w:val="0"/>
            <w:vAlign w:val="center"/>
          </w:tcPr>
          <w:p w14:paraId="18B0EF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51077C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5E0B32CA">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391312</w:t>
            </w:r>
          </w:p>
        </w:tc>
        <w:tc>
          <w:tcPr>
            <w:tcW w:w="1847" w:type="dxa"/>
            <w:noWrap w:val="0"/>
            <w:vAlign w:val="center"/>
          </w:tcPr>
          <w:p w14:paraId="5FC5D0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6A6F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2B14C7A3">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2ECD26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133CCB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FED15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4D0457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0B88EC8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00F64E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188B2C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5E9345CC">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063FD9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26C2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84F3DD3">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4D032A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4DCF24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439AD3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057F3E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10FA3C6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0973C9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18E7E5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5EDA56AA">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48FCE4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415B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2BFCD514">
            <w:pPr>
              <w:keepNext w:val="0"/>
              <w:keepLines w:val="0"/>
              <w:pageBreakBefore w:val="0"/>
              <w:widowControl/>
              <w:kinsoku/>
              <w:overflowPunct/>
              <w:topLinePunct w:val="0"/>
              <w:autoSpaceDE/>
              <w:autoSpaceDN/>
              <w:bidi w:val="0"/>
              <w:adjustRightInd/>
              <w:snapToGrid/>
              <w:spacing w:line="320" w:lineRule="exact"/>
              <w:jc w:val="center"/>
              <w:rPr>
                <w:rFonts w:hint="default" w:ascii="宋体" w:hAnsi="宋体" w:eastAsia="宋体" w:cs="宋体"/>
                <w:color w:val="auto"/>
                <w:kern w:val="0"/>
                <w:sz w:val="21"/>
                <w:szCs w:val="21"/>
                <w:highlight w:val="none"/>
                <w:shd w:val="clear" w:color="auto" w:fill="auto"/>
                <w:lang w:val="en-US" w:eastAsia="zh-CN"/>
              </w:rPr>
            </w:pPr>
            <w:r>
              <w:rPr>
                <w:rFonts w:hint="eastAsia" w:ascii="宋体" w:hAnsi="宋体" w:cs="宋体"/>
                <w:color w:val="auto"/>
                <w:kern w:val="0"/>
                <w:sz w:val="21"/>
                <w:szCs w:val="21"/>
                <w:highlight w:val="none"/>
                <w:shd w:val="clear" w:color="auto" w:fill="auto"/>
                <w:lang w:val="en-US" w:eastAsia="zh-CN"/>
              </w:rPr>
              <w:t>14</w:t>
            </w:r>
          </w:p>
        </w:tc>
        <w:tc>
          <w:tcPr>
            <w:tcW w:w="1240" w:type="dxa"/>
            <w:vMerge w:val="continue"/>
            <w:shd w:val="clear" w:color="auto" w:fill="auto"/>
            <w:noWrap w:val="0"/>
            <w:vAlign w:val="center"/>
          </w:tcPr>
          <w:p w14:paraId="78E7F4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7680B8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越城区YC-18E-24-1地块建设项目</w:t>
            </w:r>
          </w:p>
        </w:tc>
        <w:tc>
          <w:tcPr>
            <w:tcW w:w="1350" w:type="dxa"/>
            <w:vMerge w:val="restart"/>
            <w:shd w:val="clear" w:color="auto" w:fill="auto"/>
            <w:noWrap w:val="0"/>
            <w:vAlign w:val="center"/>
          </w:tcPr>
          <w:p w14:paraId="1A80F0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1991" w:type="dxa"/>
            <w:shd w:val="clear" w:color="auto" w:fill="FFFFFF"/>
            <w:noWrap w:val="0"/>
            <w:vAlign w:val="center"/>
          </w:tcPr>
          <w:p w14:paraId="4076A5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2E6BA2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流量48扬程45</w:t>
            </w:r>
          </w:p>
        </w:tc>
        <w:tc>
          <w:tcPr>
            <w:tcW w:w="1326" w:type="dxa"/>
            <w:shd w:val="clear" w:color="auto" w:fill="FFFFFF"/>
            <w:noWrap w:val="0"/>
            <w:vAlign w:val="center"/>
          </w:tcPr>
          <w:p w14:paraId="4DA1F1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4067B6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0332991A">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391312</w:t>
            </w:r>
          </w:p>
        </w:tc>
        <w:tc>
          <w:tcPr>
            <w:tcW w:w="1847" w:type="dxa"/>
            <w:noWrap w:val="0"/>
            <w:vAlign w:val="center"/>
          </w:tcPr>
          <w:p w14:paraId="735B45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735E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52BA0EEF">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352254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5D3ACE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7A82B6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75A200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6D04AB7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4A544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56E4BB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0FED78C5">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70715D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562D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2B034B1">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560776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374784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47E18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61DC9B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40C7980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157878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5450B9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28F97B1">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67E92E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6E91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380CE629">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cs="宋体"/>
                <w:color w:val="auto"/>
                <w:kern w:val="0"/>
                <w:sz w:val="21"/>
                <w:szCs w:val="21"/>
                <w:highlight w:val="none"/>
                <w:shd w:val="clear" w:color="auto" w:fill="auto"/>
                <w:lang w:val="en-US" w:eastAsia="zh-CN"/>
              </w:rPr>
              <w:t>5</w:t>
            </w:r>
          </w:p>
        </w:tc>
        <w:tc>
          <w:tcPr>
            <w:tcW w:w="1240" w:type="dxa"/>
            <w:vMerge w:val="continue"/>
            <w:shd w:val="clear" w:color="auto" w:fill="auto"/>
            <w:noWrap w:val="0"/>
            <w:vAlign w:val="center"/>
          </w:tcPr>
          <w:p w14:paraId="030176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36030F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越城区则水牌2号地块住宅商业项目(三期）住宅-L地块</w:t>
            </w:r>
          </w:p>
        </w:tc>
        <w:tc>
          <w:tcPr>
            <w:tcW w:w="1350" w:type="dxa"/>
            <w:vMerge w:val="restart"/>
            <w:shd w:val="clear" w:color="auto" w:fill="auto"/>
            <w:noWrap w:val="0"/>
            <w:vAlign w:val="center"/>
          </w:tcPr>
          <w:p w14:paraId="0DC516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1991" w:type="dxa"/>
            <w:shd w:val="clear" w:color="auto" w:fill="FFFFFF"/>
            <w:noWrap w:val="0"/>
            <w:vAlign w:val="center"/>
          </w:tcPr>
          <w:p w14:paraId="011BFC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6427B50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流量56扬程70</w:t>
            </w:r>
          </w:p>
        </w:tc>
        <w:tc>
          <w:tcPr>
            <w:tcW w:w="1326" w:type="dxa"/>
            <w:shd w:val="clear" w:color="auto" w:fill="FFFFFF"/>
            <w:noWrap w:val="0"/>
            <w:vAlign w:val="center"/>
          </w:tcPr>
          <w:p w14:paraId="37B1B5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655F0C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46793C24">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408796</w:t>
            </w:r>
          </w:p>
        </w:tc>
        <w:tc>
          <w:tcPr>
            <w:tcW w:w="1847" w:type="dxa"/>
            <w:noWrap w:val="0"/>
            <w:vAlign w:val="center"/>
          </w:tcPr>
          <w:p w14:paraId="3B40FC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0B64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0874D8BE">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F3386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002704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113250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3E8949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3CF4AA9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流量40扬程50</w:t>
            </w:r>
          </w:p>
        </w:tc>
        <w:tc>
          <w:tcPr>
            <w:tcW w:w="1326" w:type="dxa"/>
            <w:shd w:val="clear" w:color="auto" w:fill="FFFFFF"/>
            <w:noWrap w:val="0"/>
            <w:vAlign w:val="center"/>
          </w:tcPr>
          <w:p w14:paraId="67DA47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04BC80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3FD8F813">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385328</w:t>
            </w:r>
          </w:p>
        </w:tc>
        <w:tc>
          <w:tcPr>
            <w:tcW w:w="1847" w:type="dxa"/>
            <w:noWrap w:val="0"/>
            <w:vAlign w:val="center"/>
          </w:tcPr>
          <w:p w14:paraId="012419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2A33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79675502">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37C228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35118F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752A13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6015DA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14D0874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39F24A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6CC149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4D238F92">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1E8C2B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0174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4583F826">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C76EA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645D66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255BD5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77B061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4445787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305221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536186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59A28377">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08D9B2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2F78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6BE3211F">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cs="宋体"/>
                <w:color w:val="auto"/>
                <w:kern w:val="0"/>
                <w:sz w:val="21"/>
                <w:szCs w:val="21"/>
                <w:highlight w:val="none"/>
                <w:shd w:val="clear" w:color="auto" w:fill="auto"/>
                <w:lang w:val="en-US" w:eastAsia="zh-CN"/>
              </w:rPr>
              <w:t>6</w:t>
            </w:r>
          </w:p>
        </w:tc>
        <w:tc>
          <w:tcPr>
            <w:tcW w:w="1240" w:type="dxa"/>
            <w:vMerge w:val="continue"/>
            <w:shd w:val="clear" w:color="auto" w:fill="auto"/>
            <w:noWrap w:val="0"/>
            <w:vAlign w:val="center"/>
          </w:tcPr>
          <w:p w14:paraId="033AB9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491F1C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米行后街1号地块</w:t>
            </w:r>
          </w:p>
        </w:tc>
        <w:tc>
          <w:tcPr>
            <w:tcW w:w="1350" w:type="dxa"/>
            <w:vMerge w:val="restart"/>
            <w:shd w:val="clear" w:color="auto" w:fill="auto"/>
            <w:noWrap w:val="0"/>
            <w:vAlign w:val="center"/>
          </w:tcPr>
          <w:p w14:paraId="7594C3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1991" w:type="dxa"/>
            <w:shd w:val="clear" w:color="auto" w:fill="FFFFFF"/>
            <w:noWrap w:val="0"/>
            <w:vAlign w:val="center"/>
          </w:tcPr>
          <w:p w14:paraId="663773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5FBB54A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流量25扬程70</w:t>
            </w:r>
          </w:p>
        </w:tc>
        <w:tc>
          <w:tcPr>
            <w:tcW w:w="1326" w:type="dxa"/>
            <w:shd w:val="clear" w:color="auto" w:fill="FFFFFF"/>
            <w:noWrap w:val="0"/>
            <w:vAlign w:val="center"/>
          </w:tcPr>
          <w:p w14:paraId="3FE8DB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7C15E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5EE997D2">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338854</w:t>
            </w:r>
          </w:p>
        </w:tc>
        <w:tc>
          <w:tcPr>
            <w:tcW w:w="1847" w:type="dxa"/>
            <w:noWrap w:val="0"/>
            <w:vAlign w:val="center"/>
          </w:tcPr>
          <w:p w14:paraId="5A169E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4B57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567F21FA">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4000A5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2D3AF3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2F734C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7264CD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2F34697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流量25扬程38</w:t>
            </w:r>
          </w:p>
        </w:tc>
        <w:tc>
          <w:tcPr>
            <w:tcW w:w="1326" w:type="dxa"/>
            <w:shd w:val="clear" w:color="auto" w:fill="FFFFFF"/>
            <w:noWrap w:val="0"/>
            <w:vAlign w:val="center"/>
          </w:tcPr>
          <w:p w14:paraId="52D0B2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140120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6816EC94">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296429</w:t>
            </w:r>
          </w:p>
        </w:tc>
        <w:tc>
          <w:tcPr>
            <w:tcW w:w="1847" w:type="dxa"/>
            <w:noWrap w:val="0"/>
            <w:vAlign w:val="center"/>
          </w:tcPr>
          <w:p w14:paraId="1AF3F9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381B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28034A30">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AFE46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0C42CD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776668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504AD6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04E4AD5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2B9F51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7C9792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2FDCF0AA">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40809A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178C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41D36A4F">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1F86FA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23F353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6ED78E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602C67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538AE0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5AA638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74C6F5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528FD858">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7391B7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1A94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16EE592D">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cs="宋体"/>
                <w:color w:val="auto"/>
                <w:kern w:val="0"/>
                <w:sz w:val="21"/>
                <w:szCs w:val="21"/>
                <w:highlight w:val="none"/>
                <w:shd w:val="clear" w:color="auto" w:fill="auto"/>
                <w:lang w:val="en-US" w:eastAsia="zh-CN"/>
              </w:rPr>
              <w:t>7</w:t>
            </w:r>
          </w:p>
        </w:tc>
        <w:tc>
          <w:tcPr>
            <w:tcW w:w="1240" w:type="dxa"/>
            <w:vMerge w:val="continue"/>
            <w:shd w:val="clear" w:color="auto" w:fill="auto"/>
            <w:noWrap w:val="0"/>
            <w:vAlign w:val="center"/>
          </w:tcPr>
          <w:p w14:paraId="2A2DD8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35088E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YC-17-2-A(馋嘴畈地块)</w:t>
            </w:r>
          </w:p>
        </w:tc>
        <w:tc>
          <w:tcPr>
            <w:tcW w:w="1350" w:type="dxa"/>
            <w:vMerge w:val="restart"/>
            <w:shd w:val="clear" w:color="auto" w:fill="auto"/>
            <w:noWrap w:val="0"/>
            <w:vAlign w:val="center"/>
          </w:tcPr>
          <w:p w14:paraId="335630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无负压</w:t>
            </w:r>
          </w:p>
        </w:tc>
        <w:tc>
          <w:tcPr>
            <w:tcW w:w="1991" w:type="dxa"/>
            <w:shd w:val="clear" w:color="auto" w:fill="FFFFFF"/>
            <w:noWrap w:val="0"/>
            <w:vAlign w:val="center"/>
          </w:tcPr>
          <w:p w14:paraId="7D2AAE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无负压设备</w:t>
            </w:r>
          </w:p>
        </w:tc>
        <w:tc>
          <w:tcPr>
            <w:tcW w:w="1882" w:type="dxa"/>
            <w:shd w:val="clear" w:color="auto" w:fill="FFFFFF"/>
            <w:noWrap w:val="0"/>
            <w:vAlign w:val="center"/>
          </w:tcPr>
          <w:p w14:paraId="4AEA89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流量45扬程45</w:t>
            </w:r>
          </w:p>
        </w:tc>
        <w:tc>
          <w:tcPr>
            <w:tcW w:w="1326" w:type="dxa"/>
            <w:shd w:val="clear" w:color="auto" w:fill="FFFFFF"/>
            <w:noWrap w:val="0"/>
            <w:vAlign w:val="center"/>
          </w:tcPr>
          <w:p w14:paraId="29C66E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44B279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3AF7E30">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386145</w:t>
            </w:r>
          </w:p>
        </w:tc>
        <w:tc>
          <w:tcPr>
            <w:tcW w:w="1847" w:type="dxa"/>
            <w:noWrap w:val="0"/>
            <w:vAlign w:val="center"/>
          </w:tcPr>
          <w:p w14:paraId="549709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3FF3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12EBE607">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650324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0786AB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6F9F01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094C63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2CA704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416405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0B202D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6592D51C">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76C954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0164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06EB4EA">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04B71F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24408D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0A19B9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6DB487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04C9520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2344B2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BB909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0D3D3D33">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082973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41E5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17399767">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cs="宋体"/>
                <w:color w:val="auto"/>
                <w:kern w:val="0"/>
                <w:sz w:val="21"/>
                <w:szCs w:val="21"/>
                <w:highlight w:val="none"/>
                <w:shd w:val="clear" w:color="auto" w:fill="auto"/>
                <w:lang w:val="en-US" w:eastAsia="zh-CN"/>
              </w:rPr>
              <w:t>8</w:t>
            </w:r>
          </w:p>
        </w:tc>
        <w:tc>
          <w:tcPr>
            <w:tcW w:w="1240" w:type="dxa"/>
            <w:vMerge w:val="continue"/>
            <w:shd w:val="clear" w:color="auto" w:fill="auto"/>
            <w:noWrap w:val="0"/>
            <w:vAlign w:val="center"/>
          </w:tcPr>
          <w:p w14:paraId="37F818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437964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凤林西路以北7-2号地块</w:t>
            </w:r>
          </w:p>
        </w:tc>
        <w:tc>
          <w:tcPr>
            <w:tcW w:w="1350" w:type="dxa"/>
            <w:vMerge w:val="restart"/>
            <w:shd w:val="clear" w:color="auto" w:fill="auto"/>
            <w:noWrap w:val="0"/>
            <w:vAlign w:val="center"/>
          </w:tcPr>
          <w:p w14:paraId="465B29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w:t>
            </w:r>
          </w:p>
        </w:tc>
        <w:tc>
          <w:tcPr>
            <w:tcW w:w="1991" w:type="dxa"/>
            <w:vMerge w:val="restart"/>
            <w:shd w:val="clear" w:color="auto" w:fill="FFFFFF"/>
            <w:noWrap w:val="0"/>
            <w:vAlign w:val="center"/>
          </w:tcPr>
          <w:p w14:paraId="1C527B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变频+水箱设备</w:t>
            </w:r>
          </w:p>
        </w:tc>
        <w:tc>
          <w:tcPr>
            <w:tcW w:w="1882" w:type="dxa"/>
            <w:shd w:val="clear" w:color="auto" w:fill="FFFFFF"/>
            <w:noWrap w:val="0"/>
            <w:vAlign w:val="center"/>
          </w:tcPr>
          <w:p w14:paraId="50DB98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流量83扬程64；</w:t>
            </w:r>
          </w:p>
        </w:tc>
        <w:tc>
          <w:tcPr>
            <w:tcW w:w="1326" w:type="dxa"/>
            <w:shd w:val="clear" w:color="auto" w:fill="FFFFFF"/>
            <w:noWrap w:val="0"/>
            <w:vAlign w:val="center"/>
          </w:tcPr>
          <w:p w14:paraId="23483E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5946CB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165FA721">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320000</w:t>
            </w:r>
          </w:p>
        </w:tc>
        <w:tc>
          <w:tcPr>
            <w:tcW w:w="1847" w:type="dxa"/>
            <w:noWrap w:val="0"/>
            <w:vAlign w:val="center"/>
          </w:tcPr>
          <w:p w14:paraId="10FE76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562C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B854E82">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51FE7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7E92D6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26FEA8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1FD471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5B4D1A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流量62扬程86</w:t>
            </w:r>
          </w:p>
        </w:tc>
        <w:tc>
          <w:tcPr>
            <w:tcW w:w="1326" w:type="dxa"/>
            <w:shd w:val="clear" w:color="auto" w:fill="FFFFFF"/>
            <w:noWrap w:val="0"/>
            <w:vAlign w:val="center"/>
          </w:tcPr>
          <w:p w14:paraId="5EB034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56D528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6B216B50">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320000</w:t>
            </w:r>
          </w:p>
        </w:tc>
        <w:tc>
          <w:tcPr>
            <w:tcW w:w="1847" w:type="dxa"/>
            <w:noWrap w:val="0"/>
            <w:vAlign w:val="center"/>
          </w:tcPr>
          <w:p w14:paraId="42C4AA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66C7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5C594638">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2FD8E5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554A16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BCF73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1AC746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78A95F4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水箱及消毒设备：2只水箱，尺寸9*5*2.5，9*5*2.5含DN200出水管及紫外线消毒设备，阀门</w:t>
            </w:r>
          </w:p>
        </w:tc>
        <w:tc>
          <w:tcPr>
            <w:tcW w:w="1326" w:type="dxa"/>
            <w:shd w:val="clear" w:color="auto" w:fill="FFFFFF"/>
            <w:noWrap w:val="0"/>
            <w:vAlign w:val="center"/>
          </w:tcPr>
          <w:p w14:paraId="09C321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5D3CD8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335960F2">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242820</w:t>
            </w:r>
          </w:p>
        </w:tc>
        <w:tc>
          <w:tcPr>
            <w:tcW w:w="1847" w:type="dxa"/>
            <w:noWrap w:val="0"/>
            <w:vAlign w:val="center"/>
          </w:tcPr>
          <w:p w14:paraId="465082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4752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5E9221AD">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F0EBF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636C25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2F142B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5455F4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3E4FA20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359759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01862E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95C289E">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62226E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0034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2755E1DF">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4E5944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0B0E94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4E29FC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0009EF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2CE8E1B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0B53D4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57C802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06B0AA05">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259A0B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1B0B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482CACF1">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cs="宋体"/>
                <w:color w:val="auto"/>
                <w:kern w:val="0"/>
                <w:sz w:val="21"/>
                <w:szCs w:val="21"/>
                <w:highlight w:val="none"/>
                <w:shd w:val="clear" w:color="auto" w:fill="auto"/>
                <w:lang w:val="en-US" w:eastAsia="zh-CN"/>
              </w:rPr>
              <w:t>9</w:t>
            </w:r>
          </w:p>
        </w:tc>
        <w:tc>
          <w:tcPr>
            <w:tcW w:w="1240" w:type="dxa"/>
            <w:vMerge w:val="continue"/>
            <w:shd w:val="clear" w:color="auto" w:fill="auto"/>
            <w:noWrap w:val="0"/>
            <w:vAlign w:val="center"/>
          </w:tcPr>
          <w:p w14:paraId="535EC5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391D1D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滨海新区JB-06-05-13地块项目</w:t>
            </w:r>
          </w:p>
        </w:tc>
        <w:tc>
          <w:tcPr>
            <w:tcW w:w="1350" w:type="dxa"/>
            <w:vMerge w:val="restart"/>
            <w:shd w:val="clear" w:color="auto" w:fill="auto"/>
            <w:noWrap w:val="0"/>
            <w:vAlign w:val="center"/>
          </w:tcPr>
          <w:p w14:paraId="49CAA2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w:t>
            </w:r>
          </w:p>
        </w:tc>
        <w:tc>
          <w:tcPr>
            <w:tcW w:w="1991" w:type="dxa"/>
            <w:vMerge w:val="restart"/>
            <w:shd w:val="clear" w:color="auto" w:fill="FFFFFF"/>
            <w:noWrap w:val="0"/>
            <w:vAlign w:val="center"/>
          </w:tcPr>
          <w:p w14:paraId="1837BB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变频+水箱设备</w:t>
            </w:r>
          </w:p>
        </w:tc>
        <w:tc>
          <w:tcPr>
            <w:tcW w:w="1882" w:type="dxa"/>
            <w:shd w:val="clear" w:color="auto" w:fill="FFFFFF"/>
            <w:noWrap w:val="0"/>
            <w:vAlign w:val="center"/>
          </w:tcPr>
          <w:p w14:paraId="33B676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流量44扬程58；</w:t>
            </w:r>
          </w:p>
        </w:tc>
        <w:tc>
          <w:tcPr>
            <w:tcW w:w="1326" w:type="dxa"/>
            <w:shd w:val="clear" w:color="auto" w:fill="FFFFFF"/>
            <w:noWrap w:val="0"/>
            <w:vAlign w:val="center"/>
          </w:tcPr>
          <w:p w14:paraId="60DEEB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18A64E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AFCE3A6">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216000</w:t>
            </w:r>
          </w:p>
        </w:tc>
        <w:tc>
          <w:tcPr>
            <w:tcW w:w="1847" w:type="dxa"/>
            <w:noWrap w:val="0"/>
            <w:vAlign w:val="center"/>
          </w:tcPr>
          <w:p w14:paraId="6361B9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3B6E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059EB735">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5D4E28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4D1C09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23858C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7001D5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673F296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流量44扬程75；</w:t>
            </w:r>
          </w:p>
        </w:tc>
        <w:tc>
          <w:tcPr>
            <w:tcW w:w="1326" w:type="dxa"/>
            <w:shd w:val="clear" w:color="auto" w:fill="FFFFFF"/>
            <w:noWrap w:val="0"/>
            <w:vAlign w:val="center"/>
          </w:tcPr>
          <w:p w14:paraId="47FB2C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5FFB3F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015F55F">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225000</w:t>
            </w:r>
          </w:p>
        </w:tc>
        <w:tc>
          <w:tcPr>
            <w:tcW w:w="1847" w:type="dxa"/>
            <w:noWrap w:val="0"/>
            <w:vAlign w:val="center"/>
          </w:tcPr>
          <w:p w14:paraId="12A8C0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684C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4350734D">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29DEF6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31BC3C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6B1EEF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631909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7712183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流量42扬程89</w:t>
            </w:r>
          </w:p>
        </w:tc>
        <w:tc>
          <w:tcPr>
            <w:tcW w:w="1326" w:type="dxa"/>
            <w:shd w:val="clear" w:color="auto" w:fill="FFFFFF"/>
            <w:noWrap w:val="0"/>
            <w:vAlign w:val="center"/>
          </w:tcPr>
          <w:p w14:paraId="749704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55AB2E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A4BE52A">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253000</w:t>
            </w:r>
          </w:p>
        </w:tc>
        <w:tc>
          <w:tcPr>
            <w:tcW w:w="1847" w:type="dxa"/>
            <w:noWrap w:val="0"/>
            <w:vAlign w:val="center"/>
          </w:tcPr>
          <w:p w14:paraId="3B7955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0DAF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5BA6AC77">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4AF41D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68D050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3354AD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72D3B3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796B80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水箱及消毒设备：两只水箱,5*4*2.5,5*4*2.5,内个板4*2.5,含DN200出水管及紫外线消毒设备，阀门</w:t>
            </w:r>
          </w:p>
        </w:tc>
        <w:tc>
          <w:tcPr>
            <w:tcW w:w="1326" w:type="dxa"/>
            <w:shd w:val="clear" w:color="auto" w:fill="FFFFFF"/>
            <w:noWrap w:val="0"/>
            <w:vAlign w:val="center"/>
          </w:tcPr>
          <w:p w14:paraId="3988EB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8C4C3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5502BDF2">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200000</w:t>
            </w:r>
          </w:p>
        </w:tc>
        <w:tc>
          <w:tcPr>
            <w:tcW w:w="1847" w:type="dxa"/>
            <w:noWrap w:val="0"/>
            <w:vAlign w:val="center"/>
          </w:tcPr>
          <w:p w14:paraId="05E729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67C2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5255A82B">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23C13B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366E64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61AEAD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3DA46E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7C70FE8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450C6E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27EF69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3367A31D">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7F78D4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57A5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76C108A8">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4D2C68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2313D3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0EB4E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68359B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597580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6DBC1C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663370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23154707">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7DF166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484E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25566088">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cs="宋体"/>
                <w:color w:val="auto"/>
                <w:kern w:val="0"/>
                <w:sz w:val="21"/>
                <w:szCs w:val="21"/>
                <w:highlight w:val="none"/>
                <w:shd w:val="clear" w:color="auto" w:fill="auto"/>
                <w:lang w:val="en-US" w:eastAsia="zh-CN"/>
              </w:rPr>
              <w:t>20</w:t>
            </w:r>
          </w:p>
        </w:tc>
        <w:tc>
          <w:tcPr>
            <w:tcW w:w="1240" w:type="dxa"/>
            <w:vMerge w:val="continue"/>
            <w:shd w:val="clear" w:color="auto" w:fill="auto"/>
            <w:noWrap w:val="0"/>
            <w:vAlign w:val="center"/>
          </w:tcPr>
          <w:p w14:paraId="6816F5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43BA73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滨海新区沧海社区B地块</w:t>
            </w:r>
          </w:p>
        </w:tc>
        <w:tc>
          <w:tcPr>
            <w:tcW w:w="1350" w:type="dxa"/>
            <w:vMerge w:val="restart"/>
            <w:shd w:val="clear" w:color="auto" w:fill="auto"/>
            <w:noWrap w:val="0"/>
            <w:vAlign w:val="center"/>
          </w:tcPr>
          <w:p w14:paraId="41AD5A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w:t>
            </w:r>
          </w:p>
        </w:tc>
        <w:tc>
          <w:tcPr>
            <w:tcW w:w="1991" w:type="dxa"/>
            <w:vMerge w:val="restart"/>
            <w:shd w:val="clear" w:color="auto" w:fill="FFFFFF"/>
            <w:noWrap w:val="0"/>
            <w:vAlign w:val="center"/>
          </w:tcPr>
          <w:p w14:paraId="6AF7C4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变频+水箱设备</w:t>
            </w:r>
          </w:p>
        </w:tc>
        <w:tc>
          <w:tcPr>
            <w:tcW w:w="1882" w:type="dxa"/>
            <w:shd w:val="clear" w:color="auto" w:fill="FFFFFF"/>
            <w:noWrap w:val="0"/>
            <w:vAlign w:val="center"/>
          </w:tcPr>
          <w:p w14:paraId="776E3C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流量92.6扬程59.3</w:t>
            </w:r>
          </w:p>
        </w:tc>
        <w:tc>
          <w:tcPr>
            <w:tcW w:w="1326" w:type="dxa"/>
            <w:shd w:val="clear" w:color="auto" w:fill="FFFFFF"/>
            <w:noWrap w:val="0"/>
            <w:vAlign w:val="center"/>
          </w:tcPr>
          <w:p w14:paraId="36BE18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5FC5E3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48E462D7">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cs="宋体"/>
                <w:i w:val="0"/>
                <w:iCs w:val="0"/>
                <w:color w:val="auto"/>
                <w:sz w:val="24"/>
                <w:szCs w:val="24"/>
                <w:highlight w:val="none"/>
                <w:u w:val="none"/>
                <w:shd w:val="clear" w:color="auto" w:fill="auto"/>
                <w:lang w:val="en-US" w:eastAsia="zh-CN"/>
              </w:rPr>
              <w:t>359584</w:t>
            </w:r>
          </w:p>
        </w:tc>
        <w:tc>
          <w:tcPr>
            <w:tcW w:w="1847" w:type="dxa"/>
            <w:noWrap w:val="0"/>
            <w:vAlign w:val="center"/>
          </w:tcPr>
          <w:p w14:paraId="329C0C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r>
      <w:tr w14:paraId="5604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5C14B816">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40C3A0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5B38F2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4F83AD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3E94D4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374E35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流量92.6扬程79.6</w:t>
            </w:r>
          </w:p>
        </w:tc>
        <w:tc>
          <w:tcPr>
            <w:tcW w:w="1326" w:type="dxa"/>
            <w:shd w:val="clear" w:color="auto" w:fill="FFFFFF"/>
            <w:noWrap w:val="0"/>
            <w:vAlign w:val="center"/>
          </w:tcPr>
          <w:p w14:paraId="0CCEDE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504A9B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B97F0C4">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375000</w:t>
            </w:r>
          </w:p>
        </w:tc>
        <w:tc>
          <w:tcPr>
            <w:tcW w:w="1847" w:type="dxa"/>
            <w:noWrap w:val="0"/>
            <w:vAlign w:val="center"/>
          </w:tcPr>
          <w:p w14:paraId="6DD334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6FA6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496FEC4D">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3BB5F6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25D185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7E8832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1B8DB4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51BF968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流量88.2扬程99.9</w:t>
            </w:r>
          </w:p>
        </w:tc>
        <w:tc>
          <w:tcPr>
            <w:tcW w:w="1326" w:type="dxa"/>
            <w:shd w:val="clear" w:color="auto" w:fill="FFFFFF"/>
            <w:noWrap w:val="0"/>
            <w:vAlign w:val="center"/>
          </w:tcPr>
          <w:p w14:paraId="275C73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DA657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1C6722A">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420000</w:t>
            </w:r>
          </w:p>
        </w:tc>
        <w:tc>
          <w:tcPr>
            <w:tcW w:w="1847" w:type="dxa"/>
            <w:noWrap w:val="0"/>
            <w:vAlign w:val="center"/>
          </w:tcPr>
          <w:p w14:paraId="7E4CA9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3717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C6AE42A">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037503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040F24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005A58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0FEE51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0E8037A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流量34.56扬程108.6</w:t>
            </w:r>
          </w:p>
        </w:tc>
        <w:tc>
          <w:tcPr>
            <w:tcW w:w="1326" w:type="dxa"/>
            <w:shd w:val="clear" w:color="auto" w:fill="FFFFFF"/>
            <w:noWrap w:val="0"/>
            <w:vAlign w:val="center"/>
          </w:tcPr>
          <w:p w14:paraId="5B7478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5A5EAA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0D4A6254">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262000</w:t>
            </w:r>
          </w:p>
        </w:tc>
        <w:tc>
          <w:tcPr>
            <w:tcW w:w="1847" w:type="dxa"/>
            <w:noWrap w:val="0"/>
            <w:vAlign w:val="center"/>
          </w:tcPr>
          <w:p w14:paraId="47156E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70C4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70A816DE">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B271B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11B950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22D978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332165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57B621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水箱及消毒设备：两只水箱,非标准尺寸,(12.5*4+1.5*9+7*12.5)*2,内隔板12.5*2,含DN200出水管及紫外线消毒设备，阀门</w:t>
            </w:r>
          </w:p>
        </w:tc>
        <w:tc>
          <w:tcPr>
            <w:tcW w:w="1326" w:type="dxa"/>
            <w:shd w:val="clear" w:color="auto" w:fill="FFFFFF"/>
            <w:noWrap w:val="0"/>
            <w:vAlign w:val="center"/>
          </w:tcPr>
          <w:p w14:paraId="5174DC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5E9B46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4D1E2B3D">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380000</w:t>
            </w:r>
          </w:p>
        </w:tc>
        <w:tc>
          <w:tcPr>
            <w:tcW w:w="1847" w:type="dxa"/>
            <w:noWrap w:val="0"/>
            <w:vAlign w:val="center"/>
          </w:tcPr>
          <w:p w14:paraId="0C9BB9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6A3B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013C3A6">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56221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448563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1CBA91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46E27C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2A94BAB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03A5B0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50B321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69D927D7">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0670F8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13C5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1A9ECC1D">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2D1680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2C481D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83615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3F6643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72F8B73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08DA04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8A8F1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2247D601">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6268F3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7D42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3565B123">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cs="宋体"/>
                <w:color w:val="auto"/>
                <w:kern w:val="0"/>
                <w:sz w:val="21"/>
                <w:szCs w:val="21"/>
                <w:highlight w:val="none"/>
                <w:shd w:val="clear" w:color="auto" w:fill="auto"/>
                <w:lang w:val="en-US" w:eastAsia="zh-CN"/>
              </w:rPr>
              <w:t>1</w:t>
            </w:r>
          </w:p>
        </w:tc>
        <w:tc>
          <w:tcPr>
            <w:tcW w:w="1240" w:type="dxa"/>
            <w:vMerge w:val="continue"/>
            <w:shd w:val="clear" w:color="auto" w:fill="auto"/>
            <w:noWrap w:val="0"/>
            <w:vAlign w:val="center"/>
          </w:tcPr>
          <w:p w14:paraId="305E09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753D91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滨海新区沧海未来社区配套人才房</w:t>
            </w:r>
          </w:p>
        </w:tc>
        <w:tc>
          <w:tcPr>
            <w:tcW w:w="1350" w:type="dxa"/>
            <w:vMerge w:val="restart"/>
            <w:shd w:val="clear" w:color="auto" w:fill="auto"/>
            <w:noWrap w:val="0"/>
            <w:vAlign w:val="center"/>
          </w:tcPr>
          <w:p w14:paraId="2233AC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w:t>
            </w:r>
          </w:p>
        </w:tc>
        <w:tc>
          <w:tcPr>
            <w:tcW w:w="1991" w:type="dxa"/>
            <w:vMerge w:val="restart"/>
            <w:shd w:val="clear" w:color="auto" w:fill="FFFFFF"/>
            <w:noWrap w:val="0"/>
            <w:vAlign w:val="center"/>
          </w:tcPr>
          <w:p w14:paraId="5EA508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变频+水箱设备</w:t>
            </w:r>
          </w:p>
        </w:tc>
        <w:tc>
          <w:tcPr>
            <w:tcW w:w="1882" w:type="dxa"/>
            <w:shd w:val="clear" w:color="auto" w:fill="FFFFFF"/>
            <w:noWrap w:val="0"/>
            <w:vAlign w:val="center"/>
          </w:tcPr>
          <w:p w14:paraId="46B6994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流量40扬程60</w:t>
            </w:r>
          </w:p>
        </w:tc>
        <w:tc>
          <w:tcPr>
            <w:tcW w:w="1326" w:type="dxa"/>
            <w:shd w:val="clear" w:color="auto" w:fill="FFFFFF"/>
            <w:noWrap w:val="0"/>
            <w:vAlign w:val="center"/>
          </w:tcPr>
          <w:p w14:paraId="2B6890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1187E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03AB3AAC">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226000</w:t>
            </w:r>
          </w:p>
        </w:tc>
        <w:tc>
          <w:tcPr>
            <w:tcW w:w="1847" w:type="dxa"/>
            <w:noWrap w:val="0"/>
            <w:vAlign w:val="center"/>
          </w:tcPr>
          <w:p w14:paraId="3D6FB2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0DA3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2426EC5A">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61CEDD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7F16CA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7315B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5D4AB6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6472D56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流量40扬程80</w:t>
            </w:r>
          </w:p>
        </w:tc>
        <w:tc>
          <w:tcPr>
            <w:tcW w:w="1326" w:type="dxa"/>
            <w:shd w:val="clear" w:color="auto" w:fill="FFFFFF"/>
            <w:noWrap w:val="0"/>
            <w:vAlign w:val="center"/>
          </w:tcPr>
          <w:p w14:paraId="35CD25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686BE5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13D0865E">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234000</w:t>
            </w:r>
          </w:p>
        </w:tc>
        <w:tc>
          <w:tcPr>
            <w:tcW w:w="1847" w:type="dxa"/>
            <w:noWrap w:val="0"/>
            <w:vAlign w:val="center"/>
          </w:tcPr>
          <w:p w14:paraId="48FB33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43C0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086693A2">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9BB9C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754DE1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DC284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66FF99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16FF7D5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流量40扬程100</w:t>
            </w:r>
          </w:p>
        </w:tc>
        <w:tc>
          <w:tcPr>
            <w:tcW w:w="1326" w:type="dxa"/>
            <w:shd w:val="clear" w:color="auto" w:fill="FFFFFF"/>
            <w:noWrap w:val="0"/>
            <w:vAlign w:val="center"/>
          </w:tcPr>
          <w:p w14:paraId="6E2122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2E9B10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42A3719C">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262000</w:t>
            </w:r>
          </w:p>
        </w:tc>
        <w:tc>
          <w:tcPr>
            <w:tcW w:w="1847" w:type="dxa"/>
            <w:noWrap w:val="0"/>
            <w:vAlign w:val="center"/>
          </w:tcPr>
          <w:p w14:paraId="4D936A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1E9F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480DCB6B">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311CE1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739ED0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DFEA8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5ACC20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46106E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流量14扬程110</w:t>
            </w:r>
          </w:p>
        </w:tc>
        <w:tc>
          <w:tcPr>
            <w:tcW w:w="1326" w:type="dxa"/>
            <w:shd w:val="clear" w:color="auto" w:fill="FFFFFF"/>
            <w:noWrap w:val="0"/>
            <w:vAlign w:val="center"/>
          </w:tcPr>
          <w:p w14:paraId="028035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17A8F0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0C3620B0">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226516</w:t>
            </w:r>
          </w:p>
        </w:tc>
        <w:tc>
          <w:tcPr>
            <w:tcW w:w="1847" w:type="dxa"/>
            <w:noWrap w:val="0"/>
            <w:vAlign w:val="center"/>
          </w:tcPr>
          <w:p w14:paraId="119CB3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1813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4B39135F">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7E74E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63A1B6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0A350E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56FE75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4FA2F01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水箱及消毒设备：两只水箱,非标尺寸,(11*5+3*4)*2,(8.5*6+4.5*3.5)*2,含DN200出水管及紫外线消毒设备，阀门</w:t>
            </w:r>
          </w:p>
        </w:tc>
        <w:tc>
          <w:tcPr>
            <w:tcW w:w="1326" w:type="dxa"/>
            <w:shd w:val="clear" w:color="auto" w:fill="FFFFFF"/>
            <w:noWrap w:val="0"/>
            <w:vAlign w:val="center"/>
          </w:tcPr>
          <w:p w14:paraId="630BB9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02696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680296CD">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183966</w:t>
            </w:r>
          </w:p>
        </w:tc>
        <w:tc>
          <w:tcPr>
            <w:tcW w:w="1847" w:type="dxa"/>
            <w:noWrap w:val="0"/>
            <w:vAlign w:val="center"/>
          </w:tcPr>
          <w:p w14:paraId="084D7C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0F26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048596AF">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6B09F4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7DF006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65DDBC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4DD8F3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4B1F16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61D57E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49532D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43E4FD4">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532D02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2C37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5A88E415">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677007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7886A4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7BCAC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572B0B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5063E3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429BFC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7DF97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6C68B659">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1FD980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565A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4BE15B56">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cs="宋体"/>
                <w:color w:val="auto"/>
                <w:kern w:val="0"/>
                <w:sz w:val="21"/>
                <w:szCs w:val="21"/>
                <w:highlight w:val="none"/>
                <w:shd w:val="clear" w:color="auto" w:fill="auto"/>
                <w:lang w:val="en-US" w:eastAsia="zh-CN"/>
              </w:rPr>
              <w:t>2</w:t>
            </w:r>
          </w:p>
        </w:tc>
        <w:tc>
          <w:tcPr>
            <w:tcW w:w="1240" w:type="dxa"/>
            <w:vMerge w:val="continue"/>
            <w:shd w:val="clear" w:color="auto" w:fill="auto"/>
            <w:noWrap w:val="0"/>
            <w:vAlign w:val="center"/>
          </w:tcPr>
          <w:p w14:paraId="6C96C9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31FEF1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永宁组团安置房(PJ-08E-16)</w:t>
            </w:r>
          </w:p>
        </w:tc>
        <w:tc>
          <w:tcPr>
            <w:tcW w:w="1350" w:type="dxa"/>
            <w:vMerge w:val="restart"/>
            <w:shd w:val="clear" w:color="auto" w:fill="auto"/>
            <w:noWrap w:val="0"/>
            <w:vAlign w:val="center"/>
          </w:tcPr>
          <w:p w14:paraId="4232B6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w:t>
            </w:r>
          </w:p>
        </w:tc>
        <w:tc>
          <w:tcPr>
            <w:tcW w:w="1991" w:type="dxa"/>
            <w:vMerge w:val="restart"/>
            <w:shd w:val="clear" w:color="auto" w:fill="FFFFFF"/>
            <w:noWrap w:val="0"/>
            <w:vAlign w:val="center"/>
          </w:tcPr>
          <w:p w14:paraId="2332A2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变频+水箱设备</w:t>
            </w:r>
          </w:p>
        </w:tc>
        <w:tc>
          <w:tcPr>
            <w:tcW w:w="1882" w:type="dxa"/>
            <w:shd w:val="clear" w:color="auto" w:fill="FFFFFF"/>
            <w:noWrap w:val="0"/>
            <w:vAlign w:val="center"/>
          </w:tcPr>
          <w:p w14:paraId="4EA291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流量36扬程50</w:t>
            </w:r>
          </w:p>
        </w:tc>
        <w:tc>
          <w:tcPr>
            <w:tcW w:w="1326" w:type="dxa"/>
            <w:shd w:val="clear" w:color="auto" w:fill="FFFFFF"/>
            <w:noWrap w:val="0"/>
            <w:vAlign w:val="center"/>
          </w:tcPr>
          <w:p w14:paraId="6BB7C4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705DEB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45DEBC5D">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205000</w:t>
            </w:r>
          </w:p>
        </w:tc>
        <w:tc>
          <w:tcPr>
            <w:tcW w:w="1847" w:type="dxa"/>
            <w:noWrap w:val="0"/>
            <w:vAlign w:val="center"/>
          </w:tcPr>
          <w:p w14:paraId="7108E1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187C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1C30BEB">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94443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0B3983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73FB3B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18295F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7B0B547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流量36扬程65</w:t>
            </w:r>
          </w:p>
        </w:tc>
        <w:tc>
          <w:tcPr>
            <w:tcW w:w="1326" w:type="dxa"/>
            <w:shd w:val="clear" w:color="auto" w:fill="FFFFFF"/>
            <w:noWrap w:val="0"/>
            <w:vAlign w:val="center"/>
          </w:tcPr>
          <w:p w14:paraId="6E6208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769CA6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5C3F1EC4">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220000</w:t>
            </w:r>
          </w:p>
        </w:tc>
        <w:tc>
          <w:tcPr>
            <w:tcW w:w="1847" w:type="dxa"/>
            <w:noWrap w:val="0"/>
            <w:vAlign w:val="center"/>
          </w:tcPr>
          <w:p w14:paraId="7A69AC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75C5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20D9714F">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9528B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3D57B3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1118AE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74E098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21DEAA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流量36扬程80</w:t>
            </w:r>
          </w:p>
        </w:tc>
        <w:tc>
          <w:tcPr>
            <w:tcW w:w="1326" w:type="dxa"/>
            <w:shd w:val="clear" w:color="auto" w:fill="FFFFFF"/>
            <w:noWrap w:val="0"/>
            <w:vAlign w:val="center"/>
          </w:tcPr>
          <w:p w14:paraId="26CE3F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21F9D8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09E53DF1">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235000</w:t>
            </w:r>
          </w:p>
        </w:tc>
        <w:tc>
          <w:tcPr>
            <w:tcW w:w="1847" w:type="dxa"/>
            <w:noWrap w:val="0"/>
            <w:vAlign w:val="center"/>
          </w:tcPr>
          <w:p w14:paraId="7C0BF9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69F9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5F50CA2">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p>
        </w:tc>
        <w:tc>
          <w:tcPr>
            <w:tcW w:w="1240" w:type="dxa"/>
            <w:vMerge w:val="continue"/>
            <w:shd w:val="clear" w:color="auto" w:fill="auto"/>
            <w:noWrap w:val="0"/>
            <w:vAlign w:val="center"/>
          </w:tcPr>
          <w:p w14:paraId="25A95B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13694C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148F5C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65DE73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4AC58AA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水箱及消毒设备：不规则水箱,(3*7+3*6+3*7)*2,内隔板6*2,含DN200出水管及紫外线消毒设备，阀门</w:t>
            </w:r>
          </w:p>
        </w:tc>
        <w:tc>
          <w:tcPr>
            <w:tcW w:w="1326" w:type="dxa"/>
            <w:shd w:val="clear" w:color="auto" w:fill="FFFFFF"/>
            <w:noWrap w:val="0"/>
            <w:vAlign w:val="center"/>
          </w:tcPr>
          <w:p w14:paraId="58E3FC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76F1CD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47A097D6">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174166</w:t>
            </w:r>
          </w:p>
        </w:tc>
        <w:tc>
          <w:tcPr>
            <w:tcW w:w="1847" w:type="dxa"/>
            <w:noWrap w:val="0"/>
            <w:vAlign w:val="center"/>
          </w:tcPr>
          <w:p w14:paraId="52FBB1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6715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2DFCE336">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6919DF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6EE7DB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0F8AF7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502CD2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2DB87FB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2C1862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EA547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827B627">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25EC5E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4094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79215F60">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667E08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54B71F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16C28A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5EEBD4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0EDD8BB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0F16A6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29419E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3CF17A1B">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7DD039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137E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3DB5FF07">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cs="宋体"/>
                <w:color w:val="auto"/>
                <w:kern w:val="0"/>
                <w:sz w:val="21"/>
                <w:szCs w:val="21"/>
                <w:highlight w:val="none"/>
                <w:shd w:val="clear" w:color="auto" w:fill="auto"/>
                <w:lang w:val="en-US" w:eastAsia="zh-CN"/>
              </w:rPr>
              <w:t>3</w:t>
            </w:r>
          </w:p>
        </w:tc>
        <w:tc>
          <w:tcPr>
            <w:tcW w:w="1240" w:type="dxa"/>
            <w:vMerge w:val="continue"/>
            <w:shd w:val="clear" w:color="auto" w:fill="auto"/>
            <w:noWrap w:val="0"/>
            <w:vAlign w:val="center"/>
          </w:tcPr>
          <w:p w14:paraId="13CBDC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2B6899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永宁组团安置房(PJ-08E-17)</w:t>
            </w:r>
          </w:p>
        </w:tc>
        <w:tc>
          <w:tcPr>
            <w:tcW w:w="1350" w:type="dxa"/>
            <w:vMerge w:val="restart"/>
            <w:shd w:val="clear" w:color="auto" w:fill="auto"/>
            <w:noWrap w:val="0"/>
            <w:vAlign w:val="center"/>
          </w:tcPr>
          <w:p w14:paraId="78C5F7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w:t>
            </w:r>
          </w:p>
        </w:tc>
        <w:tc>
          <w:tcPr>
            <w:tcW w:w="1991" w:type="dxa"/>
            <w:vMerge w:val="restart"/>
            <w:shd w:val="clear" w:color="auto" w:fill="FFFFFF"/>
            <w:noWrap w:val="0"/>
            <w:vAlign w:val="center"/>
          </w:tcPr>
          <w:p w14:paraId="3E2F9B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变频+水箱设备</w:t>
            </w:r>
          </w:p>
        </w:tc>
        <w:tc>
          <w:tcPr>
            <w:tcW w:w="1882" w:type="dxa"/>
            <w:shd w:val="clear" w:color="auto" w:fill="FFFFFF"/>
            <w:noWrap w:val="0"/>
            <w:vAlign w:val="center"/>
          </w:tcPr>
          <w:p w14:paraId="69845C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流量42扬程52</w:t>
            </w:r>
          </w:p>
        </w:tc>
        <w:tc>
          <w:tcPr>
            <w:tcW w:w="1326" w:type="dxa"/>
            <w:shd w:val="clear" w:color="auto" w:fill="FFFFFF"/>
            <w:noWrap w:val="0"/>
            <w:vAlign w:val="center"/>
          </w:tcPr>
          <w:p w14:paraId="49B32B8C">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A490235">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1B66B0D">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210000</w:t>
            </w:r>
          </w:p>
        </w:tc>
        <w:tc>
          <w:tcPr>
            <w:tcW w:w="1847" w:type="dxa"/>
            <w:noWrap w:val="0"/>
            <w:vAlign w:val="center"/>
          </w:tcPr>
          <w:p w14:paraId="09B7ADC0">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61B0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2323922A">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0B0589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25DED9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EC755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4CDDA3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16562F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流量42扬程78</w:t>
            </w:r>
          </w:p>
        </w:tc>
        <w:tc>
          <w:tcPr>
            <w:tcW w:w="1326" w:type="dxa"/>
            <w:shd w:val="clear" w:color="auto" w:fill="FFFFFF"/>
            <w:noWrap w:val="0"/>
            <w:vAlign w:val="center"/>
          </w:tcPr>
          <w:p w14:paraId="036B23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079933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1D044B7">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230000</w:t>
            </w:r>
          </w:p>
        </w:tc>
        <w:tc>
          <w:tcPr>
            <w:tcW w:w="1847" w:type="dxa"/>
            <w:noWrap w:val="0"/>
            <w:vAlign w:val="center"/>
          </w:tcPr>
          <w:p w14:paraId="63D531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1F68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09259E5E">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5FD382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4DFADC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1290C7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615EEC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44D572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流量24扬程100</w:t>
            </w:r>
          </w:p>
        </w:tc>
        <w:tc>
          <w:tcPr>
            <w:tcW w:w="1326" w:type="dxa"/>
            <w:shd w:val="clear" w:color="auto" w:fill="FFFFFF"/>
            <w:noWrap w:val="0"/>
            <w:vAlign w:val="center"/>
          </w:tcPr>
          <w:p w14:paraId="1BB1FB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576670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6C60EAB2">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240000</w:t>
            </w:r>
          </w:p>
        </w:tc>
        <w:tc>
          <w:tcPr>
            <w:tcW w:w="1847" w:type="dxa"/>
            <w:noWrap w:val="0"/>
            <w:vAlign w:val="center"/>
          </w:tcPr>
          <w:p w14:paraId="5BD28D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416D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099CF99E">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0B563F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74338A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122FAE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5C3A5E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3915BBE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水箱及消毒设备：不规则水箱,(3*8+2*12+4*4)*2,内隔板2*2,含DN200出水管及紫外线消毒设备，阀门</w:t>
            </w:r>
          </w:p>
        </w:tc>
        <w:tc>
          <w:tcPr>
            <w:tcW w:w="1326" w:type="dxa"/>
            <w:shd w:val="clear" w:color="auto" w:fill="FFFFFF"/>
            <w:noWrap w:val="0"/>
            <w:vAlign w:val="center"/>
          </w:tcPr>
          <w:p w14:paraId="3A56C4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41186E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4FDCF898">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185058</w:t>
            </w:r>
          </w:p>
        </w:tc>
        <w:tc>
          <w:tcPr>
            <w:tcW w:w="1847" w:type="dxa"/>
            <w:noWrap w:val="0"/>
            <w:vAlign w:val="center"/>
          </w:tcPr>
          <w:p w14:paraId="05F2F3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3B7F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070B6349">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4C2D6D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72094D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722161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02E997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13EA9D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3CBFEB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8CD8C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6556C34A">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138E8F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7A84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5ED059A0">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0704F9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487D76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3B1C16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01544E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264B69D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3AE00D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93616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5733FE2B">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01737E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1B75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44D34314">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cs="宋体"/>
                <w:color w:val="auto"/>
                <w:kern w:val="0"/>
                <w:sz w:val="21"/>
                <w:szCs w:val="21"/>
                <w:highlight w:val="none"/>
                <w:shd w:val="clear" w:color="auto" w:fill="auto"/>
                <w:lang w:val="en-US" w:eastAsia="zh-CN"/>
              </w:rPr>
              <w:t>4</w:t>
            </w:r>
          </w:p>
        </w:tc>
        <w:tc>
          <w:tcPr>
            <w:tcW w:w="1240" w:type="dxa"/>
            <w:vMerge w:val="continue"/>
            <w:shd w:val="clear" w:color="auto" w:fill="auto"/>
            <w:noWrap w:val="0"/>
            <w:vAlign w:val="center"/>
          </w:tcPr>
          <w:p w14:paraId="35F2FA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4E81A3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双子楼项目(迪荡新城B2地块)</w:t>
            </w:r>
          </w:p>
        </w:tc>
        <w:tc>
          <w:tcPr>
            <w:tcW w:w="1350" w:type="dxa"/>
            <w:vMerge w:val="restart"/>
            <w:shd w:val="clear" w:color="auto" w:fill="auto"/>
            <w:noWrap w:val="0"/>
            <w:vAlign w:val="center"/>
          </w:tcPr>
          <w:p w14:paraId="600E0D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w:t>
            </w:r>
          </w:p>
        </w:tc>
        <w:tc>
          <w:tcPr>
            <w:tcW w:w="1991" w:type="dxa"/>
            <w:vMerge w:val="restart"/>
            <w:shd w:val="clear" w:color="auto" w:fill="FFFFFF"/>
            <w:noWrap w:val="0"/>
            <w:vAlign w:val="center"/>
          </w:tcPr>
          <w:p w14:paraId="613217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变频+水箱设备</w:t>
            </w:r>
          </w:p>
        </w:tc>
        <w:tc>
          <w:tcPr>
            <w:tcW w:w="1882" w:type="dxa"/>
            <w:shd w:val="clear" w:color="auto" w:fill="FFFFFF"/>
            <w:noWrap w:val="0"/>
            <w:vAlign w:val="center"/>
          </w:tcPr>
          <w:p w14:paraId="13AA5E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流量36扬程205</w:t>
            </w:r>
          </w:p>
        </w:tc>
        <w:tc>
          <w:tcPr>
            <w:tcW w:w="1326" w:type="dxa"/>
            <w:shd w:val="clear" w:color="auto" w:fill="FFFFFF"/>
            <w:noWrap w:val="0"/>
            <w:vAlign w:val="center"/>
          </w:tcPr>
          <w:p w14:paraId="30182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2F38B3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0512D7B3">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488989</w:t>
            </w:r>
          </w:p>
        </w:tc>
        <w:tc>
          <w:tcPr>
            <w:tcW w:w="1847" w:type="dxa"/>
            <w:noWrap w:val="0"/>
            <w:vAlign w:val="center"/>
          </w:tcPr>
          <w:p w14:paraId="7ECF50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43C1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47982F81">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0AF650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0BD3B0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7975EC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6FC693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4898D9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流量36扬程205</w:t>
            </w:r>
          </w:p>
        </w:tc>
        <w:tc>
          <w:tcPr>
            <w:tcW w:w="1326" w:type="dxa"/>
            <w:shd w:val="clear" w:color="auto" w:fill="FFFFFF"/>
            <w:noWrap w:val="0"/>
            <w:vAlign w:val="center"/>
          </w:tcPr>
          <w:p w14:paraId="761B74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2D8F4D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28FE72B0">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488989</w:t>
            </w:r>
          </w:p>
        </w:tc>
        <w:tc>
          <w:tcPr>
            <w:tcW w:w="1847" w:type="dxa"/>
            <w:noWrap w:val="0"/>
            <w:vAlign w:val="center"/>
          </w:tcPr>
          <w:p w14:paraId="7F953A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1A15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6B6BD249">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035CEB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62907C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450E35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6EBB4E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26E485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流量15扬程20</w:t>
            </w:r>
          </w:p>
        </w:tc>
        <w:tc>
          <w:tcPr>
            <w:tcW w:w="1326" w:type="dxa"/>
            <w:shd w:val="clear" w:color="auto" w:fill="FFFFFF"/>
            <w:noWrap w:val="0"/>
            <w:vAlign w:val="center"/>
          </w:tcPr>
          <w:p w14:paraId="4EE0DB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089E12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0109CFB1">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170000</w:t>
            </w:r>
          </w:p>
        </w:tc>
        <w:tc>
          <w:tcPr>
            <w:tcW w:w="1847" w:type="dxa"/>
            <w:noWrap w:val="0"/>
            <w:vAlign w:val="center"/>
          </w:tcPr>
          <w:p w14:paraId="48F9D0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60C5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2A9BF720">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9C10E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176F23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3F46F6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0ACCBF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49AC848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流量15扬程20</w:t>
            </w:r>
          </w:p>
        </w:tc>
        <w:tc>
          <w:tcPr>
            <w:tcW w:w="1326" w:type="dxa"/>
            <w:shd w:val="clear" w:color="auto" w:fill="FFFFFF"/>
            <w:noWrap w:val="0"/>
            <w:vAlign w:val="center"/>
          </w:tcPr>
          <w:p w14:paraId="3305BA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6CBD7D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E5433EB">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170000</w:t>
            </w:r>
          </w:p>
        </w:tc>
        <w:tc>
          <w:tcPr>
            <w:tcW w:w="1847" w:type="dxa"/>
            <w:noWrap w:val="0"/>
            <w:vAlign w:val="center"/>
          </w:tcPr>
          <w:p w14:paraId="2F4AE2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4BCB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3A3D6D3D">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438DE0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5485A5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6C6251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36CC8E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773D18F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水箱及消毒设备：水箱6</w:t>
            </w:r>
          </w:p>
          <w:p w14:paraId="4460C2F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只,4*5*2.5,4*5*2.5,8*2*2.5,8*2*2.5,4*4*2,4*4*2,含DN200出水管及紫外线消毒设备，阀门</w:t>
            </w:r>
          </w:p>
        </w:tc>
        <w:tc>
          <w:tcPr>
            <w:tcW w:w="1326" w:type="dxa"/>
            <w:shd w:val="clear" w:color="auto" w:fill="FFFFFF"/>
            <w:noWrap w:val="0"/>
            <w:vAlign w:val="center"/>
          </w:tcPr>
          <w:p w14:paraId="44525F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6</w:t>
            </w:r>
          </w:p>
        </w:tc>
        <w:tc>
          <w:tcPr>
            <w:tcW w:w="1386" w:type="dxa"/>
            <w:noWrap w:val="0"/>
            <w:vAlign w:val="center"/>
          </w:tcPr>
          <w:p w14:paraId="3F5FC4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c>
          <w:tcPr>
            <w:tcW w:w="1494" w:type="dxa"/>
            <w:noWrap w:val="0"/>
            <w:vAlign w:val="center"/>
          </w:tcPr>
          <w:p w14:paraId="26443A61">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392792</w:t>
            </w:r>
          </w:p>
        </w:tc>
        <w:tc>
          <w:tcPr>
            <w:tcW w:w="1847" w:type="dxa"/>
            <w:noWrap w:val="0"/>
            <w:vAlign w:val="center"/>
          </w:tcPr>
          <w:p w14:paraId="4E7F4B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6A75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1372F8E4">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9D9CE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713E76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3487EB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791EF5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5329D6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2FB03E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5C4BA8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25C3BE36">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77D33F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6F79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24D7A9E3">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573808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305F4A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7C868E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61975C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5A2B0D1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22B4E0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24AAAB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40C8ABCE">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037D44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5CF8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shd w:val="clear" w:color="auto" w:fill="auto"/>
            <w:noWrap w:val="0"/>
            <w:vAlign w:val="center"/>
          </w:tcPr>
          <w:p w14:paraId="25C40369">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cs="宋体"/>
                <w:color w:val="auto"/>
                <w:kern w:val="0"/>
                <w:sz w:val="21"/>
                <w:szCs w:val="21"/>
                <w:highlight w:val="none"/>
                <w:shd w:val="clear" w:color="auto" w:fill="auto"/>
                <w:lang w:val="en-US" w:eastAsia="zh-CN"/>
              </w:rPr>
              <w:t>5</w:t>
            </w:r>
          </w:p>
        </w:tc>
        <w:tc>
          <w:tcPr>
            <w:tcW w:w="1240" w:type="dxa"/>
            <w:vMerge w:val="continue"/>
            <w:shd w:val="clear" w:color="auto" w:fill="auto"/>
            <w:noWrap w:val="0"/>
            <w:vAlign w:val="center"/>
          </w:tcPr>
          <w:p w14:paraId="155023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restart"/>
            <w:shd w:val="clear" w:color="auto" w:fill="FFFFFF"/>
            <w:noWrap w:val="0"/>
            <w:vAlign w:val="center"/>
          </w:tcPr>
          <w:p w14:paraId="0B5E74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湖东2号地块（2-5地块）建设项目</w:t>
            </w:r>
          </w:p>
        </w:tc>
        <w:tc>
          <w:tcPr>
            <w:tcW w:w="1350" w:type="dxa"/>
            <w:vMerge w:val="restart"/>
            <w:shd w:val="clear" w:color="auto" w:fill="auto"/>
            <w:noWrap w:val="0"/>
            <w:vAlign w:val="center"/>
          </w:tcPr>
          <w:p w14:paraId="116DF4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w:t>
            </w:r>
          </w:p>
        </w:tc>
        <w:tc>
          <w:tcPr>
            <w:tcW w:w="1991" w:type="dxa"/>
            <w:vMerge w:val="restart"/>
            <w:shd w:val="clear" w:color="auto" w:fill="FFFFFF"/>
            <w:noWrap w:val="0"/>
            <w:vAlign w:val="center"/>
          </w:tcPr>
          <w:p w14:paraId="15BC23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变频+水箱设备</w:t>
            </w:r>
          </w:p>
        </w:tc>
        <w:tc>
          <w:tcPr>
            <w:tcW w:w="1882" w:type="dxa"/>
            <w:shd w:val="clear" w:color="auto" w:fill="FFFFFF"/>
            <w:noWrap w:val="0"/>
            <w:vAlign w:val="center"/>
          </w:tcPr>
          <w:p w14:paraId="5C03FF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流量40扬程60</w:t>
            </w:r>
          </w:p>
        </w:tc>
        <w:tc>
          <w:tcPr>
            <w:tcW w:w="1326" w:type="dxa"/>
            <w:shd w:val="clear" w:color="auto" w:fill="FFFFFF"/>
            <w:noWrap w:val="0"/>
            <w:vAlign w:val="center"/>
          </w:tcPr>
          <w:p w14:paraId="46806D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4BB418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2D20C8AD">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226000</w:t>
            </w:r>
          </w:p>
        </w:tc>
        <w:tc>
          <w:tcPr>
            <w:tcW w:w="1847" w:type="dxa"/>
            <w:noWrap w:val="0"/>
            <w:vAlign w:val="center"/>
          </w:tcPr>
          <w:p w14:paraId="488D3E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62B9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5BFD92BE">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6A0BED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7BFD0A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246B92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12F0F9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4750025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流量40扬程80</w:t>
            </w:r>
          </w:p>
        </w:tc>
        <w:tc>
          <w:tcPr>
            <w:tcW w:w="1326" w:type="dxa"/>
            <w:shd w:val="clear" w:color="auto" w:fill="FFFFFF"/>
            <w:noWrap w:val="0"/>
            <w:vAlign w:val="center"/>
          </w:tcPr>
          <w:p w14:paraId="2C7888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7010EB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735B0F00">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230000</w:t>
            </w:r>
          </w:p>
        </w:tc>
        <w:tc>
          <w:tcPr>
            <w:tcW w:w="1847" w:type="dxa"/>
            <w:noWrap w:val="0"/>
            <w:vAlign w:val="center"/>
          </w:tcPr>
          <w:p w14:paraId="7B0C8A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079E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75FB68E5">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1EF681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02437B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54A2D5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15D525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18F9606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流量40扬程100</w:t>
            </w:r>
          </w:p>
        </w:tc>
        <w:tc>
          <w:tcPr>
            <w:tcW w:w="1326" w:type="dxa"/>
            <w:shd w:val="clear" w:color="auto" w:fill="FFFFFF"/>
            <w:noWrap w:val="0"/>
            <w:vAlign w:val="center"/>
          </w:tcPr>
          <w:p w14:paraId="525ED0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677B05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02B31FF5">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265000</w:t>
            </w:r>
          </w:p>
        </w:tc>
        <w:tc>
          <w:tcPr>
            <w:tcW w:w="1847" w:type="dxa"/>
            <w:noWrap w:val="0"/>
            <w:vAlign w:val="center"/>
          </w:tcPr>
          <w:p w14:paraId="2AA7AD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1330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1AA43CAB">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7E642F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1DDFBE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020393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auto"/>
            <w:noWrap w:val="0"/>
            <w:vAlign w:val="center"/>
          </w:tcPr>
          <w:p w14:paraId="0CEB5A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882" w:type="dxa"/>
            <w:shd w:val="clear" w:color="auto" w:fill="FFFFFF"/>
            <w:noWrap w:val="0"/>
            <w:vAlign w:val="center"/>
          </w:tcPr>
          <w:p w14:paraId="7E303BA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流量14扬程110</w:t>
            </w:r>
          </w:p>
        </w:tc>
        <w:tc>
          <w:tcPr>
            <w:tcW w:w="1326" w:type="dxa"/>
            <w:shd w:val="clear" w:color="auto" w:fill="FFFFFF"/>
            <w:noWrap w:val="0"/>
            <w:vAlign w:val="center"/>
          </w:tcPr>
          <w:p w14:paraId="0AFF6F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10542A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6A504DD3">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226516</w:t>
            </w:r>
          </w:p>
        </w:tc>
        <w:tc>
          <w:tcPr>
            <w:tcW w:w="1847" w:type="dxa"/>
            <w:noWrap w:val="0"/>
            <w:vAlign w:val="center"/>
          </w:tcPr>
          <w:p w14:paraId="7E32AF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60FC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26BE0303">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316E04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73F098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129A36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vMerge w:val="continue"/>
            <w:shd w:val="clear" w:color="auto" w:fill="FFFFFF"/>
            <w:noWrap w:val="0"/>
            <w:vAlign w:val="center"/>
          </w:tcPr>
          <w:p w14:paraId="226379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882" w:type="dxa"/>
            <w:shd w:val="clear" w:color="auto" w:fill="FFFFFF"/>
            <w:noWrap w:val="0"/>
            <w:vAlign w:val="center"/>
          </w:tcPr>
          <w:p w14:paraId="2976EFD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水箱及消毒设备：4只水箱，尺寸为8m*5m*2m,含DN200出水管及紫外线消毒设备，阀门</w:t>
            </w:r>
          </w:p>
        </w:tc>
        <w:tc>
          <w:tcPr>
            <w:tcW w:w="1326" w:type="dxa"/>
            <w:shd w:val="clear" w:color="auto" w:fill="FFFFFF"/>
            <w:noWrap w:val="0"/>
            <w:vAlign w:val="center"/>
          </w:tcPr>
          <w:p w14:paraId="3AB3E6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261A1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14FD781D">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4"/>
                <w:szCs w:val="24"/>
                <w:highlight w:val="none"/>
                <w:u w:val="none"/>
                <w:shd w:val="clear" w:color="auto" w:fill="auto"/>
                <w:lang w:val="en-US" w:eastAsia="zh-CN" w:bidi="ar-SA"/>
              </w:rPr>
              <w:t>203304</w:t>
            </w:r>
          </w:p>
        </w:tc>
        <w:tc>
          <w:tcPr>
            <w:tcW w:w="1847" w:type="dxa"/>
            <w:noWrap w:val="0"/>
            <w:vAlign w:val="center"/>
          </w:tcPr>
          <w:p w14:paraId="43C36E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5872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476BB1F8">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39CDE6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auto"/>
            <w:noWrap w:val="0"/>
            <w:vAlign w:val="center"/>
          </w:tcPr>
          <w:p w14:paraId="6CD2FC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337F69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4E8727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水质检测设备</w:t>
            </w:r>
          </w:p>
        </w:tc>
        <w:tc>
          <w:tcPr>
            <w:tcW w:w="1882" w:type="dxa"/>
            <w:shd w:val="clear" w:color="auto" w:fill="FFFFFF"/>
            <w:noWrap w:val="0"/>
            <w:vAlign w:val="center"/>
          </w:tcPr>
          <w:p w14:paraId="5E2D2F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1D17E7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1FBF6F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4EC45343">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72000</w:t>
            </w:r>
          </w:p>
        </w:tc>
        <w:tc>
          <w:tcPr>
            <w:tcW w:w="1847" w:type="dxa"/>
            <w:noWrap w:val="0"/>
            <w:vAlign w:val="center"/>
          </w:tcPr>
          <w:p w14:paraId="61DBB3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409C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continue"/>
            <w:shd w:val="clear" w:color="auto" w:fill="auto"/>
            <w:noWrap w:val="0"/>
            <w:vAlign w:val="center"/>
          </w:tcPr>
          <w:p w14:paraId="59D2DF81">
            <w:pPr>
              <w:keepNext w:val="0"/>
              <w:keepLines w:val="0"/>
              <w:pageBreakBefore w:val="0"/>
              <w:widowControl/>
              <w:kinsoku/>
              <w:overflowPunct/>
              <w:topLinePunct w:val="0"/>
              <w:autoSpaceDE/>
              <w:autoSpaceDN/>
              <w:bidi w:val="0"/>
              <w:adjustRightInd/>
              <w:snapToGrid/>
              <w:spacing w:line="320" w:lineRule="exact"/>
              <w:jc w:val="center"/>
              <w:rPr>
                <w:rFonts w:hint="eastAsia" w:ascii="宋体" w:hAnsi="宋体" w:eastAsia="宋体" w:cs="宋体"/>
                <w:color w:val="auto"/>
                <w:kern w:val="0"/>
                <w:sz w:val="21"/>
                <w:szCs w:val="21"/>
                <w:highlight w:val="none"/>
                <w:shd w:val="clear" w:color="auto" w:fill="auto"/>
              </w:rPr>
            </w:pPr>
          </w:p>
        </w:tc>
        <w:tc>
          <w:tcPr>
            <w:tcW w:w="1240" w:type="dxa"/>
            <w:vMerge w:val="continue"/>
            <w:shd w:val="clear" w:color="auto" w:fill="auto"/>
            <w:noWrap w:val="0"/>
            <w:vAlign w:val="center"/>
          </w:tcPr>
          <w:p w14:paraId="47D458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p>
        </w:tc>
        <w:tc>
          <w:tcPr>
            <w:tcW w:w="1296" w:type="dxa"/>
            <w:vMerge w:val="continue"/>
            <w:shd w:val="clear" w:color="auto" w:fill="FFFFFF"/>
            <w:noWrap w:val="0"/>
            <w:vAlign w:val="center"/>
          </w:tcPr>
          <w:p w14:paraId="651FBE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350" w:type="dxa"/>
            <w:vMerge w:val="continue"/>
            <w:shd w:val="clear" w:color="auto" w:fill="auto"/>
            <w:noWrap w:val="0"/>
            <w:vAlign w:val="center"/>
          </w:tcPr>
          <w:p w14:paraId="3919F2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991" w:type="dxa"/>
            <w:shd w:val="clear" w:color="auto" w:fill="FFFFFF"/>
            <w:noWrap w:val="0"/>
            <w:vAlign w:val="center"/>
          </w:tcPr>
          <w:p w14:paraId="4CA052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eastAsia="zh-CN"/>
              </w:rPr>
              <w:t>远程监控设备</w:t>
            </w:r>
          </w:p>
        </w:tc>
        <w:tc>
          <w:tcPr>
            <w:tcW w:w="1882" w:type="dxa"/>
            <w:shd w:val="clear" w:color="auto" w:fill="FFFFFF"/>
            <w:noWrap w:val="0"/>
            <w:vAlign w:val="center"/>
          </w:tcPr>
          <w:p w14:paraId="28489A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详见技术要求</w:t>
            </w:r>
          </w:p>
        </w:tc>
        <w:tc>
          <w:tcPr>
            <w:tcW w:w="1326" w:type="dxa"/>
            <w:shd w:val="clear" w:color="auto" w:fill="FFFFFF"/>
            <w:noWrap w:val="0"/>
            <w:vAlign w:val="center"/>
          </w:tcPr>
          <w:p w14:paraId="2714EF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sz w:val="21"/>
                <w:szCs w:val="21"/>
                <w:highlight w:val="none"/>
                <w:u w:val="none"/>
                <w:shd w:val="clear" w:color="auto" w:fill="auto"/>
                <w:lang w:val="en-US" w:eastAsia="zh-CN"/>
              </w:rPr>
              <w:t>1</w:t>
            </w:r>
          </w:p>
        </w:tc>
        <w:tc>
          <w:tcPr>
            <w:tcW w:w="1386" w:type="dxa"/>
            <w:noWrap w:val="0"/>
            <w:vAlign w:val="center"/>
          </w:tcPr>
          <w:p w14:paraId="35CC5B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1494" w:type="dxa"/>
            <w:noWrap w:val="0"/>
            <w:vAlign w:val="center"/>
          </w:tcPr>
          <w:p w14:paraId="421AC447">
            <w:pPr>
              <w:keepNext w:val="0"/>
              <w:keepLines w:val="0"/>
              <w:pageBreakBefore w:val="0"/>
              <w:widowControl/>
              <w:suppressLineNumbers w:val="0"/>
              <w:kinsoku/>
              <w:wordWrap/>
              <w:overflowPunct/>
              <w:topLinePunct w:val="0"/>
              <w:bidi w:val="0"/>
              <w:spacing w:line="320" w:lineRule="exact"/>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2"/>
                <w:sz w:val="24"/>
                <w:szCs w:val="24"/>
                <w:highlight w:val="none"/>
                <w:u w:val="none"/>
                <w:shd w:val="clear" w:color="auto" w:fill="auto"/>
                <w:lang w:val="en-US" w:eastAsia="zh-CN" w:bidi="ar-SA"/>
              </w:rPr>
              <w:t>43500</w:t>
            </w:r>
          </w:p>
        </w:tc>
        <w:tc>
          <w:tcPr>
            <w:tcW w:w="1847" w:type="dxa"/>
            <w:noWrap w:val="0"/>
            <w:vAlign w:val="center"/>
          </w:tcPr>
          <w:p w14:paraId="6919E7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r>
      <w:tr w14:paraId="6834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53" w:type="dxa"/>
            <w:gridSpan w:val="6"/>
            <w:vMerge w:val="restart"/>
            <w:noWrap w:val="0"/>
            <w:vAlign w:val="center"/>
          </w:tcPr>
          <w:p w14:paraId="185737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eastAsia="宋体" w:cs="宋体"/>
                <w:i w:val="0"/>
                <w:iCs w:val="0"/>
                <w:color w:val="auto"/>
                <w:sz w:val="21"/>
                <w:szCs w:val="21"/>
                <w:highlight w:val="none"/>
                <w:u w:val="none"/>
                <w:shd w:val="clear" w:color="auto" w:fill="auto"/>
                <w:lang w:eastAsia="zh-CN"/>
              </w:rPr>
              <w:t>投标总价（元）</w:t>
            </w:r>
          </w:p>
        </w:tc>
        <w:tc>
          <w:tcPr>
            <w:tcW w:w="6053" w:type="dxa"/>
            <w:gridSpan w:val="4"/>
            <w:noWrap w:val="0"/>
            <w:vAlign w:val="center"/>
          </w:tcPr>
          <w:p w14:paraId="7BBCB9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eastAsia="宋体" w:cs="宋体"/>
                <w:i w:val="0"/>
                <w:iCs w:val="0"/>
                <w:color w:val="auto"/>
                <w:sz w:val="21"/>
                <w:szCs w:val="21"/>
                <w:highlight w:val="none"/>
                <w:u w:val="none"/>
                <w:shd w:val="clear" w:color="auto" w:fill="auto"/>
                <w:lang w:eastAsia="zh-CN"/>
              </w:rPr>
              <w:t>小写：</w:t>
            </w:r>
          </w:p>
        </w:tc>
      </w:tr>
      <w:tr w14:paraId="086D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53" w:type="dxa"/>
            <w:gridSpan w:val="6"/>
            <w:vMerge w:val="continue"/>
            <w:noWrap w:val="0"/>
            <w:vAlign w:val="center"/>
          </w:tcPr>
          <w:p w14:paraId="4BA582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p>
        </w:tc>
        <w:tc>
          <w:tcPr>
            <w:tcW w:w="6053" w:type="dxa"/>
            <w:gridSpan w:val="4"/>
            <w:noWrap w:val="0"/>
            <w:vAlign w:val="center"/>
          </w:tcPr>
          <w:p w14:paraId="4DC80BF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eastAsia="宋体" w:cs="宋体"/>
                <w:i w:val="0"/>
                <w:iCs w:val="0"/>
                <w:color w:val="auto"/>
                <w:sz w:val="21"/>
                <w:szCs w:val="21"/>
                <w:highlight w:val="none"/>
                <w:u w:val="none"/>
                <w:shd w:val="clear" w:color="auto" w:fill="auto"/>
                <w:lang w:eastAsia="zh-CN"/>
              </w:rPr>
              <w:t>大写：</w:t>
            </w:r>
          </w:p>
        </w:tc>
      </w:tr>
      <w:tr w14:paraId="5481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06" w:type="dxa"/>
            <w:gridSpan w:val="10"/>
            <w:noWrap w:val="0"/>
            <w:vAlign w:val="center"/>
          </w:tcPr>
          <w:p w14:paraId="1865453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eastAsia="宋体" w:cs="宋体"/>
                <w:b/>
                <w:bCs/>
                <w:color w:val="auto"/>
                <w:kern w:val="0"/>
                <w:sz w:val="21"/>
                <w:szCs w:val="21"/>
                <w:highlight w:val="none"/>
                <w:shd w:val="clear" w:color="auto" w:fill="auto"/>
                <w:lang w:val="en-US" w:eastAsia="zh-CN"/>
              </w:rPr>
              <w:t>备注：★各区块采购设备，按照两用一备配置。</w:t>
            </w:r>
          </w:p>
        </w:tc>
      </w:tr>
    </w:tbl>
    <w:p w14:paraId="6539F2DE">
      <w:pPr>
        <w:spacing w:before="59" w:line="227" w:lineRule="auto"/>
        <w:ind w:left="621"/>
        <w:jc w:val="both"/>
        <w:rPr>
          <w:rFonts w:hint="eastAsia" w:ascii="宋体" w:hAnsi="宋体" w:eastAsia="宋体" w:cs="宋体"/>
          <w:color w:val="auto"/>
          <w:sz w:val="20"/>
          <w:szCs w:val="20"/>
          <w:highlight w:val="none"/>
          <w:shd w:val="clear" w:color="auto" w:fill="auto"/>
        </w:rPr>
      </w:pPr>
    </w:p>
    <w:p w14:paraId="4F036D97">
      <w:pPr>
        <w:spacing w:before="35" w:line="269" w:lineRule="exact"/>
        <w:ind w:left="1216"/>
        <w:jc w:val="both"/>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注：1、报价为包含所有相关费用（包含相配套的水质检测设备、远传监控设备和平台接入费用）的报价。</w:t>
      </w:r>
    </w:p>
    <w:p w14:paraId="6D22626C">
      <w:pPr>
        <w:spacing w:before="35" w:line="269" w:lineRule="exact"/>
        <w:ind w:left="1216"/>
        <w:jc w:val="both"/>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2、报价一经涂改，应在涂改处加盖单位公章或者由法定代表人或其授权代表签字或盖章，否则其投标作无效投标处理。</w:t>
      </w:r>
    </w:p>
    <w:p w14:paraId="1A89209C">
      <w:pPr>
        <w:spacing w:before="35" w:line="269" w:lineRule="exact"/>
        <w:ind w:left="1216"/>
        <w:jc w:val="both"/>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3、招标人不接受某一标项中有2个(含)以上的报价或方案，若投标人在此表中有2个（含）以上的报价或方案，其投标作无效投标处理。</w:t>
      </w:r>
    </w:p>
    <w:p w14:paraId="00CEB1B5">
      <w:pPr>
        <w:spacing w:before="35" w:line="269" w:lineRule="exact"/>
        <w:ind w:left="1216"/>
        <w:jc w:val="both"/>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4、投标人需按本表格式填写，如无对应内容，则填写：“无或/”。</w:t>
      </w:r>
    </w:p>
    <w:p w14:paraId="1B476835">
      <w:pPr>
        <w:spacing w:before="35" w:line="269" w:lineRule="exact"/>
        <w:ind w:left="1216"/>
        <w:jc w:val="both"/>
        <w:rPr>
          <w:rFonts w:hint="eastAsia" w:ascii="宋体" w:hAnsi="宋体" w:eastAsia="宋体" w:cs="宋体"/>
          <w:color w:val="auto"/>
          <w:sz w:val="20"/>
          <w:szCs w:val="20"/>
          <w:highlight w:val="none"/>
          <w:shd w:val="clear" w:color="auto" w:fill="auto"/>
        </w:rPr>
      </w:pPr>
    </w:p>
    <w:p w14:paraId="62C922E8">
      <w:pPr>
        <w:spacing w:before="35" w:line="269" w:lineRule="exact"/>
        <w:ind w:left="1216"/>
        <w:jc w:val="both"/>
        <w:rPr>
          <w:rFonts w:hint="eastAsia" w:ascii="宋体" w:hAnsi="宋体" w:eastAsia="宋体" w:cs="宋体"/>
          <w:color w:val="auto"/>
          <w:sz w:val="20"/>
          <w:szCs w:val="20"/>
          <w:highlight w:val="none"/>
          <w:shd w:val="clear" w:color="auto" w:fill="auto"/>
        </w:rPr>
      </w:pPr>
    </w:p>
    <w:p w14:paraId="12534C54">
      <w:pPr>
        <w:spacing w:before="1" w:line="373" w:lineRule="auto"/>
        <w:ind w:left="3334" w:right="84" w:firstLine="132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投标单位：</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 xml:space="preserve"> (盖章)</w:t>
      </w:r>
    </w:p>
    <w:p w14:paraId="2A7165DC">
      <w:pPr>
        <w:spacing w:before="1" w:line="373" w:lineRule="auto"/>
        <w:ind w:left="3334" w:right="84" w:firstLine="132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法定代表或委托代理人：(签字或盖章)</w:t>
      </w:r>
    </w:p>
    <w:p w14:paraId="63F0C1AB">
      <w:pPr>
        <w:tabs>
          <w:tab w:val="left" w:pos="6005"/>
        </w:tabs>
        <w:spacing w:before="178" w:line="384" w:lineRule="auto"/>
        <w:ind w:left="5271" w:right="63" w:hanging="593"/>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u w:val="single"/>
          <w:shd w:val="clear" w:color="auto" w:fill="auto"/>
        </w:rPr>
        <w:tab/>
      </w:r>
      <w:r>
        <w:rPr>
          <w:rFonts w:hint="eastAsia" w:ascii="宋体" w:hAnsi="宋体" w:eastAsia="宋体" w:cs="宋体"/>
          <w:color w:val="auto"/>
          <w:sz w:val="23"/>
          <w:szCs w:val="23"/>
          <w:highlight w:val="none"/>
          <w:shd w:val="clear" w:color="auto" w:fill="auto"/>
        </w:rPr>
        <w:t>年</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月</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日</w:t>
      </w:r>
    </w:p>
    <w:p w14:paraId="2CFD53F9">
      <w:pPr>
        <w:spacing w:before="35" w:line="269" w:lineRule="exact"/>
        <w:ind w:left="1216"/>
        <w:jc w:val="both"/>
        <w:rPr>
          <w:rFonts w:hint="eastAsia" w:ascii="宋体" w:hAnsi="宋体" w:eastAsia="宋体" w:cs="宋体"/>
          <w:color w:val="auto"/>
          <w:sz w:val="20"/>
          <w:szCs w:val="20"/>
          <w:highlight w:val="none"/>
          <w:shd w:val="clear" w:color="auto" w:fill="auto"/>
        </w:rPr>
      </w:pPr>
    </w:p>
    <w:p w14:paraId="377F26AF">
      <w:pPr>
        <w:spacing w:before="35" w:line="269" w:lineRule="exact"/>
        <w:ind w:left="1216"/>
        <w:jc w:val="both"/>
        <w:rPr>
          <w:rFonts w:hint="eastAsia" w:ascii="宋体" w:hAnsi="宋体" w:eastAsia="宋体" w:cs="宋体"/>
          <w:color w:val="auto"/>
          <w:sz w:val="20"/>
          <w:szCs w:val="20"/>
          <w:highlight w:val="none"/>
          <w:shd w:val="clear" w:color="auto" w:fill="auto"/>
        </w:rPr>
      </w:pPr>
    </w:p>
    <w:p w14:paraId="73805053">
      <w:pPr>
        <w:jc w:val="both"/>
        <w:rPr>
          <w:rFonts w:hint="eastAsia" w:ascii="宋体" w:hAnsi="宋体" w:eastAsia="宋体" w:cs="宋体"/>
          <w:color w:val="auto"/>
          <w:highlight w:val="none"/>
          <w:shd w:val="clear" w:color="auto" w:fill="auto"/>
        </w:rPr>
        <w:sectPr>
          <w:footerReference r:id="rId19" w:type="default"/>
          <w:pgSz w:w="16840" w:h="11907"/>
          <w:pgMar w:top="1418" w:right="1559" w:bottom="1418" w:left="1474" w:header="0" w:footer="722" w:gutter="0"/>
          <w:cols w:space="720" w:num="1"/>
        </w:sectPr>
      </w:pPr>
    </w:p>
    <w:p w14:paraId="48A2F4EE">
      <w:pPr>
        <w:keepNext w:val="0"/>
        <w:keepLines w:val="0"/>
        <w:widowControl/>
        <w:suppressLineNumbers w:val="0"/>
        <w:jc w:val="left"/>
        <w:rPr>
          <w:rFonts w:hint="eastAsia" w:ascii="宋体" w:hAnsi="宋体" w:eastAsia="宋体" w:cs="宋体"/>
          <w:color w:val="auto"/>
          <w:highlight w:val="none"/>
          <w:shd w:val="clear" w:color="auto" w:fill="auto"/>
        </w:rPr>
      </w:pPr>
      <w:bookmarkStart w:id="56" w:name="_bookmark19"/>
      <w:bookmarkEnd w:id="56"/>
      <w:r>
        <w:rPr>
          <w:rFonts w:hint="eastAsia" w:ascii="宋体" w:hAnsi="宋体" w:eastAsia="宋体" w:cs="宋体"/>
          <w:b/>
          <w:bCs/>
          <w:snapToGrid w:val="0"/>
          <w:color w:val="auto"/>
          <w:kern w:val="0"/>
          <w:sz w:val="28"/>
          <w:szCs w:val="28"/>
          <w:highlight w:val="none"/>
          <w:shd w:val="clear" w:color="auto" w:fill="auto"/>
          <w:lang w:val="en-US" w:eastAsia="zh-CN" w:bidi="ar"/>
        </w:rPr>
        <w:t>二、投标文件技术标格式</w:t>
      </w:r>
    </w:p>
    <w:p w14:paraId="45011D6E">
      <w:pPr>
        <w:spacing w:line="328" w:lineRule="auto"/>
        <w:jc w:val="both"/>
        <w:rPr>
          <w:rFonts w:hint="eastAsia" w:ascii="宋体" w:hAnsi="宋体" w:eastAsia="宋体" w:cs="宋体"/>
          <w:color w:val="auto"/>
          <w:highlight w:val="none"/>
          <w:shd w:val="clear" w:color="auto" w:fill="auto"/>
        </w:rPr>
      </w:pPr>
    </w:p>
    <w:p w14:paraId="2BE41503">
      <w:pPr>
        <w:rPr>
          <w:rFonts w:hint="eastAsia" w:ascii="宋体" w:hAnsi="宋体" w:eastAsia="宋体" w:cs="宋体"/>
          <w:color w:val="auto"/>
          <w:sz w:val="36"/>
          <w:szCs w:val="36"/>
          <w:highlight w:val="none"/>
          <w:shd w:val="clear" w:color="auto" w:fill="auto"/>
          <w:lang w:val="en-US" w:eastAsia="zh-CN"/>
        </w:rPr>
      </w:pPr>
      <w:r>
        <w:rPr>
          <w:rFonts w:hint="eastAsia" w:ascii="宋体" w:hAnsi="宋体" w:eastAsia="宋体" w:cs="宋体"/>
          <w:color w:val="auto"/>
          <w:sz w:val="36"/>
          <w:szCs w:val="36"/>
          <w:highlight w:val="none"/>
          <w:shd w:val="clear" w:color="auto" w:fill="auto"/>
          <w:lang w:val="en-US" w:eastAsia="zh-CN"/>
        </w:rPr>
        <w:t xml:space="preserve">封面                              □正  </w:t>
      </w:r>
      <w:r>
        <w:rPr>
          <w:rFonts w:hint="eastAsia" w:ascii="宋体" w:hAnsi="宋体" w:cs="宋体"/>
          <w:color w:val="auto"/>
          <w:sz w:val="36"/>
          <w:szCs w:val="36"/>
          <w:highlight w:val="none"/>
          <w:shd w:val="clear" w:color="auto" w:fill="auto"/>
          <w:lang w:val="en-US" w:eastAsia="zh-CN"/>
        </w:rPr>
        <w:t>□</w:t>
      </w:r>
      <w:r>
        <w:rPr>
          <w:rFonts w:hint="eastAsia" w:ascii="宋体" w:hAnsi="宋体" w:eastAsia="宋体" w:cs="宋体"/>
          <w:color w:val="auto"/>
          <w:sz w:val="36"/>
          <w:szCs w:val="36"/>
          <w:highlight w:val="none"/>
          <w:shd w:val="clear" w:color="auto" w:fill="auto"/>
          <w:lang w:val="en-US" w:eastAsia="zh-CN"/>
        </w:rPr>
        <w:t>副本</w:t>
      </w:r>
    </w:p>
    <w:p w14:paraId="2995603B">
      <w:pPr>
        <w:spacing w:line="360" w:lineRule="auto"/>
        <w:jc w:val="both"/>
        <w:rPr>
          <w:rFonts w:hint="eastAsia" w:ascii="宋体" w:hAnsi="宋体" w:eastAsia="宋体" w:cs="宋体"/>
          <w:color w:val="auto"/>
          <w:sz w:val="32"/>
          <w:szCs w:val="32"/>
          <w:highlight w:val="none"/>
          <w:shd w:val="clear" w:color="auto" w:fill="auto"/>
        </w:rPr>
      </w:pPr>
    </w:p>
    <w:p w14:paraId="5C5C6A97">
      <w:pPr>
        <w:spacing w:line="360" w:lineRule="auto"/>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u w:val="single"/>
          <w:shd w:val="clear" w:color="auto" w:fill="auto"/>
        </w:rPr>
        <w:t xml:space="preserve">                         </w:t>
      </w:r>
      <w:r>
        <w:rPr>
          <w:rFonts w:hint="eastAsia" w:ascii="宋体" w:hAnsi="宋体" w:eastAsia="宋体" w:cs="宋体"/>
          <w:color w:val="auto"/>
          <w:sz w:val="28"/>
          <w:szCs w:val="28"/>
          <w:highlight w:val="none"/>
          <w:shd w:val="clear" w:color="auto" w:fill="auto"/>
        </w:rPr>
        <w:t>（项目名称）项目</w:t>
      </w:r>
    </w:p>
    <w:p w14:paraId="3DDC0E83">
      <w:pPr>
        <w:spacing w:line="360" w:lineRule="auto"/>
        <w:jc w:val="center"/>
        <w:rPr>
          <w:rFonts w:hint="eastAsia" w:ascii="宋体" w:hAnsi="宋体" w:eastAsia="宋体" w:cs="宋体"/>
          <w:color w:val="auto"/>
          <w:sz w:val="44"/>
          <w:szCs w:val="44"/>
          <w:highlight w:val="none"/>
          <w:shd w:val="clear" w:color="auto" w:fill="auto"/>
        </w:rPr>
      </w:pPr>
      <w:r>
        <w:rPr>
          <w:rFonts w:hint="eastAsia" w:ascii="宋体" w:hAnsi="宋体" w:eastAsia="宋体" w:cs="宋体"/>
          <w:color w:val="auto"/>
          <w:sz w:val="44"/>
          <w:szCs w:val="44"/>
          <w:highlight w:val="none"/>
          <w:shd w:val="clear" w:color="auto" w:fill="auto"/>
        </w:rPr>
        <w:t>投  标  文  件</w:t>
      </w:r>
    </w:p>
    <w:p w14:paraId="2A0154A7">
      <w:pPr>
        <w:spacing w:line="360" w:lineRule="auto"/>
        <w:jc w:val="center"/>
        <w:rPr>
          <w:rFonts w:hint="eastAsia" w:ascii="宋体" w:hAnsi="宋体" w:eastAsia="宋体" w:cs="宋体"/>
          <w:color w:val="auto"/>
          <w:sz w:val="32"/>
          <w:szCs w:val="32"/>
          <w:highlight w:val="none"/>
          <w:shd w:val="clear" w:color="auto" w:fill="auto"/>
        </w:rPr>
      </w:pPr>
    </w:p>
    <w:p w14:paraId="39C1E882">
      <w:pPr>
        <w:spacing w:line="360" w:lineRule="auto"/>
        <w:jc w:val="center"/>
        <w:outlineLvl w:val="1"/>
        <w:rPr>
          <w:rFonts w:hint="eastAsia" w:ascii="宋体" w:hAnsi="宋体" w:eastAsia="宋体" w:cs="宋体"/>
          <w:color w:val="auto"/>
          <w:sz w:val="32"/>
          <w:szCs w:val="32"/>
          <w:highlight w:val="none"/>
          <w:shd w:val="clear" w:color="auto" w:fill="auto"/>
        </w:rPr>
      </w:pPr>
      <w:bookmarkStart w:id="57" w:name="_Toc96678567"/>
      <w:bookmarkStart w:id="58" w:name="_Toc4289"/>
      <w:r>
        <w:rPr>
          <w:rFonts w:hint="eastAsia" w:ascii="宋体" w:hAnsi="宋体" w:eastAsia="宋体" w:cs="宋体"/>
          <w:color w:val="auto"/>
          <w:sz w:val="32"/>
          <w:szCs w:val="32"/>
          <w:highlight w:val="none"/>
          <w:shd w:val="clear" w:color="auto" w:fill="auto"/>
        </w:rPr>
        <w:t>（技术标）</w:t>
      </w:r>
      <w:bookmarkEnd w:id="57"/>
      <w:bookmarkEnd w:id="58"/>
    </w:p>
    <w:p w14:paraId="4DF0AD73">
      <w:pPr>
        <w:spacing w:line="360" w:lineRule="auto"/>
        <w:jc w:val="center"/>
        <w:rPr>
          <w:rFonts w:hint="eastAsia" w:ascii="宋体" w:hAnsi="宋体" w:eastAsia="宋体" w:cs="宋体"/>
          <w:color w:val="auto"/>
          <w:sz w:val="32"/>
          <w:szCs w:val="32"/>
          <w:highlight w:val="none"/>
          <w:shd w:val="clear" w:color="auto" w:fill="auto"/>
        </w:rPr>
      </w:pPr>
    </w:p>
    <w:p w14:paraId="27ED99A4">
      <w:pPr>
        <w:spacing w:line="360" w:lineRule="auto"/>
        <w:jc w:val="center"/>
        <w:rPr>
          <w:rFonts w:hint="eastAsia" w:ascii="宋体" w:hAnsi="宋体" w:eastAsia="宋体" w:cs="宋体"/>
          <w:color w:val="auto"/>
          <w:sz w:val="32"/>
          <w:szCs w:val="32"/>
          <w:highlight w:val="none"/>
          <w:shd w:val="clear" w:color="auto" w:fill="auto"/>
        </w:rPr>
      </w:pPr>
    </w:p>
    <w:p w14:paraId="5A5F9446">
      <w:pPr>
        <w:spacing w:line="360" w:lineRule="auto"/>
        <w:jc w:val="center"/>
        <w:rPr>
          <w:rFonts w:hint="eastAsia" w:ascii="宋体" w:hAnsi="宋体" w:eastAsia="宋体" w:cs="宋体"/>
          <w:color w:val="auto"/>
          <w:sz w:val="32"/>
          <w:szCs w:val="32"/>
          <w:highlight w:val="none"/>
          <w:shd w:val="clear" w:color="auto" w:fill="auto"/>
        </w:rPr>
      </w:pPr>
    </w:p>
    <w:p w14:paraId="5F31D543">
      <w:pPr>
        <w:spacing w:line="360" w:lineRule="auto"/>
        <w:jc w:val="center"/>
        <w:rPr>
          <w:rFonts w:hint="eastAsia" w:ascii="宋体" w:hAnsi="宋体" w:eastAsia="宋体" w:cs="宋体"/>
          <w:color w:val="auto"/>
          <w:sz w:val="32"/>
          <w:szCs w:val="32"/>
          <w:highlight w:val="none"/>
          <w:shd w:val="clear" w:color="auto" w:fill="auto"/>
        </w:rPr>
      </w:pPr>
    </w:p>
    <w:p w14:paraId="5605AB02">
      <w:pPr>
        <w:spacing w:line="360" w:lineRule="auto"/>
        <w:jc w:val="center"/>
        <w:rPr>
          <w:rFonts w:hint="eastAsia" w:ascii="宋体" w:hAnsi="宋体" w:eastAsia="宋体" w:cs="宋体"/>
          <w:color w:val="auto"/>
          <w:sz w:val="32"/>
          <w:szCs w:val="32"/>
          <w:highlight w:val="none"/>
          <w:shd w:val="clear" w:color="auto" w:fill="auto"/>
        </w:rPr>
      </w:pPr>
    </w:p>
    <w:p w14:paraId="51482A91">
      <w:pPr>
        <w:spacing w:line="360" w:lineRule="auto"/>
        <w:jc w:val="center"/>
        <w:rPr>
          <w:rFonts w:hint="eastAsia" w:ascii="宋体" w:hAnsi="宋体" w:eastAsia="宋体" w:cs="宋体"/>
          <w:color w:val="auto"/>
          <w:sz w:val="32"/>
          <w:szCs w:val="32"/>
          <w:highlight w:val="none"/>
          <w:shd w:val="clear" w:color="auto" w:fill="auto"/>
        </w:rPr>
      </w:pPr>
    </w:p>
    <w:p w14:paraId="162B99C7">
      <w:pPr>
        <w:spacing w:line="360" w:lineRule="auto"/>
        <w:jc w:val="center"/>
        <w:rPr>
          <w:rFonts w:hint="eastAsia" w:ascii="宋体" w:hAnsi="宋体" w:eastAsia="宋体" w:cs="宋体"/>
          <w:color w:val="auto"/>
          <w:sz w:val="32"/>
          <w:szCs w:val="32"/>
          <w:highlight w:val="none"/>
          <w:shd w:val="clear" w:color="auto" w:fill="auto"/>
        </w:rPr>
      </w:pPr>
    </w:p>
    <w:p w14:paraId="51EC4FB7">
      <w:pPr>
        <w:spacing w:line="360" w:lineRule="auto"/>
        <w:ind w:left="566" w:hanging="566" w:hangingChars="177"/>
        <w:jc w:val="center"/>
        <w:rPr>
          <w:rFonts w:hint="eastAsia" w:ascii="宋体" w:hAnsi="宋体" w:eastAsia="宋体" w:cs="宋体"/>
          <w:color w:val="auto"/>
          <w:sz w:val="32"/>
          <w:szCs w:val="32"/>
          <w:highlight w:val="none"/>
          <w:shd w:val="clear" w:color="auto" w:fill="auto"/>
        </w:rPr>
      </w:pPr>
    </w:p>
    <w:p w14:paraId="19BC9B84">
      <w:pPr>
        <w:spacing w:line="360" w:lineRule="auto"/>
        <w:ind w:firstLine="565" w:firstLineChars="202"/>
        <w:rPr>
          <w:rFonts w:hint="eastAsia" w:ascii="宋体" w:hAnsi="宋体" w:eastAsia="宋体" w:cs="宋体"/>
          <w:color w:val="auto"/>
          <w:sz w:val="28"/>
          <w:szCs w:val="28"/>
          <w:highlight w:val="none"/>
          <w:shd w:val="clear" w:color="auto" w:fill="auto"/>
        </w:rPr>
      </w:pPr>
    </w:p>
    <w:p w14:paraId="174DC93F">
      <w:pPr>
        <w:spacing w:line="360" w:lineRule="auto"/>
        <w:ind w:firstLine="565" w:firstLineChars="202"/>
        <w:rPr>
          <w:rFonts w:hint="eastAsia" w:ascii="宋体" w:hAnsi="宋体" w:eastAsia="宋体" w:cs="宋体"/>
          <w:color w:val="auto"/>
          <w:sz w:val="28"/>
          <w:szCs w:val="28"/>
          <w:highlight w:val="none"/>
          <w:shd w:val="clear" w:color="auto" w:fill="auto"/>
        </w:rPr>
      </w:pPr>
    </w:p>
    <w:p w14:paraId="513FA8A8">
      <w:pPr>
        <w:spacing w:line="360" w:lineRule="auto"/>
        <w:ind w:firstLine="565" w:firstLineChars="202"/>
        <w:rPr>
          <w:rFonts w:hint="eastAsia" w:ascii="宋体" w:hAnsi="宋体" w:eastAsia="宋体" w:cs="宋体"/>
          <w:color w:val="auto"/>
          <w:sz w:val="28"/>
          <w:szCs w:val="28"/>
          <w:highlight w:val="none"/>
          <w:shd w:val="clear" w:color="auto" w:fill="auto"/>
        </w:rPr>
      </w:pPr>
    </w:p>
    <w:p w14:paraId="23755441">
      <w:pPr>
        <w:spacing w:line="360" w:lineRule="auto"/>
        <w:ind w:firstLine="565" w:firstLineChars="202"/>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投标人：</w:t>
      </w:r>
      <w:r>
        <w:rPr>
          <w:rFonts w:hint="eastAsia" w:ascii="宋体" w:hAnsi="宋体" w:eastAsia="宋体" w:cs="宋体"/>
          <w:color w:val="auto"/>
          <w:sz w:val="28"/>
          <w:szCs w:val="28"/>
          <w:highlight w:val="none"/>
          <w:u w:val="single"/>
          <w:shd w:val="clear" w:color="auto" w:fill="auto"/>
        </w:rPr>
        <w:t xml:space="preserve">            </w:t>
      </w:r>
      <w:r>
        <w:rPr>
          <w:rFonts w:hint="eastAsia" w:ascii="宋体" w:hAnsi="宋体" w:eastAsia="宋体" w:cs="宋体"/>
          <w:color w:val="auto"/>
          <w:sz w:val="28"/>
          <w:szCs w:val="28"/>
          <w:highlight w:val="none"/>
          <w:shd w:val="clear" w:color="auto" w:fill="auto"/>
        </w:rPr>
        <w:t>（盖单位章）</w:t>
      </w:r>
    </w:p>
    <w:p w14:paraId="0E037D76">
      <w:pPr>
        <w:spacing w:line="360" w:lineRule="auto"/>
        <w:ind w:firstLine="565" w:firstLineChars="202"/>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法定代表人或其授权代表：</w:t>
      </w:r>
      <w:r>
        <w:rPr>
          <w:rFonts w:hint="eastAsia" w:ascii="宋体" w:hAnsi="宋体" w:eastAsia="宋体" w:cs="宋体"/>
          <w:color w:val="auto"/>
          <w:sz w:val="28"/>
          <w:szCs w:val="28"/>
          <w:highlight w:val="none"/>
          <w:u w:val="single"/>
          <w:shd w:val="clear" w:color="auto" w:fill="auto"/>
        </w:rPr>
        <w:t xml:space="preserve">        </w:t>
      </w:r>
      <w:r>
        <w:rPr>
          <w:rFonts w:hint="eastAsia" w:ascii="宋体" w:hAnsi="宋体" w:eastAsia="宋体" w:cs="宋体"/>
          <w:color w:val="auto"/>
          <w:sz w:val="28"/>
          <w:szCs w:val="28"/>
          <w:highlight w:val="none"/>
          <w:shd w:val="clear" w:color="auto" w:fill="auto"/>
        </w:rPr>
        <w:t>（签字或盖章）</w:t>
      </w:r>
    </w:p>
    <w:p w14:paraId="31B2E16A">
      <w:pPr>
        <w:spacing w:line="360" w:lineRule="auto"/>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年   月   日</w:t>
      </w:r>
    </w:p>
    <w:p w14:paraId="07F6AB03">
      <w:pPr>
        <w:spacing w:line="328" w:lineRule="auto"/>
        <w:jc w:val="both"/>
        <w:rPr>
          <w:rFonts w:hint="eastAsia" w:ascii="宋体" w:hAnsi="宋体" w:eastAsia="宋体" w:cs="宋体"/>
          <w:color w:val="auto"/>
          <w:highlight w:val="none"/>
          <w:shd w:val="clear" w:color="auto" w:fill="auto"/>
        </w:rPr>
      </w:pPr>
    </w:p>
    <w:p w14:paraId="61F2CCA9">
      <w:pPr>
        <w:spacing w:line="328" w:lineRule="auto"/>
        <w:jc w:val="both"/>
        <w:rPr>
          <w:rFonts w:hint="eastAsia" w:ascii="宋体" w:hAnsi="宋体" w:eastAsia="宋体" w:cs="宋体"/>
          <w:color w:val="auto"/>
          <w:highlight w:val="none"/>
          <w:shd w:val="clear" w:color="auto" w:fill="auto"/>
        </w:rPr>
      </w:pPr>
    </w:p>
    <w:p w14:paraId="22F49A85">
      <w:pPr>
        <w:spacing w:line="328" w:lineRule="auto"/>
        <w:jc w:val="both"/>
        <w:rPr>
          <w:rFonts w:hint="eastAsia" w:ascii="宋体" w:hAnsi="宋体" w:eastAsia="宋体" w:cs="宋体"/>
          <w:color w:val="auto"/>
          <w:highlight w:val="none"/>
          <w:shd w:val="clear" w:color="auto" w:fill="auto"/>
        </w:rPr>
      </w:pPr>
    </w:p>
    <w:p w14:paraId="3AE6D504">
      <w:pPr>
        <w:spacing w:line="328" w:lineRule="auto"/>
        <w:jc w:val="both"/>
        <w:rPr>
          <w:rFonts w:hint="eastAsia" w:ascii="宋体" w:hAnsi="宋体" w:eastAsia="宋体" w:cs="宋体"/>
          <w:color w:val="auto"/>
          <w:highlight w:val="none"/>
          <w:shd w:val="clear" w:color="auto" w:fill="auto"/>
        </w:rPr>
      </w:pPr>
    </w:p>
    <w:p w14:paraId="601E34F8">
      <w:pPr>
        <w:spacing w:before="91" w:line="221" w:lineRule="auto"/>
        <w:ind w:left="578"/>
        <w:jc w:val="both"/>
        <w:outlineLvl w:val="1"/>
        <w:rPr>
          <w:rFonts w:hint="eastAsia" w:ascii="宋体" w:hAnsi="宋体" w:eastAsia="宋体" w:cs="宋体"/>
          <w:color w:val="auto"/>
          <w:sz w:val="28"/>
          <w:szCs w:val="28"/>
          <w:highlight w:val="none"/>
          <w:shd w:val="clear" w:color="auto" w:fill="auto"/>
        </w:rPr>
      </w:pPr>
      <w:bookmarkStart w:id="59" w:name="_bookmark20"/>
      <w:bookmarkEnd w:id="59"/>
      <w:r>
        <w:rPr>
          <w:rFonts w:hint="eastAsia" w:ascii="宋体" w:hAnsi="宋体" w:eastAsia="宋体" w:cs="宋体"/>
          <w:color w:val="auto"/>
          <w:sz w:val="28"/>
          <w:szCs w:val="28"/>
          <w:highlight w:val="none"/>
          <w:shd w:val="clear" w:color="auto" w:fill="auto"/>
        </w:rPr>
        <w:t>格式</w:t>
      </w:r>
      <w:r>
        <w:rPr>
          <w:rFonts w:hint="eastAsia" w:ascii="宋体" w:hAnsi="宋体" w:eastAsia="宋体" w:cs="宋体"/>
          <w:color w:val="auto"/>
          <w:sz w:val="28"/>
          <w:szCs w:val="28"/>
          <w:highlight w:val="none"/>
          <w:shd w:val="clear" w:color="auto" w:fill="auto"/>
          <w:lang w:val="en-US" w:eastAsia="zh-CN"/>
        </w:rPr>
        <w:t>三</w:t>
      </w:r>
      <w:r>
        <w:rPr>
          <w:rFonts w:hint="eastAsia" w:ascii="宋体" w:hAnsi="宋体" w:eastAsia="宋体" w:cs="宋体"/>
          <w:color w:val="auto"/>
          <w:sz w:val="28"/>
          <w:szCs w:val="28"/>
          <w:highlight w:val="none"/>
          <w:shd w:val="clear" w:color="auto" w:fill="auto"/>
        </w:rPr>
        <w:t>：打分资料一览表</w:t>
      </w:r>
    </w:p>
    <w:p w14:paraId="48A81FEB">
      <w:pPr>
        <w:spacing w:before="312" w:line="227" w:lineRule="auto"/>
        <w:ind w:left="298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投标人提供的评审打分资料一览表</w:t>
      </w:r>
    </w:p>
    <w:p w14:paraId="03C9D087">
      <w:pPr>
        <w:jc w:val="both"/>
        <w:rPr>
          <w:rFonts w:hint="eastAsia" w:ascii="宋体" w:hAnsi="宋体" w:eastAsia="宋体" w:cs="宋体"/>
          <w:color w:val="auto"/>
          <w:highlight w:val="none"/>
          <w:shd w:val="clear" w:color="auto" w:fill="auto"/>
        </w:rPr>
      </w:pPr>
    </w:p>
    <w:p w14:paraId="404F1D23">
      <w:pPr>
        <w:spacing w:line="210" w:lineRule="exact"/>
        <w:jc w:val="both"/>
        <w:rPr>
          <w:rFonts w:hint="eastAsia" w:ascii="宋体" w:hAnsi="宋体" w:eastAsia="宋体" w:cs="宋体"/>
          <w:color w:val="auto"/>
          <w:highlight w:val="none"/>
          <w:shd w:val="clear" w:color="auto" w:fill="auto"/>
        </w:rPr>
      </w:pPr>
    </w:p>
    <w:tbl>
      <w:tblPr>
        <w:tblStyle w:val="42"/>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4675"/>
        <w:gridCol w:w="1700"/>
        <w:gridCol w:w="1705"/>
      </w:tblGrid>
      <w:tr w14:paraId="7C849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139" w:type="dxa"/>
            <w:noWrap w:val="0"/>
            <w:vAlign w:val="top"/>
          </w:tcPr>
          <w:p w14:paraId="7A474B45">
            <w:pPr>
              <w:spacing w:before="231" w:line="230" w:lineRule="auto"/>
              <w:ind w:left="336"/>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序号</w:t>
            </w:r>
          </w:p>
        </w:tc>
        <w:tc>
          <w:tcPr>
            <w:tcW w:w="4675" w:type="dxa"/>
            <w:noWrap w:val="0"/>
            <w:vAlign w:val="top"/>
          </w:tcPr>
          <w:p w14:paraId="4680DC0F">
            <w:pPr>
              <w:spacing w:before="231" w:line="229" w:lineRule="auto"/>
              <w:ind w:left="1874"/>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资料名称</w:t>
            </w:r>
          </w:p>
        </w:tc>
        <w:tc>
          <w:tcPr>
            <w:tcW w:w="1700" w:type="dxa"/>
            <w:noWrap w:val="0"/>
            <w:vAlign w:val="top"/>
          </w:tcPr>
          <w:p w14:paraId="3C5E0257">
            <w:pPr>
              <w:spacing w:before="231" w:line="228" w:lineRule="auto"/>
              <w:ind w:left="558"/>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共页</w:t>
            </w:r>
          </w:p>
        </w:tc>
        <w:tc>
          <w:tcPr>
            <w:tcW w:w="1705" w:type="dxa"/>
            <w:noWrap w:val="0"/>
            <w:vAlign w:val="top"/>
          </w:tcPr>
          <w:p w14:paraId="35DC432A">
            <w:pPr>
              <w:spacing w:before="231" w:line="230" w:lineRule="auto"/>
              <w:ind w:left="50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备注</w:t>
            </w:r>
          </w:p>
        </w:tc>
      </w:tr>
      <w:tr w14:paraId="48488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39" w:type="dxa"/>
            <w:noWrap w:val="0"/>
            <w:vAlign w:val="top"/>
          </w:tcPr>
          <w:p w14:paraId="2FEB8ACC">
            <w:pPr>
              <w:jc w:val="both"/>
              <w:rPr>
                <w:rFonts w:hint="eastAsia" w:ascii="宋体" w:hAnsi="宋体" w:eastAsia="宋体" w:cs="宋体"/>
                <w:color w:val="auto"/>
                <w:highlight w:val="none"/>
                <w:shd w:val="clear" w:color="auto" w:fill="auto"/>
              </w:rPr>
            </w:pPr>
          </w:p>
        </w:tc>
        <w:tc>
          <w:tcPr>
            <w:tcW w:w="4675" w:type="dxa"/>
            <w:noWrap w:val="0"/>
            <w:vAlign w:val="top"/>
          </w:tcPr>
          <w:p w14:paraId="303B0BBD">
            <w:pPr>
              <w:jc w:val="both"/>
              <w:rPr>
                <w:rFonts w:hint="eastAsia" w:ascii="宋体" w:hAnsi="宋体" w:eastAsia="宋体" w:cs="宋体"/>
                <w:color w:val="auto"/>
                <w:highlight w:val="none"/>
                <w:shd w:val="clear" w:color="auto" w:fill="auto"/>
              </w:rPr>
            </w:pPr>
          </w:p>
        </w:tc>
        <w:tc>
          <w:tcPr>
            <w:tcW w:w="1700" w:type="dxa"/>
            <w:noWrap w:val="0"/>
            <w:vAlign w:val="top"/>
          </w:tcPr>
          <w:p w14:paraId="0635726F">
            <w:pPr>
              <w:jc w:val="both"/>
              <w:rPr>
                <w:rFonts w:hint="eastAsia" w:ascii="宋体" w:hAnsi="宋体" w:eastAsia="宋体" w:cs="宋体"/>
                <w:color w:val="auto"/>
                <w:highlight w:val="none"/>
                <w:shd w:val="clear" w:color="auto" w:fill="auto"/>
              </w:rPr>
            </w:pPr>
          </w:p>
        </w:tc>
        <w:tc>
          <w:tcPr>
            <w:tcW w:w="1705" w:type="dxa"/>
            <w:noWrap w:val="0"/>
            <w:vAlign w:val="top"/>
          </w:tcPr>
          <w:p w14:paraId="4D5FB9E5">
            <w:pPr>
              <w:jc w:val="both"/>
              <w:rPr>
                <w:rFonts w:hint="eastAsia" w:ascii="宋体" w:hAnsi="宋体" w:eastAsia="宋体" w:cs="宋体"/>
                <w:color w:val="auto"/>
                <w:highlight w:val="none"/>
                <w:shd w:val="clear" w:color="auto" w:fill="auto"/>
              </w:rPr>
            </w:pPr>
          </w:p>
        </w:tc>
      </w:tr>
      <w:tr w14:paraId="3A7EC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39" w:type="dxa"/>
            <w:noWrap w:val="0"/>
            <w:vAlign w:val="top"/>
          </w:tcPr>
          <w:p w14:paraId="66C0E198">
            <w:pPr>
              <w:jc w:val="both"/>
              <w:rPr>
                <w:rFonts w:hint="eastAsia" w:ascii="宋体" w:hAnsi="宋体" w:eastAsia="宋体" w:cs="宋体"/>
                <w:color w:val="auto"/>
                <w:highlight w:val="none"/>
                <w:shd w:val="clear" w:color="auto" w:fill="auto"/>
              </w:rPr>
            </w:pPr>
          </w:p>
        </w:tc>
        <w:tc>
          <w:tcPr>
            <w:tcW w:w="4675" w:type="dxa"/>
            <w:noWrap w:val="0"/>
            <w:vAlign w:val="top"/>
          </w:tcPr>
          <w:p w14:paraId="1A76F0CC">
            <w:pPr>
              <w:jc w:val="both"/>
              <w:rPr>
                <w:rFonts w:hint="eastAsia" w:ascii="宋体" w:hAnsi="宋体" w:eastAsia="宋体" w:cs="宋体"/>
                <w:color w:val="auto"/>
                <w:highlight w:val="none"/>
                <w:shd w:val="clear" w:color="auto" w:fill="auto"/>
              </w:rPr>
            </w:pPr>
          </w:p>
        </w:tc>
        <w:tc>
          <w:tcPr>
            <w:tcW w:w="1700" w:type="dxa"/>
            <w:noWrap w:val="0"/>
            <w:vAlign w:val="top"/>
          </w:tcPr>
          <w:p w14:paraId="2B722EC1">
            <w:pPr>
              <w:jc w:val="both"/>
              <w:rPr>
                <w:rFonts w:hint="eastAsia" w:ascii="宋体" w:hAnsi="宋体" w:eastAsia="宋体" w:cs="宋体"/>
                <w:color w:val="auto"/>
                <w:highlight w:val="none"/>
                <w:shd w:val="clear" w:color="auto" w:fill="auto"/>
              </w:rPr>
            </w:pPr>
          </w:p>
        </w:tc>
        <w:tc>
          <w:tcPr>
            <w:tcW w:w="1705" w:type="dxa"/>
            <w:noWrap w:val="0"/>
            <w:vAlign w:val="top"/>
          </w:tcPr>
          <w:p w14:paraId="1DA0A90B">
            <w:pPr>
              <w:jc w:val="both"/>
              <w:rPr>
                <w:rFonts w:hint="eastAsia" w:ascii="宋体" w:hAnsi="宋体" w:eastAsia="宋体" w:cs="宋体"/>
                <w:color w:val="auto"/>
                <w:highlight w:val="none"/>
                <w:shd w:val="clear" w:color="auto" w:fill="auto"/>
              </w:rPr>
            </w:pPr>
          </w:p>
        </w:tc>
      </w:tr>
      <w:tr w14:paraId="211DF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39" w:type="dxa"/>
            <w:noWrap w:val="0"/>
            <w:vAlign w:val="top"/>
          </w:tcPr>
          <w:p w14:paraId="1634E99A">
            <w:pPr>
              <w:jc w:val="both"/>
              <w:rPr>
                <w:rFonts w:hint="eastAsia" w:ascii="宋体" w:hAnsi="宋体" w:eastAsia="宋体" w:cs="宋体"/>
                <w:color w:val="auto"/>
                <w:highlight w:val="none"/>
                <w:shd w:val="clear" w:color="auto" w:fill="auto"/>
              </w:rPr>
            </w:pPr>
          </w:p>
        </w:tc>
        <w:tc>
          <w:tcPr>
            <w:tcW w:w="4675" w:type="dxa"/>
            <w:noWrap w:val="0"/>
            <w:vAlign w:val="top"/>
          </w:tcPr>
          <w:p w14:paraId="27444AC4">
            <w:pPr>
              <w:jc w:val="both"/>
              <w:rPr>
                <w:rFonts w:hint="eastAsia" w:ascii="宋体" w:hAnsi="宋体" w:eastAsia="宋体" w:cs="宋体"/>
                <w:color w:val="auto"/>
                <w:highlight w:val="none"/>
                <w:shd w:val="clear" w:color="auto" w:fill="auto"/>
              </w:rPr>
            </w:pPr>
          </w:p>
        </w:tc>
        <w:tc>
          <w:tcPr>
            <w:tcW w:w="1700" w:type="dxa"/>
            <w:noWrap w:val="0"/>
            <w:vAlign w:val="top"/>
          </w:tcPr>
          <w:p w14:paraId="1962F0E0">
            <w:pPr>
              <w:jc w:val="both"/>
              <w:rPr>
                <w:rFonts w:hint="eastAsia" w:ascii="宋体" w:hAnsi="宋体" w:eastAsia="宋体" w:cs="宋体"/>
                <w:color w:val="auto"/>
                <w:highlight w:val="none"/>
                <w:shd w:val="clear" w:color="auto" w:fill="auto"/>
              </w:rPr>
            </w:pPr>
          </w:p>
        </w:tc>
        <w:tc>
          <w:tcPr>
            <w:tcW w:w="1705" w:type="dxa"/>
            <w:noWrap w:val="0"/>
            <w:vAlign w:val="top"/>
          </w:tcPr>
          <w:p w14:paraId="0084C57E">
            <w:pPr>
              <w:jc w:val="both"/>
              <w:rPr>
                <w:rFonts w:hint="eastAsia" w:ascii="宋体" w:hAnsi="宋体" w:eastAsia="宋体" w:cs="宋体"/>
                <w:color w:val="auto"/>
                <w:highlight w:val="none"/>
                <w:shd w:val="clear" w:color="auto" w:fill="auto"/>
              </w:rPr>
            </w:pPr>
          </w:p>
        </w:tc>
      </w:tr>
      <w:tr w14:paraId="2A252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39" w:type="dxa"/>
            <w:noWrap w:val="0"/>
            <w:vAlign w:val="top"/>
          </w:tcPr>
          <w:p w14:paraId="537AC5B4">
            <w:pPr>
              <w:jc w:val="both"/>
              <w:rPr>
                <w:rFonts w:hint="eastAsia" w:ascii="宋体" w:hAnsi="宋体" w:eastAsia="宋体" w:cs="宋体"/>
                <w:color w:val="auto"/>
                <w:highlight w:val="none"/>
                <w:shd w:val="clear" w:color="auto" w:fill="auto"/>
              </w:rPr>
            </w:pPr>
          </w:p>
        </w:tc>
        <w:tc>
          <w:tcPr>
            <w:tcW w:w="4675" w:type="dxa"/>
            <w:noWrap w:val="0"/>
            <w:vAlign w:val="top"/>
          </w:tcPr>
          <w:p w14:paraId="1022ACD4">
            <w:pPr>
              <w:jc w:val="both"/>
              <w:rPr>
                <w:rFonts w:hint="eastAsia" w:ascii="宋体" w:hAnsi="宋体" w:eastAsia="宋体" w:cs="宋体"/>
                <w:color w:val="auto"/>
                <w:highlight w:val="none"/>
                <w:shd w:val="clear" w:color="auto" w:fill="auto"/>
              </w:rPr>
            </w:pPr>
          </w:p>
        </w:tc>
        <w:tc>
          <w:tcPr>
            <w:tcW w:w="1700" w:type="dxa"/>
            <w:noWrap w:val="0"/>
            <w:vAlign w:val="top"/>
          </w:tcPr>
          <w:p w14:paraId="60BFC05B">
            <w:pPr>
              <w:jc w:val="both"/>
              <w:rPr>
                <w:rFonts w:hint="eastAsia" w:ascii="宋体" w:hAnsi="宋体" w:eastAsia="宋体" w:cs="宋体"/>
                <w:color w:val="auto"/>
                <w:highlight w:val="none"/>
                <w:shd w:val="clear" w:color="auto" w:fill="auto"/>
              </w:rPr>
            </w:pPr>
          </w:p>
        </w:tc>
        <w:tc>
          <w:tcPr>
            <w:tcW w:w="1705" w:type="dxa"/>
            <w:noWrap w:val="0"/>
            <w:vAlign w:val="top"/>
          </w:tcPr>
          <w:p w14:paraId="55593861">
            <w:pPr>
              <w:jc w:val="both"/>
              <w:rPr>
                <w:rFonts w:hint="eastAsia" w:ascii="宋体" w:hAnsi="宋体" w:eastAsia="宋体" w:cs="宋体"/>
                <w:color w:val="auto"/>
                <w:highlight w:val="none"/>
                <w:shd w:val="clear" w:color="auto" w:fill="auto"/>
              </w:rPr>
            </w:pPr>
          </w:p>
        </w:tc>
      </w:tr>
      <w:tr w14:paraId="5D3E9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139" w:type="dxa"/>
            <w:noWrap w:val="0"/>
            <w:vAlign w:val="top"/>
          </w:tcPr>
          <w:p w14:paraId="36A03925">
            <w:pPr>
              <w:jc w:val="both"/>
              <w:rPr>
                <w:rFonts w:hint="eastAsia" w:ascii="宋体" w:hAnsi="宋体" w:eastAsia="宋体" w:cs="宋体"/>
                <w:color w:val="auto"/>
                <w:highlight w:val="none"/>
                <w:shd w:val="clear" w:color="auto" w:fill="auto"/>
              </w:rPr>
            </w:pPr>
          </w:p>
        </w:tc>
        <w:tc>
          <w:tcPr>
            <w:tcW w:w="4675" w:type="dxa"/>
            <w:noWrap w:val="0"/>
            <w:vAlign w:val="top"/>
          </w:tcPr>
          <w:p w14:paraId="3B84C84D">
            <w:pPr>
              <w:jc w:val="both"/>
              <w:rPr>
                <w:rFonts w:hint="eastAsia" w:ascii="宋体" w:hAnsi="宋体" w:eastAsia="宋体" w:cs="宋体"/>
                <w:color w:val="auto"/>
                <w:highlight w:val="none"/>
                <w:shd w:val="clear" w:color="auto" w:fill="auto"/>
              </w:rPr>
            </w:pPr>
          </w:p>
        </w:tc>
        <w:tc>
          <w:tcPr>
            <w:tcW w:w="1700" w:type="dxa"/>
            <w:noWrap w:val="0"/>
            <w:vAlign w:val="top"/>
          </w:tcPr>
          <w:p w14:paraId="4F88B048">
            <w:pPr>
              <w:jc w:val="both"/>
              <w:rPr>
                <w:rFonts w:hint="eastAsia" w:ascii="宋体" w:hAnsi="宋体" w:eastAsia="宋体" w:cs="宋体"/>
                <w:color w:val="auto"/>
                <w:highlight w:val="none"/>
                <w:shd w:val="clear" w:color="auto" w:fill="auto"/>
              </w:rPr>
            </w:pPr>
          </w:p>
        </w:tc>
        <w:tc>
          <w:tcPr>
            <w:tcW w:w="1705" w:type="dxa"/>
            <w:noWrap w:val="0"/>
            <w:vAlign w:val="top"/>
          </w:tcPr>
          <w:p w14:paraId="7B38F704">
            <w:pPr>
              <w:jc w:val="both"/>
              <w:rPr>
                <w:rFonts w:hint="eastAsia" w:ascii="宋体" w:hAnsi="宋体" w:eastAsia="宋体" w:cs="宋体"/>
                <w:color w:val="auto"/>
                <w:highlight w:val="none"/>
                <w:shd w:val="clear" w:color="auto" w:fill="auto"/>
              </w:rPr>
            </w:pPr>
          </w:p>
        </w:tc>
      </w:tr>
      <w:tr w14:paraId="25260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139" w:type="dxa"/>
            <w:noWrap w:val="0"/>
            <w:vAlign w:val="top"/>
          </w:tcPr>
          <w:p w14:paraId="54CB18FC">
            <w:pPr>
              <w:jc w:val="both"/>
              <w:rPr>
                <w:rFonts w:hint="eastAsia" w:ascii="宋体" w:hAnsi="宋体" w:eastAsia="宋体" w:cs="宋体"/>
                <w:color w:val="auto"/>
                <w:highlight w:val="none"/>
                <w:shd w:val="clear" w:color="auto" w:fill="auto"/>
              </w:rPr>
            </w:pPr>
          </w:p>
        </w:tc>
        <w:tc>
          <w:tcPr>
            <w:tcW w:w="4675" w:type="dxa"/>
            <w:noWrap w:val="0"/>
            <w:vAlign w:val="top"/>
          </w:tcPr>
          <w:p w14:paraId="2EE38716">
            <w:pPr>
              <w:jc w:val="both"/>
              <w:rPr>
                <w:rFonts w:hint="eastAsia" w:ascii="宋体" w:hAnsi="宋体" w:eastAsia="宋体" w:cs="宋体"/>
                <w:color w:val="auto"/>
                <w:highlight w:val="none"/>
                <w:shd w:val="clear" w:color="auto" w:fill="auto"/>
              </w:rPr>
            </w:pPr>
          </w:p>
        </w:tc>
        <w:tc>
          <w:tcPr>
            <w:tcW w:w="1700" w:type="dxa"/>
            <w:noWrap w:val="0"/>
            <w:vAlign w:val="top"/>
          </w:tcPr>
          <w:p w14:paraId="261E17DB">
            <w:pPr>
              <w:jc w:val="both"/>
              <w:rPr>
                <w:rFonts w:hint="eastAsia" w:ascii="宋体" w:hAnsi="宋体" w:eastAsia="宋体" w:cs="宋体"/>
                <w:color w:val="auto"/>
                <w:highlight w:val="none"/>
                <w:shd w:val="clear" w:color="auto" w:fill="auto"/>
              </w:rPr>
            </w:pPr>
          </w:p>
        </w:tc>
        <w:tc>
          <w:tcPr>
            <w:tcW w:w="1705" w:type="dxa"/>
            <w:noWrap w:val="0"/>
            <w:vAlign w:val="top"/>
          </w:tcPr>
          <w:p w14:paraId="232FA592">
            <w:pPr>
              <w:jc w:val="both"/>
              <w:rPr>
                <w:rFonts w:hint="eastAsia" w:ascii="宋体" w:hAnsi="宋体" w:eastAsia="宋体" w:cs="宋体"/>
                <w:color w:val="auto"/>
                <w:highlight w:val="none"/>
                <w:shd w:val="clear" w:color="auto" w:fill="auto"/>
              </w:rPr>
            </w:pPr>
          </w:p>
        </w:tc>
      </w:tr>
      <w:tr w14:paraId="6E725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139" w:type="dxa"/>
            <w:noWrap w:val="0"/>
            <w:vAlign w:val="top"/>
          </w:tcPr>
          <w:p w14:paraId="334CDD2E">
            <w:pPr>
              <w:jc w:val="both"/>
              <w:rPr>
                <w:rFonts w:hint="eastAsia" w:ascii="宋体" w:hAnsi="宋体" w:eastAsia="宋体" w:cs="宋体"/>
                <w:color w:val="auto"/>
                <w:highlight w:val="none"/>
                <w:shd w:val="clear" w:color="auto" w:fill="auto"/>
              </w:rPr>
            </w:pPr>
          </w:p>
        </w:tc>
        <w:tc>
          <w:tcPr>
            <w:tcW w:w="4675" w:type="dxa"/>
            <w:noWrap w:val="0"/>
            <w:vAlign w:val="top"/>
          </w:tcPr>
          <w:p w14:paraId="27BF16CE">
            <w:pPr>
              <w:jc w:val="both"/>
              <w:rPr>
                <w:rFonts w:hint="eastAsia" w:ascii="宋体" w:hAnsi="宋体" w:eastAsia="宋体" w:cs="宋体"/>
                <w:color w:val="auto"/>
                <w:highlight w:val="none"/>
                <w:shd w:val="clear" w:color="auto" w:fill="auto"/>
              </w:rPr>
            </w:pPr>
          </w:p>
        </w:tc>
        <w:tc>
          <w:tcPr>
            <w:tcW w:w="1700" w:type="dxa"/>
            <w:noWrap w:val="0"/>
            <w:vAlign w:val="top"/>
          </w:tcPr>
          <w:p w14:paraId="6595387C">
            <w:pPr>
              <w:jc w:val="both"/>
              <w:rPr>
                <w:rFonts w:hint="eastAsia" w:ascii="宋体" w:hAnsi="宋体" w:eastAsia="宋体" w:cs="宋体"/>
                <w:color w:val="auto"/>
                <w:highlight w:val="none"/>
                <w:shd w:val="clear" w:color="auto" w:fill="auto"/>
              </w:rPr>
            </w:pPr>
          </w:p>
        </w:tc>
        <w:tc>
          <w:tcPr>
            <w:tcW w:w="1705" w:type="dxa"/>
            <w:noWrap w:val="0"/>
            <w:vAlign w:val="top"/>
          </w:tcPr>
          <w:p w14:paraId="73993E21">
            <w:pPr>
              <w:jc w:val="both"/>
              <w:rPr>
                <w:rFonts w:hint="eastAsia" w:ascii="宋体" w:hAnsi="宋体" w:eastAsia="宋体" w:cs="宋体"/>
                <w:color w:val="auto"/>
                <w:highlight w:val="none"/>
                <w:shd w:val="clear" w:color="auto" w:fill="auto"/>
              </w:rPr>
            </w:pPr>
          </w:p>
        </w:tc>
      </w:tr>
    </w:tbl>
    <w:p w14:paraId="57C1A37A">
      <w:pPr>
        <w:spacing w:before="146" w:line="232" w:lineRule="auto"/>
        <w:ind w:left="538"/>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注：本表请按投标人须知前附表3.5.7“二、评审打分资料”内容填写。</w:t>
      </w:r>
    </w:p>
    <w:p w14:paraId="4D02C73D">
      <w:pPr>
        <w:spacing w:line="255" w:lineRule="auto"/>
        <w:jc w:val="both"/>
        <w:rPr>
          <w:rFonts w:hint="eastAsia" w:ascii="宋体" w:hAnsi="宋体" w:eastAsia="宋体" w:cs="宋体"/>
          <w:color w:val="auto"/>
          <w:highlight w:val="none"/>
          <w:shd w:val="clear" w:color="auto" w:fill="auto"/>
        </w:rPr>
      </w:pPr>
    </w:p>
    <w:p w14:paraId="7ECB92E4">
      <w:pPr>
        <w:spacing w:line="255" w:lineRule="auto"/>
        <w:jc w:val="both"/>
        <w:rPr>
          <w:rFonts w:hint="eastAsia" w:ascii="宋体" w:hAnsi="宋体" w:eastAsia="宋体" w:cs="宋体"/>
          <w:color w:val="auto"/>
          <w:highlight w:val="none"/>
          <w:shd w:val="clear" w:color="auto" w:fill="auto"/>
        </w:rPr>
      </w:pPr>
    </w:p>
    <w:p w14:paraId="2F5E0707">
      <w:pPr>
        <w:spacing w:line="255" w:lineRule="auto"/>
        <w:jc w:val="both"/>
        <w:rPr>
          <w:rFonts w:hint="eastAsia" w:ascii="宋体" w:hAnsi="宋体" w:eastAsia="宋体" w:cs="宋体"/>
          <w:color w:val="auto"/>
          <w:highlight w:val="none"/>
          <w:shd w:val="clear" w:color="auto" w:fill="auto"/>
        </w:rPr>
      </w:pPr>
    </w:p>
    <w:p w14:paraId="581E07DA">
      <w:pPr>
        <w:spacing w:line="255" w:lineRule="auto"/>
        <w:jc w:val="both"/>
        <w:rPr>
          <w:rFonts w:hint="eastAsia" w:ascii="宋体" w:hAnsi="宋体" w:eastAsia="宋体" w:cs="宋体"/>
          <w:color w:val="auto"/>
          <w:highlight w:val="none"/>
          <w:shd w:val="clear" w:color="auto" w:fill="auto"/>
        </w:rPr>
      </w:pPr>
    </w:p>
    <w:p w14:paraId="55E9E76D">
      <w:pPr>
        <w:spacing w:line="256" w:lineRule="auto"/>
        <w:jc w:val="both"/>
        <w:rPr>
          <w:rFonts w:hint="eastAsia" w:ascii="宋体" w:hAnsi="宋体" w:eastAsia="宋体" w:cs="宋体"/>
          <w:color w:val="auto"/>
          <w:highlight w:val="none"/>
          <w:shd w:val="clear" w:color="auto" w:fill="auto"/>
        </w:rPr>
      </w:pPr>
    </w:p>
    <w:p w14:paraId="179D6ED8">
      <w:pPr>
        <w:tabs>
          <w:tab w:val="left" w:pos="7132"/>
        </w:tabs>
        <w:spacing w:before="75" w:line="384" w:lineRule="auto"/>
        <w:ind w:left="6162" w:right="203" w:hanging="118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投标人：</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 xml:space="preserve"> (盖章)</w:t>
      </w:r>
    </w:p>
    <w:p w14:paraId="2D723ACE">
      <w:pPr>
        <w:tabs>
          <w:tab w:val="left" w:pos="7132"/>
        </w:tabs>
        <w:spacing w:before="75" w:line="384" w:lineRule="auto"/>
        <w:ind w:left="6162" w:right="203" w:hanging="118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年</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月</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日</w:t>
      </w:r>
    </w:p>
    <w:p w14:paraId="5A3E9268">
      <w:pPr>
        <w:tabs>
          <w:tab w:val="left" w:pos="6569"/>
        </w:tabs>
        <w:spacing w:before="75" w:line="384" w:lineRule="auto"/>
        <w:ind w:left="5708" w:right="270" w:hanging="1173"/>
        <w:jc w:val="both"/>
        <w:rPr>
          <w:rFonts w:hint="eastAsia" w:ascii="宋体" w:hAnsi="宋体" w:eastAsia="宋体" w:cs="宋体"/>
          <w:color w:val="auto"/>
          <w:sz w:val="23"/>
          <w:szCs w:val="23"/>
          <w:highlight w:val="none"/>
          <w:shd w:val="clear" w:color="auto" w:fill="auto"/>
        </w:rPr>
      </w:pPr>
    </w:p>
    <w:p w14:paraId="298EB152">
      <w:pPr>
        <w:tabs>
          <w:tab w:val="left" w:pos="6569"/>
        </w:tabs>
        <w:spacing w:before="75" w:line="384" w:lineRule="auto"/>
        <w:ind w:left="5708" w:right="270" w:hanging="1173"/>
        <w:jc w:val="both"/>
        <w:rPr>
          <w:rFonts w:hint="eastAsia" w:ascii="宋体" w:hAnsi="宋体" w:eastAsia="宋体" w:cs="宋体"/>
          <w:color w:val="auto"/>
          <w:sz w:val="23"/>
          <w:szCs w:val="23"/>
          <w:highlight w:val="none"/>
          <w:shd w:val="clear" w:color="auto" w:fill="auto"/>
        </w:rPr>
      </w:pPr>
    </w:p>
    <w:p w14:paraId="0D6BA006">
      <w:pPr>
        <w:tabs>
          <w:tab w:val="left" w:pos="6569"/>
        </w:tabs>
        <w:spacing w:before="75" w:line="384" w:lineRule="auto"/>
        <w:ind w:left="5708" w:right="270" w:hanging="1173"/>
        <w:jc w:val="both"/>
        <w:rPr>
          <w:rFonts w:hint="eastAsia" w:ascii="宋体" w:hAnsi="宋体" w:eastAsia="宋体" w:cs="宋体"/>
          <w:color w:val="auto"/>
          <w:sz w:val="23"/>
          <w:szCs w:val="23"/>
          <w:highlight w:val="none"/>
          <w:shd w:val="clear" w:color="auto" w:fill="auto"/>
        </w:rPr>
      </w:pPr>
    </w:p>
    <w:p w14:paraId="793AD0E7">
      <w:pPr>
        <w:tabs>
          <w:tab w:val="left" w:pos="6569"/>
        </w:tabs>
        <w:spacing w:before="75" w:line="384" w:lineRule="auto"/>
        <w:ind w:left="5708" w:right="270" w:hanging="1173"/>
        <w:jc w:val="both"/>
        <w:rPr>
          <w:rFonts w:hint="eastAsia" w:ascii="宋体" w:hAnsi="宋体" w:eastAsia="宋体" w:cs="宋体"/>
          <w:color w:val="auto"/>
          <w:sz w:val="23"/>
          <w:szCs w:val="23"/>
          <w:highlight w:val="none"/>
          <w:shd w:val="clear" w:color="auto" w:fill="auto"/>
        </w:rPr>
      </w:pPr>
    </w:p>
    <w:p w14:paraId="0F4D5967">
      <w:pPr>
        <w:tabs>
          <w:tab w:val="left" w:pos="6569"/>
        </w:tabs>
        <w:spacing w:before="75" w:line="384" w:lineRule="auto"/>
        <w:ind w:left="5708" w:right="270" w:hanging="1173"/>
        <w:jc w:val="both"/>
        <w:rPr>
          <w:rFonts w:hint="eastAsia" w:ascii="宋体" w:hAnsi="宋体" w:eastAsia="宋体" w:cs="宋体"/>
          <w:color w:val="auto"/>
          <w:sz w:val="23"/>
          <w:szCs w:val="23"/>
          <w:highlight w:val="none"/>
          <w:shd w:val="clear" w:color="auto" w:fill="auto"/>
        </w:rPr>
      </w:pPr>
    </w:p>
    <w:p w14:paraId="07E62EAB">
      <w:pPr>
        <w:tabs>
          <w:tab w:val="left" w:pos="6569"/>
        </w:tabs>
        <w:spacing w:before="75" w:line="384" w:lineRule="auto"/>
        <w:ind w:left="5708" w:right="270" w:hanging="1173"/>
        <w:jc w:val="both"/>
        <w:rPr>
          <w:rFonts w:hint="eastAsia" w:ascii="宋体" w:hAnsi="宋体" w:eastAsia="宋体" w:cs="宋体"/>
          <w:color w:val="auto"/>
          <w:sz w:val="23"/>
          <w:szCs w:val="23"/>
          <w:highlight w:val="none"/>
          <w:shd w:val="clear" w:color="auto" w:fill="auto"/>
        </w:rPr>
      </w:pPr>
    </w:p>
    <w:p w14:paraId="5893E2BA">
      <w:pPr>
        <w:tabs>
          <w:tab w:val="left" w:pos="6569"/>
        </w:tabs>
        <w:spacing w:before="75" w:line="384" w:lineRule="auto"/>
        <w:ind w:left="5708" w:right="270" w:hanging="1173"/>
        <w:jc w:val="both"/>
        <w:rPr>
          <w:rFonts w:hint="eastAsia" w:ascii="宋体" w:hAnsi="宋体" w:eastAsia="宋体" w:cs="宋体"/>
          <w:color w:val="auto"/>
          <w:sz w:val="23"/>
          <w:szCs w:val="23"/>
          <w:highlight w:val="none"/>
          <w:shd w:val="clear" w:color="auto" w:fill="auto"/>
        </w:rPr>
      </w:pPr>
    </w:p>
    <w:p w14:paraId="0C5CE7D4">
      <w:pPr>
        <w:pStyle w:val="20"/>
        <w:rPr>
          <w:rFonts w:hint="eastAsia" w:ascii="宋体" w:hAnsi="宋体" w:eastAsia="宋体" w:cs="宋体"/>
          <w:color w:val="auto"/>
          <w:highlight w:val="none"/>
          <w:shd w:val="clear" w:color="auto" w:fill="auto"/>
        </w:rPr>
      </w:pPr>
    </w:p>
    <w:p w14:paraId="51230167">
      <w:pPr>
        <w:rPr>
          <w:rFonts w:hint="eastAsia" w:ascii="宋体" w:hAnsi="宋体" w:eastAsia="宋体" w:cs="宋体"/>
          <w:color w:val="auto"/>
          <w:highlight w:val="none"/>
          <w:shd w:val="clear" w:color="auto" w:fill="auto"/>
        </w:rPr>
      </w:pPr>
    </w:p>
    <w:p w14:paraId="28C98294">
      <w:pPr>
        <w:ind w:firstLine="280" w:firstLineChars="100"/>
        <w:jc w:val="lef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lang w:eastAsia="zh-CN"/>
        </w:rPr>
        <w:t>格式</w:t>
      </w:r>
      <w:r>
        <w:rPr>
          <w:rFonts w:hint="eastAsia" w:ascii="宋体" w:hAnsi="宋体" w:eastAsia="宋体" w:cs="宋体"/>
          <w:color w:val="auto"/>
          <w:sz w:val="28"/>
          <w:szCs w:val="28"/>
          <w:highlight w:val="none"/>
          <w:shd w:val="clear" w:color="auto" w:fill="auto"/>
        </w:rPr>
        <w:t>四</w:t>
      </w:r>
    </w:p>
    <w:p w14:paraId="057F52E7">
      <w:pPr>
        <w:jc w:val="center"/>
        <w:rPr>
          <w:rFonts w:hint="eastAsia" w:ascii="宋体" w:hAnsi="宋体" w:eastAsia="宋体" w:cs="宋体"/>
          <w:color w:val="auto"/>
          <w:sz w:val="32"/>
          <w:szCs w:val="32"/>
          <w:highlight w:val="none"/>
          <w:shd w:val="clear" w:color="auto" w:fill="auto"/>
        </w:rPr>
      </w:pPr>
      <w:r>
        <w:rPr>
          <w:rFonts w:hint="eastAsia" w:ascii="宋体" w:hAnsi="宋体" w:eastAsia="宋体" w:cs="宋体"/>
          <w:b/>
          <w:color w:val="auto"/>
          <w:sz w:val="32"/>
          <w:szCs w:val="32"/>
          <w:highlight w:val="none"/>
          <w:u w:val="single"/>
          <w:shd w:val="clear" w:color="auto" w:fill="auto"/>
        </w:rPr>
        <w:t xml:space="preserve">          </w:t>
      </w:r>
      <w:r>
        <w:rPr>
          <w:rFonts w:hint="eastAsia" w:ascii="宋体" w:hAnsi="宋体" w:eastAsia="宋体" w:cs="宋体"/>
          <w:b/>
          <w:color w:val="auto"/>
          <w:sz w:val="32"/>
          <w:szCs w:val="32"/>
          <w:highlight w:val="none"/>
          <w:shd w:val="clear" w:color="auto" w:fill="auto"/>
        </w:rPr>
        <w:t>工程  项目管理人员配备表</w:t>
      </w:r>
    </w:p>
    <w:p w14:paraId="7D35B8FA">
      <w:pPr>
        <w:ind w:firstLine="420"/>
        <w:rPr>
          <w:rFonts w:hint="eastAsia" w:ascii="宋体" w:hAnsi="宋体" w:eastAsia="宋体" w:cs="宋体"/>
          <w:color w:val="auto"/>
          <w:szCs w:val="22"/>
          <w:highlight w:val="none"/>
          <w:shd w:val="clear" w:color="auto" w:fill="auto"/>
        </w:rPr>
      </w:pPr>
    </w:p>
    <w:tbl>
      <w:tblPr>
        <w:tblStyle w:val="27"/>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1398"/>
        <w:gridCol w:w="3564"/>
        <w:gridCol w:w="1764"/>
        <w:gridCol w:w="1921"/>
      </w:tblGrid>
      <w:tr w14:paraId="3538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567" w:hRule="atLeast"/>
        </w:trPr>
        <w:tc>
          <w:tcPr>
            <w:tcW w:w="1398" w:type="dxa"/>
            <w:tcBorders>
              <w:top w:val="single" w:color="auto" w:sz="4" w:space="0"/>
              <w:left w:val="single" w:color="auto" w:sz="8" w:space="0"/>
              <w:bottom w:val="single" w:color="auto" w:sz="4" w:space="0"/>
              <w:right w:val="single" w:color="auto" w:sz="4" w:space="0"/>
            </w:tcBorders>
            <w:noWrap w:val="0"/>
            <w:vAlign w:val="center"/>
          </w:tcPr>
          <w:p w14:paraId="0F7765E2">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r>
              <w:rPr>
                <w:rFonts w:hint="eastAsia" w:ascii="宋体" w:hAnsi="宋体" w:eastAsia="宋体" w:cs="宋体"/>
                <w:bCs/>
                <w:color w:val="auto"/>
                <w:kern w:val="0"/>
                <w:szCs w:val="21"/>
                <w:highlight w:val="none"/>
                <w:shd w:val="clear" w:color="auto" w:fill="auto"/>
              </w:rPr>
              <w:t>姓名</w:t>
            </w:r>
          </w:p>
        </w:tc>
        <w:tc>
          <w:tcPr>
            <w:tcW w:w="3564" w:type="dxa"/>
            <w:tcBorders>
              <w:top w:val="single" w:color="auto" w:sz="4" w:space="0"/>
              <w:left w:val="single" w:color="auto" w:sz="4" w:space="0"/>
              <w:bottom w:val="single" w:color="auto" w:sz="4" w:space="0"/>
              <w:right w:val="single" w:color="auto" w:sz="4" w:space="0"/>
            </w:tcBorders>
            <w:noWrap w:val="0"/>
            <w:vAlign w:val="center"/>
          </w:tcPr>
          <w:p w14:paraId="2F586F08">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r>
              <w:rPr>
                <w:rFonts w:hint="eastAsia" w:ascii="宋体" w:hAnsi="宋体" w:eastAsia="宋体" w:cs="宋体"/>
                <w:bCs/>
                <w:color w:val="auto"/>
                <w:kern w:val="0"/>
                <w:szCs w:val="21"/>
                <w:highlight w:val="none"/>
                <w:shd w:val="clear" w:color="auto" w:fill="auto"/>
              </w:rPr>
              <w:t>从事岗位</w:t>
            </w:r>
          </w:p>
        </w:tc>
        <w:tc>
          <w:tcPr>
            <w:tcW w:w="1764" w:type="dxa"/>
            <w:tcBorders>
              <w:top w:val="single" w:color="auto" w:sz="4" w:space="0"/>
              <w:left w:val="single" w:color="auto" w:sz="4" w:space="0"/>
              <w:bottom w:val="single" w:color="auto" w:sz="4" w:space="0"/>
              <w:right w:val="single" w:color="auto" w:sz="4" w:space="0"/>
            </w:tcBorders>
            <w:noWrap w:val="0"/>
            <w:vAlign w:val="center"/>
          </w:tcPr>
          <w:p w14:paraId="15CC5186">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r>
              <w:rPr>
                <w:rFonts w:hint="eastAsia" w:ascii="宋体" w:hAnsi="宋体" w:eastAsia="宋体" w:cs="宋体"/>
                <w:bCs/>
                <w:color w:val="auto"/>
                <w:kern w:val="0"/>
                <w:szCs w:val="21"/>
                <w:highlight w:val="none"/>
                <w:shd w:val="clear" w:color="auto" w:fill="auto"/>
              </w:rPr>
              <w:t>学历</w:t>
            </w:r>
          </w:p>
        </w:tc>
        <w:tc>
          <w:tcPr>
            <w:tcW w:w="1921" w:type="dxa"/>
            <w:tcBorders>
              <w:top w:val="single" w:color="auto" w:sz="4" w:space="0"/>
              <w:left w:val="single" w:color="auto" w:sz="4" w:space="0"/>
              <w:bottom w:val="single" w:color="auto" w:sz="4" w:space="0"/>
              <w:right w:val="single" w:color="auto" w:sz="8" w:space="0"/>
            </w:tcBorders>
            <w:noWrap w:val="0"/>
            <w:vAlign w:val="center"/>
          </w:tcPr>
          <w:p w14:paraId="2CAC27BA">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r>
              <w:rPr>
                <w:rFonts w:hint="eastAsia" w:ascii="宋体" w:hAnsi="宋体" w:eastAsia="宋体" w:cs="宋体"/>
                <w:bCs/>
                <w:color w:val="auto"/>
                <w:kern w:val="0"/>
                <w:szCs w:val="21"/>
                <w:highlight w:val="none"/>
                <w:shd w:val="clear" w:color="auto" w:fill="auto"/>
              </w:rPr>
              <w:t>手机</w:t>
            </w:r>
          </w:p>
        </w:tc>
      </w:tr>
      <w:tr w14:paraId="30FD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567" w:hRule="atLeast"/>
        </w:trPr>
        <w:tc>
          <w:tcPr>
            <w:tcW w:w="1398" w:type="dxa"/>
            <w:tcBorders>
              <w:top w:val="single" w:color="auto" w:sz="4" w:space="0"/>
              <w:left w:val="single" w:color="auto" w:sz="8" w:space="0"/>
              <w:bottom w:val="single" w:color="auto" w:sz="4" w:space="0"/>
              <w:right w:val="single" w:color="auto" w:sz="4" w:space="0"/>
            </w:tcBorders>
            <w:noWrap w:val="0"/>
            <w:vAlign w:val="center"/>
          </w:tcPr>
          <w:p w14:paraId="7BCEB55D">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3564" w:type="dxa"/>
            <w:tcBorders>
              <w:top w:val="single" w:color="auto" w:sz="4" w:space="0"/>
              <w:left w:val="single" w:color="auto" w:sz="4" w:space="0"/>
              <w:bottom w:val="single" w:color="auto" w:sz="4" w:space="0"/>
              <w:right w:val="single" w:color="auto" w:sz="4" w:space="0"/>
            </w:tcBorders>
            <w:noWrap w:val="0"/>
            <w:vAlign w:val="center"/>
          </w:tcPr>
          <w:p w14:paraId="5421319F">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14:paraId="5BA5B28F">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1921" w:type="dxa"/>
            <w:tcBorders>
              <w:top w:val="single" w:color="auto" w:sz="4" w:space="0"/>
              <w:left w:val="single" w:color="auto" w:sz="4" w:space="0"/>
              <w:bottom w:val="single" w:color="auto" w:sz="4" w:space="0"/>
              <w:right w:val="single" w:color="auto" w:sz="8" w:space="0"/>
            </w:tcBorders>
            <w:noWrap w:val="0"/>
            <w:vAlign w:val="center"/>
          </w:tcPr>
          <w:p w14:paraId="262CC9A9">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r>
      <w:tr w14:paraId="0989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567" w:hRule="atLeast"/>
        </w:trPr>
        <w:tc>
          <w:tcPr>
            <w:tcW w:w="1398" w:type="dxa"/>
            <w:tcBorders>
              <w:top w:val="single" w:color="auto" w:sz="4" w:space="0"/>
              <w:left w:val="single" w:color="auto" w:sz="8" w:space="0"/>
              <w:bottom w:val="single" w:color="auto" w:sz="4" w:space="0"/>
              <w:right w:val="single" w:color="auto" w:sz="4" w:space="0"/>
            </w:tcBorders>
            <w:noWrap w:val="0"/>
            <w:vAlign w:val="center"/>
          </w:tcPr>
          <w:p w14:paraId="58E8B510">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3564" w:type="dxa"/>
            <w:tcBorders>
              <w:top w:val="single" w:color="auto" w:sz="4" w:space="0"/>
              <w:left w:val="single" w:color="auto" w:sz="4" w:space="0"/>
              <w:bottom w:val="single" w:color="auto" w:sz="4" w:space="0"/>
              <w:right w:val="single" w:color="auto" w:sz="4" w:space="0"/>
            </w:tcBorders>
            <w:noWrap w:val="0"/>
            <w:vAlign w:val="center"/>
          </w:tcPr>
          <w:p w14:paraId="147B69CE">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14:paraId="2AB1E9B9">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1921" w:type="dxa"/>
            <w:tcBorders>
              <w:top w:val="single" w:color="auto" w:sz="4" w:space="0"/>
              <w:left w:val="single" w:color="auto" w:sz="4" w:space="0"/>
              <w:bottom w:val="single" w:color="auto" w:sz="4" w:space="0"/>
              <w:right w:val="single" w:color="auto" w:sz="8" w:space="0"/>
            </w:tcBorders>
            <w:noWrap w:val="0"/>
            <w:vAlign w:val="center"/>
          </w:tcPr>
          <w:p w14:paraId="2AB8EB17">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r>
      <w:tr w14:paraId="1059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567" w:hRule="atLeast"/>
        </w:trPr>
        <w:tc>
          <w:tcPr>
            <w:tcW w:w="1398" w:type="dxa"/>
            <w:tcBorders>
              <w:top w:val="single" w:color="auto" w:sz="4" w:space="0"/>
              <w:left w:val="single" w:color="auto" w:sz="8" w:space="0"/>
              <w:bottom w:val="single" w:color="auto" w:sz="4" w:space="0"/>
              <w:right w:val="single" w:color="auto" w:sz="4" w:space="0"/>
            </w:tcBorders>
            <w:noWrap w:val="0"/>
            <w:vAlign w:val="center"/>
          </w:tcPr>
          <w:p w14:paraId="694386DA">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3564" w:type="dxa"/>
            <w:tcBorders>
              <w:top w:val="single" w:color="auto" w:sz="4" w:space="0"/>
              <w:left w:val="single" w:color="auto" w:sz="4" w:space="0"/>
              <w:bottom w:val="single" w:color="auto" w:sz="4" w:space="0"/>
              <w:right w:val="single" w:color="auto" w:sz="4" w:space="0"/>
            </w:tcBorders>
            <w:noWrap w:val="0"/>
            <w:vAlign w:val="center"/>
          </w:tcPr>
          <w:p w14:paraId="0EF14AA6">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14:paraId="7B23F915">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1921" w:type="dxa"/>
            <w:tcBorders>
              <w:top w:val="single" w:color="auto" w:sz="4" w:space="0"/>
              <w:left w:val="single" w:color="auto" w:sz="4" w:space="0"/>
              <w:bottom w:val="single" w:color="auto" w:sz="4" w:space="0"/>
              <w:right w:val="single" w:color="auto" w:sz="8" w:space="0"/>
            </w:tcBorders>
            <w:noWrap w:val="0"/>
            <w:vAlign w:val="center"/>
          </w:tcPr>
          <w:p w14:paraId="747707A0">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r>
      <w:tr w14:paraId="35DC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567" w:hRule="atLeast"/>
        </w:trPr>
        <w:tc>
          <w:tcPr>
            <w:tcW w:w="1398" w:type="dxa"/>
            <w:tcBorders>
              <w:top w:val="single" w:color="auto" w:sz="4" w:space="0"/>
              <w:left w:val="single" w:color="auto" w:sz="8" w:space="0"/>
              <w:bottom w:val="single" w:color="auto" w:sz="4" w:space="0"/>
              <w:right w:val="single" w:color="auto" w:sz="4" w:space="0"/>
            </w:tcBorders>
            <w:noWrap w:val="0"/>
            <w:vAlign w:val="center"/>
          </w:tcPr>
          <w:p w14:paraId="0A12DCD0">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3564" w:type="dxa"/>
            <w:tcBorders>
              <w:top w:val="single" w:color="auto" w:sz="4" w:space="0"/>
              <w:left w:val="single" w:color="auto" w:sz="4" w:space="0"/>
              <w:bottom w:val="single" w:color="auto" w:sz="4" w:space="0"/>
              <w:right w:val="single" w:color="auto" w:sz="4" w:space="0"/>
            </w:tcBorders>
            <w:noWrap w:val="0"/>
            <w:vAlign w:val="center"/>
          </w:tcPr>
          <w:p w14:paraId="7E0BAB4A">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14:paraId="3A2CA0D0">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1921" w:type="dxa"/>
            <w:tcBorders>
              <w:top w:val="single" w:color="auto" w:sz="4" w:space="0"/>
              <w:left w:val="single" w:color="auto" w:sz="4" w:space="0"/>
              <w:bottom w:val="single" w:color="auto" w:sz="4" w:space="0"/>
              <w:right w:val="single" w:color="auto" w:sz="8" w:space="0"/>
            </w:tcBorders>
            <w:noWrap w:val="0"/>
            <w:vAlign w:val="center"/>
          </w:tcPr>
          <w:p w14:paraId="65C805FC">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r>
      <w:tr w14:paraId="7C83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567" w:hRule="atLeast"/>
        </w:trPr>
        <w:tc>
          <w:tcPr>
            <w:tcW w:w="1398" w:type="dxa"/>
            <w:tcBorders>
              <w:top w:val="single" w:color="auto" w:sz="4" w:space="0"/>
              <w:left w:val="single" w:color="auto" w:sz="8" w:space="0"/>
              <w:bottom w:val="single" w:color="auto" w:sz="4" w:space="0"/>
              <w:right w:val="single" w:color="auto" w:sz="4" w:space="0"/>
            </w:tcBorders>
            <w:noWrap w:val="0"/>
            <w:vAlign w:val="center"/>
          </w:tcPr>
          <w:p w14:paraId="50B2894C">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3564" w:type="dxa"/>
            <w:tcBorders>
              <w:top w:val="single" w:color="auto" w:sz="4" w:space="0"/>
              <w:left w:val="single" w:color="auto" w:sz="4" w:space="0"/>
              <w:bottom w:val="single" w:color="auto" w:sz="4" w:space="0"/>
              <w:right w:val="single" w:color="auto" w:sz="4" w:space="0"/>
            </w:tcBorders>
            <w:noWrap w:val="0"/>
            <w:vAlign w:val="center"/>
          </w:tcPr>
          <w:p w14:paraId="40E2263A">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14:paraId="266E55F9">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1921" w:type="dxa"/>
            <w:tcBorders>
              <w:top w:val="single" w:color="auto" w:sz="4" w:space="0"/>
              <w:left w:val="single" w:color="auto" w:sz="4" w:space="0"/>
              <w:bottom w:val="single" w:color="auto" w:sz="4" w:space="0"/>
              <w:right w:val="single" w:color="auto" w:sz="8" w:space="0"/>
            </w:tcBorders>
            <w:noWrap w:val="0"/>
            <w:vAlign w:val="center"/>
          </w:tcPr>
          <w:p w14:paraId="75C49F17">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r>
      <w:tr w14:paraId="74CC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567" w:hRule="atLeast"/>
        </w:trPr>
        <w:tc>
          <w:tcPr>
            <w:tcW w:w="1398" w:type="dxa"/>
            <w:tcBorders>
              <w:top w:val="single" w:color="auto" w:sz="4" w:space="0"/>
              <w:left w:val="single" w:color="auto" w:sz="8" w:space="0"/>
              <w:bottom w:val="single" w:color="auto" w:sz="4" w:space="0"/>
              <w:right w:val="single" w:color="auto" w:sz="4" w:space="0"/>
            </w:tcBorders>
            <w:noWrap w:val="0"/>
            <w:vAlign w:val="center"/>
          </w:tcPr>
          <w:p w14:paraId="1FFE61EA">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3564" w:type="dxa"/>
            <w:tcBorders>
              <w:top w:val="single" w:color="auto" w:sz="4" w:space="0"/>
              <w:left w:val="single" w:color="auto" w:sz="4" w:space="0"/>
              <w:bottom w:val="single" w:color="auto" w:sz="4" w:space="0"/>
              <w:right w:val="single" w:color="auto" w:sz="4" w:space="0"/>
            </w:tcBorders>
            <w:noWrap w:val="0"/>
            <w:vAlign w:val="center"/>
          </w:tcPr>
          <w:p w14:paraId="094141A1">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14:paraId="59017145">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1921" w:type="dxa"/>
            <w:tcBorders>
              <w:top w:val="single" w:color="auto" w:sz="4" w:space="0"/>
              <w:left w:val="single" w:color="auto" w:sz="4" w:space="0"/>
              <w:bottom w:val="single" w:color="auto" w:sz="4" w:space="0"/>
              <w:right w:val="single" w:color="auto" w:sz="8" w:space="0"/>
            </w:tcBorders>
            <w:noWrap w:val="0"/>
            <w:vAlign w:val="center"/>
          </w:tcPr>
          <w:p w14:paraId="4203CA04">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r>
      <w:tr w14:paraId="4922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567" w:hRule="atLeast"/>
        </w:trPr>
        <w:tc>
          <w:tcPr>
            <w:tcW w:w="1398" w:type="dxa"/>
            <w:tcBorders>
              <w:top w:val="single" w:color="auto" w:sz="4" w:space="0"/>
              <w:left w:val="single" w:color="auto" w:sz="8" w:space="0"/>
              <w:bottom w:val="single" w:color="auto" w:sz="4" w:space="0"/>
              <w:right w:val="single" w:color="auto" w:sz="4" w:space="0"/>
            </w:tcBorders>
            <w:noWrap w:val="0"/>
            <w:vAlign w:val="center"/>
          </w:tcPr>
          <w:p w14:paraId="744E029E">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3564" w:type="dxa"/>
            <w:tcBorders>
              <w:top w:val="single" w:color="auto" w:sz="4" w:space="0"/>
              <w:left w:val="single" w:color="auto" w:sz="4" w:space="0"/>
              <w:bottom w:val="single" w:color="auto" w:sz="4" w:space="0"/>
              <w:right w:val="single" w:color="auto" w:sz="4" w:space="0"/>
            </w:tcBorders>
            <w:noWrap w:val="0"/>
            <w:vAlign w:val="center"/>
          </w:tcPr>
          <w:p w14:paraId="652DA2CB">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14:paraId="5A0AF18E">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c>
          <w:tcPr>
            <w:tcW w:w="1921" w:type="dxa"/>
            <w:tcBorders>
              <w:top w:val="single" w:color="auto" w:sz="4" w:space="0"/>
              <w:left w:val="single" w:color="auto" w:sz="4" w:space="0"/>
              <w:bottom w:val="single" w:color="auto" w:sz="4" w:space="0"/>
              <w:right w:val="single" w:color="auto" w:sz="8" w:space="0"/>
            </w:tcBorders>
            <w:noWrap w:val="0"/>
            <w:vAlign w:val="center"/>
          </w:tcPr>
          <w:p w14:paraId="16848E3B">
            <w:pPr>
              <w:keepNext/>
              <w:keepLines/>
              <w:autoSpaceDE w:val="0"/>
              <w:autoSpaceDN w:val="0"/>
              <w:adjustRightInd w:val="0"/>
              <w:spacing w:line="240" w:lineRule="atLeast"/>
              <w:ind w:right="32"/>
              <w:jc w:val="center"/>
              <w:rPr>
                <w:rFonts w:hint="eastAsia" w:ascii="宋体" w:hAnsi="宋体" w:eastAsia="宋体" w:cs="宋体"/>
                <w:bCs/>
                <w:color w:val="auto"/>
                <w:kern w:val="0"/>
                <w:szCs w:val="21"/>
                <w:highlight w:val="none"/>
                <w:shd w:val="clear" w:color="auto" w:fill="auto"/>
              </w:rPr>
            </w:pPr>
          </w:p>
        </w:tc>
      </w:tr>
    </w:tbl>
    <w:p w14:paraId="05208C31">
      <w:pPr>
        <w:spacing w:line="460" w:lineRule="exact"/>
        <w:ind w:right="-624" w:rightChars="-297"/>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注：</w:t>
      </w:r>
      <w:r>
        <w:rPr>
          <w:rFonts w:hint="eastAsia" w:ascii="宋体" w:hAnsi="宋体" w:eastAsia="宋体" w:cs="宋体"/>
          <w:color w:val="auto"/>
          <w:kern w:val="0"/>
          <w:szCs w:val="21"/>
          <w:highlight w:val="none"/>
          <w:shd w:val="clear" w:color="auto" w:fill="auto"/>
        </w:rPr>
        <w:t>在具体实施过程中，根据实际需要增补人员。</w:t>
      </w:r>
    </w:p>
    <w:p w14:paraId="1BAB2958">
      <w:pPr>
        <w:spacing w:line="440" w:lineRule="exact"/>
        <w:jc w:val="right"/>
        <w:rPr>
          <w:rFonts w:hint="eastAsia" w:ascii="宋体" w:hAnsi="宋体" w:eastAsia="宋体" w:cs="宋体"/>
          <w:color w:val="auto"/>
          <w:szCs w:val="21"/>
          <w:highlight w:val="none"/>
          <w:shd w:val="clear" w:color="auto" w:fill="auto"/>
        </w:rPr>
      </w:pPr>
    </w:p>
    <w:p w14:paraId="4BF6F2B4">
      <w:pPr>
        <w:spacing w:line="440" w:lineRule="exact"/>
        <w:jc w:val="right"/>
        <w:rPr>
          <w:rFonts w:hint="eastAsia" w:ascii="宋体" w:hAnsi="宋体" w:eastAsia="宋体" w:cs="宋体"/>
          <w:color w:val="auto"/>
          <w:szCs w:val="21"/>
          <w:highlight w:val="none"/>
          <w:shd w:val="clear" w:color="auto" w:fill="auto"/>
        </w:rPr>
      </w:pPr>
    </w:p>
    <w:p w14:paraId="254BAECE">
      <w:pPr>
        <w:spacing w:line="440" w:lineRule="exact"/>
        <w:jc w:val="right"/>
        <w:rPr>
          <w:rFonts w:hint="eastAsia" w:ascii="宋体" w:hAnsi="宋体" w:eastAsia="宋体" w:cs="宋体"/>
          <w:color w:val="auto"/>
          <w:szCs w:val="21"/>
          <w:highlight w:val="none"/>
          <w:shd w:val="clear" w:color="auto" w:fill="auto"/>
        </w:rPr>
      </w:pPr>
    </w:p>
    <w:p w14:paraId="76B1DD8A">
      <w:pPr>
        <w:spacing w:line="440" w:lineRule="exact"/>
        <w:jc w:val="right"/>
        <w:rPr>
          <w:rFonts w:hint="eastAsia" w:ascii="宋体" w:hAnsi="宋体" w:eastAsia="宋体" w:cs="宋体"/>
          <w:color w:val="auto"/>
          <w:szCs w:val="21"/>
          <w:highlight w:val="none"/>
          <w:shd w:val="clear" w:color="auto" w:fill="auto"/>
        </w:rPr>
      </w:pPr>
    </w:p>
    <w:p w14:paraId="6F8BFBF1">
      <w:pPr>
        <w:spacing w:line="440" w:lineRule="exact"/>
        <w:ind w:right="420"/>
        <w:rPr>
          <w:rFonts w:hint="eastAsia" w:ascii="宋体" w:hAnsi="宋体" w:eastAsia="宋体" w:cs="宋体"/>
          <w:color w:val="auto"/>
          <w:szCs w:val="21"/>
          <w:highlight w:val="none"/>
          <w:shd w:val="clear" w:color="auto" w:fill="auto"/>
        </w:rPr>
      </w:pPr>
    </w:p>
    <w:p w14:paraId="516D61A2">
      <w:pPr>
        <w:spacing w:line="440" w:lineRule="exact"/>
        <w:jc w:val="right"/>
        <w:rPr>
          <w:rFonts w:hint="eastAsia" w:ascii="宋体" w:hAnsi="宋体" w:eastAsia="宋体" w:cs="宋体"/>
          <w:color w:val="auto"/>
          <w:szCs w:val="21"/>
          <w:highlight w:val="none"/>
          <w:shd w:val="clear" w:color="auto" w:fill="auto"/>
        </w:rPr>
      </w:pPr>
    </w:p>
    <w:p w14:paraId="4616BF7F">
      <w:pPr>
        <w:spacing w:line="440" w:lineRule="exact"/>
        <w:jc w:val="right"/>
        <w:rPr>
          <w:rFonts w:hint="eastAsia" w:ascii="宋体" w:hAnsi="宋体" w:eastAsia="宋体" w:cs="宋体"/>
          <w:color w:val="auto"/>
          <w:szCs w:val="21"/>
          <w:highlight w:val="none"/>
          <w:shd w:val="clear" w:color="auto" w:fill="auto"/>
        </w:rPr>
      </w:pPr>
    </w:p>
    <w:p w14:paraId="5C6D1B1E">
      <w:pPr>
        <w:spacing w:line="440" w:lineRule="exact"/>
        <w:jc w:val="right"/>
        <w:rPr>
          <w:rFonts w:hint="eastAsia" w:ascii="宋体" w:hAnsi="宋体" w:eastAsia="宋体" w:cs="宋体"/>
          <w:color w:val="auto"/>
          <w:szCs w:val="21"/>
          <w:highlight w:val="none"/>
          <w:shd w:val="clear" w:color="auto" w:fill="auto"/>
        </w:rPr>
      </w:pPr>
    </w:p>
    <w:p w14:paraId="6E2A8ED8">
      <w:pPr>
        <w:spacing w:line="440" w:lineRule="exact"/>
        <w:jc w:val="right"/>
        <w:rPr>
          <w:rFonts w:hint="eastAsia" w:ascii="宋体" w:hAnsi="宋体" w:eastAsia="宋体" w:cs="宋体"/>
          <w:color w:val="auto"/>
          <w:szCs w:val="21"/>
          <w:highlight w:val="none"/>
          <w:shd w:val="clear" w:color="auto" w:fill="auto"/>
        </w:rPr>
      </w:pPr>
    </w:p>
    <w:p w14:paraId="33E47A72">
      <w:pPr>
        <w:jc w:val="lef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br w:type="page"/>
      </w:r>
      <w:r>
        <w:rPr>
          <w:rFonts w:hint="eastAsia" w:ascii="宋体" w:hAnsi="宋体" w:eastAsia="宋体" w:cs="宋体"/>
          <w:color w:val="auto"/>
          <w:sz w:val="28"/>
          <w:szCs w:val="28"/>
          <w:highlight w:val="none"/>
          <w:shd w:val="clear" w:color="auto" w:fill="auto"/>
          <w:lang w:eastAsia="zh-CN"/>
        </w:rPr>
        <w:t>格式</w:t>
      </w:r>
      <w:r>
        <w:rPr>
          <w:rFonts w:hint="eastAsia" w:ascii="宋体" w:hAnsi="宋体" w:eastAsia="宋体" w:cs="宋体"/>
          <w:color w:val="auto"/>
          <w:sz w:val="28"/>
          <w:szCs w:val="28"/>
          <w:highlight w:val="none"/>
          <w:shd w:val="clear" w:color="auto" w:fill="auto"/>
        </w:rPr>
        <w:t>五</w:t>
      </w:r>
    </w:p>
    <w:p w14:paraId="2840D6BD">
      <w:pPr>
        <w:spacing w:before="240" w:line="400" w:lineRule="exact"/>
        <w:jc w:val="center"/>
        <w:rPr>
          <w:rFonts w:hint="eastAsia" w:ascii="宋体" w:hAnsi="宋体" w:eastAsia="宋体" w:cs="宋体"/>
          <w:b/>
          <w:color w:val="auto"/>
          <w:sz w:val="30"/>
          <w:szCs w:val="30"/>
          <w:highlight w:val="none"/>
          <w:shd w:val="clear" w:color="auto" w:fill="auto"/>
        </w:rPr>
      </w:pPr>
      <w:r>
        <w:rPr>
          <w:rFonts w:hint="eastAsia" w:ascii="宋体" w:hAnsi="宋体" w:eastAsia="宋体" w:cs="宋体"/>
          <w:b/>
          <w:color w:val="auto"/>
          <w:sz w:val="30"/>
          <w:szCs w:val="30"/>
          <w:highlight w:val="none"/>
          <w:shd w:val="clear" w:color="auto" w:fill="auto"/>
        </w:rPr>
        <w:t>投标人已承接的项目业绩表（如有）</w:t>
      </w:r>
    </w:p>
    <w:p w14:paraId="36DC50E8">
      <w:pPr>
        <w:spacing w:before="240" w:line="400" w:lineRule="exact"/>
        <w:jc w:val="center"/>
        <w:rPr>
          <w:rFonts w:hint="eastAsia" w:ascii="宋体" w:hAnsi="宋体" w:eastAsia="宋体" w:cs="宋体"/>
          <w:b/>
          <w:color w:val="auto"/>
          <w:sz w:val="30"/>
          <w:szCs w:val="30"/>
          <w:highlight w:val="none"/>
          <w:shd w:val="clear" w:color="auto" w:fill="auto"/>
        </w:rPr>
      </w:pPr>
    </w:p>
    <w:tbl>
      <w:tblPr>
        <w:tblStyle w:val="27"/>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28432E9">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14:paraId="7B9646BD">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14:paraId="3A50FC3C">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w:t>
            </w:r>
          </w:p>
          <w:p w14:paraId="1AB8ADD4">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14:paraId="265B168C">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39635A34">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合同</w:t>
            </w:r>
          </w:p>
          <w:p w14:paraId="2498279D">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金额</w:t>
            </w:r>
          </w:p>
          <w:p w14:paraId="045C3FE6">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14:paraId="27B57272">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服务期限</w:t>
            </w:r>
          </w:p>
        </w:tc>
        <w:tc>
          <w:tcPr>
            <w:tcW w:w="1515" w:type="dxa"/>
            <w:tcBorders>
              <w:top w:val="single" w:color="auto" w:sz="6" w:space="0"/>
              <w:left w:val="single" w:color="auto" w:sz="6" w:space="0"/>
              <w:bottom w:val="single" w:color="auto" w:sz="6" w:space="0"/>
              <w:right w:val="single" w:color="auto" w:sz="6" w:space="0"/>
            </w:tcBorders>
            <w:noWrap w:val="0"/>
            <w:vAlign w:val="center"/>
          </w:tcPr>
          <w:p w14:paraId="6E3CDF9C">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项目地址与招标单位联系电话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14:paraId="3237122F">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所在页码</w:t>
            </w:r>
          </w:p>
        </w:tc>
      </w:tr>
      <w:tr w14:paraId="1116BEE7">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432442A8">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951" w:type="dxa"/>
            <w:tcBorders>
              <w:top w:val="single" w:color="auto" w:sz="6" w:space="0"/>
              <w:left w:val="single" w:color="auto" w:sz="6" w:space="0"/>
              <w:bottom w:val="single" w:color="auto" w:sz="6" w:space="0"/>
              <w:right w:val="single" w:color="auto" w:sz="6" w:space="0"/>
            </w:tcBorders>
            <w:noWrap w:val="0"/>
            <w:vAlign w:val="top"/>
          </w:tcPr>
          <w:p w14:paraId="41238F22">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1356" w:type="dxa"/>
            <w:tcBorders>
              <w:top w:val="single" w:color="auto" w:sz="6" w:space="0"/>
              <w:left w:val="single" w:color="auto" w:sz="6" w:space="0"/>
              <w:bottom w:val="single" w:color="auto" w:sz="6" w:space="0"/>
              <w:right w:val="single" w:color="auto" w:sz="6" w:space="0"/>
            </w:tcBorders>
            <w:noWrap w:val="0"/>
            <w:vAlign w:val="top"/>
          </w:tcPr>
          <w:p w14:paraId="287E9539">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1143" w:type="dxa"/>
            <w:tcBorders>
              <w:top w:val="single" w:color="auto" w:sz="6" w:space="0"/>
              <w:left w:val="single" w:color="auto" w:sz="6" w:space="0"/>
              <w:bottom w:val="single" w:color="auto" w:sz="6" w:space="0"/>
              <w:right w:val="single" w:color="auto" w:sz="6" w:space="0"/>
            </w:tcBorders>
            <w:noWrap w:val="0"/>
            <w:vAlign w:val="top"/>
          </w:tcPr>
          <w:p w14:paraId="0040DC2A">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69A5CADA">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1515" w:type="dxa"/>
            <w:tcBorders>
              <w:top w:val="single" w:color="auto" w:sz="6" w:space="0"/>
              <w:left w:val="single" w:color="auto" w:sz="6" w:space="0"/>
              <w:bottom w:val="single" w:color="auto" w:sz="6" w:space="0"/>
              <w:right w:val="single" w:color="auto" w:sz="6" w:space="0"/>
            </w:tcBorders>
            <w:noWrap w:val="0"/>
            <w:vAlign w:val="top"/>
          </w:tcPr>
          <w:p w14:paraId="7BA36961">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77009BA7">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r>
      <w:tr w14:paraId="590AEA7B">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1DD9207E">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951" w:type="dxa"/>
            <w:tcBorders>
              <w:top w:val="single" w:color="auto" w:sz="6" w:space="0"/>
              <w:left w:val="single" w:color="auto" w:sz="6" w:space="0"/>
              <w:bottom w:val="single" w:color="auto" w:sz="6" w:space="0"/>
              <w:right w:val="single" w:color="auto" w:sz="6" w:space="0"/>
            </w:tcBorders>
            <w:noWrap w:val="0"/>
            <w:vAlign w:val="top"/>
          </w:tcPr>
          <w:p w14:paraId="5A895442">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1356" w:type="dxa"/>
            <w:tcBorders>
              <w:top w:val="single" w:color="auto" w:sz="6" w:space="0"/>
              <w:left w:val="single" w:color="auto" w:sz="6" w:space="0"/>
              <w:bottom w:val="single" w:color="auto" w:sz="6" w:space="0"/>
              <w:right w:val="single" w:color="auto" w:sz="6" w:space="0"/>
            </w:tcBorders>
            <w:noWrap w:val="0"/>
            <w:vAlign w:val="top"/>
          </w:tcPr>
          <w:p w14:paraId="77BBED74">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1143" w:type="dxa"/>
            <w:tcBorders>
              <w:top w:val="single" w:color="auto" w:sz="6" w:space="0"/>
              <w:left w:val="single" w:color="auto" w:sz="6" w:space="0"/>
              <w:bottom w:val="single" w:color="auto" w:sz="6" w:space="0"/>
              <w:right w:val="single" w:color="auto" w:sz="6" w:space="0"/>
            </w:tcBorders>
            <w:noWrap w:val="0"/>
            <w:vAlign w:val="top"/>
          </w:tcPr>
          <w:p w14:paraId="35161797">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19930419">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1515" w:type="dxa"/>
            <w:tcBorders>
              <w:top w:val="single" w:color="auto" w:sz="6" w:space="0"/>
              <w:left w:val="single" w:color="auto" w:sz="6" w:space="0"/>
              <w:bottom w:val="single" w:color="auto" w:sz="6" w:space="0"/>
              <w:right w:val="single" w:color="auto" w:sz="6" w:space="0"/>
            </w:tcBorders>
            <w:noWrap w:val="0"/>
            <w:vAlign w:val="top"/>
          </w:tcPr>
          <w:p w14:paraId="1EA20745">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170D7375">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r>
      <w:tr w14:paraId="69D69DFF">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1BCC6868">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951" w:type="dxa"/>
            <w:tcBorders>
              <w:top w:val="single" w:color="auto" w:sz="6" w:space="0"/>
              <w:left w:val="single" w:color="auto" w:sz="6" w:space="0"/>
              <w:bottom w:val="single" w:color="auto" w:sz="6" w:space="0"/>
              <w:right w:val="single" w:color="auto" w:sz="6" w:space="0"/>
            </w:tcBorders>
            <w:noWrap w:val="0"/>
            <w:vAlign w:val="top"/>
          </w:tcPr>
          <w:p w14:paraId="2C9D6F0D">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1356" w:type="dxa"/>
            <w:tcBorders>
              <w:top w:val="single" w:color="auto" w:sz="6" w:space="0"/>
              <w:left w:val="single" w:color="auto" w:sz="6" w:space="0"/>
              <w:bottom w:val="single" w:color="auto" w:sz="6" w:space="0"/>
              <w:right w:val="single" w:color="auto" w:sz="6" w:space="0"/>
            </w:tcBorders>
            <w:noWrap w:val="0"/>
            <w:vAlign w:val="top"/>
          </w:tcPr>
          <w:p w14:paraId="0177938D">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1143" w:type="dxa"/>
            <w:tcBorders>
              <w:top w:val="single" w:color="auto" w:sz="6" w:space="0"/>
              <w:left w:val="single" w:color="auto" w:sz="6" w:space="0"/>
              <w:bottom w:val="single" w:color="auto" w:sz="6" w:space="0"/>
              <w:right w:val="single" w:color="auto" w:sz="6" w:space="0"/>
            </w:tcBorders>
            <w:noWrap w:val="0"/>
            <w:vAlign w:val="top"/>
          </w:tcPr>
          <w:p w14:paraId="7163E9F1">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5764B449">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1515" w:type="dxa"/>
            <w:tcBorders>
              <w:top w:val="single" w:color="auto" w:sz="6" w:space="0"/>
              <w:left w:val="single" w:color="auto" w:sz="6" w:space="0"/>
              <w:bottom w:val="single" w:color="auto" w:sz="6" w:space="0"/>
              <w:right w:val="single" w:color="auto" w:sz="6" w:space="0"/>
            </w:tcBorders>
            <w:noWrap w:val="0"/>
            <w:vAlign w:val="top"/>
          </w:tcPr>
          <w:p w14:paraId="30469446">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c>
          <w:tcPr>
            <w:tcW w:w="1215" w:type="dxa"/>
            <w:tcBorders>
              <w:top w:val="single" w:color="auto" w:sz="6" w:space="0"/>
              <w:left w:val="single" w:color="auto" w:sz="6" w:space="0"/>
              <w:bottom w:val="single" w:color="auto" w:sz="6" w:space="0"/>
              <w:right w:val="single" w:color="auto" w:sz="6" w:space="0"/>
            </w:tcBorders>
            <w:noWrap w:val="0"/>
            <w:vAlign w:val="top"/>
          </w:tcPr>
          <w:p w14:paraId="55B60D72">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color w:val="auto"/>
                <w:sz w:val="24"/>
                <w:highlight w:val="none"/>
                <w:shd w:val="clear" w:color="auto" w:fill="auto"/>
              </w:rPr>
            </w:pPr>
          </w:p>
        </w:tc>
      </w:tr>
    </w:tbl>
    <w:p w14:paraId="3672201D">
      <w:pPr>
        <w:spacing w:line="400" w:lineRule="exact"/>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 w:val="24"/>
          <w:highlight w:val="none"/>
          <w:shd w:val="clear" w:color="auto" w:fill="auto"/>
        </w:rPr>
        <w:t>注：投标人可按上述的格式自行编制，须随表提交相应的合同复印件。</w:t>
      </w:r>
    </w:p>
    <w:p w14:paraId="77124D0D">
      <w:pPr>
        <w:spacing w:line="400" w:lineRule="exact"/>
        <w:jc w:val="center"/>
        <w:rPr>
          <w:rFonts w:hint="eastAsia" w:ascii="宋体" w:hAnsi="宋体" w:eastAsia="宋体" w:cs="宋体"/>
          <w:b/>
          <w:color w:val="auto"/>
          <w:szCs w:val="21"/>
          <w:highlight w:val="none"/>
          <w:shd w:val="clear" w:color="auto" w:fill="auto"/>
        </w:rPr>
      </w:pPr>
    </w:p>
    <w:p w14:paraId="7AAD00A6">
      <w:pPr>
        <w:jc w:val="center"/>
        <w:rPr>
          <w:rFonts w:hint="eastAsia" w:ascii="宋体" w:hAnsi="宋体" w:eastAsia="宋体" w:cs="宋体"/>
          <w:color w:val="auto"/>
          <w:sz w:val="32"/>
          <w:szCs w:val="32"/>
          <w:highlight w:val="none"/>
          <w:shd w:val="clear" w:color="auto" w:fill="auto"/>
        </w:rPr>
      </w:pPr>
    </w:p>
    <w:p w14:paraId="2407D02E">
      <w:pPr>
        <w:jc w:val="center"/>
        <w:rPr>
          <w:rFonts w:hint="eastAsia" w:ascii="宋体" w:hAnsi="宋体" w:eastAsia="宋体" w:cs="宋体"/>
          <w:color w:val="auto"/>
          <w:sz w:val="32"/>
          <w:szCs w:val="32"/>
          <w:highlight w:val="none"/>
          <w:shd w:val="clear" w:color="auto" w:fill="auto"/>
        </w:rPr>
      </w:pPr>
    </w:p>
    <w:p w14:paraId="6DA6F7F6">
      <w:pPr>
        <w:jc w:val="lef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32"/>
          <w:szCs w:val="32"/>
          <w:highlight w:val="none"/>
          <w:shd w:val="clear" w:color="auto" w:fill="auto"/>
        </w:rPr>
        <w:br w:type="page"/>
      </w:r>
      <w:r>
        <w:rPr>
          <w:rFonts w:hint="eastAsia" w:ascii="宋体" w:hAnsi="宋体" w:eastAsia="宋体" w:cs="宋体"/>
          <w:color w:val="auto"/>
          <w:sz w:val="28"/>
          <w:szCs w:val="28"/>
          <w:highlight w:val="none"/>
          <w:shd w:val="clear" w:color="auto" w:fill="auto"/>
          <w:lang w:eastAsia="zh-CN"/>
        </w:rPr>
        <w:t>格式</w:t>
      </w:r>
      <w:r>
        <w:rPr>
          <w:rFonts w:hint="eastAsia" w:ascii="宋体" w:hAnsi="宋体" w:eastAsia="宋体" w:cs="宋体"/>
          <w:color w:val="auto"/>
          <w:sz w:val="28"/>
          <w:szCs w:val="28"/>
          <w:highlight w:val="none"/>
          <w:shd w:val="clear" w:color="auto" w:fill="auto"/>
        </w:rPr>
        <w:t>六</w:t>
      </w:r>
    </w:p>
    <w:p w14:paraId="3470F820">
      <w:pPr>
        <w:topLinePunct/>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技术偏离说明表</w:t>
      </w:r>
    </w:p>
    <w:p w14:paraId="0EE38339">
      <w:pPr>
        <w:topLinePunct/>
        <w:spacing w:line="360" w:lineRule="auto"/>
        <w:rPr>
          <w:rFonts w:hint="eastAsia" w:ascii="宋体" w:hAnsi="宋体" w:eastAsia="宋体" w:cs="宋体"/>
          <w:b/>
          <w:bCs/>
          <w:color w:val="auto"/>
          <w:sz w:val="32"/>
          <w:szCs w:val="32"/>
          <w:highlight w:val="none"/>
          <w:shd w:val="clear" w:color="auto" w:fill="auto"/>
        </w:rPr>
      </w:pPr>
      <w:r>
        <w:rPr>
          <w:rFonts w:hint="eastAsia" w:ascii="宋体" w:hAnsi="宋体" w:eastAsia="宋体" w:cs="宋体"/>
          <w:color w:val="auto"/>
          <w:sz w:val="24"/>
          <w:highlight w:val="none"/>
          <w:shd w:val="clear" w:color="auto" w:fill="auto"/>
        </w:rPr>
        <w:t>（由投标人根据招标项目需求编制）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14:paraId="3812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top"/>
          </w:tcPr>
          <w:p w14:paraId="5B8FD369">
            <w:pPr>
              <w:tabs>
                <w:tab w:val="left" w:pos="4905"/>
              </w:tabs>
              <w:topLinePunct/>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序号</w:t>
            </w:r>
          </w:p>
        </w:tc>
        <w:tc>
          <w:tcPr>
            <w:tcW w:w="3087" w:type="dxa"/>
            <w:tcBorders>
              <w:top w:val="single" w:color="auto" w:sz="4" w:space="0"/>
              <w:left w:val="single" w:color="auto" w:sz="4" w:space="0"/>
              <w:bottom w:val="single" w:color="auto" w:sz="4" w:space="0"/>
              <w:right w:val="single" w:color="auto" w:sz="4" w:space="0"/>
            </w:tcBorders>
            <w:noWrap w:val="0"/>
            <w:vAlign w:val="top"/>
          </w:tcPr>
          <w:p w14:paraId="6D47C2A2">
            <w:pPr>
              <w:tabs>
                <w:tab w:val="left" w:pos="4905"/>
              </w:tabs>
              <w:topLinePunct/>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招标文件要求</w:t>
            </w:r>
          </w:p>
        </w:tc>
        <w:tc>
          <w:tcPr>
            <w:tcW w:w="3818" w:type="dxa"/>
            <w:tcBorders>
              <w:top w:val="single" w:color="auto" w:sz="4" w:space="0"/>
              <w:left w:val="single" w:color="auto" w:sz="4" w:space="0"/>
              <w:bottom w:val="single" w:color="auto" w:sz="4" w:space="0"/>
              <w:right w:val="single" w:color="auto" w:sz="4" w:space="0"/>
            </w:tcBorders>
            <w:noWrap w:val="0"/>
            <w:vAlign w:val="top"/>
          </w:tcPr>
          <w:p w14:paraId="24E292B5">
            <w:pPr>
              <w:tabs>
                <w:tab w:val="left" w:pos="4905"/>
              </w:tabs>
              <w:topLinePunct/>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投标响应</w:t>
            </w:r>
          </w:p>
        </w:tc>
        <w:tc>
          <w:tcPr>
            <w:tcW w:w="1201" w:type="dxa"/>
            <w:tcBorders>
              <w:top w:val="single" w:color="auto" w:sz="4" w:space="0"/>
              <w:left w:val="single" w:color="auto" w:sz="4" w:space="0"/>
              <w:bottom w:val="single" w:color="auto" w:sz="4" w:space="0"/>
              <w:right w:val="single" w:color="auto" w:sz="4" w:space="0"/>
            </w:tcBorders>
            <w:noWrap w:val="0"/>
            <w:vAlign w:val="top"/>
          </w:tcPr>
          <w:p w14:paraId="69CDE559">
            <w:pPr>
              <w:tabs>
                <w:tab w:val="left" w:pos="4905"/>
              </w:tabs>
              <w:topLinePunct/>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备注</w:t>
            </w:r>
          </w:p>
        </w:tc>
      </w:tr>
      <w:tr w14:paraId="551A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1D57E5BD">
            <w:pPr>
              <w:tabs>
                <w:tab w:val="left" w:pos="4905"/>
              </w:tabs>
              <w:topLinePunct/>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3087" w:type="dxa"/>
            <w:tcBorders>
              <w:top w:val="single" w:color="auto" w:sz="4" w:space="0"/>
              <w:left w:val="single" w:color="auto" w:sz="4" w:space="0"/>
              <w:bottom w:val="single" w:color="auto" w:sz="4" w:space="0"/>
              <w:right w:val="single" w:color="auto" w:sz="4" w:space="0"/>
            </w:tcBorders>
            <w:noWrap w:val="0"/>
            <w:vAlign w:val="center"/>
          </w:tcPr>
          <w:p w14:paraId="709974DD">
            <w:pPr>
              <w:tabs>
                <w:tab w:val="left" w:pos="4905"/>
              </w:tabs>
              <w:topLinePunct/>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招标文件技术要求</w:t>
            </w:r>
          </w:p>
          <w:p w14:paraId="2850CBF5">
            <w:pPr>
              <w:tabs>
                <w:tab w:val="left" w:pos="4905"/>
              </w:tabs>
              <w:topLinePunct/>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(根据招标项目需求复制)</w:t>
            </w:r>
          </w:p>
        </w:tc>
        <w:tc>
          <w:tcPr>
            <w:tcW w:w="3818" w:type="dxa"/>
            <w:tcBorders>
              <w:top w:val="single" w:color="auto" w:sz="4" w:space="0"/>
              <w:left w:val="single" w:color="auto" w:sz="4" w:space="0"/>
              <w:bottom w:val="single" w:color="auto" w:sz="4" w:space="0"/>
              <w:right w:val="single" w:color="auto" w:sz="4" w:space="0"/>
            </w:tcBorders>
            <w:noWrap w:val="0"/>
            <w:vAlign w:val="center"/>
          </w:tcPr>
          <w:p w14:paraId="0DEE73A7">
            <w:pPr>
              <w:tabs>
                <w:tab w:val="left" w:pos="4905"/>
              </w:tabs>
              <w:topLinePunct/>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请填写投标服务指标对应详细描述</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1CBE2BD6">
            <w:pPr>
              <w:tabs>
                <w:tab w:val="left" w:pos="4905"/>
              </w:tabs>
              <w:topLinePunct/>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无偏离/正偏离/负偏离</w:t>
            </w:r>
          </w:p>
        </w:tc>
      </w:tr>
      <w:tr w14:paraId="7304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27B26D44">
            <w:pPr>
              <w:tabs>
                <w:tab w:val="left" w:pos="4905"/>
              </w:tabs>
              <w:topLinePunct/>
              <w:spacing w:line="360" w:lineRule="auto"/>
              <w:jc w:val="center"/>
              <w:rPr>
                <w:rFonts w:hint="eastAsia" w:ascii="宋体" w:hAnsi="宋体" w:eastAsia="宋体" w:cs="宋体"/>
                <w:color w:val="auto"/>
                <w:sz w:val="24"/>
                <w:highlight w:val="none"/>
                <w:shd w:val="clear" w:color="auto" w:fill="auto"/>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18769E8E">
            <w:pPr>
              <w:tabs>
                <w:tab w:val="left" w:pos="4905"/>
              </w:tabs>
              <w:topLinePunct/>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14:paraId="7335B597">
            <w:pPr>
              <w:tabs>
                <w:tab w:val="left" w:pos="4905"/>
              </w:tabs>
              <w:topLinePunct/>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可自行添加行</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160027E2">
            <w:pPr>
              <w:tabs>
                <w:tab w:val="left" w:pos="4905"/>
              </w:tabs>
              <w:topLinePunct/>
              <w:spacing w:line="360" w:lineRule="auto"/>
              <w:jc w:val="center"/>
              <w:rPr>
                <w:rFonts w:hint="eastAsia" w:ascii="宋体" w:hAnsi="宋体" w:eastAsia="宋体" w:cs="宋体"/>
                <w:color w:val="auto"/>
                <w:sz w:val="24"/>
                <w:highlight w:val="none"/>
                <w:shd w:val="clear" w:color="auto" w:fill="auto"/>
              </w:rPr>
            </w:pPr>
          </w:p>
        </w:tc>
      </w:tr>
      <w:tr w14:paraId="7C4B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CA058A1">
            <w:pPr>
              <w:tabs>
                <w:tab w:val="left" w:pos="4905"/>
              </w:tabs>
              <w:topLinePunct/>
              <w:spacing w:line="360" w:lineRule="auto"/>
              <w:jc w:val="center"/>
              <w:rPr>
                <w:rFonts w:hint="eastAsia" w:ascii="宋体" w:hAnsi="宋体" w:eastAsia="宋体" w:cs="宋体"/>
                <w:color w:val="auto"/>
                <w:sz w:val="24"/>
                <w:highlight w:val="none"/>
                <w:shd w:val="clear" w:color="auto" w:fill="auto"/>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6624E6EC">
            <w:pPr>
              <w:tabs>
                <w:tab w:val="left" w:pos="4905"/>
              </w:tabs>
              <w:topLinePunct/>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详细参数可自行加行</w:t>
            </w:r>
          </w:p>
        </w:tc>
        <w:tc>
          <w:tcPr>
            <w:tcW w:w="3818" w:type="dxa"/>
            <w:tcBorders>
              <w:top w:val="single" w:color="auto" w:sz="4" w:space="0"/>
              <w:left w:val="single" w:color="auto" w:sz="4" w:space="0"/>
              <w:bottom w:val="single" w:color="auto" w:sz="4" w:space="0"/>
              <w:right w:val="single" w:color="auto" w:sz="4" w:space="0"/>
            </w:tcBorders>
            <w:noWrap w:val="0"/>
            <w:vAlign w:val="center"/>
          </w:tcPr>
          <w:p w14:paraId="10CA1DC2">
            <w:pPr>
              <w:tabs>
                <w:tab w:val="left" w:pos="4905"/>
              </w:tabs>
              <w:topLinePunct/>
              <w:spacing w:line="360" w:lineRule="auto"/>
              <w:rPr>
                <w:rFonts w:hint="eastAsia" w:ascii="宋体" w:hAnsi="宋体" w:eastAsia="宋体" w:cs="宋体"/>
                <w:color w:val="auto"/>
                <w:sz w:val="24"/>
                <w:highlight w:val="none"/>
                <w:shd w:val="clear" w:color="auto" w:fill="auto"/>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0EA8CB32">
            <w:pPr>
              <w:tabs>
                <w:tab w:val="left" w:pos="4905"/>
              </w:tabs>
              <w:topLinePunct/>
              <w:spacing w:line="360" w:lineRule="auto"/>
              <w:jc w:val="center"/>
              <w:rPr>
                <w:rFonts w:hint="eastAsia" w:ascii="宋体" w:hAnsi="宋体" w:eastAsia="宋体" w:cs="宋体"/>
                <w:color w:val="auto"/>
                <w:sz w:val="24"/>
                <w:highlight w:val="none"/>
                <w:shd w:val="clear" w:color="auto" w:fill="auto"/>
              </w:rPr>
            </w:pPr>
          </w:p>
        </w:tc>
      </w:tr>
      <w:tr w14:paraId="0548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5CCD1961">
            <w:pPr>
              <w:tabs>
                <w:tab w:val="left" w:pos="4905"/>
              </w:tabs>
              <w:topLinePunct/>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3087" w:type="dxa"/>
            <w:tcBorders>
              <w:top w:val="single" w:color="auto" w:sz="4" w:space="0"/>
              <w:left w:val="single" w:color="auto" w:sz="4" w:space="0"/>
              <w:bottom w:val="single" w:color="auto" w:sz="4" w:space="0"/>
              <w:right w:val="single" w:color="auto" w:sz="4" w:space="0"/>
            </w:tcBorders>
            <w:noWrap w:val="0"/>
            <w:vAlign w:val="center"/>
          </w:tcPr>
          <w:p w14:paraId="43D47973">
            <w:pPr>
              <w:tabs>
                <w:tab w:val="left" w:pos="4905"/>
              </w:tabs>
              <w:topLinePunct/>
              <w:spacing w:line="360" w:lineRule="auto"/>
              <w:rPr>
                <w:rFonts w:hint="eastAsia" w:ascii="宋体" w:hAnsi="宋体" w:eastAsia="宋体" w:cs="宋体"/>
                <w:color w:val="auto"/>
                <w:sz w:val="24"/>
                <w:highlight w:val="none"/>
                <w:shd w:val="clear" w:color="auto" w:fill="auto"/>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6D3B4A22">
            <w:pPr>
              <w:tabs>
                <w:tab w:val="left" w:pos="4905"/>
              </w:tabs>
              <w:topLinePunct/>
              <w:spacing w:line="360" w:lineRule="auto"/>
              <w:rPr>
                <w:rFonts w:hint="eastAsia" w:ascii="宋体" w:hAnsi="宋体" w:eastAsia="宋体" w:cs="宋体"/>
                <w:color w:val="auto"/>
                <w:sz w:val="24"/>
                <w:highlight w:val="none"/>
                <w:shd w:val="clear" w:color="auto" w:fill="auto"/>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5C2D5CFF">
            <w:pPr>
              <w:tabs>
                <w:tab w:val="left" w:pos="4905"/>
              </w:tabs>
              <w:topLinePunct/>
              <w:spacing w:line="360" w:lineRule="auto"/>
              <w:jc w:val="center"/>
              <w:rPr>
                <w:rFonts w:hint="eastAsia" w:ascii="宋体" w:hAnsi="宋体" w:eastAsia="宋体" w:cs="宋体"/>
                <w:color w:val="auto"/>
                <w:sz w:val="24"/>
                <w:highlight w:val="none"/>
                <w:shd w:val="clear" w:color="auto" w:fill="auto"/>
              </w:rPr>
            </w:pPr>
          </w:p>
        </w:tc>
      </w:tr>
      <w:tr w14:paraId="72B9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6A27F33E">
            <w:pPr>
              <w:tabs>
                <w:tab w:val="left" w:pos="4905"/>
              </w:tabs>
              <w:topLinePunct/>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w:t>
            </w:r>
          </w:p>
        </w:tc>
        <w:tc>
          <w:tcPr>
            <w:tcW w:w="3087" w:type="dxa"/>
            <w:tcBorders>
              <w:top w:val="single" w:color="auto" w:sz="4" w:space="0"/>
              <w:left w:val="single" w:color="auto" w:sz="4" w:space="0"/>
              <w:bottom w:val="single" w:color="auto" w:sz="4" w:space="0"/>
              <w:right w:val="single" w:color="auto" w:sz="4" w:space="0"/>
            </w:tcBorders>
            <w:noWrap w:val="0"/>
            <w:vAlign w:val="center"/>
          </w:tcPr>
          <w:p w14:paraId="121FE049">
            <w:pPr>
              <w:tabs>
                <w:tab w:val="left" w:pos="4905"/>
              </w:tabs>
              <w:topLinePunct/>
              <w:spacing w:line="360" w:lineRule="auto"/>
              <w:rPr>
                <w:rFonts w:hint="eastAsia" w:ascii="宋体" w:hAnsi="宋体" w:eastAsia="宋体" w:cs="宋体"/>
                <w:color w:val="auto"/>
                <w:sz w:val="24"/>
                <w:highlight w:val="none"/>
                <w:shd w:val="clear" w:color="auto" w:fill="auto"/>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0AD093E8">
            <w:pPr>
              <w:tabs>
                <w:tab w:val="left" w:pos="4905"/>
              </w:tabs>
              <w:topLinePunct/>
              <w:spacing w:line="360" w:lineRule="auto"/>
              <w:rPr>
                <w:rFonts w:hint="eastAsia" w:ascii="宋体" w:hAnsi="宋体" w:eastAsia="宋体" w:cs="宋体"/>
                <w:color w:val="auto"/>
                <w:sz w:val="24"/>
                <w:highlight w:val="none"/>
                <w:shd w:val="clear" w:color="auto" w:fill="auto"/>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4EA3D9BA">
            <w:pPr>
              <w:tabs>
                <w:tab w:val="left" w:pos="4905"/>
              </w:tabs>
              <w:topLinePunct/>
              <w:spacing w:line="360" w:lineRule="auto"/>
              <w:jc w:val="center"/>
              <w:rPr>
                <w:rFonts w:hint="eastAsia" w:ascii="宋体" w:hAnsi="宋体" w:eastAsia="宋体" w:cs="宋体"/>
                <w:color w:val="auto"/>
                <w:sz w:val="24"/>
                <w:highlight w:val="none"/>
                <w:shd w:val="clear" w:color="auto" w:fill="auto"/>
              </w:rPr>
            </w:pPr>
          </w:p>
        </w:tc>
      </w:tr>
      <w:tr w14:paraId="5A7E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06051974">
            <w:pPr>
              <w:tabs>
                <w:tab w:val="left" w:pos="4905"/>
              </w:tabs>
              <w:topLinePunct/>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w:t>
            </w:r>
          </w:p>
        </w:tc>
        <w:tc>
          <w:tcPr>
            <w:tcW w:w="3087" w:type="dxa"/>
            <w:tcBorders>
              <w:top w:val="single" w:color="auto" w:sz="4" w:space="0"/>
              <w:left w:val="single" w:color="auto" w:sz="4" w:space="0"/>
              <w:bottom w:val="single" w:color="auto" w:sz="4" w:space="0"/>
              <w:right w:val="single" w:color="auto" w:sz="4" w:space="0"/>
            </w:tcBorders>
            <w:noWrap w:val="0"/>
            <w:vAlign w:val="center"/>
          </w:tcPr>
          <w:p w14:paraId="6627148C">
            <w:pPr>
              <w:tabs>
                <w:tab w:val="left" w:pos="4905"/>
              </w:tabs>
              <w:topLinePunct/>
              <w:spacing w:line="360" w:lineRule="auto"/>
              <w:rPr>
                <w:rFonts w:hint="eastAsia" w:ascii="宋体" w:hAnsi="宋体" w:eastAsia="宋体" w:cs="宋体"/>
                <w:color w:val="auto"/>
                <w:sz w:val="24"/>
                <w:highlight w:val="none"/>
                <w:shd w:val="clear" w:color="auto" w:fill="auto"/>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50DC11AA">
            <w:pPr>
              <w:tabs>
                <w:tab w:val="left" w:pos="4905"/>
              </w:tabs>
              <w:topLinePunct/>
              <w:spacing w:line="360" w:lineRule="auto"/>
              <w:rPr>
                <w:rFonts w:hint="eastAsia" w:ascii="宋体" w:hAnsi="宋体" w:eastAsia="宋体" w:cs="宋体"/>
                <w:color w:val="auto"/>
                <w:sz w:val="24"/>
                <w:highlight w:val="none"/>
                <w:shd w:val="clear" w:color="auto" w:fill="auto"/>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08A75459">
            <w:pPr>
              <w:tabs>
                <w:tab w:val="left" w:pos="4905"/>
              </w:tabs>
              <w:topLinePunct/>
              <w:spacing w:line="360" w:lineRule="auto"/>
              <w:jc w:val="center"/>
              <w:rPr>
                <w:rFonts w:hint="eastAsia" w:ascii="宋体" w:hAnsi="宋体" w:eastAsia="宋体" w:cs="宋体"/>
                <w:color w:val="auto"/>
                <w:sz w:val="24"/>
                <w:highlight w:val="none"/>
                <w:shd w:val="clear" w:color="auto" w:fill="auto"/>
              </w:rPr>
            </w:pPr>
          </w:p>
        </w:tc>
      </w:tr>
      <w:tr w14:paraId="17C3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1214182">
            <w:pPr>
              <w:tabs>
                <w:tab w:val="left" w:pos="4905"/>
              </w:tabs>
              <w:topLinePunct/>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w:t>
            </w:r>
          </w:p>
        </w:tc>
        <w:tc>
          <w:tcPr>
            <w:tcW w:w="3087" w:type="dxa"/>
            <w:tcBorders>
              <w:top w:val="single" w:color="auto" w:sz="4" w:space="0"/>
              <w:left w:val="single" w:color="auto" w:sz="4" w:space="0"/>
              <w:bottom w:val="single" w:color="auto" w:sz="4" w:space="0"/>
              <w:right w:val="single" w:color="auto" w:sz="4" w:space="0"/>
            </w:tcBorders>
            <w:noWrap w:val="0"/>
            <w:vAlign w:val="center"/>
          </w:tcPr>
          <w:p w14:paraId="713F29B5">
            <w:pPr>
              <w:tabs>
                <w:tab w:val="left" w:pos="4905"/>
              </w:tabs>
              <w:topLinePunct/>
              <w:spacing w:line="360" w:lineRule="auto"/>
              <w:rPr>
                <w:rFonts w:hint="eastAsia" w:ascii="宋体" w:hAnsi="宋体" w:eastAsia="宋体" w:cs="宋体"/>
                <w:color w:val="auto"/>
                <w:sz w:val="24"/>
                <w:highlight w:val="none"/>
                <w:shd w:val="clear" w:color="auto" w:fill="auto"/>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2718169A">
            <w:pPr>
              <w:tabs>
                <w:tab w:val="left" w:pos="4905"/>
              </w:tabs>
              <w:topLinePunct/>
              <w:spacing w:line="360" w:lineRule="auto"/>
              <w:rPr>
                <w:rFonts w:hint="eastAsia" w:ascii="宋体" w:hAnsi="宋体" w:eastAsia="宋体" w:cs="宋体"/>
                <w:color w:val="auto"/>
                <w:sz w:val="24"/>
                <w:highlight w:val="none"/>
                <w:shd w:val="clear" w:color="auto" w:fill="auto"/>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75F0F726">
            <w:pPr>
              <w:tabs>
                <w:tab w:val="left" w:pos="4905"/>
              </w:tabs>
              <w:topLinePunct/>
              <w:spacing w:line="360" w:lineRule="auto"/>
              <w:jc w:val="center"/>
              <w:rPr>
                <w:rFonts w:hint="eastAsia" w:ascii="宋体" w:hAnsi="宋体" w:eastAsia="宋体" w:cs="宋体"/>
                <w:color w:val="auto"/>
                <w:sz w:val="24"/>
                <w:highlight w:val="none"/>
                <w:shd w:val="clear" w:color="auto" w:fill="auto"/>
              </w:rPr>
            </w:pPr>
          </w:p>
        </w:tc>
      </w:tr>
      <w:tr w14:paraId="4946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724D9314">
            <w:pPr>
              <w:tabs>
                <w:tab w:val="left" w:pos="4905"/>
              </w:tabs>
              <w:topLinePunct/>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w:t>
            </w:r>
          </w:p>
        </w:tc>
        <w:tc>
          <w:tcPr>
            <w:tcW w:w="3087" w:type="dxa"/>
            <w:tcBorders>
              <w:top w:val="single" w:color="auto" w:sz="4" w:space="0"/>
              <w:left w:val="single" w:color="auto" w:sz="4" w:space="0"/>
              <w:bottom w:val="single" w:color="auto" w:sz="4" w:space="0"/>
              <w:right w:val="single" w:color="auto" w:sz="4" w:space="0"/>
            </w:tcBorders>
            <w:noWrap w:val="0"/>
            <w:vAlign w:val="center"/>
          </w:tcPr>
          <w:p w14:paraId="68B443EB">
            <w:pPr>
              <w:tabs>
                <w:tab w:val="left" w:pos="4905"/>
              </w:tabs>
              <w:topLinePunct/>
              <w:spacing w:line="360" w:lineRule="auto"/>
              <w:rPr>
                <w:rFonts w:hint="eastAsia" w:ascii="宋体" w:hAnsi="宋体" w:eastAsia="宋体" w:cs="宋体"/>
                <w:color w:val="auto"/>
                <w:sz w:val="24"/>
                <w:highlight w:val="none"/>
                <w:shd w:val="clear" w:color="auto" w:fill="auto"/>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4CC64712">
            <w:pPr>
              <w:tabs>
                <w:tab w:val="left" w:pos="4905"/>
              </w:tabs>
              <w:topLinePunct/>
              <w:spacing w:line="360" w:lineRule="auto"/>
              <w:rPr>
                <w:rFonts w:hint="eastAsia" w:ascii="宋体" w:hAnsi="宋体" w:eastAsia="宋体" w:cs="宋体"/>
                <w:color w:val="auto"/>
                <w:sz w:val="24"/>
                <w:highlight w:val="none"/>
                <w:shd w:val="clear" w:color="auto" w:fill="auto"/>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0AD2DEE8">
            <w:pPr>
              <w:tabs>
                <w:tab w:val="left" w:pos="4905"/>
              </w:tabs>
              <w:topLinePunct/>
              <w:spacing w:line="360" w:lineRule="auto"/>
              <w:jc w:val="center"/>
              <w:rPr>
                <w:rFonts w:hint="eastAsia" w:ascii="宋体" w:hAnsi="宋体" w:eastAsia="宋体" w:cs="宋体"/>
                <w:color w:val="auto"/>
                <w:sz w:val="24"/>
                <w:highlight w:val="none"/>
                <w:shd w:val="clear" w:color="auto" w:fill="auto"/>
              </w:rPr>
            </w:pPr>
          </w:p>
        </w:tc>
      </w:tr>
      <w:tr w14:paraId="6E8A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277F788D">
            <w:pPr>
              <w:tabs>
                <w:tab w:val="left" w:pos="4905"/>
              </w:tabs>
              <w:topLinePunct/>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w:t>
            </w:r>
          </w:p>
        </w:tc>
        <w:tc>
          <w:tcPr>
            <w:tcW w:w="3087" w:type="dxa"/>
            <w:tcBorders>
              <w:top w:val="single" w:color="auto" w:sz="4" w:space="0"/>
              <w:left w:val="single" w:color="auto" w:sz="4" w:space="0"/>
              <w:bottom w:val="single" w:color="auto" w:sz="4" w:space="0"/>
              <w:right w:val="single" w:color="auto" w:sz="4" w:space="0"/>
            </w:tcBorders>
            <w:noWrap w:val="0"/>
            <w:vAlign w:val="center"/>
          </w:tcPr>
          <w:p w14:paraId="6B19A8BC">
            <w:pPr>
              <w:tabs>
                <w:tab w:val="left" w:pos="4905"/>
              </w:tabs>
              <w:topLinePunct/>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14:paraId="2C3F6684">
            <w:pPr>
              <w:tabs>
                <w:tab w:val="left" w:pos="4905"/>
              </w:tabs>
              <w:topLinePunct/>
              <w:spacing w:line="360" w:lineRule="auto"/>
              <w:rPr>
                <w:rFonts w:hint="eastAsia" w:ascii="宋体" w:hAnsi="宋体" w:eastAsia="宋体" w:cs="宋体"/>
                <w:color w:val="auto"/>
                <w:sz w:val="24"/>
                <w:highlight w:val="none"/>
                <w:shd w:val="clear" w:color="auto" w:fill="auto"/>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10C5D8E6">
            <w:pPr>
              <w:tabs>
                <w:tab w:val="left" w:pos="4905"/>
              </w:tabs>
              <w:topLinePunct/>
              <w:spacing w:line="360" w:lineRule="auto"/>
              <w:jc w:val="center"/>
              <w:rPr>
                <w:rFonts w:hint="eastAsia" w:ascii="宋体" w:hAnsi="宋体" w:eastAsia="宋体" w:cs="宋体"/>
                <w:color w:val="auto"/>
                <w:sz w:val="24"/>
                <w:highlight w:val="none"/>
                <w:shd w:val="clear" w:color="auto" w:fill="auto"/>
              </w:rPr>
            </w:pPr>
          </w:p>
        </w:tc>
      </w:tr>
      <w:tr w14:paraId="4CB1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2EC2E302">
            <w:pPr>
              <w:tabs>
                <w:tab w:val="left" w:pos="4905"/>
              </w:tabs>
              <w:topLinePunct/>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w:t>
            </w:r>
          </w:p>
        </w:tc>
        <w:tc>
          <w:tcPr>
            <w:tcW w:w="3087" w:type="dxa"/>
            <w:tcBorders>
              <w:top w:val="single" w:color="auto" w:sz="4" w:space="0"/>
              <w:left w:val="single" w:color="auto" w:sz="4" w:space="0"/>
              <w:bottom w:val="single" w:color="auto" w:sz="4" w:space="0"/>
              <w:right w:val="single" w:color="auto" w:sz="4" w:space="0"/>
            </w:tcBorders>
            <w:noWrap w:val="0"/>
            <w:vAlign w:val="center"/>
          </w:tcPr>
          <w:p w14:paraId="40364C7F">
            <w:pPr>
              <w:tabs>
                <w:tab w:val="left" w:pos="4905"/>
              </w:tabs>
              <w:topLinePunct/>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14:paraId="2FF4709A">
            <w:pPr>
              <w:tabs>
                <w:tab w:val="left" w:pos="4905"/>
              </w:tabs>
              <w:topLinePunct/>
              <w:spacing w:line="360" w:lineRule="auto"/>
              <w:rPr>
                <w:rFonts w:hint="eastAsia" w:ascii="宋体" w:hAnsi="宋体" w:eastAsia="宋体" w:cs="宋体"/>
                <w:color w:val="auto"/>
                <w:sz w:val="24"/>
                <w:highlight w:val="none"/>
                <w:shd w:val="clear" w:color="auto" w:fill="auto"/>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34694FFC">
            <w:pPr>
              <w:tabs>
                <w:tab w:val="left" w:pos="4905"/>
              </w:tabs>
              <w:topLinePunct/>
              <w:spacing w:line="360" w:lineRule="auto"/>
              <w:jc w:val="center"/>
              <w:rPr>
                <w:rFonts w:hint="eastAsia" w:ascii="宋体" w:hAnsi="宋体" w:eastAsia="宋体" w:cs="宋体"/>
                <w:color w:val="auto"/>
                <w:sz w:val="24"/>
                <w:highlight w:val="none"/>
                <w:shd w:val="clear" w:color="auto" w:fill="auto"/>
              </w:rPr>
            </w:pPr>
          </w:p>
        </w:tc>
      </w:tr>
    </w:tbl>
    <w:p w14:paraId="2719B987">
      <w:pPr>
        <w:tabs>
          <w:tab w:val="left" w:pos="570"/>
        </w:tabs>
        <w:topLinePunct/>
        <w:spacing w:line="360" w:lineRule="auto"/>
        <w:ind w:firstLine="120" w:firstLineChars="5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注：1.此表须与</w:t>
      </w:r>
      <w:r>
        <w:rPr>
          <w:rFonts w:hint="eastAsia" w:ascii="宋体" w:hAnsi="宋体" w:eastAsia="宋体" w:cs="宋体"/>
          <w:color w:val="auto"/>
          <w:kern w:val="0"/>
          <w:sz w:val="24"/>
          <w:highlight w:val="none"/>
          <w:shd w:val="clear" w:color="auto" w:fill="auto"/>
        </w:rPr>
        <w:t>招标文件“</w:t>
      </w:r>
      <w:r>
        <w:rPr>
          <w:rFonts w:hint="eastAsia" w:ascii="宋体" w:hAnsi="宋体" w:eastAsia="宋体" w:cs="宋体"/>
          <w:color w:val="auto"/>
          <w:sz w:val="24"/>
          <w:highlight w:val="none"/>
          <w:shd w:val="clear" w:color="auto" w:fill="auto"/>
          <w:lang w:eastAsia="zh-CN"/>
        </w:rPr>
        <w:t>第五章 招标内容和技术要求</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相应的所有服务指标相比较且一一对应真实逐条填列。</w:t>
      </w:r>
    </w:p>
    <w:p w14:paraId="77A86F7F">
      <w:pPr>
        <w:tabs>
          <w:tab w:val="left" w:pos="570"/>
        </w:tabs>
        <w:topLinePunct/>
        <w:spacing w:line="360" w:lineRule="auto"/>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2、投标人递交的技术规格书中必须真实逐条列明，否则由投标人自行承担相关风险。</w:t>
      </w:r>
    </w:p>
    <w:p w14:paraId="0D28E058">
      <w:pPr>
        <w:topLinePunct/>
        <w:spacing w:line="360" w:lineRule="auto"/>
        <w:ind w:firstLine="5040" w:firstLineChars="2100"/>
        <w:rPr>
          <w:rFonts w:hint="eastAsia" w:ascii="宋体" w:hAnsi="宋体" w:eastAsia="宋体" w:cs="宋体"/>
          <w:color w:val="auto"/>
          <w:kern w:val="0"/>
          <w:sz w:val="24"/>
          <w:highlight w:val="none"/>
          <w:shd w:val="clear" w:color="auto" w:fill="auto"/>
          <w:lang w:val="zh-CN"/>
        </w:rPr>
      </w:pPr>
    </w:p>
    <w:p w14:paraId="58A00EA0">
      <w:pPr>
        <w:topLinePunct/>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 xml:space="preserve">                                    </w:t>
      </w:r>
      <w:r>
        <w:rPr>
          <w:rFonts w:hint="eastAsia" w:ascii="宋体" w:hAnsi="宋体" w:eastAsia="宋体" w:cs="宋体"/>
          <w:color w:val="auto"/>
          <w:kern w:val="0"/>
          <w:sz w:val="24"/>
          <w:highlight w:val="none"/>
          <w:shd w:val="clear" w:color="auto" w:fill="auto"/>
        </w:rPr>
        <w:t>投标人</w:t>
      </w:r>
      <w:r>
        <w:rPr>
          <w:rFonts w:hint="eastAsia" w:ascii="宋体" w:hAnsi="宋体" w:eastAsia="宋体" w:cs="宋体"/>
          <w:color w:val="auto"/>
          <w:kern w:val="0"/>
          <w:sz w:val="24"/>
          <w:highlight w:val="none"/>
          <w:shd w:val="clear" w:color="auto" w:fill="auto"/>
          <w:lang w:val="zh-CN"/>
        </w:rPr>
        <w:t xml:space="preserve">名称（盖章）：      </w:t>
      </w:r>
    </w:p>
    <w:p w14:paraId="223CA387">
      <w:pPr>
        <w:topLinePunct/>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法定代表人或其授权代表（签字或盖章）： </w:t>
      </w:r>
    </w:p>
    <w:p w14:paraId="504E83E8">
      <w:pPr>
        <w:topLinePunct/>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 xml:space="preserve">                            日期：  </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 xml:space="preserve">年  </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月   日</w:t>
      </w:r>
    </w:p>
    <w:p w14:paraId="372412A9">
      <w:pPr>
        <w:jc w:val="left"/>
        <w:rPr>
          <w:rFonts w:hint="eastAsia" w:ascii="宋体" w:hAnsi="宋体" w:eastAsia="宋体" w:cs="宋体"/>
          <w:color w:val="auto"/>
          <w:sz w:val="32"/>
          <w:szCs w:val="32"/>
          <w:highlight w:val="none"/>
          <w:shd w:val="clear" w:color="auto" w:fill="auto"/>
        </w:rPr>
      </w:pPr>
    </w:p>
    <w:p w14:paraId="66143D81">
      <w:pPr>
        <w:jc w:val="left"/>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28"/>
          <w:szCs w:val="28"/>
          <w:highlight w:val="none"/>
          <w:shd w:val="clear" w:color="auto" w:fill="auto"/>
        </w:rPr>
        <w:br w:type="page"/>
      </w:r>
      <w:r>
        <w:rPr>
          <w:rFonts w:hint="eastAsia" w:ascii="宋体" w:hAnsi="宋体" w:eastAsia="宋体" w:cs="宋体"/>
          <w:color w:val="auto"/>
          <w:sz w:val="28"/>
          <w:szCs w:val="28"/>
          <w:highlight w:val="none"/>
          <w:shd w:val="clear" w:color="auto" w:fill="auto"/>
          <w:lang w:eastAsia="zh-CN"/>
        </w:rPr>
        <w:t>格式</w:t>
      </w:r>
      <w:r>
        <w:rPr>
          <w:rFonts w:hint="eastAsia" w:ascii="宋体" w:hAnsi="宋体" w:eastAsia="宋体" w:cs="宋体"/>
          <w:color w:val="auto"/>
          <w:sz w:val="28"/>
          <w:szCs w:val="28"/>
          <w:highlight w:val="none"/>
          <w:shd w:val="clear" w:color="auto" w:fill="auto"/>
        </w:rPr>
        <w:t>七</w:t>
      </w:r>
    </w:p>
    <w:p w14:paraId="0BB2912A">
      <w:pPr>
        <w:topLinePunct/>
        <w:spacing w:line="360" w:lineRule="auto"/>
        <w:jc w:val="center"/>
        <w:rPr>
          <w:rFonts w:hint="eastAsia" w:ascii="宋体" w:hAnsi="宋体" w:eastAsia="宋体" w:cs="宋体"/>
          <w:b/>
          <w:bCs/>
          <w:color w:val="auto"/>
          <w:sz w:val="32"/>
          <w:szCs w:val="32"/>
          <w:highlight w:val="none"/>
          <w:shd w:val="clear" w:color="auto" w:fill="auto"/>
        </w:rPr>
      </w:pPr>
      <w:bookmarkStart w:id="60" w:name="_Toc18214"/>
      <w:r>
        <w:rPr>
          <w:rFonts w:hint="eastAsia" w:ascii="宋体" w:hAnsi="宋体" w:eastAsia="宋体" w:cs="宋体"/>
          <w:b/>
          <w:bCs/>
          <w:color w:val="auto"/>
          <w:sz w:val="32"/>
          <w:szCs w:val="32"/>
          <w:highlight w:val="none"/>
          <w:shd w:val="clear" w:color="auto" w:fill="auto"/>
        </w:rPr>
        <w:t>廉政承诺书</w:t>
      </w:r>
      <w:bookmarkEnd w:id="60"/>
    </w:p>
    <w:p w14:paraId="57B9FB4F">
      <w:pPr>
        <w:topLinePunct/>
        <w:spacing w:line="360" w:lineRule="auto"/>
        <w:jc w:val="left"/>
        <w:rPr>
          <w:rFonts w:hint="eastAsia" w:ascii="宋体" w:hAnsi="宋体" w:eastAsia="宋体" w:cs="宋体"/>
          <w:color w:val="auto"/>
          <w:kern w:val="0"/>
          <w:sz w:val="24"/>
          <w:highlight w:val="none"/>
          <w:shd w:val="clear" w:color="auto" w:fill="auto"/>
          <w:lang w:val="zh-CN"/>
        </w:rPr>
      </w:pPr>
    </w:p>
    <w:p w14:paraId="31F323D4">
      <w:pPr>
        <w:topLinePunct/>
        <w:spacing w:line="360" w:lineRule="auto"/>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绍兴市水务产业有限公司：</w:t>
      </w:r>
    </w:p>
    <w:p w14:paraId="23776F78">
      <w:pPr>
        <w:topLinePunct/>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我单位响应你</w:t>
      </w:r>
      <w:r>
        <w:rPr>
          <w:rFonts w:hint="eastAsia" w:ascii="宋体" w:hAnsi="宋体" w:eastAsia="宋体" w:cs="宋体"/>
          <w:color w:val="auto"/>
          <w:sz w:val="24"/>
          <w:highlight w:val="none"/>
          <w:shd w:val="clear" w:color="auto" w:fill="auto"/>
        </w:rPr>
        <w:t>单位</w:t>
      </w:r>
      <w:r>
        <w:rPr>
          <w:rFonts w:hint="eastAsia" w:ascii="宋体" w:hAnsi="宋体" w:eastAsia="宋体" w:cs="宋体"/>
          <w:color w:val="auto"/>
          <w:kern w:val="0"/>
          <w:sz w:val="24"/>
          <w:highlight w:val="none"/>
          <w:shd w:val="clear" w:color="auto" w:fill="auto"/>
          <w:lang w:val="zh-CN"/>
        </w:rPr>
        <w:t>项目招标要求参加投标。在这次投标过程中和中标后，我们将严格遵守国家法律法规要求，并郑重承诺：</w:t>
      </w:r>
    </w:p>
    <w:p w14:paraId="1818ADBE">
      <w:pPr>
        <w:topLinePunct/>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一、不向项目有关人员及部门赠送礼金礼物、有价证券、回扣以及中介费、介绍费、咨询费等好处费；</w:t>
      </w:r>
    </w:p>
    <w:p w14:paraId="45F9C64A">
      <w:pPr>
        <w:topLinePunct/>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二、不为项目有关人员及部门报销应由你方单位或个人支付的费用；</w:t>
      </w:r>
    </w:p>
    <w:p w14:paraId="2CD43C56">
      <w:pPr>
        <w:topLinePunct/>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三、不向项目有关人员及部门提供有可能影响公正的宴请和健身娱乐等活动；</w:t>
      </w:r>
    </w:p>
    <w:p w14:paraId="1C3E2910">
      <w:pPr>
        <w:topLinePunct/>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四、不为项目有关人员及部门出国（境）、旅游等提供方便；</w:t>
      </w:r>
    </w:p>
    <w:p w14:paraId="2A86B5CC">
      <w:pPr>
        <w:topLinePunct/>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五、不为项目有关人员个人装修住房、婚丧嫁娶、配偶子女工作安排等提供好处；</w:t>
      </w:r>
    </w:p>
    <w:p w14:paraId="612967B8">
      <w:pPr>
        <w:topLinePunct/>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六、严格遵守政府采购法等法律法规，诚实守信，合法经营，坚决抵制各种违法违纪行为。</w:t>
      </w:r>
    </w:p>
    <w:p w14:paraId="68E9C323">
      <w:pPr>
        <w:topLinePunct/>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如违反上述承诺，你</w:t>
      </w:r>
      <w:r>
        <w:rPr>
          <w:rFonts w:hint="eastAsia" w:ascii="宋体" w:hAnsi="宋体" w:eastAsia="宋体" w:cs="宋体"/>
          <w:color w:val="auto"/>
          <w:sz w:val="24"/>
          <w:highlight w:val="none"/>
          <w:shd w:val="clear" w:color="auto" w:fill="auto"/>
        </w:rPr>
        <w:t>单位</w:t>
      </w:r>
      <w:r>
        <w:rPr>
          <w:rFonts w:hint="eastAsia" w:ascii="宋体" w:hAnsi="宋体" w:eastAsia="宋体" w:cs="宋体"/>
          <w:color w:val="auto"/>
          <w:kern w:val="0"/>
          <w:sz w:val="24"/>
          <w:highlight w:val="none"/>
          <w:shd w:val="clear" w:color="auto" w:fill="auto"/>
          <w:lang w:val="zh-CN"/>
        </w:rPr>
        <w:t>有权立即取消我单位投标、中标或合同履行资格，有权拒绝我单位在一定时期内进入你</w:t>
      </w:r>
      <w:r>
        <w:rPr>
          <w:rFonts w:hint="eastAsia" w:ascii="宋体" w:hAnsi="宋体" w:eastAsia="宋体" w:cs="宋体"/>
          <w:color w:val="auto"/>
          <w:sz w:val="24"/>
          <w:highlight w:val="none"/>
          <w:shd w:val="clear" w:color="auto" w:fill="auto"/>
        </w:rPr>
        <w:t>单位</w:t>
      </w:r>
      <w:r>
        <w:rPr>
          <w:rFonts w:hint="eastAsia" w:ascii="宋体" w:hAnsi="宋体" w:eastAsia="宋体" w:cs="宋体"/>
          <w:color w:val="auto"/>
          <w:kern w:val="0"/>
          <w:sz w:val="24"/>
          <w:highlight w:val="none"/>
          <w:shd w:val="clear" w:color="auto" w:fill="auto"/>
          <w:lang w:val="zh-CN"/>
        </w:rPr>
        <w:t>进行项目建设或其他经营活动，</w:t>
      </w:r>
      <w:r>
        <w:rPr>
          <w:rFonts w:hint="eastAsia" w:ascii="宋体" w:hAnsi="宋体" w:eastAsia="宋体" w:cs="宋体"/>
          <w:color w:val="auto"/>
          <w:kern w:val="0"/>
          <w:sz w:val="24"/>
          <w:highlight w:val="none"/>
          <w:shd w:val="clear" w:color="auto" w:fill="auto"/>
          <w:lang w:val="zh-CN"/>
        </w:rPr>
        <w:t>并通报</w:t>
      </w:r>
      <w:r>
        <w:rPr>
          <w:rFonts w:hint="eastAsia" w:ascii="宋体" w:hAnsi="宋体" w:eastAsia="宋体" w:cs="宋体"/>
          <w:color w:val="auto"/>
          <w:kern w:val="0"/>
          <w:sz w:val="24"/>
          <w:highlight w:val="none"/>
          <w:shd w:val="clear" w:color="auto" w:fill="auto"/>
          <w:lang w:val="en-US" w:eastAsia="zh-CN"/>
        </w:rPr>
        <w:t>政府相关部门</w:t>
      </w:r>
      <w:r>
        <w:rPr>
          <w:rFonts w:hint="eastAsia" w:ascii="宋体" w:hAnsi="宋体" w:eastAsia="宋体" w:cs="宋体"/>
          <w:color w:val="auto"/>
          <w:kern w:val="0"/>
          <w:sz w:val="24"/>
          <w:highlight w:val="none"/>
          <w:shd w:val="clear" w:color="auto" w:fill="auto"/>
          <w:lang w:val="zh-CN"/>
        </w:rPr>
        <w:t>。由此引起的相应损失均由我单位承担。</w:t>
      </w:r>
    </w:p>
    <w:p w14:paraId="041DC64E">
      <w:pPr>
        <w:topLinePunct/>
        <w:spacing w:line="360" w:lineRule="auto"/>
        <w:jc w:val="left"/>
        <w:rPr>
          <w:rFonts w:hint="eastAsia" w:ascii="宋体" w:hAnsi="宋体" w:eastAsia="宋体" w:cs="宋体"/>
          <w:color w:val="auto"/>
          <w:kern w:val="0"/>
          <w:sz w:val="24"/>
          <w:highlight w:val="none"/>
          <w:shd w:val="clear" w:color="auto" w:fill="auto"/>
          <w:lang w:val="zh-CN"/>
        </w:rPr>
      </w:pPr>
    </w:p>
    <w:p w14:paraId="630B2B4D">
      <w:pPr>
        <w:topLinePunct/>
        <w:spacing w:line="360" w:lineRule="auto"/>
        <w:jc w:val="left"/>
        <w:rPr>
          <w:rFonts w:hint="eastAsia" w:ascii="宋体" w:hAnsi="宋体" w:eastAsia="宋体" w:cs="宋体"/>
          <w:color w:val="auto"/>
          <w:kern w:val="0"/>
          <w:sz w:val="24"/>
          <w:highlight w:val="none"/>
          <w:shd w:val="clear" w:color="auto" w:fill="auto"/>
          <w:lang w:val="zh-CN"/>
        </w:rPr>
      </w:pPr>
    </w:p>
    <w:p w14:paraId="7EE5F4E5">
      <w:pPr>
        <w:topLinePunct/>
        <w:spacing w:line="360" w:lineRule="auto"/>
        <w:jc w:val="left"/>
        <w:rPr>
          <w:rFonts w:hint="eastAsia" w:ascii="宋体" w:hAnsi="宋体" w:eastAsia="宋体" w:cs="宋体"/>
          <w:color w:val="auto"/>
          <w:kern w:val="0"/>
          <w:sz w:val="24"/>
          <w:highlight w:val="none"/>
          <w:shd w:val="clear" w:color="auto" w:fill="auto"/>
          <w:lang w:val="zh-CN"/>
        </w:rPr>
      </w:pPr>
    </w:p>
    <w:p w14:paraId="77B650F3">
      <w:pPr>
        <w:topLinePunct/>
        <w:spacing w:line="360" w:lineRule="auto"/>
        <w:ind w:firstLine="480" w:firstLineChars="200"/>
        <w:jc w:val="left"/>
        <w:rPr>
          <w:rFonts w:hint="eastAsia" w:ascii="宋体" w:hAnsi="宋体" w:eastAsia="宋体" w:cs="宋体"/>
          <w:color w:val="auto"/>
          <w:sz w:val="24"/>
          <w:szCs w:val="20"/>
          <w:highlight w:val="none"/>
          <w:shd w:val="clear" w:color="auto" w:fill="auto"/>
        </w:rPr>
      </w:pPr>
    </w:p>
    <w:p w14:paraId="7EA2ED74">
      <w:pPr>
        <w:topLinePunct/>
        <w:spacing w:line="360" w:lineRule="auto"/>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w:t>
      </w:r>
      <w:r>
        <w:rPr>
          <w:rFonts w:hint="eastAsia" w:ascii="宋体" w:hAnsi="宋体" w:eastAsia="宋体" w:cs="宋体"/>
          <w:color w:val="auto"/>
          <w:kern w:val="0"/>
          <w:sz w:val="24"/>
          <w:highlight w:val="none"/>
          <w:shd w:val="clear" w:color="auto" w:fill="auto"/>
        </w:rPr>
        <w:t>投标人</w:t>
      </w:r>
      <w:r>
        <w:rPr>
          <w:rFonts w:hint="eastAsia" w:ascii="宋体" w:hAnsi="宋体" w:eastAsia="宋体" w:cs="宋体"/>
          <w:color w:val="auto"/>
          <w:kern w:val="0"/>
          <w:sz w:val="24"/>
          <w:highlight w:val="none"/>
          <w:shd w:val="clear" w:color="auto" w:fill="auto"/>
          <w:lang w:val="zh-CN"/>
        </w:rPr>
        <w:t>名称 (盖章)：</w:t>
      </w:r>
    </w:p>
    <w:p w14:paraId="6C589445">
      <w:pPr>
        <w:topLinePunct/>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 xml:space="preserve">                                  法定代表人或其授权代表(签字或盖章)：</w:t>
      </w:r>
    </w:p>
    <w:p w14:paraId="6F805477">
      <w:pPr>
        <w:topLinePunct/>
        <w:spacing w:line="360" w:lineRule="auto"/>
        <w:ind w:firstLine="5160" w:firstLineChars="215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 xml:space="preserve">年 </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w:t>
      </w:r>
    </w:p>
    <w:p w14:paraId="119CAE94">
      <w:pPr>
        <w:pStyle w:val="20"/>
        <w:rPr>
          <w:rFonts w:hint="eastAsia" w:ascii="宋体" w:hAnsi="宋体" w:eastAsia="宋体" w:cs="宋体"/>
          <w:color w:val="auto"/>
          <w:highlight w:val="none"/>
          <w:shd w:val="clear" w:color="auto" w:fill="auto"/>
        </w:rPr>
      </w:pPr>
    </w:p>
    <w:p w14:paraId="78164C40">
      <w:pPr>
        <w:rPr>
          <w:rFonts w:hint="eastAsia" w:ascii="宋体" w:hAnsi="宋体" w:eastAsia="宋体" w:cs="宋体"/>
          <w:color w:val="auto"/>
          <w:highlight w:val="none"/>
          <w:shd w:val="clear" w:color="auto" w:fill="auto"/>
        </w:rPr>
      </w:pPr>
    </w:p>
    <w:p w14:paraId="1680018E">
      <w:pPr>
        <w:pStyle w:val="20"/>
        <w:rPr>
          <w:rFonts w:hint="eastAsia" w:ascii="宋体" w:hAnsi="宋体" w:eastAsia="宋体" w:cs="宋体"/>
          <w:color w:val="auto"/>
          <w:highlight w:val="none"/>
          <w:shd w:val="clear" w:color="auto" w:fill="auto"/>
        </w:rPr>
      </w:pPr>
    </w:p>
    <w:p w14:paraId="1DCD0459">
      <w:pPr>
        <w:rPr>
          <w:rFonts w:hint="eastAsia" w:ascii="宋体" w:hAnsi="宋体" w:eastAsia="宋体" w:cs="宋体"/>
          <w:color w:val="auto"/>
          <w:sz w:val="20"/>
          <w:szCs w:val="20"/>
          <w:highlight w:val="none"/>
          <w:shd w:val="clear" w:color="auto" w:fill="auto"/>
        </w:rPr>
      </w:pPr>
    </w:p>
    <w:p w14:paraId="7054C03E">
      <w:pPr>
        <w:rPr>
          <w:rFonts w:hint="eastAsia" w:ascii="宋体" w:hAnsi="宋体" w:eastAsia="宋体" w:cs="宋体"/>
          <w:color w:val="auto"/>
          <w:sz w:val="20"/>
          <w:szCs w:val="20"/>
          <w:highlight w:val="none"/>
          <w:shd w:val="clear" w:color="auto" w:fill="auto"/>
        </w:rPr>
      </w:pPr>
    </w:p>
    <w:p w14:paraId="6942143A">
      <w:pPr>
        <w:rPr>
          <w:rFonts w:hint="eastAsia" w:ascii="宋体" w:hAnsi="宋体" w:eastAsia="宋体" w:cs="宋体"/>
          <w:color w:val="auto"/>
          <w:sz w:val="20"/>
          <w:szCs w:val="20"/>
          <w:highlight w:val="none"/>
          <w:shd w:val="clear" w:color="auto" w:fill="auto"/>
        </w:rPr>
      </w:pPr>
    </w:p>
    <w:p w14:paraId="03EBAFC8">
      <w:pPr>
        <w:rPr>
          <w:rFonts w:hint="eastAsia" w:ascii="宋体" w:hAnsi="宋体" w:eastAsia="宋体" w:cs="宋体"/>
          <w:color w:val="auto"/>
          <w:sz w:val="20"/>
          <w:szCs w:val="20"/>
          <w:highlight w:val="none"/>
          <w:shd w:val="clear" w:color="auto" w:fill="auto"/>
        </w:rPr>
      </w:pPr>
    </w:p>
    <w:p w14:paraId="1558D4A9">
      <w:pPr>
        <w:keepNext w:val="0"/>
        <w:keepLines w:val="0"/>
        <w:widowControl/>
        <w:suppressLineNumbers w:val="0"/>
        <w:jc w:val="left"/>
        <w:rPr>
          <w:rFonts w:hint="eastAsia" w:ascii="宋体" w:hAnsi="宋体" w:eastAsia="宋体" w:cs="宋体"/>
          <w:color w:val="auto"/>
          <w:highlight w:val="none"/>
          <w:shd w:val="clear" w:color="auto" w:fill="auto"/>
        </w:rPr>
      </w:pPr>
      <w:r>
        <w:rPr>
          <w:rFonts w:hint="eastAsia" w:ascii="宋体" w:hAnsi="宋体" w:eastAsia="宋体" w:cs="宋体"/>
          <w:b/>
          <w:bCs/>
          <w:snapToGrid w:val="0"/>
          <w:color w:val="auto"/>
          <w:kern w:val="0"/>
          <w:sz w:val="28"/>
          <w:szCs w:val="28"/>
          <w:highlight w:val="none"/>
          <w:shd w:val="clear" w:color="auto" w:fill="auto"/>
          <w:lang w:val="en-US" w:eastAsia="zh-CN" w:bidi="ar"/>
        </w:rPr>
        <w:t>三、投标文件资格审查资料格式</w:t>
      </w:r>
    </w:p>
    <w:p w14:paraId="0BA21117">
      <w:pPr>
        <w:rPr>
          <w:rFonts w:hint="eastAsia" w:ascii="宋体" w:hAnsi="宋体" w:eastAsia="宋体" w:cs="宋体"/>
          <w:color w:val="auto"/>
          <w:sz w:val="28"/>
          <w:szCs w:val="28"/>
          <w:highlight w:val="none"/>
          <w:shd w:val="clear" w:color="auto" w:fill="auto"/>
        </w:rPr>
      </w:pPr>
    </w:p>
    <w:p w14:paraId="2941E77F">
      <w:pPr>
        <w:rPr>
          <w:rFonts w:hint="eastAsia" w:ascii="宋体" w:hAnsi="宋体" w:eastAsia="宋体" w:cs="宋体"/>
          <w:color w:val="auto"/>
          <w:sz w:val="36"/>
          <w:szCs w:val="36"/>
          <w:highlight w:val="none"/>
          <w:shd w:val="clear" w:color="auto" w:fill="auto"/>
          <w:lang w:val="en-US" w:eastAsia="zh-CN"/>
        </w:rPr>
      </w:pPr>
      <w:r>
        <w:rPr>
          <w:rFonts w:hint="eastAsia" w:ascii="宋体" w:hAnsi="宋体" w:eastAsia="宋体" w:cs="宋体"/>
          <w:color w:val="auto"/>
          <w:sz w:val="36"/>
          <w:szCs w:val="36"/>
          <w:highlight w:val="none"/>
          <w:shd w:val="clear" w:color="auto" w:fill="auto"/>
          <w:lang w:val="en-US" w:eastAsia="zh-CN"/>
        </w:rPr>
        <w:t xml:space="preserve">封面                              □正  </w:t>
      </w:r>
      <w:r>
        <w:rPr>
          <w:rFonts w:hint="eastAsia" w:ascii="宋体" w:hAnsi="宋体" w:cs="宋体"/>
          <w:color w:val="auto"/>
          <w:sz w:val="36"/>
          <w:szCs w:val="36"/>
          <w:highlight w:val="none"/>
          <w:shd w:val="clear" w:color="auto" w:fill="auto"/>
          <w:lang w:val="en-US" w:eastAsia="zh-CN"/>
        </w:rPr>
        <w:t>□</w:t>
      </w:r>
      <w:r>
        <w:rPr>
          <w:rFonts w:hint="eastAsia" w:ascii="宋体" w:hAnsi="宋体" w:eastAsia="宋体" w:cs="宋体"/>
          <w:color w:val="auto"/>
          <w:sz w:val="36"/>
          <w:szCs w:val="36"/>
          <w:highlight w:val="none"/>
          <w:shd w:val="clear" w:color="auto" w:fill="auto"/>
          <w:lang w:val="en-US" w:eastAsia="zh-CN"/>
        </w:rPr>
        <w:t>副本</w:t>
      </w:r>
    </w:p>
    <w:p w14:paraId="7A641B77">
      <w:pPr>
        <w:rPr>
          <w:rFonts w:hint="eastAsia" w:ascii="宋体" w:hAnsi="宋体" w:eastAsia="宋体" w:cs="宋体"/>
          <w:color w:val="auto"/>
          <w:sz w:val="20"/>
          <w:szCs w:val="20"/>
          <w:highlight w:val="none"/>
          <w:shd w:val="clear" w:color="auto" w:fill="auto"/>
        </w:rPr>
      </w:pPr>
    </w:p>
    <w:p w14:paraId="6D3137EA">
      <w:pPr>
        <w:rPr>
          <w:rFonts w:hint="eastAsia" w:ascii="宋体" w:hAnsi="宋体" w:eastAsia="宋体" w:cs="宋体"/>
          <w:color w:val="auto"/>
          <w:sz w:val="20"/>
          <w:szCs w:val="20"/>
          <w:highlight w:val="none"/>
          <w:shd w:val="clear" w:color="auto" w:fill="auto"/>
        </w:rPr>
      </w:pPr>
    </w:p>
    <w:p w14:paraId="40C9B3A1">
      <w:pPr>
        <w:spacing w:line="360" w:lineRule="auto"/>
        <w:jc w:val="center"/>
        <w:rPr>
          <w:rFonts w:hint="eastAsia" w:ascii="宋体" w:hAnsi="宋体" w:eastAsia="宋体" w:cs="宋体"/>
          <w:color w:val="auto"/>
          <w:sz w:val="28"/>
          <w:szCs w:val="28"/>
          <w:highlight w:val="none"/>
          <w:u w:val="single"/>
          <w:shd w:val="clear" w:color="auto" w:fill="auto"/>
        </w:rPr>
      </w:pPr>
    </w:p>
    <w:p w14:paraId="6EAE4F91">
      <w:pPr>
        <w:spacing w:line="360" w:lineRule="auto"/>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u w:val="single"/>
          <w:shd w:val="clear" w:color="auto" w:fill="auto"/>
        </w:rPr>
        <w:t xml:space="preserve">                 </w:t>
      </w:r>
      <w:r>
        <w:rPr>
          <w:rFonts w:hint="eastAsia" w:ascii="宋体" w:hAnsi="宋体" w:eastAsia="宋体" w:cs="宋体"/>
          <w:color w:val="auto"/>
          <w:sz w:val="28"/>
          <w:szCs w:val="28"/>
          <w:highlight w:val="none"/>
          <w:shd w:val="clear" w:color="auto" w:fill="auto"/>
        </w:rPr>
        <w:t>（项目名称）项目</w:t>
      </w:r>
    </w:p>
    <w:p w14:paraId="247BB762">
      <w:pPr>
        <w:spacing w:line="360" w:lineRule="auto"/>
        <w:jc w:val="center"/>
        <w:rPr>
          <w:rFonts w:hint="eastAsia" w:ascii="宋体" w:hAnsi="宋体" w:eastAsia="宋体" w:cs="宋体"/>
          <w:color w:val="auto"/>
          <w:sz w:val="44"/>
          <w:szCs w:val="44"/>
          <w:highlight w:val="none"/>
          <w:shd w:val="clear" w:color="auto" w:fill="auto"/>
        </w:rPr>
      </w:pPr>
      <w:r>
        <w:rPr>
          <w:rFonts w:hint="eastAsia" w:ascii="宋体" w:hAnsi="宋体" w:eastAsia="宋体" w:cs="宋体"/>
          <w:color w:val="auto"/>
          <w:sz w:val="44"/>
          <w:szCs w:val="44"/>
          <w:highlight w:val="none"/>
          <w:shd w:val="clear" w:color="auto" w:fill="auto"/>
        </w:rPr>
        <w:t>投  标  文  件</w:t>
      </w:r>
    </w:p>
    <w:p w14:paraId="02BFF468">
      <w:pPr>
        <w:spacing w:line="360" w:lineRule="auto"/>
        <w:jc w:val="center"/>
        <w:rPr>
          <w:rFonts w:hint="eastAsia" w:ascii="宋体" w:hAnsi="宋体" w:eastAsia="宋体" w:cs="宋体"/>
          <w:color w:val="auto"/>
          <w:sz w:val="32"/>
          <w:szCs w:val="32"/>
          <w:highlight w:val="none"/>
          <w:shd w:val="clear" w:color="auto" w:fill="auto"/>
        </w:rPr>
      </w:pPr>
    </w:p>
    <w:p w14:paraId="60DE5AAC">
      <w:pPr>
        <w:spacing w:line="360" w:lineRule="auto"/>
        <w:jc w:val="center"/>
        <w:outlineLvl w:val="1"/>
        <w:rPr>
          <w:rFonts w:hint="eastAsia" w:ascii="宋体" w:hAnsi="宋体" w:eastAsia="宋体" w:cs="宋体"/>
          <w:color w:val="auto"/>
          <w:sz w:val="32"/>
          <w:szCs w:val="32"/>
          <w:highlight w:val="none"/>
          <w:shd w:val="clear" w:color="auto" w:fill="auto"/>
        </w:rPr>
      </w:pPr>
      <w:bookmarkStart w:id="61" w:name="_Toc96678566"/>
      <w:bookmarkStart w:id="62" w:name="_Toc28383"/>
      <w:bookmarkStart w:id="63" w:name="_Toc471863709"/>
      <w:bookmarkStart w:id="64" w:name="_Toc470468645"/>
      <w:r>
        <w:rPr>
          <w:rFonts w:hint="eastAsia" w:ascii="宋体" w:hAnsi="宋体" w:eastAsia="宋体" w:cs="宋体"/>
          <w:color w:val="auto"/>
          <w:sz w:val="32"/>
          <w:szCs w:val="32"/>
          <w:highlight w:val="none"/>
          <w:shd w:val="clear" w:color="auto" w:fill="auto"/>
        </w:rPr>
        <w:t>（资格审查资料）</w:t>
      </w:r>
      <w:bookmarkEnd w:id="61"/>
      <w:bookmarkEnd w:id="62"/>
      <w:bookmarkEnd w:id="63"/>
      <w:bookmarkEnd w:id="64"/>
    </w:p>
    <w:p w14:paraId="6802F62C">
      <w:pPr>
        <w:spacing w:line="360" w:lineRule="auto"/>
        <w:jc w:val="center"/>
        <w:rPr>
          <w:rFonts w:hint="eastAsia" w:ascii="宋体" w:hAnsi="宋体" w:eastAsia="宋体" w:cs="宋体"/>
          <w:color w:val="auto"/>
          <w:sz w:val="32"/>
          <w:szCs w:val="32"/>
          <w:highlight w:val="none"/>
          <w:shd w:val="clear" w:color="auto" w:fill="auto"/>
        </w:rPr>
      </w:pPr>
    </w:p>
    <w:p w14:paraId="4D752227">
      <w:pPr>
        <w:spacing w:line="360" w:lineRule="auto"/>
        <w:jc w:val="center"/>
        <w:rPr>
          <w:rFonts w:hint="eastAsia" w:ascii="宋体" w:hAnsi="宋体" w:eastAsia="宋体" w:cs="宋体"/>
          <w:color w:val="auto"/>
          <w:sz w:val="32"/>
          <w:szCs w:val="32"/>
          <w:highlight w:val="none"/>
          <w:shd w:val="clear" w:color="auto" w:fill="auto"/>
        </w:rPr>
      </w:pPr>
    </w:p>
    <w:p w14:paraId="4DA32CBF">
      <w:pPr>
        <w:spacing w:line="360" w:lineRule="auto"/>
        <w:jc w:val="center"/>
        <w:rPr>
          <w:rFonts w:hint="eastAsia" w:ascii="宋体" w:hAnsi="宋体" w:eastAsia="宋体" w:cs="宋体"/>
          <w:color w:val="auto"/>
          <w:sz w:val="32"/>
          <w:szCs w:val="32"/>
          <w:highlight w:val="none"/>
          <w:shd w:val="clear" w:color="auto" w:fill="auto"/>
        </w:rPr>
      </w:pPr>
    </w:p>
    <w:p w14:paraId="7C90E477">
      <w:pPr>
        <w:spacing w:line="360" w:lineRule="auto"/>
        <w:jc w:val="center"/>
        <w:rPr>
          <w:rFonts w:hint="eastAsia" w:ascii="宋体" w:hAnsi="宋体" w:eastAsia="宋体" w:cs="宋体"/>
          <w:color w:val="auto"/>
          <w:sz w:val="32"/>
          <w:szCs w:val="32"/>
          <w:highlight w:val="none"/>
          <w:shd w:val="clear" w:color="auto" w:fill="auto"/>
        </w:rPr>
      </w:pPr>
    </w:p>
    <w:p w14:paraId="27CD6895">
      <w:pPr>
        <w:spacing w:line="360" w:lineRule="auto"/>
        <w:jc w:val="center"/>
        <w:rPr>
          <w:rFonts w:hint="eastAsia" w:ascii="宋体" w:hAnsi="宋体" w:eastAsia="宋体" w:cs="宋体"/>
          <w:color w:val="auto"/>
          <w:sz w:val="32"/>
          <w:szCs w:val="32"/>
          <w:highlight w:val="none"/>
          <w:shd w:val="clear" w:color="auto" w:fill="auto"/>
        </w:rPr>
      </w:pPr>
    </w:p>
    <w:p w14:paraId="08528D3B">
      <w:pPr>
        <w:spacing w:line="360" w:lineRule="auto"/>
        <w:jc w:val="center"/>
        <w:rPr>
          <w:rFonts w:hint="eastAsia" w:ascii="宋体" w:hAnsi="宋体" w:eastAsia="宋体" w:cs="宋体"/>
          <w:color w:val="auto"/>
          <w:sz w:val="32"/>
          <w:szCs w:val="32"/>
          <w:highlight w:val="none"/>
          <w:shd w:val="clear" w:color="auto" w:fill="auto"/>
        </w:rPr>
      </w:pPr>
    </w:p>
    <w:p w14:paraId="36AA45C9">
      <w:pPr>
        <w:spacing w:line="360" w:lineRule="auto"/>
        <w:ind w:left="566" w:hanging="566" w:hangingChars="177"/>
        <w:jc w:val="center"/>
        <w:rPr>
          <w:rFonts w:hint="eastAsia" w:ascii="宋体" w:hAnsi="宋体" w:eastAsia="宋体" w:cs="宋体"/>
          <w:color w:val="auto"/>
          <w:sz w:val="32"/>
          <w:szCs w:val="32"/>
          <w:highlight w:val="none"/>
          <w:shd w:val="clear" w:color="auto" w:fill="auto"/>
        </w:rPr>
      </w:pPr>
    </w:p>
    <w:p w14:paraId="22B74748">
      <w:pPr>
        <w:spacing w:line="360" w:lineRule="auto"/>
        <w:ind w:firstLine="565" w:firstLineChars="202"/>
        <w:rPr>
          <w:rFonts w:hint="eastAsia" w:ascii="宋体" w:hAnsi="宋体" w:eastAsia="宋体" w:cs="宋体"/>
          <w:color w:val="auto"/>
          <w:sz w:val="28"/>
          <w:szCs w:val="28"/>
          <w:highlight w:val="none"/>
          <w:shd w:val="clear" w:color="auto" w:fill="auto"/>
        </w:rPr>
      </w:pPr>
    </w:p>
    <w:p w14:paraId="27789991">
      <w:pPr>
        <w:spacing w:line="360" w:lineRule="auto"/>
        <w:ind w:firstLine="565" w:firstLineChars="202"/>
        <w:rPr>
          <w:rFonts w:hint="eastAsia" w:ascii="宋体" w:hAnsi="宋体" w:eastAsia="宋体" w:cs="宋体"/>
          <w:color w:val="auto"/>
          <w:sz w:val="28"/>
          <w:szCs w:val="28"/>
          <w:highlight w:val="none"/>
          <w:shd w:val="clear" w:color="auto" w:fill="auto"/>
        </w:rPr>
      </w:pPr>
    </w:p>
    <w:p w14:paraId="07F70D12">
      <w:pPr>
        <w:spacing w:line="360" w:lineRule="auto"/>
        <w:ind w:firstLine="565" w:firstLineChars="202"/>
        <w:rPr>
          <w:rFonts w:hint="eastAsia" w:ascii="宋体" w:hAnsi="宋体" w:eastAsia="宋体" w:cs="宋体"/>
          <w:color w:val="auto"/>
          <w:sz w:val="28"/>
          <w:szCs w:val="28"/>
          <w:highlight w:val="none"/>
          <w:shd w:val="clear" w:color="auto" w:fill="auto"/>
        </w:rPr>
      </w:pPr>
    </w:p>
    <w:p w14:paraId="330C73FD">
      <w:pPr>
        <w:spacing w:line="360" w:lineRule="auto"/>
        <w:ind w:firstLine="565" w:firstLineChars="202"/>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投标人：</w:t>
      </w:r>
      <w:r>
        <w:rPr>
          <w:rFonts w:hint="eastAsia" w:ascii="宋体" w:hAnsi="宋体" w:eastAsia="宋体" w:cs="宋体"/>
          <w:color w:val="auto"/>
          <w:sz w:val="28"/>
          <w:szCs w:val="28"/>
          <w:highlight w:val="none"/>
          <w:u w:val="single"/>
          <w:shd w:val="clear" w:color="auto" w:fill="auto"/>
        </w:rPr>
        <w:t xml:space="preserve">                    </w:t>
      </w:r>
      <w:r>
        <w:rPr>
          <w:rFonts w:hint="eastAsia" w:ascii="宋体" w:hAnsi="宋体" w:eastAsia="宋体" w:cs="宋体"/>
          <w:color w:val="auto"/>
          <w:sz w:val="28"/>
          <w:szCs w:val="28"/>
          <w:highlight w:val="none"/>
          <w:shd w:val="clear" w:color="auto" w:fill="auto"/>
        </w:rPr>
        <w:t>（盖单位章）</w:t>
      </w:r>
    </w:p>
    <w:p w14:paraId="64EAFF41">
      <w:pPr>
        <w:spacing w:line="360" w:lineRule="auto"/>
        <w:ind w:firstLine="565" w:firstLineChars="202"/>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法定代表人或其授权代表：</w:t>
      </w:r>
      <w:r>
        <w:rPr>
          <w:rFonts w:hint="eastAsia" w:ascii="宋体" w:hAnsi="宋体" w:eastAsia="宋体" w:cs="宋体"/>
          <w:color w:val="auto"/>
          <w:sz w:val="28"/>
          <w:szCs w:val="28"/>
          <w:highlight w:val="none"/>
          <w:u w:val="single"/>
          <w:shd w:val="clear" w:color="auto" w:fill="auto"/>
        </w:rPr>
        <w:t xml:space="preserve">                 </w:t>
      </w:r>
      <w:r>
        <w:rPr>
          <w:rFonts w:hint="eastAsia" w:ascii="宋体" w:hAnsi="宋体" w:eastAsia="宋体" w:cs="宋体"/>
          <w:color w:val="auto"/>
          <w:sz w:val="28"/>
          <w:szCs w:val="28"/>
          <w:highlight w:val="none"/>
          <w:shd w:val="clear" w:color="auto" w:fill="auto"/>
        </w:rPr>
        <w:t>（签字或盖章）</w:t>
      </w:r>
    </w:p>
    <w:p w14:paraId="4F524C36">
      <w:pPr>
        <w:spacing w:line="360" w:lineRule="auto"/>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年   月   日</w:t>
      </w:r>
    </w:p>
    <w:p w14:paraId="1AB55B05">
      <w:pPr>
        <w:rPr>
          <w:rFonts w:hint="eastAsia" w:ascii="宋体" w:hAnsi="宋体" w:eastAsia="宋体" w:cs="宋体"/>
          <w:color w:val="auto"/>
          <w:sz w:val="20"/>
          <w:szCs w:val="20"/>
          <w:highlight w:val="none"/>
          <w:shd w:val="clear" w:color="auto" w:fill="auto"/>
        </w:rPr>
      </w:pPr>
    </w:p>
    <w:p w14:paraId="0E5D57C8">
      <w:pPr>
        <w:pStyle w:val="20"/>
        <w:rPr>
          <w:rFonts w:hint="eastAsia" w:ascii="宋体" w:hAnsi="宋体" w:eastAsia="宋体" w:cs="宋体"/>
          <w:color w:val="auto"/>
          <w:highlight w:val="none"/>
          <w:shd w:val="clear" w:color="auto" w:fill="auto"/>
        </w:rPr>
      </w:pPr>
    </w:p>
    <w:p w14:paraId="79D61B30">
      <w:pPr>
        <w:rPr>
          <w:rFonts w:hint="eastAsia" w:ascii="宋体" w:hAnsi="宋体" w:eastAsia="宋体" w:cs="宋体"/>
          <w:color w:val="auto"/>
          <w:highlight w:val="none"/>
          <w:shd w:val="clear" w:color="auto" w:fill="auto"/>
        </w:rPr>
      </w:pPr>
    </w:p>
    <w:p w14:paraId="6CA9F85C">
      <w:pPr>
        <w:rPr>
          <w:rFonts w:hint="eastAsia" w:ascii="宋体" w:hAnsi="宋体" w:eastAsia="宋体" w:cs="宋体"/>
          <w:color w:val="auto"/>
          <w:highlight w:val="none"/>
          <w:shd w:val="clear" w:color="auto" w:fill="auto"/>
        </w:rPr>
      </w:pPr>
    </w:p>
    <w:p w14:paraId="2443118D">
      <w:pPr>
        <w:spacing w:before="310" w:line="221" w:lineRule="auto"/>
        <w:ind w:left="92"/>
        <w:jc w:val="both"/>
        <w:outlineLvl w:val="1"/>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格式</w:t>
      </w:r>
      <w:r>
        <w:rPr>
          <w:rFonts w:hint="eastAsia" w:ascii="宋体" w:hAnsi="宋体" w:eastAsia="宋体" w:cs="宋体"/>
          <w:color w:val="auto"/>
          <w:sz w:val="28"/>
          <w:szCs w:val="28"/>
          <w:highlight w:val="none"/>
          <w:shd w:val="clear" w:color="auto" w:fill="auto"/>
          <w:lang w:val="en-US" w:eastAsia="zh-CN"/>
        </w:rPr>
        <w:t>八</w:t>
      </w:r>
      <w:r>
        <w:rPr>
          <w:rFonts w:hint="eastAsia" w:ascii="宋体" w:hAnsi="宋体" w:eastAsia="宋体" w:cs="宋体"/>
          <w:color w:val="auto"/>
          <w:sz w:val="28"/>
          <w:szCs w:val="28"/>
          <w:highlight w:val="none"/>
          <w:shd w:val="clear" w:color="auto" w:fill="auto"/>
        </w:rPr>
        <w:t>：法定代表人身份证明</w:t>
      </w:r>
    </w:p>
    <w:p w14:paraId="315EB71E">
      <w:pPr>
        <w:spacing w:line="337" w:lineRule="auto"/>
        <w:jc w:val="both"/>
        <w:rPr>
          <w:rFonts w:hint="eastAsia" w:ascii="宋体" w:hAnsi="宋体" w:eastAsia="宋体" w:cs="宋体"/>
          <w:color w:val="auto"/>
          <w:highlight w:val="none"/>
          <w:shd w:val="clear" w:color="auto" w:fill="auto"/>
        </w:rPr>
      </w:pPr>
    </w:p>
    <w:p w14:paraId="632F2AAD">
      <w:pPr>
        <w:spacing w:line="338" w:lineRule="auto"/>
        <w:jc w:val="both"/>
        <w:rPr>
          <w:rFonts w:hint="eastAsia" w:ascii="宋体" w:hAnsi="宋体" w:eastAsia="宋体" w:cs="宋体"/>
          <w:color w:val="auto"/>
          <w:highlight w:val="none"/>
          <w:shd w:val="clear" w:color="auto" w:fill="auto"/>
        </w:rPr>
      </w:pPr>
    </w:p>
    <w:p w14:paraId="0E0853EF">
      <w:pPr>
        <w:spacing w:before="75" w:line="228" w:lineRule="auto"/>
        <w:ind w:left="3216"/>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法定代表人身份证明</w:t>
      </w:r>
    </w:p>
    <w:p w14:paraId="6A637093">
      <w:pPr>
        <w:spacing w:line="290" w:lineRule="auto"/>
        <w:jc w:val="both"/>
        <w:rPr>
          <w:rFonts w:hint="eastAsia" w:ascii="宋体" w:hAnsi="宋体" w:eastAsia="宋体" w:cs="宋体"/>
          <w:color w:val="auto"/>
          <w:highlight w:val="none"/>
          <w:shd w:val="clear" w:color="auto" w:fill="auto"/>
        </w:rPr>
      </w:pPr>
    </w:p>
    <w:p w14:paraId="59FA9A59">
      <w:pPr>
        <w:spacing w:line="290" w:lineRule="auto"/>
        <w:jc w:val="both"/>
        <w:rPr>
          <w:rFonts w:hint="eastAsia" w:ascii="宋体" w:hAnsi="宋体" w:eastAsia="宋体" w:cs="宋体"/>
          <w:color w:val="auto"/>
          <w:highlight w:val="none"/>
          <w:shd w:val="clear" w:color="auto" w:fill="auto"/>
        </w:rPr>
      </w:pPr>
    </w:p>
    <w:p w14:paraId="273CC050">
      <w:pPr>
        <w:spacing w:line="291" w:lineRule="auto"/>
        <w:jc w:val="both"/>
        <w:rPr>
          <w:rFonts w:hint="eastAsia" w:ascii="宋体" w:hAnsi="宋体" w:eastAsia="宋体" w:cs="宋体"/>
          <w:color w:val="auto"/>
          <w:highlight w:val="none"/>
          <w:shd w:val="clear" w:color="auto" w:fill="auto"/>
        </w:rPr>
      </w:pPr>
    </w:p>
    <w:p w14:paraId="47EBFDE6">
      <w:pPr>
        <w:spacing w:line="440" w:lineRule="exact"/>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投标人名称：</w:t>
      </w:r>
      <w:r>
        <w:rPr>
          <w:rFonts w:hint="eastAsia" w:ascii="宋体" w:hAnsi="宋体" w:eastAsia="宋体" w:cs="宋体"/>
          <w:color w:val="auto"/>
          <w:sz w:val="23"/>
          <w:szCs w:val="23"/>
          <w:highlight w:val="none"/>
          <w:u w:val="single"/>
          <w:shd w:val="clear" w:color="auto" w:fill="auto"/>
        </w:rPr>
        <w:t xml:space="preserve">                                         </w:t>
      </w:r>
    </w:p>
    <w:p w14:paraId="3214021C">
      <w:pPr>
        <w:spacing w:line="440" w:lineRule="exact"/>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单位性质：</w:t>
      </w:r>
      <w:r>
        <w:rPr>
          <w:rFonts w:hint="eastAsia" w:ascii="宋体" w:hAnsi="宋体" w:eastAsia="宋体" w:cs="宋体"/>
          <w:color w:val="auto"/>
          <w:sz w:val="23"/>
          <w:szCs w:val="23"/>
          <w:highlight w:val="none"/>
          <w:u w:val="single"/>
          <w:shd w:val="clear" w:color="auto" w:fill="auto"/>
        </w:rPr>
        <w:t xml:space="preserve">                                         </w:t>
      </w:r>
    </w:p>
    <w:p w14:paraId="0E664F95">
      <w:pPr>
        <w:spacing w:line="440" w:lineRule="exact"/>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地址：</w:t>
      </w:r>
      <w:r>
        <w:rPr>
          <w:rFonts w:hint="eastAsia" w:ascii="宋体" w:hAnsi="宋体" w:eastAsia="宋体" w:cs="宋体"/>
          <w:color w:val="auto"/>
          <w:sz w:val="23"/>
          <w:szCs w:val="23"/>
          <w:highlight w:val="none"/>
          <w:u w:val="single"/>
          <w:shd w:val="clear" w:color="auto" w:fill="auto"/>
        </w:rPr>
        <w:t xml:space="preserve">                                         </w:t>
      </w:r>
    </w:p>
    <w:p w14:paraId="04BC79D9">
      <w:pPr>
        <w:spacing w:line="440" w:lineRule="exact"/>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成立时间：</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年</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月</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日</w:t>
      </w:r>
    </w:p>
    <w:p w14:paraId="3DFB6F73">
      <w:pPr>
        <w:spacing w:line="440" w:lineRule="exact"/>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经营期限：</w:t>
      </w:r>
      <w:r>
        <w:rPr>
          <w:rFonts w:hint="eastAsia" w:ascii="宋体" w:hAnsi="宋体" w:eastAsia="宋体" w:cs="宋体"/>
          <w:color w:val="auto"/>
          <w:sz w:val="23"/>
          <w:szCs w:val="23"/>
          <w:highlight w:val="none"/>
          <w:u w:val="single"/>
          <w:shd w:val="clear" w:color="auto" w:fill="auto"/>
        </w:rPr>
        <w:t xml:space="preserve">                                         </w:t>
      </w:r>
    </w:p>
    <w:p w14:paraId="2CC5127A">
      <w:pPr>
        <w:spacing w:line="440" w:lineRule="exact"/>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姓名：</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性别：</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年龄：</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职务：</w:t>
      </w:r>
      <w:r>
        <w:rPr>
          <w:rFonts w:hint="eastAsia" w:ascii="宋体" w:hAnsi="宋体" w:eastAsia="宋体" w:cs="宋体"/>
          <w:color w:val="auto"/>
          <w:sz w:val="23"/>
          <w:szCs w:val="23"/>
          <w:highlight w:val="none"/>
          <w:u w:val="single"/>
          <w:shd w:val="clear" w:color="auto" w:fill="auto"/>
        </w:rPr>
        <w:t xml:space="preserve">   </w:t>
      </w:r>
    </w:p>
    <w:p w14:paraId="501D204F">
      <w:pPr>
        <w:spacing w:line="440" w:lineRule="exact"/>
        <w:ind w:left="105" w:leftChars="50"/>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系(投标人名称)的法定代表人。特此证明。</w:t>
      </w:r>
    </w:p>
    <w:p w14:paraId="144130D5">
      <w:pPr>
        <w:spacing w:line="259" w:lineRule="auto"/>
        <w:jc w:val="both"/>
        <w:rPr>
          <w:rFonts w:hint="eastAsia" w:ascii="宋体" w:hAnsi="宋体" w:eastAsia="宋体" w:cs="宋体"/>
          <w:color w:val="auto"/>
          <w:highlight w:val="none"/>
          <w:shd w:val="clear" w:color="auto" w:fill="auto"/>
        </w:rPr>
      </w:pPr>
    </w:p>
    <w:p w14:paraId="483B74DB">
      <w:pPr>
        <w:spacing w:line="259" w:lineRule="auto"/>
        <w:jc w:val="both"/>
        <w:rPr>
          <w:rFonts w:hint="eastAsia" w:ascii="宋体" w:hAnsi="宋体" w:eastAsia="宋体" w:cs="宋体"/>
          <w:color w:val="auto"/>
          <w:highlight w:val="none"/>
          <w:shd w:val="clear" w:color="auto" w:fill="auto"/>
        </w:rPr>
      </w:pPr>
    </w:p>
    <w:p w14:paraId="32B8C8D6">
      <w:pPr>
        <w:spacing w:line="260" w:lineRule="auto"/>
        <w:jc w:val="both"/>
        <w:rPr>
          <w:rFonts w:hint="eastAsia" w:ascii="宋体" w:hAnsi="宋体" w:eastAsia="宋体" w:cs="宋体"/>
          <w:color w:val="auto"/>
          <w:highlight w:val="none"/>
          <w:shd w:val="clear" w:color="auto" w:fill="auto"/>
        </w:rPr>
      </w:pPr>
    </w:p>
    <w:p w14:paraId="6A128ACB">
      <w:pPr>
        <w:tabs>
          <w:tab w:val="left" w:pos="7132"/>
        </w:tabs>
        <w:spacing w:before="75" w:line="384" w:lineRule="auto"/>
        <w:ind w:left="6162" w:right="203" w:hanging="118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投标人：</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 xml:space="preserve"> (盖章)</w:t>
      </w:r>
    </w:p>
    <w:p w14:paraId="0A9E8322">
      <w:pPr>
        <w:tabs>
          <w:tab w:val="left" w:pos="7132"/>
        </w:tabs>
        <w:spacing w:before="75" w:line="384" w:lineRule="auto"/>
        <w:ind w:left="6162" w:right="203" w:hanging="118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年</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月</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日</w:t>
      </w:r>
    </w:p>
    <w:p w14:paraId="27D58397">
      <w:pPr>
        <w:tabs>
          <w:tab w:val="left" w:pos="6144"/>
        </w:tabs>
        <w:spacing w:before="75" w:line="384" w:lineRule="auto"/>
        <w:ind w:left="5053" w:hanging="467"/>
        <w:jc w:val="both"/>
        <w:rPr>
          <w:rFonts w:hint="eastAsia" w:ascii="宋体" w:hAnsi="宋体" w:eastAsia="宋体" w:cs="宋体"/>
          <w:color w:val="auto"/>
          <w:sz w:val="23"/>
          <w:szCs w:val="23"/>
          <w:highlight w:val="none"/>
          <w:shd w:val="clear" w:color="auto" w:fill="auto"/>
        </w:rPr>
      </w:pPr>
    </w:p>
    <w:p w14:paraId="0A5D47F7">
      <w:pPr>
        <w:tabs>
          <w:tab w:val="left" w:pos="6144"/>
        </w:tabs>
        <w:spacing w:before="75" w:line="384" w:lineRule="auto"/>
        <w:ind w:left="5053" w:hanging="467"/>
        <w:jc w:val="both"/>
        <w:rPr>
          <w:rFonts w:hint="eastAsia" w:ascii="宋体" w:hAnsi="宋体" w:eastAsia="宋体" w:cs="宋体"/>
          <w:color w:val="auto"/>
          <w:sz w:val="23"/>
          <w:szCs w:val="23"/>
          <w:highlight w:val="none"/>
          <w:shd w:val="clear" w:color="auto" w:fill="auto"/>
        </w:rPr>
      </w:pPr>
    </w:p>
    <w:p w14:paraId="2C194E69">
      <w:pPr>
        <w:tabs>
          <w:tab w:val="left" w:pos="6144"/>
        </w:tabs>
        <w:spacing w:before="75" w:line="384" w:lineRule="auto"/>
        <w:ind w:left="5053" w:hanging="467"/>
        <w:jc w:val="both"/>
        <w:rPr>
          <w:rFonts w:hint="eastAsia" w:ascii="宋体" w:hAnsi="宋体" w:eastAsia="宋体" w:cs="宋体"/>
          <w:color w:val="auto"/>
          <w:sz w:val="23"/>
          <w:szCs w:val="23"/>
          <w:highlight w:val="none"/>
          <w:shd w:val="clear" w:color="auto" w:fill="auto"/>
        </w:rPr>
      </w:pPr>
    </w:p>
    <w:tbl>
      <w:tblPr>
        <w:tblStyle w:val="42"/>
        <w:tblW w:w="7303" w:type="dxa"/>
        <w:tblInd w:w="36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303"/>
      </w:tblGrid>
      <w:tr w14:paraId="6D7E8C3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69" w:hRule="atLeast"/>
        </w:trPr>
        <w:tc>
          <w:tcPr>
            <w:tcW w:w="7303" w:type="dxa"/>
            <w:noWrap w:val="0"/>
            <w:vAlign w:val="top"/>
          </w:tcPr>
          <w:p w14:paraId="68E0CF44">
            <w:pPr>
              <w:spacing w:line="257" w:lineRule="auto"/>
              <w:jc w:val="both"/>
              <w:rPr>
                <w:rFonts w:hint="eastAsia" w:ascii="宋体" w:hAnsi="宋体" w:eastAsia="宋体" w:cs="宋体"/>
                <w:color w:val="auto"/>
                <w:highlight w:val="none"/>
                <w:shd w:val="clear" w:color="auto" w:fill="auto"/>
              </w:rPr>
            </w:pPr>
          </w:p>
          <w:p w14:paraId="28FE4799">
            <w:pPr>
              <w:spacing w:line="258" w:lineRule="auto"/>
              <w:jc w:val="both"/>
              <w:rPr>
                <w:rFonts w:hint="eastAsia" w:ascii="宋体" w:hAnsi="宋体" w:eastAsia="宋体" w:cs="宋体"/>
                <w:color w:val="auto"/>
                <w:highlight w:val="none"/>
                <w:shd w:val="clear" w:color="auto" w:fill="auto"/>
              </w:rPr>
            </w:pPr>
          </w:p>
          <w:p w14:paraId="63489E7D">
            <w:pPr>
              <w:spacing w:before="74" w:line="228" w:lineRule="auto"/>
              <w:ind w:left="2458"/>
              <w:jc w:val="both"/>
              <w:outlineLvl w:val="1"/>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法定代表人身份证复制件</w:t>
            </w:r>
          </w:p>
        </w:tc>
      </w:tr>
    </w:tbl>
    <w:p w14:paraId="62C7977F">
      <w:pPr>
        <w:tabs>
          <w:tab w:val="left" w:pos="6144"/>
        </w:tabs>
        <w:spacing w:before="75" w:line="384" w:lineRule="auto"/>
        <w:ind w:left="5053" w:hanging="467"/>
        <w:jc w:val="both"/>
        <w:rPr>
          <w:rFonts w:hint="eastAsia" w:ascii="宋体" w:hAnsi="宋体" w:eastAsia="宋体" w:cs="宋体"/>
          <w:color w:val="auto"/>
          <w:sz w:val="23"/>
          <w:szCs w:val="23"/>
          <w:highlight w:val="none"/>
          <w:shd w:val="clear" w:color="auto" w:fill="auto"/>
        </w:rPr>
      </w:pPr>
    </w:p>
    <w:p w14:paraId="68820AC4">
      <w:pPr>
        <w:spacing w:before="310" w:line="221" w:lineRule="auto"/>
        <w:ind w:left="720"/>
        <w:jc w:val="both"/>
        <w:outlineLvl w:val="1"/>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格式</w:t>
      </w:r>
      <w:r>
        <w:rPr>
          <w:rFonts w:hint="eastAsia" w:ascii="宋体" w:hAnsi="宋体" w:eastAsia="宋体" w:cs="宋体"/>
          <w:color w:val="auto"/>
          <w:sz w:val="28"/>
          <w:szCs w:val="28"/>
          <w:highlight w:val="none"/>
          <w:shd w:val="clear" w:color="auto" w:fill="auto"/>
          <w:lang w:val="en-US" w:eastAsia="zh-CN"/>
        </w:rPr>
        <w:t>九</w:t>
      </w:r>
      <w:r>
        <w:rPr>
          <w:rFonts w:hint="eastAsia" w:ascii="宋体" w:hAnsi="宋体" w:eastAsia="宋体" w:cs="宋体"/>
          <w:color w:val="auto"/>
          <w:sz w:val="28"/>
          <w:szCs w:val="28"/>
          <w:highlight w:val="none"/>
          <w:shd w:val="clear" w:color="auto" w:fill="auto"/>
        </w:rPr>
        <w:t>：资料一览表</w:t>
      </w:r>
    </w:p>
    <w:p w14:paraId="157DC75A">
      <w:pPr>
        <w:spacing w:line="337" w:lineRule="auto"/>
        <w:jc w:val="both"/>
        <w:rPr>
          <w:rFonts w:hint="eastAsia" w:ascii="宋体" w:hAnsi="宋体" w:eastAsia="宋体" w:cs="宋体"/>
          <w:color w:val="auto"/>
          <w:highlight w:val="none"/>
          <w:shd w:val="clear" w:color="auto" w:fill="auto"/>
        </w:rPr>
      </w:pPr>
    </w:p>
    <w:p w14:paraId="2BE66F55">
      <w:pPr>
        <w:spacing w:line="338" w:lineRule="auto"/>
        <w:jc w:val="both"/>
        <w:rPr>
          <w:rFonts w:hint="eastAsia" w:ascii="宋体" w:hAnsi="宋体" w:eastAsia="宋体" w:cs="宋体"/>
          <w:color w:val="auto"/>
          <w:highlight w:val="none"/>
          <w:shd w:val="clear" w:color="auto" w:fill="auto"/>
        </w:rPr>
      </w:pPr>
    </w:p>
    <w:p w14:paraId="285075A6">
      <w:pPr>
        <w:spacing w:before="75" w:line="227" w:lineRule="auto"/>
        <w:ind w:left="252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投标人提供的实质性响应招标文件资料一览表</w:t>
      </w:r>
    </w:p>
    <w:p w14:paraId="787E74AC">
      <w:pPr>
        <w:jc w:val="both"/>
        <w:rPr>
          <w:rFonts w:hint="eastAsia" w:ascii="宋体" w:hAnsi="宋体" w:eastAsia="宋体" w:cs="宋体"/>
          <w:color w:val="auto"/>
          <w:highlight w:val="none"/>
          <w:shd w:val="clear" w:color="auto" w:fill="auto"/>
        </w:rPr>
      </w:pPr>
    </w:p>
    <w:p w14:paraId="42CE0D33">
      <w:pPr>
        <w:spacing w:line="210" w:lineRule="exact"/>
        <w:jc w:val="both"/>
        <w:rPr>
          <w:rFonts w:hint="eastAsia" w:ascii="宋体" w:hAnsi="宋体" w:eastAsia="宋体" w:cs="宋体"/>
          <w:color w:val="auto"/>
          <w:highlight w:val="none"/>
          <w:shd w:val="clear" w:color="auto" w:fill="auto"/>
        </w:rPr>
      </w:pPr>
    </w:p>
    <w:tbl>
      <w:tblPr>
        <w:tblStyle w:val="42"/>
        <w:tblW w:w="93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3826"/>
        <w:gridCol w:w="2408"/>
        <w:gridCol w:w="2130"/>
      </w:tblGrid>
      <w:tr w14:paraId="7778D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997" w:type="dxa"/>
            <w:noWrap w:val="0"/>
            <w:vAlign w:val="top"/>
          </w:tcPr>
          <w:p w14:paraId="5770249D">
            <w:pPr>
              <w:spacing w:before="272" w:line="230" w:lineRule="auto"/>
              <w:ind w:left="264"/>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序号</w:t>
            </w:r>
          </w:p>
        </w:tc>
        <w:tc>
          <w:tcPr>
            <w:tcW w:w="3826" w:type="dxa"/>
            <w:noWrap w:val="0"/>
            <w:vAlign w:val="top"/>
          </w:tcPr>
          <w:p w14:paraId="5865843E">
            <w:pPr>
              <w:spacing w:before="272" w:line="229" w:lineRule="auto"/>
              <w:ind w:left="1448"/>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资料名称</w:t>
            </w:r>
          </w:p>
        </w:tc>
        <w:tc>
          <w:tcPr>
            <w:tcW w:w="2408" w:type="dxa"/>
            <w:noWrap w:val="0"/>
            <w:vAlign w:val="top"/>
          </w:tcPr>
          <w:p w14:paraId="65702DDE">
            <w:pPr>
              <w:spacing w:before="272" w:line="228" w:lineRule="auto"/>
              <w:ind w:left="91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共页</w:t>
            </w:r>
          </w:p>
        </w:tc>
        <w:tc>
          <w:tcPr>
            <w:tcW w:w="2130" w:type="dxa"/>
            <w:noWrap w:val="0"/>
            <w:vAlign w:val="top"/>
          </w:tcPr>
          <w:p w14:paraId="4DD04945">
            <w:pPr>
              <w:spacing w:before="272" w:line="230" w:lineRule="auto"/>
              <w:ind w:left="71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备注</w:t>
            </w:r>
          </w:p>
        </w:tc>
      </w:tr>
      <w:tr w14:paraId="3DD75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997" w:type="dxa"/>
            <w:noWrap w:val="0"/>
            <w:vAlign w:val="top"/>
          </w:tcPr>
          <w:p w14:paraId="4C873114">
            <w:pPr>
              <w:jc w:val="both"/>
              <w:rPr>
                <w:rFonts w:hint="eastAsia" w:ascii="宋体" w:hAnsi="宋体" w:eastAsia="宋体" w:cs="宋体"/>
                <w:color w:val="auto"/>
                <w:highlight w:val="none"/>
                <w:shd w:val="clear" w:color="auto" w:fill="auto"/>
              </w:rPr>
            </w:pPr>
          </w:p>
        </w:tc>
        <w:tc>
          <w:tcPr>
            <w:tcW w:w="3826" w:type="dxa"/>
            <w:noWrap w:val="0"/>
            <w:vAlign w:val="top"/>
          </w:tcPr>
          <w:p w14:paraId="492067B1">
            <w:pPr>
              <w:jc w:val="both"/>
              <w:rPr>
                <w:rFonts w:hint="eastAsia" w:ascii="宋体" w:hAnsi="宋体" w:eastAsia="宋体" w:cs="宋体"/>
                <w:color w:val="auto"/>
                <w:highlight w:val="none"/>
                <w:shd w:val="clear" w:color="auto" w:fill="auto"/>
              </w:rPr>
            </w:pPr>
          </w:p>
        </w:tc>
        <w:tc>
          <w:tcPr>
            <w:tcW w:w="2408" w:type="dxa"/>
            <w:noWrap w:val="0"/>
            <w:vAlign w:val="top"/>
          </w:tcPr>
          <w:p w14:paraId="2C149A30">
            <w:pPr>
              <w:jc w:val="both"/>
              <w:rPr>
                <w:rFonts w:hint="eastAsia" w:ascii="宋体" w:hAnsi="宋体" w:eastAsia="宋体" w:cs="宋体"/>
                <w:color w:val="auto"/>
                <w:highlight w:val="none"/>
                <w:shd w:val="clear" w:color="auto" w:fill="auto"/>
              </w:rPr>
            </w:pPr>
          </w:p>
        </w:tc>
        <w:tc>
          <w:tcPr>
            <w:tcW w:w="2130" w:type="dxa"/>
            <w:noWrap w:val="0"/>
            <w:vAlign w:val="top"/>
          </w:tcPr>
          <w:p w14:paraId="231EB869">
            <w:pPr>
              <w:jc w:val="both"/>
              <w:rPr>
                <w:rFonts w:hint="eastAsia" w:ascii="宋体" w:hAnsi="宋体" w:eastAsia="宋体" w:cs="宋体"/>
                <w:color w:val="auto"/>
                <w:highlight w:val="none"/>
                <w:shd w:val="clear" w:color="auto" w:fill="auto"/>
              </w:rPr>
            </w:pPr>
          </w:p>
        </w:tc>
      </w:tr>
      <w:tr w14:paraId="7479E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97" w:type="dxa"/>
            <w:noWrap w:val="0"/>
            <w:vAlign w:val="top"/>
          </w:tcPr>
          <w:p w14:paraId="5B5F7F55">
            <w:pPr>
              <w:jc w:val="both"/>
              <w:rPr>
                <w:rFonts w:hint="eastAsia" w:ascii="宋体" w:hAnsi="宋体" w:eastAsia="宋体" w:cs="宋体"/>
                <w:color w:val="auto"/>
                <w:highlight w:val="none"/>
                <w:shd w:val="clear" w:color="auto" w:fill="auto"/>
              </w:rPr>
            </w:pPr>
          </w:p>
        </w:tc>
        <w:tc>
          <w:tcPr>
            <w:tcW w:w="3826" w:type="dxa"/>
            <w:noWrap w:val="0"/>
            <w:vAlign w:val="top"/>
          </w:tcPr>
          <w:p w14:paraId="1285BCFB">
            <w:pPr>
              <w:jc w:val="both"/>
              <w:rPr>
                <w:rFonts w:hint="eastAsia" w:ascii="宋体" w:hAnsi="宋体" w:eastAsia="宋体" w:cs="宋体"/>
                <w:color w:val="auto"/>
                <w:highlight w:val="none"/>
                <w:shd w:val="clear" w:color="auto" w:fill="auto"/>
              </w:rPr>
            </w:pPr>
          </w:p>
        </w:tc>
        <w:tc>
          <w:tcPr>
            <w:tcW w:w="2408" w:type="dxa"/>
            <w:noWrap w:val="0"/>
            <w:vAlign w:val="top"/>
          </w:tcPr>
          <w:p w14:paraId="49970AD6">
            <w:pPr>
              <w:jc w:val="both"/>
              <w:rPr>
                <w:rFonts w:hint="eastAsia" w:ascii="宋体" w:hAnsi="宋体" w:eastAsia="宋体" w:cs="宋体"/>
                <w:color w:val="auto"/>
                <w:highlight w:val="none"/>
                <w:shd w:val="clear" w:color="auto" w:fill="auto"/>
              </w:rPr>
            </w:pPr>
          </w:p>
        </w:tc>
        <w:tc>
          <w:tcPr>
            <w:tcW w:w="2130" w:type="dxa"/>
            <w:noWrap w:val="0"/>
            <w:vAlign w:val="top"/>
          </w:tcPr>
          <w:p w14:paraId="4936334C">
            <w:pPr>
              <w:jc w:val="both"/>
              <w:rPr>
                <w:rFonts w:hint="eastAsia" w:ascii="宋体" w:hAnsi="宋体" w:eastAsia="宋体" w:cs="宋体"/>
                <w:color w:val="auto"/>
                <w:highlight w:val="none"/>
                <w:shd w:val="clear" w:color="auto" w:fill="auto"/>
              </w:rPr>
            </w:pPr>
          </w:p>
        </w:tc>
      </w:tr>
      <w:tr w14:paraId="22A79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97" w:type="dxa"/>
            <w:noWrap w:val="0"/>
            <w:vAlign w:val="top"/>
          </w:tcPr>
          <w:p w14:paraId="4FEDE267">
            <w:pPr>
              <w:jc w:val="both"/>
              <w:rPr>
                <w:rFonts w:hint="eastAsia" w:ascii="宋体" w:hAnsi="宋体" w:eastAsia="宋体" w:cs="宋体"/>
                <w:color w:val="auto"/>
                <w:highlight w:val="none"/>
                <w:shd w:val="clear" w:color="auto" w:fill="auto"/>
              </w:rPr>
            </w:pPr>
          </w:p>
        </w:tc>
        <w:tc>
          <w:tcPr>
            <w:tcW w:w="3826" w:type="dxa"/>
            <w:noWrap w:val="0"/>
            <w:vAlign w:val="top"/>
          </w:tcPr>
          <w:p w14:paraId="62505DB3">
            <w:pPr>
              <w:jc w:val="both"/>
              <w:rPr>
                <w:rFonts w:hint="eastAsia" w:ascii="宋体" w:hAnsi="宋体" w:eastAsia="宋体" w:cs="宋体"/>
                <w:color w:val="auto"/>
                <w:highlight w:val="none"/>
                <w:shd w:val="clear" w:color="auto" w:fill="auto"/>
              </w:rPr>
            </w:pPr>
          </w:p>
        </w:tc>
        <w:tc>
          <w:tcPr>
            <w:tcW w:w="2408" w:type="dxa"/>
            <w:noWrap w:val="0"/>
            <w:vAlign w:val="top"/>
          </w:tcPr>
          <w:p w14:paraId="12C81065">
            <w:pPr>
              <w:jc w:val="both"/>
              <w:rPr>
                <w:rFonts w:hint="eastAsia" w:ascii="宋体" w:hAnsi="宋体" w:eastAsia="宋体" w:cs="宋体"/>
                <w:color w:val="auto"/>
                <w:highlight w:val="none"/>
                <w:shd w:val="clear" w:color="auto" w:fill="auto"/>
              </w:rPr>
            </w:pPr>
          </w:p>
        </w:tc>
        <w:tc>
          <w:tcPr>
            <w:tcW w:w="2130" w:type="dxa"/>
            <w:noWrap w:val="0"/>
            <w:vAlign w:val="top"/>
          </w:tcPr>
          <w:p w14:paraId="0040FBA3">
            <w:pPr>
              <w:jc w:val="both"/>
              <w:rPr>
                <w:rFonts w:hint="eastAsia" w:ascii="宋体" w:hAnsi="宋体" w:eastAsia="宋体" w:cs="宋体"/>
                <w:color w:val="auto"/>
                <w:highlight w:val="none"/>
                <w:shd w:val="clear" w:color="auto" w:fill="auto"/>
              </w:rPr>
            </w:pPr>
          </w:p>
        </w:tc>
      </w:tr>
      <w:tr w14:paraId="57B99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997" w:type="dxa"/>
            <w:noWrap w:val="0"/>
            <w:vAlign w:val="top"/>
          </w:tcPr>
          <w:p w14:paraId="0AD0984E">
            <w:pPr>
              <w:jc w:val="both"/>
              <w:rPr>
                <w:rFonts w:hint="eastAsia" w:ascii="宋体" w:hAnsi="宋体" w:eastAsia="宋体" w:cs="宋体"/>
                <w:color w:val="auto"/>
                <w:highlight w:val="none"/>
                <w:shd w:val="clear" w:color="auto" w:fill="auto"/>
              </w:rPr>
            </w:pPr>
          </w:p>
        </w:tc>
        <w:tc>
          <w:tcPr>
            <w:tcW w:w="3826" w:type="dxa"/>
            <w:noWrap w:val="0"/>
            <w:vAlign w:val="top"/>
          </w:tcPr>
          <w:p w14:paraId="4428D203">
            <w:pPr>
              <w:jc w:val="both"/>
              <w:rPr>
                <w:rFonts w:hint="eastAsia" w:ascii="宋体" w:hAnsi="宋体" w:eastAsia="宋体" w:cs="宋体"/>
                <w:color w:val="auto"/>
                <w:highlight w:val="none"/>
                <w:shd w:val="clear" w:color="auto" w:fill="auto"/>
              </w:rPr>
            </w:pPr>
          </w:p>
        </w:tc>
        <w:tc>
          <w:tcPr>
            <w:tcW w:w="2408" w:type="dxa"/>
            <w:noWrap w:val="0"/>
            <w:vAlign w:val="top"/>
          </w:tcPr>
          <w:p w14:paraId="3C0AAA76">
            <w:pPr>
              <w:jc w:val="both"/>
              <w:rPr>
                <w:rFonts w:hint="eastAsia" w:ascii="宋体" w:hAnsi="宋体" w:eastAsia="宋体" w:cs="宋体"/>
                <w:color w:val="auto"/>
                <w:highlight w:val="none"/>
                <w:shd w:val="clear" w:color="auto" w:fill="auto"/>
              </w:rPr>
            </w:pPr>
          </w:p>
        </w:tc>
        <w:tc>
          <w:tcPr>
            <w:tcW w:w="2130" w:type="dxa"/>
            <w:noWrap w:val="0"/>
            <w:vAlign w:val="top"/>
          </w:tcPr>
          <w:p w14:paraId="0908E7A9">
            <w:pPr>
              <w:jc w:val="both"/>
              <w:rPr>
                <w:rFonts w:hint="eastAsia" w:ascii="宋体" w:hAnsi="宋体" w:eastAsia="宋体" w:cs="宋体"/>
                <w:color w:val="auto"/>
                <w:highlight w:val="none"/>
                <w:shd w:val="clear" w:color="auto" w:fill="auto"/>
              </w:rPr>
            </w:pPr>
          </w:p>
        </w:tc>
      </w:tr>
      <w:tr w14:paraId="2A9EC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997" w:type="dxa"/>
            <w:noWrap w:val="0"/>
            <w:vAlign w:val="top"/>
          </w:tcPr>
          <w:p w14:paraId="7DE42634">
            <w:pPr>
              <w:jc w:val="both"/>
              <w:rPr>
                <w:rFonts w:hint="eastAsia" w:ascii="宋体" w:hAnsi="宋体" w:eastAsia="宋体" w:cs="宋体"/>
                <w:color w:val="auto"/>
                <w:highlight w:val="none"/>
                <w:shd w:val="clear" w:color="auto" w:fill="auto"/>
              </w:rPr>
            </w:pPr>
          </w:p>
        </w:tc>
        <w:tc>
          <w:tcPr>
            <w:tcW w:w="3826" w:type="dxa"/>
            <w:noWrap w:val="0"/>
            <w:vAlign w:val="top"/>
          </w:tcPr>
          <w:p w14:paraId="18593907">
            <w:pPr>
              <w:jc w:val="both"/>
              <w:rPr>
                <w:rFonts w:hint="eastAsia" w:ascii="宋体" w:hAnsi="宋体" w:eastAsia="宋体" w:cs="宋体"/>
                <w:color w:val="auto"/>
                <w:highlight w:val="none"/>
                <w:shd w:val="clear" w:color="auto" w:fill="auto"/>
              </w:rPr>
            </w:pPr>
          </w:p>
        </w:tc>
        <w:tc>
          <w:tcPr>
            <w:tcW w:w="2408" w:type="dxa"/>
            <w:noWrap w:val="0"/>
            <w:vAlign w:val="top"/>
          </w:tcPr>
          <w:p w14:paraId="33C3436B">
            <w:pPr>
              <w:jc w:val="both"/>
              <w:rPr>
                <w:rFonts w:hint="eastAsia" w:ascii="宋体" w:hAnsi="宋体" w:eastAsia="宋体" w:cs="宋体"/>
                <w:color w:val="auto"/>
                <w:highlight w:val="none"/>
                <w:shd w:val="clear" w:color="auto" w:fill="auto"/>
              </w:rPr>
            </w:pPr>
          </w:p>
        </w:tc>
        <w:tc>
          <w:tcPr>
            <w:tcW w:w="2130" w:type="dxa"/>
            <w:noWrap w:val="0"/>
            <w:vAlign w:val="top"/>
          </w:tcPr>
          <w:p w14:paraId="763E3AC9">
            <w:pPr>
              <w:jc w:val="both"/>
              <w:rPr>
                <w:rFonts w:hint="eastAsia" w:ascii="宋体" w:hAnsi="宋体" w:eastAsia="宋体" w:cs="宋体"/>
                <w:color w:val="auto"/>
                <w:highlight w:val="none"/>
                <w:shd w:val="clear" w:color="auto" w:fill="auto"/>
              </w:rPr>
            </w:pPr>
          </w:p>
        </w:tc>
      </w:tr>
      <w:tr w14:paraId="59DD2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97" w:type="dxa"/>
            <w:noWrap w:val="0"/>
            <w:vAlign w:val="top"/>
          </w:tcPr>
          <w:p w14:paraId="4BDAC333">
            <w:pPr>
              <w:jc w:val="both"/>
              <w:rPr>
                <w:rFonts w:hint="eastAsia" w:ascii="宋体" w:hAnsi="宋体" w:eastAsia="宋体" w:cs="宋体"/>
                <w:color w:val="auto"/>
                <w:highlight w:val="none"/>
                <w:shd w:val="clear" w:color="auto" w:fill="auto"/>
              </w:rPr>
            </w:pPr>
          </w:p>
        </w:tc>
        <w:tc>
          <w:tcPr>
            <w:tcW w:w="3826" w:type="dxa"/>
            <w:noWrap w:val="0"/>
            <w:vAlign w:val="top"/>
          </w:tcPr>
          <w:p w14:paraId="3A027FB8">
            <w:pPr>
              <w:jc w:val="both"/>
              <w:rPr>
                <w:rFonts w:hint="eastAsia" w:ascii="宋体" w:hAnsi="宋体" w:eastAsia="宋体" w:cs="宋体"/>
                <w:color w:val="auto"/>
                <w:highlight w:val="none"/>
                <w:shd w:val="clear" w:color="auto" w:fill="auto"/>
              </w:rPr>
            </w:pPr>
          </w:p>
        </w:tc>
        <w:tc>
          <w:tcPr>
            <w:tcW w:w="2408" w:type="dxa"/>
            <w:noWrap w:val="0"/>
            <w:vAlign w:val="top"/>
          </w:tcPr>
          <w:p w14:paraId="785A7426">
            <w:pPr>
              <w:jc w:val="both"/>
              <w:rPr>
                <w:rFonts w:hint="eastAsia" w:ascii="宋体" w:hAnsi="宋体" w:eastAsia="宋体" w:cs="宋体"/>
                <w:color w:val="auto"/>
                <w:highlight w:val="none"/>
                <w:shd w:val="clear" w:color="auto" w:fill="auto"/>
              </w:rPr>
            </w:pPr>
          </w:p>
        </w:tc>
        <w:tc>
          <w:tcPr>
            <w:tcW w:w="2130" w:type="dxa"/>
            <w:noWrap w:val="0"/>
            <w:vAlign w:val="top"/>
          </w:tcPr>
          <w:p w14:paraId="7729142E">
            <w:pPr>
              <w:jc w:val="both"/>
              <w:rPr>
                <w:rFonts w:hint="eastAsia" w:ascii="宋体" w:hAnsi="宋体" w:eastAsia="宋体" w:cs="宋体"/>
                <w:color w:val="auto"/>
                <w:highlight w:val="none"/>
                <w:shd w:val="clear" w:color="auto" w:fill="auto"/>
              </w:rPr>
            </w:pPr>
          </w:p>
        </w:tc>
      </w:tr>
      <w:tr w14:paraId="128EA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97" w:type="dxa"/>
            <w:noWrap w:val="0"/>
            <w:vAlign w:val="top"/>
          </w:tcPr>
          <w:p w14:paraId="665DCDFF">
            <w:pPr>
              <w:jc w:val="both"/>
              <w:rPr>
                <w:rFonts w:hint="eastAsia" w:ascii="宋体" w:hAnsi="宋体" w:eastAsia="宋体" w:cs="宋体"/>
                <w:color w:val="auto"/>
                <w:highlight w:val="none"/>
                <w:shd w:val="clear" w:color="auto" w:fill="auto"/>
              </w:rPr>
            </w:pPr>
          </w:p>
        </w:tc>
        <w:tc>
          <w:tcPr>
            <w:tcW w:w="3826" w:type="dxa"/>
            <w:noWrap w:val="0"/>
            <w:vAlign w:val="top"/>
          </w:tcPr>
          <w:p w14:paraId="120FD6C7">
            <w:pPr>
              <w:jc w:val="both"/>
              <w:rPr>
                <w:rFonts w:hint="eastAsia" w:ascii="宋体" w:hAnsi="宋体" w:eastAsia="宋体" w:cs="宋体"/>
                <w:color w:val="auto"/>
                <w:highlight w:val="none"/>
                <w:shd w:val="clear" w:color="auto" w:fill="auto"/>
              </w:rPr>
            </w:pPr>
          </w:p>
        </w:tc>
        <w:tc>
          <w:tcPr>
            <w:tcW w:w="2408" w:type="dxa"/>
            <w:noWrap w:val="0"/>
            <w:vAlign w:val="top"/>
          </w:tcPr>
          <w:p w14:paraId="25B47C84">
            <w:pPr>
              <w:jc w:val="both"/>
              <w:rPr>
                <w:rFonts w:hint="eastAsia" w:ascii="宋体" w:hAnsi="宋体" w:eastAsia="宋体" w:cs="宋体"/>
                <w:color w:val="auto"/>
                <w:highlight w:val="none"/>
                <w:shd w:val="clear" w:color="auto" w:fill="auto"/>
              </w:rPr>
            </w:pPr>
          </w:p>
        </w:tc>
        <w:tc>
          <w:tcPr>
            <w:tcW w:w="2130" w:type="dxa"/>
            <w:noWrap w:val="0"/>
            <w:vAlign w:val="top"/>
          </w:tcPr>
          <w:p w14:paraId="294F8467">
            <w:pPr>
              <w:jc w:val="both"/>
              <w:rPr>
                <w:rFonts w:hint="eastAsia" w:ascii="宋体" w:hAnsi="宋体" w:eastAsia="宋体" w:cs="宋体"/>
                <w:color w:val="auto"/>
                <w:highlight w:val="none"/>
                <w:shd w:val="clear" w:color="auto" w:fill="auto"/>
              </w:rPr>
            </w:pPr>
          </w:p>
        </w:tc>
      </w:tr>
      <w:tr w14:paraId="1682D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997" w:type="dxa"/>
            <w:noWrap w:val="0"/>
            <w:vAlign w:val="top"/>
          </w:tcPr>
          <w:p w14:paraId="77140EB5">
            <w:pPr>
              <w:jc w:val="both"/>
              <w:rPr>
                <w:rFonts w:hint="eastAsia" w:ascii="宋体" w:hAnsi="宋体" w:eastAsia="宋体" w:cs="宋体"/>
                <w:color w:val="auto"/>
                <w:highlight w:val="none"/>
                <w:shd w:val="clear" w:color="auto" w:fill="auto"/>
              </w:rPr>
            </w:pPr>
          </w:p>
        </w:tc>
        <w:tc>
          <w:tcPr>
            <w:tcW w:w="3826" w:type="dxa"/>
            <w:noWrap w:val="0"/>
            <w:vAlign w:val="top"/>
          </w:tcPr>
          <w:p w14:paraId="7D7A1ABD">
            <w:pPr>
              <w:jc w:val="both"/>
              <w:rPr>
                <w:rFonts w:hint="eastAsia" w:ascii="宋体" w:hAnsi="宋体" w:eastAsia="宋体" w:cs="宋体"/>
                <w:color w:val="auto"/>
                <w:highlight w:val="none"/>
                <w:shd w:val="clear" w:color="auto" w:fill="auto"/>
              </w:rPr>
            </w:pPr>
          </w:p>
        </w:tc>
        <w:tc>
          <w:tcPr>
            <w:tcW w:w="2408" w:type="dxa"/>
            <w:noWrap w:val="0"/>
            <w:vAlign w:val="top"/>
          </w:tcPr>
          <w:p w14:paraId="238714B1">
            <w:pPr>
              <w:jc w:val="both"/>
              <w:rPr>
                <w:rFonts w:hint="eastAsia" w:ascii="宋体" w:hAnsi="宋体" w:eastAsia="宋体" w:cs="宋体"/>
                <w:color w:val="auto"/>
                <w:highlight w:val="none"/>
                <w:shd w:val="clear" w:color="auto" w:fill="auto"/>
              </w:rPr>
            </w:pPr>
          </w:p>
        </w:tc>
        <w:tc>
          <w:tcPr>
            <w:tcW w:w="2130" w:type="dxa"/>
            <w:noWrap w:val="0"/>
            <w:vAlign w:val="top"/>
          </w:tcPr>
          <w:p w14:paraId="18210CA9">
            <w:pPr>
              <w:jc w:val="both"/>
              <w:rPr>
                <w:rFonts w:hint="eastAsia" w:ascii="宋体" w:hAnsi="宋体" w:eastAsia="宋体" w:cs="宋体"/>
                <w:color w:val="auto"/>
                <w:highlight w:val="none"/>
                <w:shd w:val="clear" w:color="auto" w:fill="auto"/>
              </w:rPr>
            </w:pPr>
          </w:p>
        </w:tc>
      </w:tr>
      <w:tr w14:paraId="035C3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97" w:type="dxa"/>
            <w:noWrap w:val="0"/>
            <w:vAlign w:val="top"/>
          </w:tcPr>
          <w:p w14:paraId="3D91138C">
            <w:pPr>
              <w:jc w:val="both"/>
              <w:rPr>
                <w:rFonts w:hint="eastAsia" w:ascii="宋体" w:hAnsi="宋体" w:eastAsia="宋体" w:cs="宋体"/>
                <w:color w:val="auto"/>
                <w:highlight w:val="none"/>
                <w:shd w:val="clear" w:color="auto" w:fill="auto"/>
              </w:rPr>
            </w:pPr>
          </w:p>
        </w:tc>
        <w:tc>
          <w:tcPr>
            <w:tcW w:w="3826" w:type="dxa"/>
            <w:noWrap w:val="0"/>
            <w:vAlign w:val="top"/>
          </w:tcPr>
          <w:p w14:paraId="0E1E25B7">
            <w:pPr>
              <w:jc w:val="both"/>
              <w:rPr>
                <w:rFonts w:hint="eastAsia" w:ascii="宋体" w:hAnsi="宋体" w:eastAsia="宋体" w:cs="宋体"/>
                <w:color w:val="auto"/>
                <w:highlight w:val="none"/>
                <w:shd w:val="clear" w:color="auto" w:fill="auto"/>
              </w:rPr>
            </w:pPr>
          </w:p>
        </w:tc>
        <w:tc>
          <w:tcPr>
            <w:tcW w:w="2408" w:type="dxa"/>
            <w:noWrap w:val="0"/>
            <w:vAlign w:val="top"/>
          </w:tcPr>
          <w:p w14:paraId="301DBB79">
            <w:pPr>
              <w:jc w:val="both"/>
              <w:rPr>
                <w:rFonts w:hint="eastAsia" w:ascii="宋体" w:hAnsi="宋体" w:eastAsia="宋体" w:cs="宋体"/>
                <w:color w:val="auto"/>
                <w:highlight w:val="none"/>
                <w:shd w:val="clear" w:color="auto" w:fill="auto"/>
              </w:rPr>
            </w:pPr>
          </w:p>
        </w:tc>
        <w:tc>
          <w:tcPr>
            <w:tcW w:w="2130" w:type="dxa"/>
            <w:noWrap w:val="0"/>
            <w:vAlign w:val="top"/>
          </w:tcPr>
          <w:p w14:paraId="2D00F4CC">
            <w:pPr>
              <w:jc w:val="both"/>
              <w:rPr>
                <w:rFonts w:hint="eastAsia" w:ascii="宋体" w:hAnsi="宋体" w:eastAsia="宋体" w:cs="宋体"/>
                <w:color w:val="auto"/>
                <w:highlight w:val="none"/>
                <w:shd w:val="clear" w:color="auto" w:fill="auto"/>
              </w:rPr>
            </w:pPr>
          </w:p>
        </w:tc>
      </w:tr>
      <w:tr w14:paraId="155DC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97" w:type="dxa"/>
            <w:noWrap w:val="0"/>
            <w:vAlign w:val="top"/>
          </w:tcPr>
          <w:p w14:paraId="450DAFB8">
            <w:pPr>
              <w:jc w:val="both"/>
              <w:rPr>
                <w:rFonts w:hint="eastAsia" w:ascii="宋体" w:hAnsi="宋体" w:eastAsia="宋体" w:cs="宋体"/>
                <w:color w:val="auto"/>
                <w:highlight w:val="none"/>
                <w:shd w:val="clear" w:color="auto" w:fill="auto"/>
              </w:rPr>
            </w:pPr>
          </w:p>
        </w:tc>
        <w:tc>
          <w:tcPr>
            <w:tcW w:w="3826" w:type="dxa"/>
            <w:noWrap w:val="0"/>
            <w:vAlign w:val="top"/>
          </w:tcPr>
          <w:p w14:paraId="6A86E9C9">
            <w:pPr>
              <w:jc w:val="both"/>
              <w:rPr>
                <w:rFonts w:hint="eastAsia" w:ascii="宋体" w:hAnsi="宋体" w:eastAsia="宋体" w:cs="宋体"/>
                <w:color w:val="auto"/>
                <w:highlight w:val="none"/>
                <w:shd w:val="clear" w:color="auto" w:fill="auto"/>
              </w:rPr>
            </w:pPr>
          </w:p>
        </w:tc>
        <w:tc>
          <w:tcPr>
            <w:tcW w:w="2408" w:type="dxa"/>
            <w:noWrap w:val="0"/>
            <w:vAlign w:val="top"/>
          </w:tcPr>
          <w:p w14:paraId="4941C78A">
            <w:pPr>
              <w:jc w:val="both"/>
              <w:rPr>
                <w:rFonts w:hint="eastAsia" w:ascii="宋体" w:hAnsi="宋体" w:eastAsia="宋体" w:cs="宋体"/>
                <w:color w:val="auto"/>
                <w:highlight w:val="none"/>
                <w:shd w:val="clear" w:color="auto" w:fill="auto"/>
              </w:rPr>
            </w:pPr>
          </w:p>
        </w:tc>
        <w:tc>
          <w:tcPr>
            <w:tcW w:w="2130" w:type="dxa"/>
            <w:noWrap w:val="0"/>
            <w:vAlign w:val="top"/>
          </w:tcPr>
          <w:p w14:paraId="6BB2C7B9">
            <w:pPr>
              <w:jc w:val="both"/>
              <w:rPr>
                <w:rFonts w:hint="eastAsia" w:ascii="宋体" w:hAnsi="宋体" w:eastAsia="宋体" w:cs="宋体"/>
                <w:color w:val="auto"/>
                <w:highlight w:val="none"/>
                <w:shd w:val="clear" w:color="auto" w:fill="auto"/>
              </w:rPr>
            </w:pPr>
          </w:p>
        </w:tc>
      </w:tr>
      <w:tr w14:paraId="36C0D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997" w:type="dxa"/>
            <w:noWrap w:val="0"/>
            <w:vAlign w:val="top"/>
          </w:tcPr>
          <w:p w14:paraId="1F8BF645">
            <w:pPr>
              <w:jc w:val="both"/>
              <w:rPr>
                <w:rFonts w:hint="eastAsia" w:ascii="宋体" w:hAnsi="宋体" w:eastAsia="宋体" w:cs="宋体"/>
                <w:color w:val="auto"/>
                <w:highlight w:val="none"/>
                <w:shd w:val="clear" w:color="auto" w:fill="auto"/>
              </w:rPr>
            </w:pPr>
          </w:p>
        </w:tc>
        <w:tc>
          <w:tcPr>
            <w:tcW w:w="3826" w:type="dxa"/>
            <w:noWrap w:val="0"/>
            <w:vAlign w:val="top"/>
          </w:tcPr>
          <w:p w14:paraId="10A5951E">
            <w:pPr>
              <w:jc w:val="both"/>
              <w:rPr>
                <w:rFonts w:hint="eastAsia" w:ascii="宋体" w:hAnsi="宋体" w:eastAsia="宋体" w:cs="宋体"/>
                <w:color w:val="auto"/>
                <w:highlight w:val="none"/>
                <w:shd w:val="clear" w:color="auto" w:fill="auto"/>
              </w:rPr>
            </w:pPr>
          </w:p>
        </w:tc>
        <w:tc>
          <w:tcPr>
            <w:tcW w:w="2408" w:type="dxa"/>
            <w:noWrap w:val="0"/>
            <w:vAlign w:val="top"/>
          </w:tcPr>
          <w:p w14:paraId="16492C5A">
            <w:pPr>
              <w:jc w:val="both"/>
              <w:rPr>
                <w:rFonts w:hint="eastAsia" w:ascii="宋体" w:hAnsi="宋体" w:eastAsia="宋体" w:cs="宋体"/>
                <w:color w:val="auto"/>
                <w:highlight w:val="none"/>
                <w:shd w:val="clear" w:color="auto" w:fill="auto"/>
              </w:rPr>
            </w:pPr>
          </w:p>
        </w:tc>
        <w:tc>
          <w:tcPr>
            <w:tcW w:w="2130" w:type="dxa"/>
            <w:noWrap w:val="0"/>
            <w:vAlign w:val="top"/>
          </w:tcPr>
          <w:p w14:paraId="03AB8FE2">
            <w:pPr>
              <w:jc w:val="both"/>
              <w:rPr>
                <w:rFonts w:hint="eastAsia" w:ascii="宋体" w:hAnsi="宋体" w:eastAsia="宋体" w:cs="宋体"/>
                <w:color w:val="auto"/>
                <w:highlight w:val="none"/>
                <w:shd w:val="clear" w:color="auto" w:fill="auto"/>
              </w:rPr>
            </w:pPr>
          </w:p>
        </w:tc>
      </w:tr>
    </w:tbl>
    <w:p w14:paraId="32668C54">
      <w:pPr>
        <w:spacing w:before="145" w:line="228" w:lineRule="auto"/>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注：本表请按投标人须知前附表3.5.7“一、实质性响应招标文件资料”内容填写。</w:t>
      </w:r>
    </w:p>
    <w:p w14:paraId="48ABFEBB">
      <w:pPr>
        <w:spacing w:line="281" w:lineRule="auto"/>
        <w:jc w:val="both"/>
        <w:rPr>
          <w:rFonts w:hint="eastAsia" w:ascii="宋体" w:hAnsi="宋体" w:eastAsia="宋体" w:cs="宋体"/>
          <w:color w:val="auto"/>
          <w:highlight w:val="none"/>
          <w:shd w:val="clear" w:color="auto" w:fill="auto"/>
        </w:rPr>
      </w:pPr>
    </w:p>
    <w:p w14:paraId="62BF3E2E">
      <w:pPr>
        <w:spacing w:line="282" w:lineRule="auto"/>
        <w:jc w:val="both"/>
        <w:rPr>
          <w:rFonts w:hint="eastAsia" w:ascii="宋体" w:hAnsi="宋体" w:eastAsia="宋体" w:cs="宋体"/>
          <w:color w:val="auto"/>
          <w:highlight w:val="none"/>
          <w:shd w:val="clear" w:color="auto" w:fill="auto"/>
        </w:rPr>
      </w:pPr>
    </w:p>
    <w:p w14:paraId="64E4653C">
      <w:pPr>
        <w:spacing w:line="282" w:lineRule="auto"/>
        <w:jc w:val="both"/>
        <w:rPr>
          <w:rFonts w:hint="eastAsia" w:ascii="宋体" w:hAnsi="宋体" w:eastAsia="宋体" w:cs="宋体"/>
          <w:color w:val="auto"/>
          <w:highlight w:val="none"/>
          <w:shd w:val="clear" w:color="auto" w:fill="auto"/>
        </w:rPr>
      </w:pPr>
    </w:p>
    <w:p w14:paraId="12F67414">
      <w:pPr>
        <w:tabs>
          <w:tab w:val="left" w:pos="7132"/>
        </w:tabs>
        <w:spacing w:before="75" w:line="384" w:lineRule="auto"/>
        <w:ind w:left="6162" w:right="203" w:hanging="118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投标人：</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 xml:space="preserve"> (盖章)</w:t>
      </w:r>
    </w:p>
    <w:p w14:paraId="33BE8850">
      <w:pPr>
        <w:tabs>
          <w:tab w:val="left" w:pos="7132"/>
        </w:tabs>
        <w:spacing w:before="75" w:line="384" w:lineRule="auto"/>
        <w:ind w:left="6162" w:right="203" w:hanging="1187"/>
        <w:jc w:val="both"/>
        <w:rPr>
          <w:rFonts w:hint="eastAsia" w:ascii="宋体" w:hAnsi="宋体" w:eastAsia="宋体" w:cs="宋体"/>
          <w:color w:val="auto"/>
          <w:highlight w:val="none"/>
          <w:shd w:val="clear" w:color="auto" w:fill="auto"/>
        </w:rPr>
      </w:pP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年</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月</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日</w:t>
      </w:r>
    </w:p>
    <w:p w14:paraId="77C715F6">
      <w:pPr>
        <w:jc w:val="both"/>
        <w:rPr>
          <w:rFonts w:hint="eastAsia" w:ascii="宋体" w:hAnsi="宋体" w:eastAsia="宋体" w:cs="宋体"/>
          <w:color w:val="auto"/>
          <w:highlight w:val="none"/>
          <w:shd w:val="clear" w:color="auto" w:fill="auto"/>
        </w:rPr>
      </w:pPr>
    </w:p>
    <w:p w14:paraId="779FC89C">
      <w:pPr>
        <w:jc w:val="both"/>
        <w:rPr>
          <w:rFonts w:hint="eastAsia" w:ascii="宋体" w:hAnsi="宋体" w:eastAsia="宋体" w:cs="宋体"/>
          <w:color w:val="auto"/>
          <w:highlight w:val="none"/>
          <w:shd w:val="clear" w:color="auto" w:fill="auto"/>
        </w:rPr>
        <w:sectPr>
          <w:footerReference r:id="rId20" w:type="default"/>
          <w:pgSz w:w="11907" w:h="16840"/>
          <w:pgMar w:top="1418" w:right="1559" w:bottom="1418" w:left="1474" w:header="0" w:footer="723" w:gutter="0"/>
          <w:cols w:space="720" w:num="1"/>
        </w:sectPr>
      </w:pPr>
    </w:p>
    <w:p w14:paraId="61B927BE">
      <w:pPr>
        <w:spacing w:before="310" w:line="221" w:lineRule="auto"/>
        <w:ind w:left="388"/>
        <w:jc w:val="both"/>
        <w:rPr>
          <w:rFonts w:hint="eastAsia" w:ascii="宋体" w:hAnsi="宋体" w:eastAsia="宋体" w:cs="宋体"/>
          <w:color w:val="auto"/>
          <w:sz w:val="28"/>
          <w:szCs w:val="28"/>
          <w:highlight w:val="none"/>
          <w:shd w:val="clear" w:color="auto" w:fill="auto"/>
        </w:rPr>
      </w:pPr>
      <w:bookmarkStart w:id="65" w:name="_bookmark17"/>
      <w:bookmarkEnd w:id="65"/>
      <w:r>
        <w:rPr>
          <w:rFonts w:hint="eastAsia" w:ascii="宋体" w:hAnsi="宋体" w:eastAsia="宋体" w:cs="宋体"/>
          <w:color w:val="auto"/>
          <w:sz w:val="28"/>
          <w:szCs w:val="28"/>
          <w:highlight w:val="none"/>
          <w:shd w:val="clear" w:color="auto" w:fill="auto"/>
        </w:rPr>
        <w:t>格式</w:t>
      </w:r>
      <w:r>
        <w:rPr>
          <w:rFonts w:hint="eastAsia" w:ascii="宋体" w:hAnsi="宋体" w:eastAsia="宋体" w:cs="宋体"/>
          <w:color w:val="auto"/>
          <w:sz w:val="28"/>
          <w:szCs w:val="28"/>
          <w:highlight w:val="none"/>
          <w:shd w:val="clear" w:color="auto" w:fill="auto"/>
          <w:lang w:val="en-US" w:eastAsia="zh-CN"/>
        </w:rPr>
        <w:t>十</w:t>
      </w:r>
      <w:r>
        <w:rPr>
          <w:rFonts w:hint="eastAsia" w:ascii="宋体" w:hAnsi="宋体" w:eastAsia="宋体" w:cs="宋体"/>
          <w:color w:val="auto"/>
          <w:sz w:val="28"/>
          <w:szCs w:val="28"/>
          <w:highlight w:val="none"/>
          <w:shd w:val="clear" w:color="auto" w:fill="auto"/>
        </w:rPr>
        <w:t>：法定代表人授权委托书</w:t>
      </w:r>
    </w:p>
    <w:p w14:paraId="6EF9122A">
      <w:pPr>
        <w:spacing w:line="328" w:lineRule="auto"/>
        <w:jc w:val="both"/>
        <w:rPr>
          <w:rFonts w:hint="eastAsia" w:ascii="宋体" w:hAnsi="宋体" w:eastAsia="宋体" w:cs="宋体"/>
          <w:color w:val="auto"/>
          <w:highlight w:val="none"/>
          <w:shd w:val="clear" w:color="auto" w:fill="auto"/>
        </w:rPr>
      </w:pPr>
    </w:p>
    <w:p w14:paraId="7095E238">
      <w:pPr>
        <w:spacing w:line="328" w:lineRule="auto"/>
        <w:jc w:val="both"/>
        <w:rPr>
          <w:rFonts w:hint="eastAsia" w:ascii="宋体" w:hAnsi="宋体" w:eastAsia="宋体" w:cs="宋体"/>
          <w:color w:val="auto"/>
          <w:highlight w:val="none"/>
          <w:shd w:val="clear" w:color="auto" w:fill="auto"/>
        </w:rPr>
      </w:pPr>
    </w:p>
    <w:p w14:paraId="4814EF39">
      <w:pPr>
        <w:spacing w:before="75" w:line="227" w:lineRule="auto"/>
        <w:jc w:val="center"/>
        <w:outlineLvl w:val="0"/>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法定代表人授权委托书</w:t>
      </w:r>
    </w:p>
    <w:p w14:paraId="49058E96">
      <w:pPr>
        <w:spacing w:line="386" w:lineRule="auto"/>
        <w:jc w:val="both"/>
        <w:rPr>
          <w:rFonts w:hint="eastAsia" w:ascii="宋体" w:hAnsi="宋体" w:eastAsia="宋体" w:cs="宋体"/>
          <w:color w:val="auto"/>
          <w:highlight w:val="none"/>
          <w:shd w:val="clear" w:color="auto" w:fill="auto"/>
        </w:rPr>
      </w:pPr>
    </w:p>
    <w:p w14:paraId="4B601EC5">
      <w:pPr>
        <w:spacing w:before="75" w:line="375" w:lineRule="auto"/>
        <w:ind w:firstLine="589"/>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本人</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u w:val="single"/>
          <w:shd w:val="clear" w:color="auto" w:fill="auto"/>
          <w:lang w:val="en-US" w:eastAsia="zh-CN"/>
        </w:rPr>
        <w:t xml:space="preserve">   </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 xml:space="preserve"> (姓名)系</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u w:val="single"/>
          <w:shd w:val="clear" w:color="auto" w:fill="auto"/>
          <w:lang w:val="en-US" w:eastAsia="zh-CN"/>
        </w:rPr>
        <w:t xml:space="preserve">  </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 xml:space="preserve"> (投标人名称)的法定代表人，现委托</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u w:val="single"/>
          <w:shd w:val="clear" w:color="auto" w:fill="auto"/>
          <w:lang w:val="en-US" w:eastAsia="zh-CN"/>
        </w:rPr>
        <w:t xml:space="preserve">  </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 xml:space="preserve"> (姓名)为我方代理人。代理人根据授权，以我方名义签署、澄清、说明、补正、递交、撤回、修改</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u w:val="single"/>
          <w:shd w:val="clear" w:color="auto" w:fill="auto"/>
          <w:lang w:val="en-US" w:eastAsia="zh-CN"/>
        </w:rPr>
        <w:t xml:space="preserve">       </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 xml:space="preserve"> (项目及标段名称)的投标文件、签订合同和处理有关事宜，其法律后果由我方承担。</w:t>
      </w:r>
    </w:p>
    <w:p w14:paraId="4B879D1D">
      <w:pPr>
        <w:spacing w:line="375" w:lineRule="auto"/>
        <w:ind w:left="34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委托期限</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u w:val="single"/>
          <w:shd w:val="clear" w:color="auto" w:fill="auto"/>
          <w:lang w:val="en-US" w:eastAsia="zh-CN"/>
        </w:rPr>
        <w:t xml:space="preserve">   </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w:t>
      </w:r>
    </w:p>
    <w:p w14:paraId="61D59556">
      <w:pPr>
        <w:spacing w:line="228" w:lineRule="auto"/>
        <w:ind w:left="34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代理人无转委托权。</w:t>
      </w:r>
    </w:p>
    <w:p w14:paraId="3C549370">
      <w:pPr>
        <w:spacing w:before="181" w:line="227" w:lineRule="auto"/>
        <w:ind w:left="36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附：委托代理人身份证明</w:t>
      </w:r>
    </w:p>
    <w:p w14:paraId="2808F6C3">
      <w:pPr>
        <w:spacing w:line="285" w:lineRule="auto"/>
        <w:jc w:val="both"/>
        <w:rPr>
          <w:rFonts w:hint="eastAsia" w:ascii="宋体" w:hAnsi="宋体" w:eastAsia="宋体" w:cs="宋体"/>
          <w:color w:val="auto"/>
          <w:highlight w:val="none"/>
          <w:shd w:val="clear" w:color="auto" w:fill="auto"/>
        </w:rPr>
      </w:pPr>
    </w:p>
    <w:p w14:paraId="41FBEEA1">
      <w:pPr>
        <w:spacing w:line="286" w:lineRule="auto"/>
        <w:jc w:val="both"/>
        <w:rPr>
          <w:rFonts w:hint="eastAsia" w:ascii="宋体" w:hAnsi="宋体" w:eastAsia="宋体" w:cs="宋体"/>
          <w:color w:val="auto"/>
          <w:highlight w:val="none"/>
          <w:shd w:val="clear" w:color="auto" w:fill="auto"/>
        </w:rPr>
      </w:pPr>
    </w:p>
    <w:p w14:paraId="62BBFB3A">
      <w:pPr>
        <w:spacing w:before="76" w:line="376" w:lineRule="auto"/>
        <w:ind w:left="351"/>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投标人：</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 xml:space="preserve"> (盖单位公章)</w:t>
      </w:r>
    </w:p>
    <w:p w14:paraId="00E9C925">
      <w:pPr>
        <w:spacing w:line="227" w:lineRule="auto"/>
        <w:ind w:left="349"/>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法定代表人：</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 xml:space="preserve"> (签字或盖章)</w:t>
      </w:r>
    </w:p>
    <w:p w14:paraId="11078636">
      <w:pPr>
        <w:spacing w:before="185" w:line="374" w:lineRule="auto"/>
        <w:ind w:left="35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身份证号码：</w:t>
      </w:r>
      <w:r>
        <w:rPr>
          <w:rFonts w:hint="eastAsia" w:ascii="宋体" w:hAnsi="宋体" w:eastAsia="宋体" w:cs="宋体"/>
          <w:color w:val="auto"/>
          <w:sz w:val="23"/>
          <w:szCs w:val="23"/>
          <w:highlight w:val="none"/>
          <w:u w:val="single"/>
          <w:shd w:val="clear" w:color="auto" w:fill="auto"/>
        </w:rPr>
        <w:t xml:space="preserve">                  </w:t>
      </w:r>
    </w:p>
    <w:p w14:paraId="34234347">
      <w:pPr>
        <w:spacing w:line="228" w:lineRule="auto"/>
        <w:ind w:left="34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委托代理人：</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(签字)</w:t>
      </w:r>
    </w:p>
    <w:p w14:paraId="7C59ACFA">
      <w:pPr>
        <w:spacing w:before="184" w:line="227" w:lineRule="auto"/>
        <w:ind w:left="348"/>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手机号码：</w:t>
      </w:r>
      <w:r>
        <w:rPr>
          <w:rFonts w:hint="eastAsia" w:ascii="宋体" w:hAnsi="宋体" w:eastAsia="宋体" w:cs="宋体"/>
          <w:color w:val="auto"/>
          <w:sz w:val="23"/>
          <w:szCs w:val="23"/>
          <w:highlight w:val="none"/>
          <w:u w:val="single"/>
          <w:shd w:val="clear" w:color="auto" w:fill="auto"/>
        </w:rPr>
        <w:t xml:space="preserve">                  </w:t>
      </w:r>
    </w:p>
    <w:p w14:paraId="710B2312">
      <w:pPr>
        <w:spacing w:before="183" w:line="228" w:lineRule="auto"/>
        <w:ind w:left="355"/>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身份证号码：</w:t>
      </w:r>
      <w:r>
        <w:rPr>
          <w:rFonts w:hint="eastAsia" w:ascii="宋体" w:hAnsi="宋体" w:eastAsia="宋体" w:cs="宋体"/>
          <w:color w:val="auto"/>
          <w:sz w:val="23"/>
          <w:szCs w:val="23"/>
          <w:highlight w:val="none"/>
          <w:u w:val="single"/>
          <w:shd w:val="clear" w:color="auto" w:fill="auto"/>
        </w:rPr>
        <w:t xml:space="preserve">                  </w:t>
      </w:r>
    </w:p>
    <w:p w14:paraId="5862CD8A">
      <w:pPr>
        <w:spacing w:line="285" w:lineRule="auto"/>
        <w:jc w:val="both"/>
        <w:rPr>
          <w:rFonts w:hint="eastAsia" w:ascii="宋体" w:hAnsi="宋体" w:eastAsia="宋体" w:cs="宋体"/>
          <w:color w:val="auto"/>
          <w:highlight w:val="none"/>
          <w:shd w:val="clear" w:color="auto" w:fill="auto"/>
        </w:rPr>
      </w:pPr>
    </w:p>
    <w:p w14:paraId="356CE596">
      <w:pPr>
        <w:spacing w:line="286" w:lineRule="auto"/>
        <w:jc w:val="both"/>
        <w:rPr>
          <w:rFonts w:hint="eastAsia" w:ascii="宋体" w:hAnsi="宋体" w:eastAsia="宋体" w:cs="宋体"/>
          <w:color w:val="auto"/>
          <w:highlight w:val="none"/>
          <w:shd w:val="clear" w:color="auto" w:fill="auto"/>
        </w:rPr>
      </w:pPr>
    </w:p>
    <w:p w14:paraId="52E2E5E4">
      <w:pPr>
        <w:tabs>
          <w:tab w:val="left" w:pos="7132"/>
        </w:tabs>
        <w:spacing w:before="75" w:line="384" w:lineRule="auto"/>
        <w:ind w:left="6162" w:right="203" w:hanging="1187"/>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年</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月</w:t>
      </w:r>
      <w:r>
        <w:rPr>
          <w:rFonts w:hint="eastAsia" w:ascii="宋体" w:hAnsi="宋体" w:eastAsia="宋体" w:cs="宋体"/>
          <w:color w:val="auto"/>
          <w:sz w:val="23"/>
          <w:szCs w:val="23"/>
          <w:highlight w:val="none"/>
          <w:u w:val="single"/>
          <w:shd w:val="clear" w:color="auto" w:fill="auto"/>
        </w:rPr>
        <w:t xml:space="preserve">   </w:t>
      </w:r>
      <w:r>
        <w:rPr>
          <w:rFonts w:hint="eastAsia" w:ascii="宋体" w:hAnsi="宋体" w:eastAsia="宋体" w:cs="宋体"/>
          <w:color w:val="auto"/>
          <w:sz w:val="23"/>
          <w:szCs w:val="23"/>
          <w:highlight w:val="none"/>
          <w:shd w:val="clear" w:color="auto" w:fill="auto"/>
        </w:rPr>
        <w:t>日</w:t>
      </w:r>
    </w:p>
    <w:p w14:paraId="18F3F67C">
      <w:pPr>
        <w:jc w:val="both"/>
        <w:rPr>
          <w:rFonts w:hint="eastAsia" w:ascii="宋体" w:hAnsi="宋体" w:eastAsia="宋体" w:cs="宋体"/>
          <w:color w:val="auto"/>
          <w:highlight w:val="none"/>
          <w:shd w:val="clear" w:color="auto" w:fill="auto"/>
        </w:rPr>
      </w:pPr>
    </w:p>
    <w:p w14:paraId="01A075A4">
      <w:pPr>
        <w:jc w:val="both"/>
        <w:rPr>
          <w:rFonts w:hint="eastAsia" w:ascii="宋体" w:hAnsi="宋体" w:eastAsia="宋体" w:cs="宋体"/>
          <w:color w:val="auto"/>
          <w:highlight w:val="none"/>
          <w:shd w:val="clear" w:color="auto" w:fill="auto"/>
        </w:rPr>
      </w:pPr>
    </w:p>
    <w:p w14:paraId="726BB8F1">
      <w:pPr>
        <w:spacing w:line="105" w:lineRule="exact"/>
        <w:jc w:val="both"/>
        <w:rPr>
          <w:rFonts w:hint="eastAsia" w:ascii="宋体" w:hAnsi="宋体" w:eastAsia="宋体" w:cs="宋体"/>
          <w:color w:val="auto"/>
          <w:highlight w:val="none"/>
          <w:shd w:val="clear" w:color="auto" w:fill="auto"/>
        </w:rPr>
      </w:pPr>
    </w:p>
    <w:tbl>
      <w:tblPr>
        <w:tblStyle w:val="42"/>
        <w:tblW w:w="7233" w:type="dxa"/>
        <w:tblInd w:w="80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233"/>
      </w:tblGrid>
      <w:tr w14:paraId="50319E9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608" w:hRule="atLeast"/>
        </w:trPr>
        <w:tc>
          <w:tcPr>
            <w:tcW w:w="7233" w:type="dxa"/>
            <w:noWrap w:val="0"/>
            <w:vAlign w:val="top"/>
          </w:tcPr>
          <w:p w14:paraId="777F75F8">
            <w:pPr>
              <w:spacing w:line="256" w:lineRule="auto"/>
              <w:jc w:val="both"/>
              <w:rPr>
                <w:rFonts w:hint="eastAsia" w:ascii="宋体" w:hAnsi="宋体" w:eastAsia="宋体" w:cs="宋体"/>
                <w:color w:val="auto"/>
                <w:highlight w:val="none"/>
                <w:shd w:val="clear" w:color="auto" w:fill="auto"/>
              </w:rPr>
            </w:pPr>
          </w:p>
          <w:p w14:paraId="5DD67FCD">
            <w:pPr>
              <w:spacing w:line="257" w:lineRule="auto"/>
              <w:jc w:val="both"/>
              <w:rPr>
                <w:rFonts w:hint="eastAsia" w:ascii="宋体" w:hAnsi="宋体" w:eastAsia="宋体" w:cs="宋体"/>
                <w:color w:val="auto"/>
                <w:highlight w:val="none"/>
                <w:shd w:val="clear" w:color="auto" w:fill="auto"/>
              </w:rPr>
            </w:pPr>
          </w:p>
          <w:p w14:paraId="3EF29A70">
            <w:pPr>
              <w:spacing w:before="75" w:line="228" w:lineRule="auto"/>
              <w:ind w:left="2422"/>
              <w:jc w:val="both"/>
              <w:rPr>
                <w:rFonts w:hint="eastAsia" w:ascii="宋体" w:hAnsi="宋体" w:eastAsia="宋体" w:cs="宋体"/>
                <w:color w:val="auto"/>
                <w:sz w:val="23"/>
                <w:szCs w:val="23"/>
                <w:highlight w:val="none"/>
                <w:shd w:val="clear" w:color="auto" w:fill="auto"/>
              </w:rPr>
            </w:pPr>
            <w:r>
              <w:rPr>
                <w:rFonts w:hint="eastAsia" w:ascii="宋体" w:hAnsi="宋体" w:eastAsia="宋体" w:cs="宋体"/>
                <w:color w:val="auto"/>
                <w:sz w:val="23"/>
                <w:szCs w:val="23"/>
                <w:highlight w:val="none"/>
                <w:shd w:val="clear" w:color="auto" w:fill="auto"/>
              </w:rPr>
              <w:t>委托代理人身份证复制件</w:t>
            </w:r>
          </w:p>
        </w:tc>
      </w:tr>
    </w:tbl>
    <w:p w14:paraId="49EE95B1">
      <w:pPr>
        <w:spacing w:line="480" w:lineRule="auto"/>
        <w:jc w:val="center"/>
        <w:outlineLvl w:val="0"/>
        <w:rPr>
          <w:rFonts w:hint="eastAsia" w:ascii="宋体" w:hAnsi="宋体" w:eastAsia="宋体" w:cs="宋体"/>
          <w:color w:val="auto"/>
          <w:highlight w:val="none"/>
          <w:shd w:val="clear" w:color="auto" w:fill="auto"/>
        </w:rPr>
      </w:pPr>
    </w:p>
    <w:p w14:paraId="4B1FFB21">
      <w:pPr>
        <w:spacing w:line="480" w:lineRule="auto"/>
        <w:jc w:val="center"/>
        <w:outlineLvl w:val="0"/>
        <w:rPr>
          <w:rFonts w:hint="eastAsia" w:ascii="宋体" w:hAnsi="宋体" w:eastAsia="宋体" w:cs="宋体"/>
          <w:color w:val="auto"/>
          <w:highlight w:val="none"/>
          <w:shd w:val="clear" w:color="auto" w:fill="auto"/>
        </w:rPr>
      </w:pPr>
    </w:p>
    <w:p w14:paraId="6EA815DB">
      <w:pPr>
        <w:spacing w:line="480" w:lineRule="auto"/>
        <w:jc w:val="both"/>
        <w:outlineLvl w:val="0"/>
        <w:rPr>
          <w:rFonts w:hint="default" w:ascii="宋体" w:hAnsi="宋体" w:eastAsia="宋体" w:cs="宋体"/>
          <w:color w:val="auto"/>
          <w:highlight w:val="none"/>
          <w:shd w:val="clear" w:color="auto" w:fill="auto"/>
          <w:lang w:val="en-US"/>
        </w:rPr>
      </w:pPr>
      <w:r>
        <w:rPr>
          <w:rFonts w:hint="eastAsia" w:ascii="宋体" w:hAnsi="宋体" w:eastAsia="宋体" w:cs="宋体"/>
          <w:color w:val="auto"/>
          <w:sz w:val="28"/>
          <w:szCs w:val="28"/>
          <w:highlight w:val="none"/>
          <w:shd w:val="clear" w:color="auto" w:fill="auto"/>
        </w:rPr>
        <w:t>格式</w:t>
      </w:r>
      <w:r>
        <w:rPr>
          <w:rFonts w:hint="eastAsia" w:ascii="宋体" w:hAnsi="宋体" w:eastAsia="宋体" w:cs="宋体"/>
          <w:color w:val="auto"/>
          <w:sz w:val="28"/>
          <w:szCs w:val="28"/>
          <w:highlight w:val="none"/>
          <w:shd w:val="clear" w:color="auto" w:fill="auto"/>
          <w:lang w:val="en-US" w:eastAsia="zh-CN"/>
        </w:rPr>
        <w:t>十</w:t>
      </w:r>
      <w:r>
        <w:rPr>
          <w:rFonts w:hint="eastAsia" w:ascii="宋体" w:hAnsi="宋体" w:cs="宋体"/>
          <w:color w:val="auto"/>
          <w:sz w:val="28"/>
          <w:szCs w:val="28"/>
          <w:highlight w:val="none"/>
          <w:shd w:val="clear" w:color="auto" w:fill="auto"/>
          <w:lang w:val="en-US" w:eastAsia="zh-CN"/>
        </w:rPr>
        <w:t>一</w:t>
      </w:r>
    </w:p>
    <w:p w14:paraId="747913A0">
      <w:pPr>
        <w:spacing w:line="480" w:lineRule="auto"/>
        <w:jc w:val="center"/>
        <w:outlineLvl w:val="0"/>
        <w:rPr>
          <w:rFonts w:hint="eastAsia" w:ascii="宋体" w:hAnsi="宋体" w:eastAsia="宋体" w:cs="宋体"/>
          <w:color w:val="auto"/>
          <w:highlight w:val="none"/>
          <w:shd w:val="clear" w:color="auto" w:fill="auto"/>
        </w:rPr>
      </w:pPr>
    </w:p>
    <w:p w14:paraId="6BDAEF42">
      <w:pPr>
        <w:spacing w:line="480" w:lineRule="auto"/>
        <w:jc w:val="center"/>
        <w:outlineLvl w:val="0"/>
        <w:rPr>
          <w:rFonts w:hint="eastAsia" w:ascii="宋体" w:hAnsi="宋体" w:eastAsia="宋体" w:cs="宋体"/>
          <w:color w:val="auto"/>
          <w:highlight w:val="none"/>
          <w:shd w:val="clear" w:color="auto" w:fill="auto"/>
          <w:lang w:val="en-US" w:eastAsia="zh-CN"/>
        </w:rPr>
      </w:pPr>
      <w:r>
        <w:rPr>
          <w:rFonts w:hint="eastAsia" w:ascii="宋体" w:hAnsi="宋体" w:eastAsia="宋体" w:cs="宋体"/>
          <w:b/>
          <w:bCs/>
          <w:color w:val="auto"/>
          <w:sz w:val="36"/>
          <w:szCs w:val="36"/>
          <w:highlight w:val="none"/>
          <w:shd w:val="clear" w:color="auto" w:fill="auto"/>
        </w:rPr>
        <w:t>投标保证金</w:t>
      </w:r>
      <w:r>
        <w:rPr>
          <w:rFonts w:hint="eastAsia" w:ascii="宋体" w:hAnsi="宋体" w:eastAsia="宋体" w:cs="宋体"/>
          <w:b/>
          <w:bCs/>
          <w:color w:val="auto"/>
          <w:sz w:val="36"/>
          <w:szCs w:val="36"/>
          <w:highlight w:val="none"/>
          <w:shd w:val="clear" w:color="auto" w:fill="auto"/>
          <w:lang w:val="en-US" w:eastAsia="zh-CN"/>
        </w:rPr>
        <w:t>缴纳证明资料</w:t>
      </w:r>
    </w:p>
    <w:p w14:paraId="7B1A8724">
      <w:pPr>
        <w:keepNext w:val="0"/>
        <w:keepLines w:val="0"/>
        <w:pageBreakBefore w:val="0"/>
        <w:widowControl w:val="0"/>
        <w:tabs>
          <w:tab w:val="left" w:pos="312"/>
        </w:tabs>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1.采用转账</w:t>
      </w:r>
      <w:r>
        <w:rPr>
          <w:rFonts w:hint="eastAsia" w:ascii="宋体" w:hAnsi="宋体" w:eastAsia="宋体" w:cs="宋体"/>
          <w:bCs/>
          <w:color w:val="auto"/>
          <w:sz w:val="24"/>
          <w:szCs w:val="24"/>
          <w:highlight w:val="none"/>
          <w:shd w:val="clear" w:color="auto" w:fill="auto"/>
          <w:lang w:val="en-US" w:eastAsia="zh-CN"/>
        </w:rPr>
        <w:t>/电汇</w:t>
      </w:r>
      <w:r>
        <w:rPr>
          <w:rFonts w:hint="eastAsia" w:ascii="宋体" w:hAnsi="宋体" w:eastAsia="宋体" w:cs="宋体"/>
          <w:bCs/>
          <w:color w:val="auto"/>
          <w:sz w:val="24"/>
          <w:szCs w:val="24"/>
          <w:highlight w:val="none"/>
          <w:shd w:val="clear" w:color="auto" w:fill="auto"/>
        </w:rPr>
        <w:t>形式缴纳的，提供银行转账凭证（记录）及基本账户开户</w:t>
      </w:r>
      <w:r>
        <w:rPr>
          <w:rFonts w:hint="eastAsia" w:ascii="宋体" w:hAnsi="宋体" w:eastAsia="宋体" w:cs="宋体"/>
          <w:bCs/>
          <w:color w:val="auto"/>
          <w:sz w:val="24"/>
          <w:szCs w:val="24"/>
          <w:highlight w:val="none"/>
          <w:shd w:val="clear" w:color="auto" w:fill="auto"/>
        </w:rPr>
        <w:t>证明</w:t>
      </w:r>
      <w:r>
        <w:rPr>
          <w:rFonts w:hint="eastAsia" w:ascii="宋体" w:hAnsi="宋体" w:eastAsia="宋体" w:cs="宋体"/>
          <w:bCs/>
          <w:color w:val="auto"/>
          <w:sz w:val="24"/>
          <w:szCs w:val="24"/>
          <w:highlight w:val="none"/>
          <w:shd w:val="clear" w:color="auto" w:fill="auto"/>
        </w:rPr>
        <w:t>。</w:t>
      </w:r>
    </w:p>
    <w:p w14:paraId="30D4737A">
      <w:pPr>
        <w:rPr>
          <w:rFonts w:hint="eastAsia" w:ascii="宋体" w:hAnsi="宋体" w:eastAsia="宋体" w:cs="宋体"/>
          <w:color w:val="auto"/>
          <w:highlight w:val="none"/>
          <w:shd w:val="clear" w:color="auto" w:fill="auto"/>
        </w:rPr>
      </w:pPr>
    </w:p>
    <w:p w14:paraId="60A70E19">
      <w:pPr>
        <w:rPr>
          <w:rFonts w:hint="eastAsia" w:ascii="宋体" w:hAnsi="宋体" w:eastAsia="宋体" w:cs="宋体"/>
          <w:color w:val="auto"/>
          <w:highlight w:val="none"/>
          <w:shd w:val="clear" w:color="auto" w:fill="auto"/>
        </w:rPr>
      </w:pPr>
    </w:p>
    <w:p w14:paraId="718E6BEE">
      <w:pPr>
        <w:rPr>
          <w:rFonts w:hint="eastAsia" w:ascii="宋体" w:hAnsi="宋体" w:eastAsia="宋体" w:cs="宋体"/>
          <w:color w:val="auto"/>
          <w:highlight w:val="none"/>
          <w:shd w:val="clear" w:color="auto" w:fill="auto"/>
        </w:rPr>
      </w:pPr>
    </w:p>
    <w:p w14:paraId="0939F8F5">
      <w:pPr>
        <w:rPr>
          <w:rFonts w:hint="eastAsia" w:ascii="宋体" w:hAnsi="宋体" w:eastAsia="宋体" w:cs="宋体"/>
          <w:strike/>
          <w:dstrike w:val="0"/>
          <w:color w:val="auto"/>
          <w:highlight w:val="none"/>
          <w:shd w:val="clear" w:color="auto" w:fill="auto"/>
        </w:rPr>
      </w:pPr>
    </w:p>
    <w:p w14:paraId="67CDB93C">
      <w:pPr>
        <w:widowControl w:val="0"/>
        <w:outlineLvl w:val="0"/>
        <w:rPr>
          <w:rFonts w:hint="eastAsia" w:ascii="宋体" w:hAnsi="宋体" w:eastAsia="宋体" w:cs="宋体"/>
          <w:strike/>
          <w:dstrike w:val="0"/>
          <w:color w:val="auto"/>
          <w:sz w:val="28"/>
          <w:szCs w:val="28"/>
          <w:highlight w:val="none"/>
          <w:shd w:val="clear" w:color="auto" w:fill="auto"/>
        </w:rPr>
      </w:pPr>
      <w:r>
        <w:rPr>
          <w:rFonts w:hint="eastAsia" w:ascii="宋体" w:hAnsi="宋体" w:eastAsia="宋体" w:cs="宋体"/>
          <w:strike/>
          <w:dstrike w:val="0"/>
          <w:color w:val="auto"/>
          <w:sz w:val="28"/>
          <w:szCs w:val="28"/>
          <w:highlight w:val="none"/>
          <w:shd w:val="clear" w:color="auto" w:fill="auto"/>
        </w:rPr>
        <w:t>格式</w:t>
      </w:r>
      <w:r>
        <w:rPr>
          <w:rFonts w:hint="eastAsia" w:ascii="宋体" w:hAnsi="宋体" w:eastAsia="宋体" w:cs="宋体"/>
          <w:strike/>
          <w:dstrike w:val="0"/>
          <w:color w:val="auto"/>
          <w:sz w:val="28"/>
          <w:szCs w:val="28"/>
          <w:highlight w:val="none"/>
          <w:shd w:val="clear" w:color="auto" w:fill="auto"/>
          <w:lang w:val="en-US" w:eastAsia="zh-CN"/>
        </w:rPr>
        <w:t>十二</w:t>
      </w:r>
      <w:r>
        <w:rPr>
          <w:rFonts w:hint="eastAsia" w:ascii="宋体" w:hAnsi="宋体" w:eastAsia="宋体" w:cs="宋体"/>
          <w:strike/>
          <w:dstrike w:val="0"/>
          <w:color w:val="auto"/>
          <w:sz w:val="28"/>
          <w:szCs w:val="28"/>
          <w:highlight w:val="none"/>
          <w:shd w:val="clear" w:color="auto" w:fill="auto"/>
        </w:rPr>
        <w:t>：中小企业声明函</w:t>
      </w:r>
    </w:p>
    <w:p w14:paraId="434A80E0">
      <w:pPr>
        <w:widowControl w:val="0"/>
        <w:jc w:val="center"/>
        <w:rPr>
          <w:rFonts w:hint="eastAsia" w:ascii="宋体" w:hAnsi="宋体" w:eastAsia="宋体" w:cs="宋体"/>
          <w:b/>
          <w:strike/>
          <w:dstrike w:val="0"/>
          <w:color w:val="auto"/>
          <w:kern w:val="2"/>
          <w:sz w:val="32"/>
          <w:szCs w:val="24"/>
          <w:highlight w:val="none"/>
          <w:shd w:val="clear" w:color="auto" w:fill="auto"/>
          <w:lang w:bidi="ar"/>
        </w:rPr>
      </w:pPr>
    </w:p>
    <w:p w14:paraId="718BD469">
      <w:pPr>
        <w:widowControl w:val="0"/>
        <w:jc w:val="center"/>
        <w:outlineLvl w:val="0"/>
        <w:rPr>
          <w:rFonts w:hint="eastAsia" w:ascii="宋体" w:hAnsi="宋体" w:eastAsia="宋体" w:cs="宋体"/>
          <w:b/>
          <w:strike/>
          <w:dstrike w:val="0"/>
          <w:color w:val="auto"/>
          <w:kern w:val="2"/>
          <w:sz w:val="32"/>
          <w:szCs w:val="24"/>
          <w:highlight w:val="none"/>
          <w:shd w:val="clear" w:color="auto" w:fill="auto"/>
          <w:lang w:bidi="ar"/>
        </w:rPr>
      </w:pPr>
      <w:r>
        <w:rPr>
          <w:rFonts w:hint="eastAsia" w:ascii="宋体" w:hAnsi="宋体" w:eastAsia="宋体" w:cs="宋体"/>
          <w:b/>
          <w:strike/>
          <w:dstrike w:val="0"/>
          <w:color w:val="auto"/>
          <w:kern w:val="2"/>
          <w:sz w:val="32"/>
          <w:szCs w:val="24"/>
          <w:highlight w:val="none"/>
          <w:shd w:val="clear" w:color="auto" w:fill="auto"/>
          <w:lang w:bidi="ar"/>
        </w:rPr>
        <w:t>中小企业声明函（货物）</w:t>
      </w:r>
    </w:p>
    <w:p w14:paraId="3961213D">
      <w:pPr>
        <w:pStyle w:val="20"/>
        <w:keepNext w:val="0"/>
        <w:keepLines w:val="0"/>
        <w:pageBreakBefore w:val="0"/>
        <w:wordWrap/>
        <w:overflowPunct/>
        <w:topLinePunct w:val="0"/>
        <w:bidi w:val="0"/>
        <w:spacing w:after="0" w:line="400" w:lineRule="exact"/>
        <w:rPr>
          <w:rFonts w:hint="eastAsia" w:ascii="宋体" w:hAnsi="宋体" w:eastAsia="宋体" w:cs="宋体"/>
          <w:strike/>
          <w:dstrike w:val="0"/>
          <w:color w:val="auto"/>
          <w:sz w:val="24"/>
          <w:szCs w:val="24"/>
          <w:highlight w:val="none"/>
          <w:shd w:val="clear" w:color="auto" w:fill="auto"/>
        </w:rPr>
      </w:pPr>
    </w:p>
    <w:p w14:paraId="72AFE1CE">
      <w:pPr>
        <w:keepNext w:val="0"/>
        <w:keepLines w:val="0"/>
        <w:pageBreakBefore w:val="0"/>
        <w:widowControl w:val="0"/>
        <w:wordWrap/>
        <w:overflowPunct/>
        <w:topLinePunct w:val="0"/>
        <w:bidi w:val="0"/>
        <w:spacing w:line="400" w:lineRule="exact"/>
        <w:ind w:firstLine="480" w:firstLineChars="200"/>
        <w:rPr>
          <w:rFonts w:hint="eastAsia" w:ascii="宋体" w:hAnsi="宋体" w:eastAsia="宋体" w:cs="宋体"/>
          <w:strike/>
          <w:dstrike w:val="0"/>
          <w:color w:val="auto"/>
          <w:sz w:val="24"/>
          <w:szCs w:val="24"/>
          <w:highlight w:val="none"/>
          <w:shd w:val="clear" w:color="auto" w:fill="auto"/>
        </w:rPr>
      </w:pPr>
      <w:r>
        <w:rPr>
          <w:rFonts w:hint="eastAsia" w:ascii="宋体" w:hAnsi="宋体" w:eastAsia="宋体" w:cs="宋体"/>
          <w:strike/>
          <w:dstrike w:val="0"/>
          <w:color w:val="auto"/>
          <w:kern w:val="2"/>
          <w:sz w:val="24"/>
          <w:szCs w:val="24"/>
          <w:highlight w:val="none"/>
          <w:shd w:val="clear" w:color="auto" w:fill="auto"/>
          <w:lang w:bidi="ar"/>
        </w:rPr>
        <w:t>本公司（联合体）郑重声明，根据《政府采购促进中小企业发展管理办法》 （财库﹝2020﹞46号）的规定，本公司（联合体）参加</w:t>
      </w:r>
      <w:r>
        <w:rPr>
          <w:rFonts w:hint="eastAsia" w:ascii="宋体" w:hAnsi="宋体" w:eastAsia="宋体" w:cs="宋体"/>
          <w:strike/>
          <w:dstrike w:val="0"/>
          <w:color w:val="auto"/>
          <w:kern w:val="2"/>
          <w:sz w:val="24"/>
          <w:szCs w:val="24"/>
          <w:highlight w:val="none"/>
          <w:u w:val="single"/>
          <w:shd w:val="clear" w:color="auto" w:fill="auto"/>
          <w:lang w:bidi="ar"/>
        </w:rPr>
        <w:t xml:space="preserve"> （单位名称） </w:t>
      </w:r>
      <w:r>
        <w:rPr>
          <w:rFonts w:hint="eastAsia" w:ascii="宋体" w:hAnsi="宋体" w:eastAsia="宋体" w:cs="宋体"/>
          <w:strike/>
          <w:dstrike w:val="0"/>
          <w:color w:val="auto"/>
          <w:kern w:val="2"/>
          <w:sz w:val="24"/>
          <w:szCs w:val="24"/>
          <w:highlight w:val="none"/>
          <w:shd w:val="clear" w:color="auto" w:fill="auto"/>
          <w:lang w:bidi="ar"/>
        </w:rPr>
        <w:t>的（</w:t>
      </w:r>
      <w:r>
        <w:rPr>
          <w:rFonts w:hint="eastAsia" w:ascii="宋体" w:hAnsi="宋体" w:eastAsia="宋体" w:cs="宋体"/>
          <w:strike/>
          <w:dstrike w:val="0"/>
          <w:color w:val="auto"/>
          <w:kern w:val="2"/>
          <w:sz w:val="24"/>
          <w:szCs w:val="24"/>
          <w:highlight w:val="none"/>
          <w:u w:val="single"/>
          <w:shd w:val="clear" w:color="auto" w:fill="auto"/>
          <w:lang w:bidi="ar"/>
        </w:rPr>
        <w:t>项目名称</w:t>
      </w:r>
      <w:r>
        <w:rPr>
          <w:rFonts w:hint="eastAsia" w:ascii="宋体" w:hAnsi="宋体" w:eastAsia="宋体" w:cs="宋体"/>
          <w:strike/>
          <w:dstrike w:val="0"/>
          <w:color w:val="auto"/>
          <w:kern w:val="2"/>
          <w:sz w:val="24"/>
          <w:szCs w:val="24"/>
          <w:highlight w:val="none"/>
          <w:shd w:val="clear" w:color="auto" w:fill="auto"/>
          <w:lang w:bidi="ar"/>
        </w:rPr>
        <w:t>）采购活动，提供的货物全部由符合政策要求的中小企业制造。相关企业（含联合体中的中小企业、签订分包意向协议的中小企业）的具体情况如下：</w:t>
      </w:r>
    </w:p>
    <w:p w14:paraId="3CFE7E1F">
      <w:pPr>
        <w:keepNext w:val="0"/>
        <w:keepLines w:val="0"/>
        <w:pageBreakBefore w:val="0"/>
        <w:widowControl w:val="0"/>
        <w:wordWrap/>
        <w:overflowPunct/>
        <w:topLinePunct w:val="0"/>
        <w:bidi w:val="0"/>
        <w:spacing w:line="400" w:lineRule="exact"/>
        <w:ind w:firstLine="480" w:firstLineChars="200"/>
        <w:rPr>
          <w:rFonts w:hint="eastAsia" w:ascii="宋体" w:hAnsi="宋体" w:eastAsia="宋体" w:cs="宋体"/>
          <w:strike/>
          <w:dstrike w:val="0"/>
          <w:color w:val="auto"/>
          <w:sz w:val="24"/>
          <w:szCs w:val="24"/>
          <w:highlight w:val="none"/>
          <w:shd w:val="clear" w:color="auto" w:fill="auto"/>
        </w:rPr>
      </w:pPr>
      <w:r>
        <w:rPr>
          <w:rFonts w:hint="eastAsia" w:ascii="宋体" w:hAnsi="宋体" w:eastAsia="宋体" w:cs="宋体"/>
          <w:strike/>
          <w:dstrike w:val="0"/>
          <w:color w:val="auto"/>
          <w:kern w:val="2"/>
          <w:sz w:val="24"/>
          <w:szCs w:val="24"/>
          <w:highlight w:val="none"/>
          <w:shd w:val="clear" w:color="auto" w:fill="auto"/>
          <w:lang w:bidi="ar"/>
        </w:rPr>
        <w:t>1.</w:t>
      </w:r>
      <w:r>
        <w:rPr>
          <w:rFonts w:hint="eastAsia" w:ascii="宋体" w:hAnsi="宋体" w:eastAsia="宋体" w:cs="宋体"/>
          <w:strike/>
          <w:dstrike w:val="0"/>
          <w:color w:val="auto"/>
          <w:kern w:val="2"/>
          <w:sz w:val="24"/>
          <w:szCs w:val="24"/>
          <w:highlight w:val="none"/>
          <w:u w:val="single"/>
          <w:shd w:val="clear" w:color="auto" w:fill="auto"/>
          <w:lang w:bidi="ar"/>
        </w:rPr>
        <w:t>（标的名称）</w:t>
      </w:r>
      <w:r>
        <w:rPr>
          <w:rFonts w:hint="eastAsia" w:ascii="宋体" w:hAnsi="宋体" w:eastAsia="宋体" w:cs="宋体"/>
          <w:strike/>
          <w:dstrike w:val="0"/>
          <w:color w:val="auto"/>
          <w:kern w:val="2"/>
          <w:sz w:val="24"/>
          <w:szCs w:val="24"/>
          <w:highlight w:val="none"/>
          <w:shd w:val="clear" w:color="auto" w:fill="auto"/>
          <w:lang w:bidi="ar"/>
        </w:rPr>
        <w:t>，属于</w:t>
      </w:r>
      <w:r>
        <w:rPr>
          <w:rFonts w:hint="eastAsia" w:ascii="宋体" w:hAnsi="宋体" w:eastAsia="宋体" w:cs="宋体"/>
          <w:strike/>
          <w:dstrike w:val="0"/>
          <w:color w:val="auto"/>
          <w:sz w:val="24"/>
          <w:szCs w:val="24"/>
          <w:highlight w:val="none"/>
          <w:u w:val="single"/>
          <w:shd w:val="clear" w:color="auto" w:fill="auto"/>
        </w:rPr>
        <w:t>（采购文件中明确的所属行业）</w:t>
      </w:r>
      <w:r>
        <w:rPr>
          <w:rFonts w:hint="eastAsia" w:ascii="宋体" w:hAnsi="宋体" w:eastAsia="宋体" w:cs="宋体"/>
          <w:strike/>
          <w:dstrike w:val="0"/>
          <w:color w:val="auto"/>
          <w:sz w:val="24"/>
          <w:szCs w:val="24"/>
          <w:highlight w:val="none"/>
          <w:shd w:val="clear" w:color="auto" w:fill="auto"/>
        </w:rPr>
        <w:t>行业；制造商为</w:t>
      </w:r>
      <w:r>
        <w:rPr>
          <w:rFonts w:hint="eastAsia" w:ascii="宋体" w:hAnsi="宋体" w:eastAsia="宋体" w:cs="宋体"/>
          <w:strike/>
          <w:dstrike w:val="0"/>
          <w:color w:val="auto"/>
          <w:sz w:val="24"/>
          <w:szCs w:val="24"/>
          <w:highlight w:val="none"/>
          <w:u w:val="single"/>
          <w:shd w:val="clear" w:color="auto" w:fill="auto"/>
        </w:rPr>
        <w:t>（企业名称）</w:t>
      </w:r>
      <w:r>
        <w:rPr>
          <w:rFonts w:hint="eastAsia" w:ascii="宋体" w:hAnsi="宋体" w:eastAsia="宋体" w:cs="宋体"/>
          <w:strike/>
          <w:dstrike w:val="0"/>
          <w:color w:val="auto"/>
          <w:sz w:val="24"/>
          <w:szCs w:val="24"/>
          <w:highlight w:val="none"/>
          <w:shd w:val="clear" w:color="auto" w:fill="auto"/>
        </w:rPr>
        <w:t>，从业人员</w:t>
      </w:r>
      <w:r>
        <w:rPr>
          <w:rFonts w:hint="eastAsia" w:ascii="宋体" w:hAnsi="宋体" w:eastAsia="宋体" w:cs="宋体"/>
          <w:strike/>
          <w:dstrike w:val="0"/>
          <w:color w:val="auto"/>
          <w:sz w:val="24"/>
          <w:szCs w:val="24"/>
          <w:highlight w:val="none"/>
          <w:u w:val="single"/>
          <w:shd w:val="clear" w:color="auto" w:fill="auto"/>
        </w:rPr>
        <w:t xml:space="preserve">   </w:t>
      </w:r>
      <w:r>
        <w:rPr>
          <w:rFonts w:hint="eastAsia" w:ascii="宋体" w:hAnsi="宋体" w:eastAsia="宋体" w:cs="宋体"/>
          <w:strike/>
          <w:dstrike w:val="0"/>
          <w:color w:val="auto"/>
          <w:sz w:val="24"/>
          <w:szCs w:val="24"/>
          <w:highlight w:val="none"/>
          <w:shd w:val="clear" w:color="auto" w:fill="auto"/>
        </w:rPr>
        <w:t>人，营业收入为</w:t>
      </w:r>
      <w:r>
        <w:rPr>
          <w:rFonts w:hint="eastAsia" w:ascii="宋体" w:hAnsi="宋体" w:eastAsia="宋体" w:cs="宋体"/>
          <w:strike/>
          <w:dstrike w:val="0"/>
          <w:color w:val="auto"/>
          <w:sz w:val="24"/>
          <w:szCs w:val="24"/>
          <w:highlight w:val="none"/>
          <w:u w:val="single"/>
          <w:shd w:val="clear" w:color="auto" w:fill="auto"/>
        </w:rPr>
        <w:t xml:space="preserve">   </w:t>
      </w:r>
      <w:r>
        <w:rPr>
          <w:rFonts w:hint="eastAsia" w:ascii="宋体" w:hAnsi="宋体" w:eastAsia="宋体" w:cs="宋体"/>
          <w:strike/>
          <w:dstrike w:val="0"/>
          <w:color w:val="auto"/>
          <w:sz w:val="24"/>
          <w:szCs w:val="24"/>
          <w:highlight w:val="none"/>
          <w:shd w:val="clear" w:color="auto" w:fill="auto"/>
        </w:rPr>
        <w:t>万元，资产总额为</w:t>
      </w:r>
      <w:r>
        <w:rPr>
          <w:rFonts w:hint="eastAsia" w:ascii="宋体" w:hAnsi="宋体" w:eastAsia="宋体" w:cs="宋体"/>
          <w:strike/>
          <w:dstrike w:val="0"/>
          <w:color w:val="auto"/>
          <w:sz w:val="24"/>
          <w:szCs w:val="24"/>
          <w:highlight w:val="none"/>
          <w:u w:val="single"/>
          <w:shd w:val="clear" w:color="auto" w:fill="auto"/>
        </w:rPr>
        <w:t xml:space="preserve">  </w:t>
      </w:r>
      <w:r>
        <w:rPr>
          <w:rFonts w:hint="eastAsia" w:ascii="宋体" w:hAnsi="宋体" w:eastAsia="宋体" w:cs="宋体"/>
          <w:strike/>
          <w:dstrike w:val="0"/>
          <w:color w:val="auto"/>
          <w:sz w:val="24"/>
          <w:szCs w:val="24"/>
          <w:highlight w:val="none"/>
          <w:shd w:val="clear" w:color="auto" w:fill="auto"/>
        </w:rPr>
        <w:t>万元，属于</w:t>
      </w:r>
      <w:r>
        <w:rPr>
          <w:rFonts w:hint="eastAsia" w:ascii="宋体" w:hAnsi="宋体" w:eastAsia="宋体" w:cs="宋体"/>
          <w:strike/>
          <w:dstrike w:val="0"/>
          <w:color w:val="auto"/>
          <w:sz w:val="24"/>
          <w:szCs w:val="24"/>
          <w:highlight w:val="none"/>
          <w:u w:val="single"/>
          <w:shd w:val="clear" w:color="auto" w:fill="auto"/>
        </w:rPr>
        <w:t>（中型企业、小型企业、微型企业）</w:t>
      </w:r>
      <w:r>
        <w:rPr>
          <w:rFonts w:hint="eastAsia" w:ascii="宋体" w:hAnsi="宋体" w:eastAsia="宋体" w:cs="宋体"/>
          <w:strike/>
          <w:dstrike w:val="0"/>
          <w:color w:val="auto"/>
          <w:sz w:val="24"/>
          <w:szCs w:val="24"/>
          <w:highlight w:val="none"/>
          <w:shd w:val="clear" w:color="auto" w:fill="auto"/>
        </w:rPr>
        <w:t xml:space="preserve"> ；</w:t>
      </w:r>
    </w:p>
    <w:p w14:paraId="78FCC990">
      <w:pPr>
        <w:keepNext w:val="0"/>
        <w:keepLines w:val="0"/>
        <w:pageBreakBefore w:val="0"/>
        <w:widowControl w:val="0"/>
        <w:wordWrap/>
        <w:overflowPunct/>
        <w:topLinePunct w:val="0"/>
        <w:bidi w:val="0"/>
        <w:spacing w:line="400" w:lineRule="exact"/>
        <w:ind w:firstLine="480" w:firstLineChars="200"/>
        <w:rPr>
          <w:rFonts w:hint="eastAsia" w:ascii="宋体" w:hAnsi="宋体" w:eastAsia="宋体" w:cs="宋体"/>
          <w:strike/>
          <w:dstrike w:val="0"/>
          <w:color w:val="auto"/>
          <w:sz w:val="24"/>
          <w:szCs w:val="24"/>
          <w:highlight w:val="none"/>
          <w:shd w:val="clear" w:color="auto" w:fill="auto"/>
        </w:rPr>
      </w:pPr>
      <w:r>
        <w:rPr>
          <w:rFonts w:hint="eastAsia" w:ascii="宋体" w:hAnsi="宋体" w:eastAsia="宋体" w:cs="宋体"/>
          <w:strike/>
          <w:dstrike w:val="0"/>
          <w:color w:val="auto"/>
          <w:kern w:val="2"/>
          <w:sz w:val="24"/>
          <w:szCs w:val="24"/>
          <w:highlight w:val="none"/>
          <w:shd w:val="clear" w:color="auto" w:fill="auto"/>
          <w:lang w:bidi="ar"/>
        </w:rPr>
        <w:t>2.</w:t>
      </w:r>
      <w:r>
        <w:rPr>
          <w:rFonts w:hint="eastAsia" w:ascii="宋体" w:hAnsi="宋体" w:eastAsia="宋体" w:cs="宋体"/>
          <w:strike/>
          <w:dstrike w:val="0"/>
          <w:color w:val="auto"/>
          <w:kern w:val="2"/>
          <w:sz w:val="24"/>
          <w:szCs w:val="24"/>
          <w:highlight w:val="none"/>
          <w:u w:val="single"/>
          <w:shd w:val="clear" w:color="auto" w:fill="auto"/>
          <w:lang w:bidi="ar"/>
        </w:rPr>
        <w:t>（标的名称）</w:t>
      </w:r>
      <w:r>
        <w:rPr>
          <w:rFonts w:hint="eastAsia" w:ascii="宋体" w:hAnsi="宋体" w:eastAsia="宋体" w:cs="宋体"/>
          <w:strike/>
          <w:dstrike w:val="0"/>
          <w:color w:val="auto"/>
          <w:kern w:val="2"/>
          <w:sz w:val="24"/>
          <w:szCs w:val="24"/>
          <w:highlight w:val="none"/>
          <w:shd w:val="clear" w:color="auto" w:fill="auto"/>
          <w:lang w:bidi="ar"/>
        </w:rPr>
        <w:t>，属于</w:t>
      </w:r>
      <w:r>
        <w:rPr>
          <w:rFonts w:hint="eastAsia" w:ascii="宋体" w:hAnsi="宋体" w:eastAsia="宋体" w:cs="宋体"/>
          <w:strike/>
          <w:dstrike w:val="0"/>
          <w:color w:val="auto"/>
          <w:sz w:val="24"/>
          <w:szCs w:val="24"/>
          <w:highlight w:val="none"/>
          <w:u w:val="single"/>
          <w:shd w:val="clear" w:color="auto" w:fill="auto"/>
        </w:rPr>
        <w:t>（采购文件中明确的所属行业）</w:t>
      </w:r>
      <w:r>
        <w:rPr>
          <w:rFonts w:hint="eastAsia" w:ascii="宋体" w:hAnsi="宋体" w:eastAsia="宋体" w:cs="宋体"/>
          <w:strike/>
          <w:dstrike w:val="0"/>
          <w:color w:val="auto"/>
          <w:sz w:val="24"/>
          <w:szCs w:val="24"/>
          <w:highlight w:val="none"/>
          <w:shd w:val="clear" w:color="auto" w:fill="auto"/>
        </w:rPr>
        <w:t>行业；制造商为</w:t>
      </w:r>
      <w:r>
        <w:rPr>
          <w:rFonts w:hint="eastAsia" w:ascii="宋体" w:hAnsi="宋体" w:eastAsia="宋体" w:cs="宋体"/>
          <w:strike/>
          <w:dstrike w:val="0"/>
          <w:color w:val="auto"/>
          <w:sz w:val="24"/>
          <w:szCs w:val="24"/>
          <w:highlight w:val="none"/>
          <w:u w:val="single"/>
          <w:shd w:val="clear" w:color="auto" w:fill="auto"/>
        </w:rPr>
        <w:t>（企业名称）</w:t>
      </w:r>
      <w:r>
        <w:rPr>
          <w:rFonts w:hint="eastAsia" w:ascii="宋体" w:hAnsi="宋体" w:eastAsia="宋体" w:cs="宋体"/>
          <w:strike/>
          <w:dstrike w:val="0"/>
          <w:color w:val="auto"/>
          <w:sz w:val="24"/>
          <w:szCs w:val="24"/>
          <w:highlight w:val="none"/>
          <w:shd w:val="clear" w:color="auto" w:fill="auto"/>
        </w:rPr>
        <w:t>，从业人员</w:t>
      </w:r>
      <w:r>
        <w:rPr>
          <w:rFonts w:hint="eastAsia" w:ascii="宋体" w:hAnsi="宋体" w:eastAsia="宋体" w:cs="宋体"/>
          <w:strike/>
          <w:dstrike w:val="0"/>
          <w:color w:val="auto"/>
          <w:sz w:val="24"/>
          <w:szCs w:val="24"/>
          <w:highlight w:val="none"/>
          <w:u w:val="single"/>
          <w:shd w:val="clear" w:color="auto" w:fill="auto"/>
        </w:rPr>
        <w:t xml:space="preserve">   </w:t>
      </w:r>
      <w:r>
        <w:rPr>
          <w:rFonts w:hint="eastAsia" w:ascii="宋体" w:hAnsi="宋体" w:eastAsia="宋体" w:cs="宋体"/>
          <w:strike/>
          <w:dstrike w:val="0"/>
          <w:color w:val="auto"/>
          <w:sz w:val="24"/>
          <w:szCs w:val="24"/>
          <w:highlight w:val="none"/>
          <w:shd w:val="clear" w:color="auto" w:fill="auto"/>
        </w:rPr>
        <w:t>人，营业收入为</w:t>
      </w:r>
      <w:r>
        <w:rPr>
          <w:rFonts w:hint="eastAsia" w:ascii="宋体" w:hAnsi="宋体" w:eastAsia="宋体" w:cs="宋体"/>
          <w:strike/>
          <w:dstrike w:val="0"/>
          <w:color w:val="auto"/>
          <w:sz w:val="24"/>
          <w:szCs w:val="24"/>
          <w:highlight w:val="none"/>
          <w:u w:val="single"/>
          <w:shd w:val="clear" w:color="auto" w:fill="auto"/>
        </w:rPr>
        <w:t xml:space="preserve">   </w:t>
      </w:r>
      <w:r>
        <w:rPr>
          <w:rFonts w:hint="eastAsia" w:ascii="宋体" w:hAnsi="宋体" w:eastAsia="宋体" w:cs="宋体"/>
          <w:strike/>
          <w:dstrike w:val="0"/>
          <w:color w:val="auto"/>
          <w:sz w:val="24"/>
          <w:szCs w:val="24"/>
          <w:highlight w:val="none"/>
          <w:shd w:val="clear" w:color="auto" w:fill="auto"/>
        </w:rPr>
        <w:t>万元，资产总额为</w:t>
      </w:r>
      <w:r>
        <w:rPr>
          <w:rFonts w:hint="eastAsia" w:ascii="宋体" w:hAnsi="宋体" w:eastAsia="宋体" w:cs="宋体"/>
          <w:strike/>
          <w:dstrike w:val="0"/>
          <w:color w:val="auto"/>
          <w:sz w:val="24"/>
          <w:szCs w:val="24"/>
          <w:highlight w:val="none"/>
          <w:u w:val="single"/>
          <w:shd w:val="clear" w:color="auto" w:fill="auto"/>
        </w:rPr>
        <w:t xml:space="preserve">  </w:t>
      </w:r>
      <w:r>
        <w:rPr>
          <w:rFonts w:hint="eastAsia" w:ascii="宋体" w:hAnsi="宋体" w:eastAsia="宋体" w:cs="宋体"/>
          <w:strike/>
          <w:dstrike w:val="0"/>
          <w:color w:val="auto"/>
          <w:sz w:val="24"/>
          <w:szCs w:val="24"/>
          <w:highlight w:val="none"/>
          <w:shd w:val="clear" w:color="auto" w:fill="auto"/>
        </w:rPr>
        <w:t>万元，属于</w:t>
      </w:r>
      <w:r>
        <w:rPr>
          <w:rFonts w:hint="eastAsia" w:ascii="宋体" w:hAnsi="宋体" w:eastAsia="宋体" w:cs="宋体"/>
          <w:strike/>
          <w:dstrike w:val="0"/>
          <w:color w:val="auto"/>
          <w:sz w:val="24"/>
          <w:szCs w:val="24"/>
          <w:highlight w:val="none"/>
          <w:u w:val="single"/>
          <w:shd w:val="clear" w:color="auto" w:fill="auto"/>
        </w:rPr>
        <w:t>（中型企业、小型企业、微型企业）</w:t>
      </w:r>
      <w:r>
        <w:rPr>
          <w:rFonts w:hint="eastAsia" w:ascii="宋体" w:hAnsi="宋体" w:eastAsia="宋体" w:cs="宋体"/>
          <w:strike/>
          <w:dstrike w:val="0"/>
          <w:color w:val="auto"/>
          <w:sz w:val="24"/>
          <w:szCs w:val="24"/>
          <w:highlight w:val="none"/>
          <w:shd w:val="clear" w:color="auto" w:fill="auto"/>
        </w:rPr>
        <w:t xml:space="preserve"> ；</w:t>
      </w:r>
    </w:p>
    <w:p w14:paraId="3830A9A4">
      <w:pPr>
        <w:keepNext w:val="0"/>
        <w:keepLines w:val="0"/>
        <w:pageBreakBefore w:val="0"/>
        <w:widowControl w:val="0"/>
        <w:wordWrap/>
        <w:overflowPunct/>
        <w:topLinePunct w:val="0"/>
        <w:bidi w:val="0"/>
        <w:spacing w:line="400" w:lineRule="exact"/>
        <w:ind w:firstLine="480" w:firstLineChars="200"/>
        <w:rPr>
          <w:rFonts w:hint="eastAsia" w:ascii="宋体" w:hAnsi="宋体" w:eastAsia="宋体" w:cs="宋体"/>
          <w:strike/>
          <w:dstrike w:val="0"/>
          <w:color w:val="auto"/>
          <w:sz w:val="24"/>
          <w:szCs w:val="24"/>
          <w:highlight w:val="none"/>
          <w:shd w:val="clear" w:color="auto" w:fill="auto"/>
        </w:rPr>
      </w:pPr>
      <w:r>
        <w:rPr>
          <w:rFonts w:hint="eastAsia" w:ascii="宋体" w:hAnsi="宋体" w:eastAsia="宋体" w:cs="宋体"/>
          <w:strike/>
          <w:dstrike w:val="0"/>
          <w:color w:val="auto"/>
          <w:kern w:val="2"/>
          <w:sz w:val="24"/>
          <w:szCs w:val="24"/>
          <w:highlight w:val="none"/>
          <w:shd w:val="clear" w:color="auto" w:fill="auto"/>
          <w:lang w:bidi="ar"/>
        </w:rPr>
        <w:t>……</w:t>
      </w:r>
    </w:p>
    <w:p w14:paraId="6B89D2DE">
      <w:pPr>
        <w:keepNext w:val="0"/>
        <w:keepLines w:val="0"/>
        <w:pageBreakBefore w:val="0"/>
        <w:widowControl w:val="0"/>
        <w:wordWrap/>
        <w:overflowPunct/>
        <w:topLinePunct w:val="0"/>
        <w:bidi w:val="0"/>
        <w:spacing w:line="400" w:lineRule="exact"/>
        <w:ind w:firstLine="480" w:firstLineChars="200"/>
        <w:rPr>
          <w:rFonts w:hint="eastAsia" w:ascii="宋体" w:hAnsi="宋体" w:eastAsia="宋体" w:cs="宋体"/>
          <w:strike/>
          <w:dstrike w:val="0"/>
          <w:color w:val="auto"/>
          <w:sz w:val="24"/>
          <w:szCs w:val="24"/>
          <w:highlight w:val="none"/>
          <w:shd w:val="clear" w:color="auto" w:fill="auto"/>
        </w:rPr>
      </w:pPr>
      <w:r>
        <w:rPr>
          <w:rFonts w:hint="eastAsia" w:ascii="宋体" w:hAnsi="宋体" w:eastAsia="宋体" w:cs="宋体"/>
          <w:strike/>
          <w:dstrike w:val="0"/>
          <w:color w:val="auto"/>
          <w:kern w:val="2"/>
          <w:sz w:val="24"/>
          <w:szCs w:val="24"/>
          <w:highlight w:val="none"/>
          <w:shd w:val="clear" w:color="auto" w:fill="auto"/>
          <w:lang w:bidi="ar"/>
        </w:rPr>
        <w:t>以上企业，不属于大企业的分支机构，不存在控股股东为大企业的情形，也不存在与大企业的负责人为同一人的情形。</w:t>
      </w:r>
    </w:p>
    <w:p w14:paraId="15FAA073">
      <w:pPr>
        <w:keepNext w:val="0"/>
        <w:keepLines w:val="0"/>
        <w:pageBreakBefore w:val="0"/>
        <w:widowControl w:val="0"/>
        <w:wordWrap/>
        <w:overflowPunct/>
        <w:topLinePunct w:val="0"/>
        <w:bidi w:val="0"/>
        <w:spacing w:line="400" w:lineRule="exact"/>
        <w:ind w:firstLine="480" w:firstLineChars="200"/>
        <w:rPr>
          <w:rFonts w:hint="eastAsia" w:ascii="宋体" w:hAnsi="宋体" w:eastAsia="宋体" w:cs="宋体"/>
          <w:strike/>
          <w:dstrike w:val="0"/>
          <w:color w:val="auto"/>
          <w:sz w:val="24"/>
          <w:szCs w:val="24"/>
          <w:highlight w:val="none"/>
          <w:shd w:val="clear" w:color="auto" w:fill="auto"/>
        </w:rPr>
      </w:pPr>
      <w:r>
        <w:rPr>
          <w:rFonts w:hint="eastAsia" w:ascii="宋体" w:hAnsi="宋体" w:eastAsia="宋体" w:cs="宋体"/>
          <w:strike/>
          <w:dstrike w:val="0"/>
          <w:color w:val="auto"/>
          <w:kern w:val="2"/>
          <w:sz w:val="24"/>
          <w:szCs w:val="24"/>
          <w:highlight w:val="none"/>
          <w:shd w:val="clear" w:color="auto" w:fill="auto"/>
          <w:lang w:bidi="ar"/>
        </w:rPr>
        <w:t>本企业对上述声明内容的真实性负责。如有虚假，将依法承担相应责任。</w:t>
      </w:r>
    </w:p>
    <w:p w14:paraId="2341877A">
      <w:pPr>
        <w:keepNext w:val="0"/>
        <w:keepLines w:val="0"/>
        <w:pageBreakBefore w:val="0"/>
        <w:widowControl w:val="0"/>
        <w:wordWrap/>
        <w:overflowPunct/>
        <w:topLinePunct w:val="0"/>
        <w:bidi w:val="0"/>
        <w:spacing w:line="400" w:lineRule="exact"/>
        <w:ind w:right="420" w:firstLine="5880" w:firstLineChars="2450"/>
        <w:rPr>
          <w:rFonts w:hint="eastAsia" w:ascii="宋体" w:hAnsi="宋体" w:eastAsia="宋体" w:cs="宋体"/>
          <w:strike/>
          <w:dstrike w:val="0"/>
          <w:color w:val="auto"/>
          <w:sz w:val="24"/>
          <w:szCs w:val="24"/>
          <w:highlight w:val="none"/>
          <w:shd w:val="clear" w:color="auto" w:fill="auto"/>
        </w:rPr>
      </w:pPr>
    </w:p>
    <w:p w14:paraId="386AB730">
      <w:pPr>
        <w:keepNext w:val="0"/>
        <w:keepLines w:val="0"/>
        <w:pageBreakBefore w:val="0"/>
        <w:widowControl w:val="0"/>
        <w:wordWrap/>
        <w:overflowPunct/>
        <w:topLinePunct w:val="0"/>
        <w:bidi w:val="0"/>
        <w:spacing w:line="400" w:lineRule="exact"/>
        <w:ind w:right="420"/>
        <w:jc w:val="right"/>
        <w:rPr>
          <w:rFonts w:hint="eastAsia" w:ascii="宋体" w:hAnsi="宋体" w:eastAsia="宋体" w:cs="宋体"/>
          <w:strike/>
          <w:dstrike w:val="0"/>
          <w:color w:val="auto"/>
          <w:sz w:val="24"/>
          <w:szCs w:val="24"/>
          <w:highlight w:val="none"/>
          <w:shd w:val="clear" w:color="auto" w:fill="auto"/>
        </w:rPr>
      </w:pPr>
      <w:r>
        <w:rPr>
          <w:rFonts w:hint="eastAsia" w:ascii="宋体" w:hAnsi="宋体" w:eastAsia="宋体" w:cs="宋体"/>
          <w:strike/>
          <w:dstrike w:val="0"/>
          <w:color w:val="auto"/>
          <w:kern w:val="2"/>
          <w:sz w:val="24"/>
          <w:szCs w:val="24"/>
          <w:highlight w:val="none"/>
          <w:shd w:val="clear" w:color="auto" w:fill="auto"/>
          <w:lang w:bidi="ar"/>
        </w:rPr>
        <w:t>企业名称（盖章）：</w:t>
      </w:r>
    </w:p>
    <w:p w14:paraId="21CA7C6D">
      <w:pPr>
        <w:keepNext w:val="0"/>
        <w:keepLines w:val="0"/>
        <w:pageBreakBefore w:val="0"/>
        <w:widowControl w:val="0"/>
        <w:wordWrap/>
        <w:overflowPunct/>
        <w:topLinePunct w:val="0"/>
        <w:bidi w:val="0"/>
        <w:spacing w:line="400" w:lineRule="exact"/>
        <w:ind w:right="420"/>
        <w:jc w:val="right"/>
        <w:rPr>
          <w:rFonts w:hint="eastAsia" w:ascii="宋体" w:hAnsi="宋体" w:eastAsia="宋体" w:cs="宋体"/>
          <w:strike/>
          <w:dstrike w:val="0"/>
          <w:color w:val="auto"/>
          <w:kern w:val="2"/>
          <w:sz w:val="24"/>
          <w:szCs w:val="24"/>
          <w:highlight w:val="none"/>
          <w:shd w:val="clear" w:color="auto" w:fill="auto"/>
          <w:lang w:bidi="ar"/>
        </w:rPr>
      </w:pPr>
      <w:r>
        <w:rPr>
          <w:rFonts w:hint="eastAsia" w:ascii="宋体" w:hAnsi="宋体" w:eastAsia="宋体" w:cs="宋体"/>
          <w:strike/>
          <w:dstrike w:val="0"/>
          <w:color w:val="auto"/>
          <w:kern w:val="2"/>
          <w:sz w:val="24"/>
          <w:szCs w:val="24"/>
          <w:highlight w:val="none"/>
          <w:shd w:val="clear" w:color="auto" w:fill="auto"/>
          <w:lang w:bidi="ar"/>
        </w:rPr>
        <w:t>日期：   年   月   日</w:t>
      </w:r>
    </w:p>
    <w:p w14:paraId="6E3C300F">
      <w:pPr>
        <w:pStyle w:val="20"/>
        <w:keepNext w:val="0"/>
        <w:keepLines w:val="0"/>
        <w:pageBreakBefore w:val="0"/>
        <w:wordWrap/>
        <w:overflowPunct/>
        <w:topLinePunct w:val="0"/>
        <w:bidi w:val="0"/>
        <w:spacing w:after="0" w:line="400" w:lineRule="exact"/>
        <w:rPr>
          <w:rFonts w:hint="eastAsia" w:ascii="宋体" w:hAnsi="宋体" w:eastAsia="宋体" w:cs="宋体"/>
          <w:strike/>
          <w:dstrike w:val="0"/>
          <w:color w:val="auto"/>
          <w:sz w:val="24"/>
          <w:szCs w:val="24"/>
          <w:highlight w:val="none"/>
          <w:u w:val="single"/>
          <w:shd w:val="clear" w:color="auto" w:fill="auto"/>
        </w:rPr>
      </w:pPr>
    </w:p>
    <w:p w14:paraId="307B747C">
      <w:pPr>
        <w:pStyle w:val="20"/>
        <w:keepNext w:val="0"/>
        <w:keepLines w:val="0"/>
        <w:pageBreakBefore w:val="0"/>
        <w:wordWrap/>
        <w:overflowPunct/>
        <w:topLinePunct w:val="0"/>
        <w:bidi w:val="0"/>
        <w:spacing w:after="0" w:line="400" w:lineRule="exact"/>
        <w:rPr>
          <w:rFonts w:hint="eastAsia" w:ascii="宋体" w:hAnsi="宋体" w:eastAsia="宋体" w:cs="宋体"/>
          <w:strike/>
          <w:dstrike w:val="0"/>
          <w:color w:val="auto"/>
          <w:sz w:val="24"/>
          <w:szCs w:val="24"/>
          <w:highlight w:val="none"/>
          <w:shd w:val="clear" w:color="auto" w:fill="auto"/>
        </w:rPr>
      </w:pPr>
      <w:r>
        <w:rPr>
          <w:rFonts w:hint="eastAsia" w:ascii="宋体" w:hAnsi="宋体" w:eastAsia="宋体" w:cs="宋体"/>
          <w:strike/>
          <w:dstrike w:val="0"/>
          <w:color w:val="auto"/>
          <w:sz w:val="24"/>
          <w:szCs w:val="24"/>
          <w:highlight w:val="none"/>
          <w:shd w:val="clear" w:color="auto" w:fill="auto"/>
        </w:rPr>
        <w:t>从业人员、营业收入、资产总额填报上一年度数据，无上一年度数据的新成立企业可不填报。</w:t>
      </w:r>
    </w:p>
    <w:p w14:paraId="2F08645D">
      <w:pPr>
        <w:rPr>
          <w:rFonts w:hint="eastAsia" w:ascii="宋体" w:hAnsi="宋体" w:eastAsia="宋体" w:cs="宋体"/>
          <w:color w:val="auto"/>
          <w:highlight w:val="none"/>
          <w:shd w:val="clear" w:color="auto" w:fill="auto"/>
        </w:rPr>
      </w:pPr>
    </w:p>
    <w:p w14:paraId="6CD8BF7F">
      <w:pPr>
        <w:pStyle w:val="20"/>
        <w:rPr>
          <w:rFonts w:hint="eastAsia" w:ascii="宋体" w:hAnsi="宋体" w:eastAsia="宋体" w:cs="宋体"/>
          <w:color w:val="auto"/>
          <w:sz w:val="20"/>
          <w:szCs w:val="20"/>
          <w:highlight w:val="none"/>
          <w:shd w:val="clear" w:color="auto" w:fill="auto"/>
        </w:rPr>
      </w:pPr>
    </w:p>
    <w:p w14:paraId="2E932992">
      <w:pPr>
        <w:numPr>
          <w:ins w:id="0" w:author="DELL" w:date=""/>
        </w:numPr>
        <w:autoSpaceDE/>
        <w:autoSpaceDN/>
        <w:adjustRightInd/>
        <w:jc w:val="left"/>
        <w:outlineLvl w:val="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格式</w:t>
      </w:r>
      <w:r>
        <w:rPr>
          <w:rFonts w:hint="eastAsia" w:ascii="宋体" w:hAnsi="宋体" w:eastAsia="宋体" w:cs="宋体"/>
          <w:color w:val="auto"/>
          <w:sz w:val="28"/>
          <w:szCs w:val="28"/>
          <w:highlight w:val="none"/>
          <w:shd w:val="clear" w:color="auto" w:fill="auto"/>
          <w:lang w:val="en-US" w:eastAsia="zh-CN"/>
        </w:rPr>
        <w:t>十三</w:t>
      </w:r>
      <w:r>
        <w:rPr>
          <w:rFonts w:hint="eastAsia" w:ascii="宋体" w:hAnsi="宋体" w:eastAsia="宋体" w:cs="宋体"/>
          <w:color w:val="auto"/>
          <w:sz w:val="28"/>
          <w:szCs w:val="28"/>
          <w:highlight w:val="none"/>
          <w:shd w:val="clear" w:color="auto" w:fill="auto"/>
        </w:rPr>
        <w:t>：投标承诺书</w:t>
      </w:r>
    </w:p>
    <w:p w14:paraId="10C974A9">
      <w:pPr>
        <w:numPr>
          <w:ins w:id="1" w:author="XH" w:date=""/>
        </w:numPr>
        <w:autoSpaceDE/>
        <w:autoSpaceDN/>
        <w:adjustRightInd/>
        <w:jc w:val="center"/>
        <w:outlineLvl w:val="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投标承诺书</w:t>
      </w:r>
    </w:p>
    <w:p w14:paraId="0C4E5854">
      <w:pPr>
        <w:pStyle w:val="14"/>
        <w:numPr>
          <w:ins w:id="2" w:author="XH" w:date=""/>
        </w:numPr>
        <w:spacing w:line="440" w:lineRule="exact"/>
        <w:rPr>
          <w:rFonts w:hint="eastAsia" w:ascii="宋体" w:hAnsi="宋体" w:eastAsia="宋体" w:cs="宋体"/>
          <w:color w:val="auto"/>
          <w:sz w:val="24"/>
          <w:szCs w:val="24"/>
          <w:highlight w:val="none"/>
          <w:u w:val="single"/>
          <w:shd w:val="clear" w:color="auto" w:fill="auto"/>
        </w:rPr>
      </w:pPr>
    </w:p>
    <w:p w14:paraId="5A1D1011">
      <w:pPr>
        <w:pStyle w:val="14"/>
        <w:numPr>
          <w:ins w:id="3" w:author="XH" w:date=""/>
        </w:numPr>
        <w:spacing w:line="44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rPr>
        <w:t xml:space="preserve">（招标人名称）                    </w:t>
      </w:r>
      <w:r>
        <w:rPr>
          <w:rFonts w:hint="eastAsia" w:ascii="宋体" w:hAnsi="宋体" w:eastAsia="宋体" w:cs="宋体"/>
          <w:color w:val="auto"/>
          <w:sz w:val="24"/>
          <w:szCs w:val="24"/>
          <w:highlight w:val="none"/>
          <w:shd w:val="clear" w:color="auto" w:fill="auto"/>
        </w:rPr>
        <w:t>：</w:t>
      </w:r>
    </w:p>
    <w:p w14:paraId="2154C048">
      <w:pPr>
        <w:pStyle w:val="14"/>
        <w:numPr>
          <w:ins w:id="4" w:author="XH" w:date=""/>
        </w:numPr>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本公司已详细阅读</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（名称及招标编号）   </w:t>
      </w:r>
      <w:r>
        <w:rPr>
          <w:rFonts w:hint="eastAsia" w:ascii="宋体" w:hAnsi="宋体" w:eastAsia="宋体" w:cs="宋体"/>
          <w:color w:val="auto"/>
          <w:sz w:val="24"/>
          <w:szCs w:val="24"/>
          <w:highlight w:val="none"/>
          <w:shd w:val="clear" w:color="auto" w:fill="auto"/>
        </w:rPr>
        <w:t>招标文件，自觉遵守中华人民共和国、浙江省及当地有关招标投标的法律法规规定，自觉维护建筑市场正常秩序，现自愿就参加</w:t>
      </w:r>
      <w:r>
        <w:rPr>
          <w:rFonts w:hint="eastAsia" w:ascii="宋体" w:hAnsi="宋体" w:eastAsia="宋体" w:cs="宋体"/>
          <w:color w:val="auto"/>
          <w:sz w:val="24"/>
          <w:szCs w:val="24"/>
          <w:highlight w:val="none"/>
          <w:shd w:val="clear" w:color="auto" w:fill="auto"/>
          <w:lang w:val="en-US" w:eastAsia="zh-CN"/>
        </w:rPr>
        <w:t>本项目</w:t>
      </w:r>
      <w:r>
        <w:rPr>
          <w:rFonts w:hint="eastAsia" w:ascii="宋体" w:hAnsi="宋体" w:eastAsia="宋体" w:cs="宋体"/>
          <w:color w:val="auto"/>
          <w:sz w:val="24"/>
          <w:szCs w:val="24"/>
          <w:highlight w:val="none"/>
          <w:shd w:val="clear" w:color="auto" w:fill="auto"/>
        </w:rPr>
        <w:t>投标有关事项郑重承诺如下：</w:t>
      </w:r>
    </w:p>
    <w:p w14:paraId="6BC6744D">
      <w:pPr>
        <w:pStyle w:val="14"/>
        <w:numPr>
          <w:ins w:id="5" w:author="XH" w:date=""/>
        </w:numPr>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1.承诺投标文件无虚假、伪造的内容。若投标文件中存在虚假、伪造的内容，同意作无效投标处理。</w:t>
      </w:r>
    </w:p>
    <w:p w14:paraId="2CD8757D">
      <w:pPr>
        <w:pStyle w:val="14"/>
        <w:numPr>
          <w:ins w:id="6" w:author="XH" w:date=""/>
        </w:numPr>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2.承诺我单位法定代表人、授权代表等主要责任人诚信投标。</w:t>
      </w:r>
    </w:p>
    <w:p w14:paraId="101045B8">
      <w:pPr>
        <w:pStyle w:val="14"/>
        <w:numPr>
          <w:ins w:id="7" w:author="XH" w:date=""/>
        </w:numPr>
        <w:spacing w:line="440" w:lineRule="exact"/>
        <w:ind w:firstLine="480" w:firstLineChars="200"/>
        <w:rPr>
          <w:rFonts w:hint="eastAsia" w:ascii="宋体" w:hAnsi="宋体" w:eastAsia="宋体" w:cs="宋体"/>
          <w:color w:val="auto"/>
          <w:spacing w:val="-5"/>
          <w:sz w:val="24"/>
          <w:szCs w:val="24"/>
          <w:highlight w:val="none"/>
          <w:shd w:val="clear" w:color="auto" w:fill="auto"/>
        </w:rPr>
      </w:pPr>
      <w:r>
        <w:rPr>
          <w:rFonts w:hint="eastAsia" w:ascii="宋体" w:hAnsi="宋体" w:eastAsia="宋体" w:cs="宋体"/>
          <w:color w:val="auto"/>
          <w:sz w:val="24"/>
          <w:szCs w:val="24"/>
          <w:highlight w:val="none"/>
          <w:shd w:val="clear" w:color="auto" w:fill="auto"/>
        </w:rPr>
        <w:t>3.承诺按照投标文件派驻管理人员及投入机械设备，</w:t>
      </w:r>
      <w:r>
        <w:rPr>
          <w:rFonts w:hint="eastAsia" w:ascii="宋体" w:hAnsi="宋体" w:eastAsia="宋体" w:cs="宋体"/>
          <w:color w:val="auto"/>
          <w:spacing w:val="-5"/>
          <w:sz w:val="24"/>
          <w:szCs w:val="24"/>
          <w:highlight w:val="none"/>
          <w:shd w:val="clear" w:color="auto" w:fill="auto"/>
        </w:rPr>
        <w:t>若存在不到位的情况，同意接受合同约定的处罚。</w:t>
      </w:r>
    </w:p>
    <w:p w14:paraId="3CAF84A8">
      <w:pPr>
        <w:pStyle w:val="14"/>
        <w:numPr>
          <w:ins w:id="8" w:author="XH" w:date=""/>
        </w:numPr>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.承诺本招标文件要求的人员和我单位至投标截止时间三年内没有行贿犯罪记录。</w:t>
      </w:r>
    </w:p>
    <w:p w14:paraId="7CBFF24C">
      <w:pPr>
        <w:pStyle w:val="14"/>
        <w:numPr>
          <w:ins w:id="9" w:author="XH" w:date=""/>
        </w:numPr>
        <w:spacing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.承诺未被有关行政主管部门列入建筑市场严重失信名单（以全国建筑市场监管公共服务平台黑名单记录、失信联合惩戒记录和浙江省建筑市场监管公共服务系统严重失信名单</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或限制参加投标。</w:t>
      </w:r>
    </w:p>
    <w:p w14:paraId="05095EFD">
      <w:pPr>
        <w:pStyle w:val="23"/>
        <w:widowControl/>
        <w:spacing w:line="440" w:lineRule="exact"/>
        <w:ind w:right="150" w:firstLine="48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rPr>
        <w:t>我单位</w:t>
      </w:r>
      <w:r>
        <w:rPr>
          <w:rFonts w:hint="eastAsia" w:ascii="宋体" w:hAnsi="宋体" w:eastAsia="宋体" w:cs="宋体"/>
          <w:strike w:val="0"/>
          <w:dstrike w:val="0"/>
          <w:color w:val="auto"/>
          <w:highlight w:val="none"/>
          <w:shd w:val="clear" w:color="auto" w:fill="auto"/>
        </w:rPr>
        <w:t>直接负责本项目投标的主管人</w:t>
      </w:r>
      <w:r>
        <w:rPr>
          <w:rFonts w:hint="eastAsia" w:ascii="宋体" w:hAnsi="宋体" w:eastAsia="宋体" w:cs="宋体"/>
          <w:strike w:val="0"/>
          <w:dstrike w:val="0"/>
          <w:color w:val="auto"/>
          <w:highlight w:val="none"/>
          <w:shd w:val="clear" w:color="auto" w:fill="auto"/>
        </w:rPr>
        <w:t>员为</w:t>
      </w:r>
      <w:r>
        <w:rPr>
          <w:rFonts w:hint="eastAsia" w:ascii="宋体" w:hAnsi="宋体" w:eastAsia="宋体" w:cs="宋体"/>
          <w:color w:val="auto"/>
          <w:highlight w:val="none"/>
          <w:u w:val="single"/>
          <w:shd w:val="clear" w:color="auto" w:fill="auto"/>
        </w:rPr>
        <w:t>法定代表人</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（身份证号码：</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 xml:space="preserve">  ，联系手机号码：</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i/>
          <w:iCs/>
          <w:color w:val="auto"/>
          <w:highlight w:val="none"/>
          <w:u w:val="single"/>
          <w:shd w:val="clear" w:color="auto" w:fill="auto"/>
        </w:rPr>
        <w:t xml:space="preserve">（必须为本人实名办理的手机号码） </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 xml:space="preserve"> ）；我单位与本项目投标相关的直接责任人员为</w:t>
      </w:r>
      <w:r>
        <w:rPr>
          <w:rFonts w:hint="eastAsia" w:ascii="宋体" w:hAnsi="宋体" w:eastAsia="宋体" w:cs="宋体"/>
          <w:color w:val="auto"/>
          <w:highlight w:val="none"/>
          <w:u w:val="single"/>
          <w:shd w:val="clear" w:color="auto" w:fill="auto"/>
        </w:rPr>
        <w:t xml:space="preserve">本次投标委托授权代表           </w:t>
      </w:r>
      <w:r>
        <w:rPr>
          <w:rFonts w:hint="eastAsia" w:ascii="宋体" w:hAnsi="宋体" w:eastAsia="宋体" w:cs="宋体"/>
          <w:color w:val="auto"/>
          <w:highlight w:val="none"/>
          <w:shd w:val="clear" w:color="auto" w:fill="auto"/>
        </w:rPr>
        <w:t>（身份证号码：</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联系手机号码：</w:t>
      </w:r>
      <w:r>
        <w:rPr>
          <w:rFonts w:hint="eastAsia" w:ascii="宋体" w:hAnsi="宋体" w:eastAsia="宋体" w:cs="宋体"/>
          <w:color w:val="auto"/>
          <w:highlight w:val="none"/>
          <w:shd w:val="clear" w:color="auto" w:fill="auto"/>
          <w:lang w:val="en-US" w:eastAsia="zh-CN"/>
        </w:rPr>
        <w:t xml:space="preserve"> </w:t>
      </w:r>
      <w:r>
        <w:rPr>
          <w:rFonts w:hint="eastAsia" w:ascii="宋体" w:hAnsi="宋体" w:eastAsia="宋体" w:cs="宋体"/>
          <w:i/>
          <w:iCs/>
          <w:color w:val="auto"/>
          <w:highlight w:val="none"/>
          <w:u w:val="single"/>
          <w:shd w:val="clear" w:color="auto" w:fill="auto"/>
        </w:rPr>
        <w:t>（必须为本人实名办理的手机号码）</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rPr>
        <w:t>，上述人员承诺承担相应的法律责任。</w:t>
      </w:r>
    </w:p>
    <w:p w14:paraId="39BC8D0F">
      <w:pPr>
        <w:pStyle w:val="14"/>
        <w:numPr>
          <w:ins w:id="10" w:author="XH" w:date=""/>
        </w:numPr>
        <w:spacing w:line="440" w:lineRule="exact"/>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.其他：</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i/>
          <w:iCs/>
          <w:color w:val="auto"/>
          <w:sz w:val="24"/>
          <w:szCs w:val="24"/>
          <w:highlight w:val="none"/>
          <w:u w:val="single"/>
          <w:shd w:val="clear" w:color="auto" w:fill="auto"/>
        </w:rPr>
        <w:t>（招标人可根据实际情况增加相应的条款）</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14:paraId="5D3C5034">
      <w:pPr>
        <w:pStyle w:val="14"/>
        <w:numPr>
          <w:ins w:id="11" w:author="XH" w:date=""/>
        </w:numPr>
        <w:spacing w:line="440" w:lineRule="exact"/>
        <w:ind w:firstLine="480" w:firstLineChars="200"/>
        <w:rPr>
          <w:rFonts w:hint="eastAsia" w:ascii="宋体" w:hAnsi="宋体" w:eastAsia="宋体" w:cs="宋体"/>
          <w:color w:val="auto"/>
          <w:spacing w:val="-5"/>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.以上承诺如有虚假，</w:t>
      </w:r>
      <w:r>
        <w:rPr>
          <w:rFonts w:hint="eastAsia" w:ascii="宋体" w:hAnsi="宋体" w:eastAsia="宋体" w:cs="宋体"/>
          <w:color w:val="auto"/>
          <w:spacing w:val="-5"/>
          <w:sz w:val="24"/>
          <w:szCs w:val="24"/>
          <w:highlight w:val="none"/>
          <w:shd w:val="clear" w:color="auto" w:fill="auto"/>
        </w:rPr>
        <w:t>愿意接受投标保证金不予退还的处理。给招标人造成损失的，愿意依法承担赔偿责任。如已中标，同意招标人取消我单位中标资格的处理。</w:t>
      </w:r>
    </w:p>
    <w:p w14:paraId="1BADDDB8">
      <w:pPr>
        <w:pStyle w:val="14"/>
        <w:spacing w:line="440" w:lineRule="exact"/>
        <w:ind w:firstLine="460" w:firstLineChars="200"/>
        <w:rPr>
          <w:rFonts w:hint="eastAsia" w:ascii="宋体" w:hAnsi="宋体" w:eastAsia="宋体" w:cs="宋体"/>
          <w:color w:val="auto"/>
          <w:spacing w:val="-5"/>
          <w:sz w:val="24"/>
          <w:szCs w:val="24"/>
          <w:highlight w:val="none"/>
          <w:shd w:val="clear" w:color="auto" w:fill="auto"/>
        </w:rPr>
      </w:pPr>
    </w:p>
    <w:p w14:paraId="6198E090">
      <w:pPr>
        <w:pStyle w:val="14"/>
        <w:spacing w:line="440" w:lineRule="exact"/>
        <w:ind w:firstLine="3120" w:firstLineChars="1300"/>
        <w:rPr>
          <w:rFonts w:hint="eastAsia" w:ascii="宋体" w:hAnsi="宋体" w:eastAsia="宋体" w:cs="宋体"/>
          <w:color w:val="auto"/>
          <w:sz w:val="24"/>
          <w:szCs w:val="24"/>
          <w:highlight w:val="none"/>
          <w:shd w:val="clear" w:color="auto" w:fill="auto"/>
        </w:rPr>
      </w:pPr>
    </w:p>
    <w:p w14:paraId="4F3B0226">
      <w:pPr>
        <w:pStyle w:val="14"/>
        <w:spacing w:line="440" w:lineRule="exact"/>
        <w:ind w:firstLine="3120" w:firstLineChars="1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法定代表人（签字或盖章）：</w:t>
      </w:r>
    </w:p>
    <w:p w14:paraId="155D35C1">
      <w:pPr>
        <w:pStyle w:val="14"/>
        <w:spacing w:line="440" w:lineRule="exact"/>
        <w:ind w:firstLine="3120" w:firstLineChars="1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投标人（单位盖章）：</w:t>
      </w:r>
    </w:p>
    <w:p w14:paraId="0F133D62">
      <w:pPr>
        <w:autoSpaceDN/>
        <w:spacing w:line="440" w:lineRule="exact"/>
        <w:jc w:val="both"/>
        <w:rPr>
          <w:rFonts w:hint="eastAsia" w:ascii="宋体" w:hAnsi="宋体" w:eastAsia="宋体" w:cs="宋体"/>
          <w:snapToGrid w:val="0"/>
          <w:color w:val="auto"/>
          <w:sz w:val="24"/>
          <w:szCs w:val="24"/>
          <w:highlight w:val="none"/>
          <w:shd w:val="clear" w:color="auto" w:fill="auto"/>
          <w:lang w:val="en-US" w:eastAsia="zh-CN" w:bidi="ar-SA"/>
        </w:rPr>
      </w:pPr>
      <w:r>
        <w:rPr>
          <w:rFonts w:hint="eastAsia" w:ascii="宋体" w:hAnsi="宋体" w:eastAsia="宋体" w:cs="宋体"/>
          <w:color w:val="auto"/>
          <w:highlight w:val="none"/>
          <w:shd w:val="clear" w:color="auto" w:fill="auto"/>
        </w:rPr>
        <w:t xml:space="preserve">                                               </w:t>
      </w:r>
      <w:r>
        <w:rPr>
          <w:rFonts w:hint="eastAsia" w:ascii="宋体" w:hAnsi="宋体" w:eastAsia="宋体" w:cs="宋体"/>
          <w:snapToGrid w:val="0"/>
          <w:color w:val="auto"/>
          <w:sz w:val="24"/>
          <w:szCs w:val="24"/>
          <w:highlight w:val="none"/>
          <w:shd w:val="clear" w:color="auto" w:fill="auto"/>
          <w:lang w:val="en-US" w:eastAsia="zh-CN" w:bidi="ar-SA"/>
        </w:rPr>
        <w:t>年    月    日</w:t>
      </w:r>
    </w:p>
    <w:p w14:paraId="478C493B">
      <w:pPr>
        <w:widowControl/>
        <w:autoSpaceDN/>
        <w:rPr>
          <w:rFonts w:hint="eastAsia" w:ascii="宋体" w:hAnsi="宋体" w:eastAsia="宋体" w:cs="宋体"/>
          <w:color w:val="auto"/>
          <w:sz w:val="28"/>
          <w:szCs w:val="28"/>
          <w:highlight w:val="none"/>
          <w:shd w:val="clear" w:color="auto" w:fill="auto"/>
        </w:rPr>
      </w:pPr>
    </w:p>
    <w:p w14:paraId="71AA9431">
      <w:pPr>
        <w:rPr>
          <w:rFonts w:hint="eastAsia" w:ascii="宋体" w:hAnsi="宋体" w:eastAsia="宋体" w:cs="宋体"/>
          <w:color w:val="auto"/>
          <w:highlight w:val="none"/>
          <w:shd w:val="clear" w:color="auto" w:fill="auto"/>
        </w:rPr>
      </w:pPr>
    </w:p>
    <w:p w14:paraId="23DBFB9C">
      <w:pPr>
        <w:spacing w:before="91" w:line="221" w:lineRule="auto"/>
        <w:jc w:val="both"/>
        <w:outlineLvl w:val="1"/>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格式</w:t>
      </w:r>
      <w:r>
        <w:rPr>
          <w:rFonts w:hint="eastAsia" w:ascii="宋体" w:hAnsi="宋体" w:eastAsia="宋体" w:cs="宋体"/>
          <w:color w:val="auto"/>
          <w:sz w:val="28"/>
          <w:szCs w:val="28"/>
          <w:highlight w:val="none"/>
          <w:shd w:val="clear" w:color="auto" w:fill="auto"/>
          <w:lang w:val="en-US" w:eastAsia="zh-CN"/>
        </w:rPr>
        <w:t>十四</w:t>
      </w:r>
      <w:r>
        <w:rPr>
          <w:rFonts w:hint="eastAsia" w:ascii="宋体" w:hAnsi="宋体" w:eastAsia="宋体" w:cs="宋体"/>
          <w:color w:val="auto"/>
          <w:sz w:val="28"/>
          <w:szCs w:val="28"/>
          <w:highlight w:val="none"/>
          <w:shd w:val="clear" w:color="auto" w:fill="auto"/>
        </w:rPr>
        <w:t>：投标人基本情况</w:t>
      </w:r>
    </w:p>
    <w:p w14:paraId="4B32D601">
      <w:pPr>
        <w:spacing w:line="360" w:lineRule="auto"/>
        <w:jc w:val="center"/>
        <w:outlineLvl w:val="0"/>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投标人基本情况</w:t>
      </w:r>
    </w:p>
    <w:p w14:paraId="5C560FE9">
      <w:pPr>
        <w:spacing w:line="360" w:lineRule="auto"/>
        <w:ind w:firstLine="316" w:firstLineChars="150"/>
        <w:jc w:val="center"/>
        <w:rPr>
          <w:rFonts w:hint="eastAsia" w:ascii="宋体" w:hAnsi="宋体" w:eastAsia="宋体" w:cs="宋体"/>
          <w:b/>
          <w:bCs/>
          <w:color w:val="auto"/>
          <w:highlight w:val="none"/>
          <w:shd w:val="clear" w:color="auto" w:fill="auto"/>
        </w:rPr>
      </w:pPr>
    </w:p>
    <w:tbl>
      <w:tblPr>
        <w:tblStyle w:val="27"/>
        <w:tblW w:w="918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993"/>
        <w:gridCol w:w="1134"/>
        <w:gridCol w:w="1275"/>
        <w:gridCol w:w="1389"/>
        <w:gridCol w:w="173"/>
        <w:gridCol w:w="1038"/>
        <w:gridCol w:w="1341"/>
      </w:tblGrid>
      <w:tr w14:paraId="7C59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843" w:type="dxa"/>
            <w:tcBorders>
              <w:top w:val="single" w:color="auto" w:sz="4" w:space="0"/>
              <w:left w:val="single" w:color="auto" w:sz="4" w:space="0"/>
              <w:bottom w:val="single" w:color="auto" w:sz="4" w:space="0"/>
              <w:right w:val="single" w:color="auto" w:sz="4" w:space="0"/>
            </w:tcBorders>
            <w:noWrap/>
            <w:vAlign w:val="center"/>
          </w:tcPr>
          <w:p w14:paraId="12068A81">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投标人名称</w:t>
            </w:r>
          </w:p>
        </w:tc>
        <w:tc>
          <w:tcPr>
            <w:tcW w:w="7343" w:type="dxa"/>
            <w:gridSpan w:val="7"/>
            <w:tcBorders>
              <w:top w:val="single" w:color="auto" w:sz="4" w:space="0"/>
              <w:left w:val="nil"/>
              <w:bottom w:val="single" w:color="auto" w:sz="4" w:space="0"/>
              <w:right w:val="single" w:color="auto" w:sz="4" w:space="0"/>
            </w:tcBorders>
            <w:noWrap/>
            <w:vAlign w:val="center"/>
          </w:tcPr>
          <w:p w14:paraId="3FC9EFCE">
            <w:pPr>
              <w:rPr>
                <w:rFonts w:hint="eastAsia" w:ascii="宋体" w:hAnsi="宋体" w:eastAsia="宋体" w:cs="宋体"/>
                <w:color w:val="auto"/>
                <w:highlight w:val="none"/>
                <w:shd w:val="clear" w:color="auto" w:fill="auto"/>
              </w:rPr>
            </w:pPr>
          </w:p>
        </w:tc>
      </w:tr>
      <w:tr w14:paraId="4851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43" w:type="dxa"/>
            <w:tcBorders>
              <w:top w:val="single" w:color="auto" w:sz="4" w:space="0"/>
              <w:left w:val="single" w:color="auto" w:sz="4" w:space="0"/>
              <w:bottom w:val="single" w:color="auto" w:sz="4" w:space="0"/>
              <w:right w:val="single" w:color="auto" w:sz="4" w:space="0"/>
            </w:tcBorders>
            <w:noWrap/>
            <w:vAlign w:val="center"/>
          </w:tcPr>
          <w:p w14:paraId="5FF84A21">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注册地址</w:t>
            </w:r>
          </w:p>
        </w:tc>
        <w:tc>
          <w:tcPr>
            <w:tcW w:w="3402" w:type="dxa"/>
            <w:gridSpan w:val="3"/>
            <w:tcBorders>
              <w:top w:val="single" w:color="auto" w:sz="4" w:space="0"/>
              <w:left w:val="nil"/>
              <w:bottom w:val="single" w:color="auto" w:sz="4" w:space="0"/>
              <w:right w:val="single" w:color="auto" w:sz="4" w:space="0"/>
            </w:tcBorders>
            <w:noWrap/>
            <w:vAlign w:val="center"/>
          </w:tcPr>
          <w:p w14:paraId="160324E7">
            <w:pPr>
              <w:rPr>
                <w:rFonts w:hint="eastAsia" w:ascii="宋体" w:hAnsi="宋体" w:eastAsia="宋体" w:cs="宋体"/>
                <w:color w:val="auto"/>
                <w:highlight w:val="none"/>
                <w:shd w:val="clear" w:color="auto" w:fill="auto"/>
              </w:rPr>
            </w:pPr>
          </w:p>
        </w:tc>
        <w:tc>
          <w:tcPr>
            <w:tcW w:w="1389" w:type="dxa"/>
            <w:tcBorders>
              <w:top w:val="single" w:color="auto" w:sz="4" w:space="0"/>
              <w:left w:val="nil"/>
              <w:bottom w:val="single" w:color="auto" w:sz="4" w:space="0"/>
              <w:right w:val="single" w:color="auto" w:sz="4" w:space="0"/>
            </w:tcBorders>
            <w:noWrap/>
            <w:vAlign w:val="center"/>
          </w:tcPr>
          <w:p w14:paraId="31365F53">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邮政编码</w:t>
            </w:r>
          </w:p>
        </w:tc>
        <w:tc>
          <w:tcPr>
            <w:tcW w:w="2552" w:type="dxa"/>
            <w:gridSpan w:val="3"/>
            <w:tcBorders>
              <w:top w:val="single" w:color="auto" w:sz="4" w:space="0"/>
              <w:left w:val="nil"/>
              <w:bottom w:val="single" w:color="auto" w:sz="4" w:space="0"/>
              <w:right w:val="single" w:color="auto" w:sz="4" w:space="0"/>
            </w:tcBorders>
            <w:noWrap/>
            <w:vAlign w:val="center"/>
          </w:tcPr>
          <w:p w14:paraId="42CE49A3">
            <w:pPr>
              <w:rPr>
                <w:rFonts w:hint="eastAsia" w:ascii="宋体" w:hAnsi="宋体" w:eastAsia="宋体" w:cs="宋体"/>
                <w:color w:val="auto"/>
                <w:highlight w:val="none"/>
                <w:shd w:val="clear" w:color="auto" w:fill="auto"/>
              </w:rPr>
            </w:pPr>
          </w:p>
        </w:tc>
      </w:tr>
      <w:tr w14:paraId="5FFF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3" w:type="dxa"/>
            <w:vMerge w:val="restart"/>
            <w:tcBorders>
              <w:top w:val="nil"/>
              <w:left w:val="single" w:color="auto" w:sz="4" w:space="0"/>
              <w:bottom w:val="single" w:color="auto" w:sz="4" w:space="0"/>
              <w:right w:val="single" w:color="auto" w:sz="4" w:space="0"/>
            </w:tcBorders>
            <w:noWrap/>
            <w:vAlign w:val="center"/>
          </w:tcPr>
          <w:p w14:paraId="3E64AD9D">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联系方式</w:t>
            </w:r>
          </w:p>
        </w:tc>
        <w:tc>
          <w:tcPr>
            <w:tcW w:w="993" w:type="dxa"/>
            <w:tcBorders>
              <w:top w:val="single" w:color="auto" w:sz="4" w:space="0"/>
              <w:left w:val="nil"/>
              <w:bottom w:val="single" w:color="auto" w:sz="4" w:space="0"/>
              <w:right w:val="single" w:color="auto" w:sz="4" w:space="0"/>
            </w:tcBorders>
            <w:noWrap/>
            <w:vAlign w:val="center"/>
          </w:tcPr>
          <w:p w14:paraId="1473DDC5">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联系人</w:t>
            </w:r>
          </w:p>
        </w:tc>
        <w:tc>
          <w:tcPr>
            <w:tcW w:w="2409" w:type="dxa"/>
            <w:gridSpan w:val="2"/>
            <w:tcBorders>
              <w:top w:val="single" w:color="auto" w:sz="4" w:space="0"/>
              <w:left w:val="nil"/>
              <w:bottom w:val="single" w:color="auto" w:sz="4" w:space="0"/>
              <w:right w:val="single" w:color="auto" w:sz="4" w:space="0"/>
            </w:tcBorders>
            <w:noWrap/>
            <w:vAlign w:val="center"/>
          </w:tcPr>
          <w:p w14:paraId="2009BBB1">
            <w:pPr>
              <w:rPr>
                <w:rFonts w:hint="eastAsia" w:ascii="宋体" w:hAnsi="宋体" w:eastAsia="宋体" w:cs="宋体"/>
                <w:color w:val="auto"/>
                <w:highlight w:val="none"/>
                <w:shd w:val="clear" w:color="auto" w:fill="auto"/>
              </w:rPr>
            </w:pPr>
          </w:p>
        </w:tc>
        <w:tc>
          <w:tcPr>
            <w:tcW w:w="1389" w:type="dxa"/>
            <w:tcBorders>
              <w:top w:val="single" w:color="auto" w:sz="4" w:space="0"/>
              <w:left w:val="nil"/>
              <w:bottom w:val="single" w:color="auto" w:sz="4" w:space="0"/>
              <w:right w:val="single" w:color="auto" w:sz="4" w:space="0"/>
            </w:tcBorders>
            <w:noWrap/>
            <w:vAlign w:val="center"/>
          </w:tcPr>
          <w:p w14:paraId="2A6F1AC4">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电话</w:t>
            </w:r>
          </w:p>
        </w:tc>
        <w:tc>
          <w:tcPr>
            <w:tcW w:w="2552" w:type="dxa"/>
            <w:gridSpan w:val="3"/>
            <w:tcBorders>
              <w:top w:val="single" w:color="auto" w:sz="4" w:space="0"/>
              <w:left w:val="nil"/>
              <w:bottom w:val="single" w:color="auto" w:sz="4" w:space="0"/>
              <w:right w:val="single" w:color="auto" w:sz="4" w:space="0"/>
            </w:tcBorders>
            <w:noWrap/>
            <w:vAlign w:val="center"/>
          </w:tcPr>
          <w:p w14:paraId="28E5B35E">
            <w:pPr>
              <w:rPr>
                <w:rFonts w:hint="eastAsia" w:ascii="宋体" w:hAnsi="宋体" w:eastAsia="宋体" w:cs="宋体"/>
                <w:color w:val="auto"/>
                <w:highlight w:val="none"/>
                <w:shd w:val="clear" w:color="auto" w:fill="auto"/>
              </w:rPr>
            </w:pPr>
          </w:p>
        </w:tc>
      </w:tr>
      <w:tr w14:paraId="18AF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43" w:type="dxa"/>
            <w:vMerge w:val="continue"/>
            <w:tcBorders>
              <w:top w:val="nil"/>
              <w:left w:val="single" w:color="auto" w:sz="4" w:space="0"/>
              <w:bottom w:val="single" w:color="auto" w:sz="4" w:space="0"/>
              <w:right w:val="single" w:color="auto" w:sz="4" w:space="0"/>
            </w:tcBorders>
            <w:noWrap w:val="0"/>
            <w:vAlign w:val="center"/>
          </w:tcPr>
          <w:p w14:paraId="079B1466">
            <w:pPr>
              <w:autoSpaceDE/>
              <w:autoSpaceDN/>
              <w:adjustRightInd/>
              <w:rPr>
                <w:rFonts w:hint="eastAsia" w:ascii="宋体" w:hAnsi="宋体" w:eastAsia="宋体" w:cs="宋体"/>
                <w:color w:val="auto"/>
                <w:highlight w:val="none"/>
                <w:shd w:val="clear" w:color="auto" w:fill="auto"/>
              </w:rPr>
            </w:pPr>
          </w:p>
        </w:tc>
        <w:tc>
          <w:tcPr>
            <w:tcW w:w="993" w:type="dxa"/>
            <w:tcBorders>
              <w:top w:val="single" w:color="auto" w:sz="4" w:space="0"/>
              <w:left w:val="nil"/>
              <w:bottom w:val="single" w:color="auto" w:sz="4" w:space="0"/>
              <w:right w:val="single" w:color="auto" w:sz="4" w:space="0"/>
            </w:tcBorders>
            <w:noWrap/>
            <w:vAlign w:val="center"/>
          </w:tcPr>
          <w:p w14:paraId="16084622">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传真</w:t>
            </w:r>
          </w:p>
        </w:tc>
        <w:tc>
          <w:tcPr>
            <w:tcW w:w="2409" w:type="dxa"/>
            <w:gridSpan w:val="2"/>
            <w:tcBorders>
              <w:top w:val="single" w:color="auto" w:sz="4" w:space="0"/>
              <w:left w:val="nil"/>
              <w:bottom w:val="single" w:color="auto" w:sz="4" w:space="0"/>
              <w:right w:val="single" w:color="auto" w:sz="4" w:space="0"/>
            </w:tcBorders>
            <w:noWrap/>
            <w:vAlign w:val="center"/>
          </w:tcPr>
          <w:p w14:paraId="26B14766">
            <w:pPr>
              <w:rPr>
                <w:rFonts w:hint="eastAsia" w:ascii="宋体" w:hAnsi="宋体" w:eastAsia="宋体" w:cs="宋体"/>
                <w:color w:val="auto"/>
                <w:highlight w:val="none"/>
                <w:shd w:val="clear" w:color="auto" w:fill="auto"/>
              </w:rPr>
            </w:pPr>
          </w:p>
        </w:tc>
        <w:tc>
          <w:tcPr>
            <w:tcW w:w="1389" w:type="dxa"/>
            <w:tcBorders>
              <w:top w:val="single" w:color="auto" w:sz="4" w:space="0"/>
              <w:left w:val="nil"/>
              <w:bottom w:val="single" w:color="auto" w:sz="4" w:space="0"/>
              <w:right w:val="single" w:color="auto" w:sz="4" w:space="0"/>
            </w:tcBorders>
            <w:noWrap/>
            <w:vAlign w:val="center"/>
          </w:tcPr>
          <w:p w14:paraId="7D69D5E9">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网址</w:t>
            </w:r>
          </w:p>
        </w:tc>
        <w:tc>
          <w:tcPr>
            <w:tcW w:w="2552" w:type="dxa"/>
            <w:gridSpan w:val="3"/>
            <w:tcBorders>
              <w:top w:val="single" w:color="auto" w:sz="4" w:space="0"/>
              <w:left w:val="nil"/>
              <w:bottom w:val="single" w:color="auto" w:sz="4" w:space="0"/>
              <w:right w:val="single" w:color="auto" w:sz="4" w:space="0"/>
            </w:tcBorders>
            <w:noWrap/>
            <w:vAlign w:val="center"/>
          </w:tcPr>
          <w:p w14:paraId="2382563A">
            <w:pPr>
              <w:rPr>
                <w:rFonts w:hint="eastAsia" w:ascii="宋体" w:hAnsi="宋体" w:eastAsia="宋体" w:cs="宋体"/>
                <w:color w:val="auto"/>
                <w:highlight w:val="none"/>
                <w:shd w:val="clear" w:color="auto" w:fill="auto"/>
              </w:rPr>
            </w:pPr>
          </w:p>
        </w:tc>
      </w:tr>
      <w:tr w14:paraId="3B84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43" w:type="dxa"/>
            <w:tcBorders>
              <w:top w:val="single" w:color="auto" w:sz="4" w:space="0"/>
              <w:left w:val="single" w:color="auto" w:sz="4" w:space="0"/>
              <w:bottom w:val="single" w:color="auto" w:sz="4" w:space="0"/>
              <w:right w:val="single" w:color="auto" w:sz="4" w:space="0"/>
            </w:tcBorders>
            <w:noWrap/>
            <w:vAlign w:val="center"/>
          </w:tcPr>
          <w:p w14:paraId="375F470D">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组织结构</w:t>
            </w:r>
          </w:p>
        </w:tc>
        <w:tc>
          <w:tcPr>
            <w:tcW w:w="7343" w:type="dxa"/>
            <w:gridSpan w:val="7"/>
            <w:tcBorders>
              <w:top w:val="single" w:color="auto" w:sz="4" w:space="0"/>
              <w:left w:val="nil"/>
              <w:bottom w:val="single" w:color="auto" w:sz="4" w:space="0"/>
              <w:right w:val="single" w:color="auto" w:sz="4" w:space="0"/>
            </w:tcBorders>
            <w:noWrap/>
            <w:vAlign w:val="center"/>
          </w:tcPr>
          <w:p w14:paraId="1602C4A3">
            <w:pPr>
              <w:rPr>
                <w:rFonts w:hint="eastAsia" w:ascii="宋体" w:hAnsi="宋体" w:eastAsia="宋体" w:cs="宋体"/>
                <w:color w:val="auto"/>
                <w:highlight w:val="none"/>
                <w:shd w:val="clear" w:color="auto" w:fill="auto"/>
              </w:rPr>
            </w:pPr>
          </w:p>
        </w:tc>
      </w:tr>
      <w:tr w14:paraId="16A8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43" w:type="dxa"/>
            <w:tcBorders>
              <w:top w:val="single" w:color="auto" w:sz="4" w:space="0"/>
              <w:left w:val="single" w:color="auto" w:sz="4" w:space="0"/>
              <w:bottom w:val="single" w:color="auto" w:sz="4" w:space="0"/>
              <w:right w:val="single" w:color="auto" w:sz="4" w:space="0"/>
            </w:tcBorders>
            <w:noWrap/>
            <w:vAlign w:val="center"/>
          </w:tcPr>
          <w:p w14:paraId="1D7BFD11">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w:t>
            </w:r>
          </w:p>
        </w:tc>
        <w:tc>
          <w:tcPr>
            <w:tcW w:w="993" w:type="dxa"/>
            <w:tcBorders>
              <w:top w:val="single" w:color="auto" w:sz="4" w:space="0"/>
              <w:left w:val="nil"/>
              <w:bottom w:val="single" w:color="auto" w:sz="4" w:space="0"/>
              <w:right w:val="single" w:color="auto" w:sz="4" w:space="0"/>
            </w:tcBorders>
            <w:noWrap/>
            <w:vAlign w:val="center"/>
          </w:tcPr>
          <w:p w14:paraId="5BD27479">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姓名</w:t>
            </w:r>
          </w:p>
        </w:tc>
        <w:tc>
          <w:tcPr>
            <w:tcW w:w="1134" w:type="dxa"/>
            <w:tcBorders>
              <w:top w:val="single" w:color="auto" w:sz="4" w:space="0"/>
              <w:left w:val="nil"/>
              <w:bottom w:val="single" w:color="auto" w:sz="4" w:space="0"/>
              <w:right w:val="single" w:color="auto" w:sz="4" w:space="0"/>
            </w:tcBorders>
            <w:noWrap/>
            <w:vAlign w:val="center"/>
          </w:tcPr>
          <w:p w14:paraId="40201677">
            <w:pPr>
              <w:rPr>
                <w:rFonts w:hint="eastAsia" w:ascii="宋体" w:hAnsi="宋体" w:eastAsia="宋体" w:cs="宋体"/>
                <w:color w:val="auto"/>
                <w:highlight w:val="none"/>
                <w:shd w:val="clear" w:color="auto" w:fill="auto"/>
              </w:rPr>
            </w:pPr>
          </w:p>
        </w:tc>
        <w:tc>
          <w:tcPr>
            <w:tcW w:w="1275" w:type="dxa"/>
            <w:tcBorders>
              <w:top w:val="single" w:color="auto" w:sz="4" w:space="0"/>
              <w:left w:val="nil"/>
              <w:bottom w:val="single" w:color="auto" w:sz="4" w:space="0"/>
              <w:right w:val="single" w:color="auto" w:sz="4" w:space="0"/>
            </w:tcBorders>
            <w:noWrap/>
            <w:vAlign w:val="center"/>
          </w:tcPr>
          <w:p w14:paraId="178B6FB8">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技术职称</w:t>
            </w:r>
          </w:p>
        </w:tc>
        <w:tc>
          <w:tcPr>
            <w:tcW w:w="1562" w:type="dxa"/>
            <w:gridSpan w:val="2"/>
            <w:tcBorders>
              <w:top w:val="single" w:color="auto" w:sz="4" w:space="0"/>
              <w:left w:val="nil"/>
              <w:bottom w:val="single" w:color="auto" w:sz="4" w:space="0"/>
              <w:right w:val="single" w:color="auto" w:sz="4" w:space="0"/>
            </w:tcBorders>
            <w:noWrap/>
            <w:vAlign w:val="center"/>
          </w:tcPr>
          <w:p w14:paraId="2CE0B6D3">
            <w:pPr>
              <w:rPr>
                <w:rFonts w:hint="eastAsia" w:ascii="宋体" w:hAnsi="宋体" w:eastAsia="宋体" w:cs="宋体"/>
                <w:color w:val="auto"/>
                <w:highlight w:val="none"/>
                <w:shd w:val="clear" w:color="auto" w:fill="auto"/>
              </w:rPr>
            </w:pPr>
          </w:p>
        </w:tc>
        <w:tc>
          <w:tcPr>
            <w:tcW w:w="1038" w:type="dxa"/>
            <w:tcBorders>
              <w:top w:val="single" w:color="auto" w:sz="4" w:space="0"/>
              <w:left w:val="nil"/>
              <w:bottom w:val="single" w:color="auto" w:sz="4" w:space="0"/>
              <w:right w:val="single" w:color="auto" w:sz="4" w:space="0"/>
            </w:tcBorders>
            <w:noWrap/>
            <w:vAlign w:val="center"/>
          </w:tcPr>
          <w:p w14:paraId="47D815A1">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电话</w:t>
            </w:r>
          </w:p>
        </w:tc>
        <w:tc>
          <w:tcPr>
            <w:tcW w:w="1341" w:type="dxa"/>
            <w:tcBorders>
              <w:top w:val="single" w:color="auto" w:sz="4" w:space="0"/>
              <w:left w:val="nil"/>
              <w:bottom w:val="single" w:color="auto" w:sz="4" w:space="0"/>
              <w:right w:val="single" w:color="auto" w:sz="4" w:space="0"/>
            </w:tcBorders>
            <w:noWrap/>
            <w:vAlign w:val="center"/>
          </w:tcPr>
          <w:p w14:paraId="6078EEE4">
            <w:pPr>
              <w:rPr>
                <w:rFonts w:hint="eastAsia" w:ascii="宋体" w:hAnsi="宋体" w:eastAsia="宋体" w:cs="宋体"/>
                <w:color w:val="auto"/>
                <w:highlight w:val="none"/>
                <w:shd w:val="clear" w:color="auto" w:fill="auto"/>
              </w:rPr>
            </w:pPr>
          </w:p>
        </w:tc>
      </w:tr>
      <w:tr w14:paraId="714C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843" w:type="dxa"/>
            <w:tcBorders>
              <w:top w:val="single" w:color="auto" w:sz="4" w:space="0"/>
              <w:left w:val="single" w:color="auto" w:sz="4" w:space="0"/>
              <w:bottom w:val="single" w:color="auto" w:sz="4" w:space="0"/>
              <w:right w:val="single" w:color="auto" w:sz="4" w:space="0"/>
            </w:tcBorders>
            <w:noWrap/>
            <w:vAlign w:val="center"/>
          </w:tcPr>
          <w:p w14:paraId="7C63A4C1">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技术负责人</w:t>
            </w:r>
          </w:p>
        </w:tc>
        <w:tc>
          <w:tcPr>
            <w:tcW w:w="993" w:type="dxa"/>
            <w:tcBorders>
              <w:top w:val="single" w:color="auto" w:sz="4" w:space="0"/>
              <w:left w:val="nil"/>
              <w:bottom w:val="single" w:color="auto" w:sz="4" w:space="0"/>
              <w:right w:val="single" w:color="auto" w:sz="4" w:space="0"/>
            </w:tcBorders>
            <w:noWrap/>
            <w:vAlign w:val="center"/>
          </w:tcPr>
          <w:p w14:paraId="39BEB2CC">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姓名</w:t>
            </w:r>
          </w:p>
        </w:tc>
        <w:tc>
          <w:tcPr>
            <w:tcW w:w="1134" w:type="dxa"/>
            <w:tcBorders>
              <w:top w:val="single" w:color="auto" w:sz="4" w:space="0"/>
              <w:left w:val="nil"/>
              <w:bottom w:val="single" w:color="auto" w:sz="4" w:space="0"/>
              <w:right w:val="single" w:color="auto" w:sz="4" w:space="0"/>
            </w:tcBorders>
            <w:noWrap/>
            <w:vAlign w:val="center"/>
          </w:tcPr>
          <w:p w14:paraId="017D424D">
            <w:pPr>
              <w:rPr>
                <w:rFonts w:hint="eastAsia" w:ascii="宋体" w:hAnsi="宋体" w:eastAsia="宋体" w:cs="宋体"/>
                <w:color w:val="auto"/>
                <w:highlight w:val="none"/>
                <w:shd w:val="clear" w:color="auto" w:fill="auto"/>
              </w:rPr>
            </w:pPr>
          </w:p>
        </w:tc>
        <w:tc>
          <w:tcPr>
            <w:tcW w:w="1275" w:type="dxa"/>
            <w:tcBorders>
              <w:top w:val="single" w:color="auto" w:sz="4" w:space="0"/>
              <w:left w:val="nil"/>
              <w:bottom w:val="single" w:color="auto" w:sz="4" w:space="0"/>
              <w:right w:val="single" w:color="auto" w:sz="4" w:space="0"/>
            </w:tcBorders>
            <w:noWrap/>
            <w:vAlign w:val="center"/>
          </w:tcPr>
          <w:p w14:paraId="74D70AF5">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技术职称</w:t>
            </w:r>
          </w:p>
        </w:tc>
        <w:tc>
          <w:tcPr>
            <w:tcW w:w="1562" w:type="dxa"/>
            <w:gridSpan w:val="2"/>
            <w:tcBorders>
              <w:top w:val="single" w:color="auto" w:sz="4" w:space="0"/>
              <w:left w:val="nil"/>
              <w:bottom w:val="single" w:color="auto" w:sz="4" w:space="0"/>
              <w:right w:val="single" w:color="auto" w:sz="4" w:space="0"/>
            </w:tcBorders>
            <w:noWrap/>
            <w:vAlign w:val="center"/>
          </w:tcPr>
          <w:p w14:paraId="45C36F36">
            <w:pPr>
              <w:rPr>
                <w:rFonts w:hint="eastAsia" w:ascii="宋体" w:hAnsi="宋体" w:eastAsia="宋体" w:cs="宋体"/>
                <w:color w:val="auto"/>
                <w:highlight w:val="none"/>
                <w:shd w:val="clear" w:color="auto" w:fill="auto"/>
              </w:rPr>
            </w:pPr>
          </w:p>
        </w:tc>
        <w:tc>
          <w:tcPr>
            <w:tcW w:w="1038" w:type="dxa"/>
            <w:tcBorders>
              <w:top w:val="single" w:color="auto" w:sz="4" w:space="0"/>
              <w:left w:val="nil"/>
              <w:bottom w:val="single" w:color="auto" w:sz="4" w:space="0"/>
              <w:right w:val="single" w:color="auto" w:sz="4" w:space="0"/>
            </w:tcBorders>
            <w:noWrap/>
            <w:vAlign w:val="center"/>
          </w:tcPr>
          <w:p w14:paraId="49A1CA56">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电话</w:t>
            </w:r>
          </w:p>
        </w:tc>
        <w:tc>
          <w:tcPr>
            <w:tcW w:w="1341" w:type="dxa"/>
            <w:tcBorders>
              <w:top w:val="single" w:color="auto" w:sz="4" w:space="0"/>
              <w:left w:val="nil"/>
              <w:bottom w:val="single" w:color="auto" w:sz="4" w:space="0"/>
              <w:right w:val="single" w:color="auto" w:sz="4" w:space="0"/>
            </w:tcBorders>
            <w:noWrap/>
            <w:vAlign w:val="center"/>
          </w:tcPr>
          <w:p w14:paraId="27939195">
            <w:pPr>
              <w:rPr>
                <w:rFonts w:hint="eastAsia" w:ascii="宋体" w:hAnsi="宋体" w:eastAsia="宋体" w:cs="宋体"/>
                <w:color w:val="auto"/>
                <w:highlight w:val="none"/>
                <w:shd w:val="clear" w:color="auto" w:fill="auto"/>
              </w:rPr>
            </w:pPr>
          </w:p>
        </w:tc>
      </w:tr>
      <w:tr w14:paraId="00FF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43" w:type="dxa"/>
            <w:tcBorders>
              <w:top w:val="single" w:color="auto" w:sz="4" w:space="0"/>
              <w:left w:val="single" w:color="auto" w:sz="4" w:space="0"/>
              <w:bottom w:val="single" w:color="auto" w:sz="4" w:space="0"/>
              <w:right w:val="single" w:color="auto" w:sz="4" w:space="0"/>
            </w:tcBorders>
            <w:noWrap/>
            <w:vAlign w:val="center"/>
          </w:tcPr>
          <w:p w14:paraId="628E7607">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成立时间</w:t>
            </w:r>
          </w:p>
        </w:tc>
        <w:tc>
          <w:tcPr>
            <w:tcW w:w="2127" w:type="dxa"/>
            <w:gridSpan w:val="2"/>
            <w:tcBorders>
              <w:top w:val="single" w:color="auto" w:sz="4" w:space="0"/>
              <w:left w:val="nil"/>
              <w:bottom w:val="single" w:color="auto" w:sz="4" w:space="0"/>
              <w:right w:val="single" w:color="auto" w:sz="4" w:space="0"/>
            </w:tcBorders>
            <w:noWrap/>
            <w:vAlign w:val="center"/>
          </w:tcPr>
          <w:p w14:paraId="6C0624E4">
            <w:pPr>
              <w:rPr>
                <w:rFonts w:hint="eastAsia" w:ascii="宋体" w:hAnsi="宋体" w:eastAsia="宋体" w:cs="宋体"/>
                <w:color w:val="auto"/>
                <w:highlight w:val="none"/>
                <w:shd w:val="clear" w:color="auto" w:fill="auto"/>
              </w:rPr>
            </w:pPr>
          </w:p>
        </w:tc>
        <w:tc>
          <w:tcPr>
            <w:tcW w:w="5216" w:type="dxa"/>
            <w:gridSpan w:val="5"/>
            <w:tcBorders>
              <w:top w:val="single" w:color="auto" w:sz="4" w:space="0"/>
              <w:left w:val="nil"/>
              <w:bottom w:val="single" w:color="auto" w:sz="4" w:space="0"/>
              <w:right w:val="single" w:color="auto" w:sz="4" w:space="0"/>
            </w:tcBorders>
            <w:noWrap/>
            <w:vAlign w:val="center"/>
          </w:tcPr>
          <w:p w14:paraId="71F502C9">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员工总人数：</w:t>
            </w:r>
          </w:p>
        </w:tc>
      </w:tr>
      <w:tr w14:paraId="5297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43" w:type="dxa"/>
            <w:tcBorders>
              <w:top w:val="single" w:color="auto" w:sz="4" w:space="0"/>
              <w:left w:val="single" w:color="auto" w:sz="4" w:space="0"/>
              <w:bottom w:val="single" w:color="auto" w:sz="4" w:space="0"/>
              <w:right w:val="single" w:color="auto" w:sz="4" w:space="0"/>
            </w:tcBorders>
            <w:noWrap/>
            <w:vAlign w:val="center"/>
          </w:tcPr>
          <w:p w14:paraId="606D0DFB">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企业资质等级</w:t>
            </w:r>
          </w:p>
        </w:tc>
        <w:tc>
          <w:tcPr>
            <w:tcW w:w="2127" w:type="dxa"/>
            <w:gridSpan w:val="2"/>
            <w:tcBorders>
              <w:top w:val="single" w:color="auto" w:sz="4" w:space="0"/>
              <w:left w:val="nil"/>
              <w:bottom w:val="single" w:color="auto" w:sz="4" w:space="0"/>
              <w:right w:val="single" w:color="auto" w:sz="4" w:space="0"/>
            </w:tcBorders>
            <w:noWrap/>
            <w:vAlign w:val="center"/>
          </w:tcPr>
          <w:p w14:paraId="3F380FF0">
            <w:pPr>
              <w:rPr>
                <w:rFonts w:hint="eastAsia" w:ascii="宋体" w:hAnsi="宋体" w:eastAsia="宋体" w:cs="宋体"/>
                <w:color w:val="auto"/>
                <w:highlight w:val="none"/>
                <w:shd w:val="clear" w:color="auto" w:fill="auto"/>
              </w:rPr>
            </w:pPr>
          </w:p>
        </w:tc>
        <w:tc>
          <w:tcPr>
            <w:tcW w:w="1275" w:type="dxa"/>
            <w:vMerge w:val="restart"/>
            <w:tcBorders>
              <w:top w:val="nil"/>
              <w:left w:val="nil"/>
              <w:bottom w:val="single" w:color="auto" w:sz="4" w:space="0"/>
              <w:right w:val="single" w:color="auto" w:sz="4" w:space="0"/>
            </w:tcBorders>
            <w:noWrap/>
            <w:vAlign w:val="center"/>
          </w:tcPr>
          <w:p w14:paraId="2FBE9CF6">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其中</w:t>
            </w:r>
          </w:p>
        </w:tc>
        <w:tc>
          <w:tcPr>
            <w:tcW w:w="1562" w:type="dxa"/>
            <w:gridSpan w:val="2"/>
            <w:tcBorders>
              <w:top w:val="single" w:color="auto" w:sz="4" w:space="0"/>
              <w:left w:val="nil"/>
              <w:bottom w:val="single" w:color="auto" w:sz="4" w:space="0"/>
              <w:right w:val="single" w:color="auto" w:sz="4" w:space="0"/>
            </w:tcBorders>
            <w:noWrap/>
            <w:vAlign w:val="center"/>
          </w:tcPr>
          <w:p w14:paraId="2F01E560">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项目负责人</w:t>
            </w:r>
          </w:p>
        </w:tc>
        <w:tc>
          <w:tcPr>
            <w:tcW w:w="2379" w:type="dxa"/>
            <w:gridSpan w:val="2"/>
            <w:tcBorders>
              <w:top w:val="single" w:color="auto" w:sz="4" w:space="0"/>
              <w:left w:val="nil"/>
              <w:bottom w:val="single" w:color="auto" w:sz="4" w:space="0"/>
              <w:right w:val="single" w:color="auto" w:sz="4" w:space="0"/>
            </w:tcBorders>
            <w:noWrap/>
            <w:vAlign w:val="center"/>
          </w:tcPr>
          <w:p w14:paraId="01BA711E">
            <w:pPr>
              <w:rPr>
                <w:rFonts w:hint="eastAsia" w:ascii="宋体" w:hAnsi="宋体" w:eastAsia="宋体" w:cs="宋体"/>
                <w:color w:val="auto"/>
                <w:highlight w:val="none"/>
                <w:shd w:val="clear" w:color="auto" w:fill="auto"/>
              </w:rPr>
            </w:pPr>
          </w:p>
        </w:tc>
      </w:tr>
      <w:tr w14:paraId="1C1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43" w:type="dxa"/>
            <w:tcBorders>
              <w:top w:val="single" w:color="auto" w:sz="4" w:space="0"/>
              <w:left w:val="single" w:color="auto" w:sz="4" w:space="0"/>
              <w:bottom w:val="single" w:color="auto" w:sz="4" w:space="0"/>
              <w:right w:val="single" w:color="auto" w:sz="4" w:space="0"/>
            </w:tcBorders>
            <w:noWrap/>
            <w:vAlign w:val="center"/>
          </w:tcPr>
          <w:p w14:paraId="180CB5AA">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营业执照号</w:t>
            </w:r>
          </w:p>
        </w:tc>
        <w:tc>
          <w:tcPr>
            <w:tcW w:w="2127" w:type="dxa"/>
            <w:gridSpan w:val="2"/>
            <w:tcBorders>
              <w:top w:val="single" w:color="auto" w:sz="4" w:space="0"/>
              <w:left w:val="nil"/>
              <w:bottom w:val="single" w:color="auto" w:sz="4" w:space="0"/>
              <w:right w:val="single" w:color="auto" w:sz="4" w:space="0"/>
            </w:tcBorders>
            <w:noWrap/>
            <w:vAlign w:val="center"/>
          </w:tcPr>
          <w:p w14:paraId="5D201C82">
            <w:pPr>
              <w:rPr>
                <w:rFonts w:hint="eastAsia" w:ascii="宋体" w:hAnsi="宋体" w:eastAsia="宋体" w:cs="宋体"/>
                <w:color w:val="auto"/>
                <w:highlight w:val="none"/>
                <w:shd w:val="clear" w:color="auto" w:fill="auto"/>
              </w:rPr>
            </w:pPr>
          </w:p>
        </w:tc>
        <w:tc>
          <w:tcPr>
            <w:tcW w:w="5216" w:type="dxa"/>
            <w:vMerge w:val="continue"/>
            <w:tcBorders>
              <w:top w:val="nil"/>
              <w:left w:val="nil"/>
              <w:bottom w:val="single" w:color="auto" w:sz="4" w:space="0"/>
              <w:right w:val="single" w:color="auto" w:sz="4" w:space="0"/>
            </w:tcBorders>
            <w:noWrap w:val="0"/>
            <w:vAlign w:val="center"/>
          </w:tcPr>
          <w:p w14:paraId="6E692BE4">
            <w:pPr>
              <w:autoSpaceDE/>
              <w:autoSpaceDN/>
              <w:adjustRightInd/>
              <w:rPr>
                <w:rFonts w:hint="eastAsia" w:ascii="宋体" w:hAnsi="宋体" w:eastAsia="宋体" w:cs="宋体"/>
                <w:color w:val="auto"/>
                <w:highlight w:val="none"/>
                <w:shd w:val="clear" w:color="auto" w:fill="auto"/>
              </w:rPr>
            </w:pPr>
          </w:p>
        </w:tc>
        <w:tc>
          <w:tcPr>
            <w:tcW w:w="1562" w:type="dxa"/>
            <w:gridSpan w:val="2"/>
            <w:tcBorders>
              <w:top w:val="single" w:color="auto" w:sz="4" w:space="0"/>
              <w:left w:val="nil"/>
              <w:bottom w:val="single" w:color="auto" w:sz="4" w:space="0"/>
              <w:right w:val="single" w:color="auto" w:sz="4" w:space="0"/>
            </w:tcBorders>
            <w:noWrap/>
            <w:vAlign w:val="center"/>
          </w:tcPr>
          <w:p w14:paraId="3781A0C4">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高级职称人员</w:t>
            </w:r>
          </w:p>
        </w:tc>
        <w:tc>
          <w:tcPr>
            <w:tcW w:w="2379" w:type="dxa"/>
            <w:gridSpan w:val="2"/>
            <w:tcBorders>
              <w:top w:val="single" w:color="auto" w:sz="4" w:space="0"/>
              <w:left w:val="nil"/>
              <w:bottom w:val="single" w:color="auto" w:sz="4" w:space="0"/>
              <w:right w:val="single" w:color="auto" w:sz="4" w:space="0"/>
            </w:tcBorders>
            <w:noWrap/>
            <w:vAlign w:val="center"/>
          </w:tcPr>
          <w:p w14:paraId="3026FAA2">
            <w:pPr>
              <w:rPr>
                <w:rFonts w:hint="eastAsia" w:ascii="宋体" w:hAnsi="宋体" w:eastAsia="宋体" w:cs="宋体"/>
                <w:color w:val="auto"/>
                <w:highlight w:val="none"/>
                <w:shd w:val="clear" w:color="auto" w:fill="auto"/>
              </w:rPr>
            </w:pPr>
          </w:p>
        </w:tc>
      </w:tr>
      <w:tr w14:paraId="288A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843" w:type="dxa"/>
            <w:tcBorders>
              <w:top w:val="single" w:color="auto" w:sz="4" w:space="0"/>
              <w:left w:val="single" w:color="auto" w:sz="4" w:space="0"/>
              <w:bottom w:val="single" w:color="auto" w:sz="4" w:space="0"/>
              <w:right w:val="single" w:color="auto" w:sz="4" w:space="0"/>
            </w:tcBorders>
            <w:noWrap/>
            <w:vAlign w:val="center"/>
          </w:tcPr>
          <w:p w14:paraId="14445106">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注册资金</w:t>
            </w:r>
          </w:p>
        </w:tc>
        <w:tc>
          <w:tcPr>
            <w:tcW w:w="2127" w:type="dxa"/>
            <w:gridSpan w:val="2"/>
            <w:tcBorders>
              <w:top w:val="single" w:color="auto" w:sz="4" w:space="0"/>
              <w:left w:val="nil"/>
              <w:bottom w:val="single" w:color="auto" w:sz="4" w:space="0"/>
              <w:right w:val="single" w:color="auto" w:sz="4" w:space="0"/>
            </w:tcBorders>
            <w:noWrap/>
            <w:vAlign w:val="center"/>
          </w:tcPr>
          <w:p w14:paraId="0D084926">
            <w:pPr>
              <w:rPr>
                <w:rFonts w:hint="eastAsia" w:ascii="宋体" w:hAnsi="宋体" w:eastAsia="宋体" w:cs="宋体"/>
                <w:color w:val="auto"/>
                <w:highlight w:val="none"/>
                <w:shd w:val="clear" w:color="auto" w:fill="auto"/>
              </w:rPr>
            </w:pPr>
          </w:p>
        </w:tc>
        <w:tc>
          <w:tcPr>
            <w:tcW w:w="5216" w:type="dxa"/>
            <w:vMerge w:val="continue"/>
            <w:tcBorders>
              <w:top w:val="nil"/>
              <w:left w:val="nil"/>
              <w:bottom w:val="single" w:color="auto" w:sz="4" w:space="0"/>
              <w:right w:val="single" w:color="auto" w:sz="4" w:space="0"/>
            </w:tcBorders>
            <w:noWrap w:val="0"/>
            <w:vAlign w:val="center"/>
          </w:tcPr>
          <w:p w14:paraId="6E36DC4A">
            <w:pPr>
              <w:autoSpaceDE/>
              <w:autoSpaceDN/>
              <w:adjustRightInd/>
              <w:rPr>
                <w:rFonts w:hint="eastAsia" w:ascii="宋体" w:hAnsi="宋体" w:eastAsia="宋体" w:cs="宋体"/>
                <w:color w:val="auto"/>
                <w:highlight w:val="none"/>
                <w:shd w:val="clear" w:color="auto" w:fill="auto"/>
              </w:rPr>
            </w:pPr>
          </w:p>
        </w:tc>
        <w:tc>
          <w:tcPr>
            <w:tcW w:w="1562" w:type="dxa"/>
            <w:gridSpan w:val="2"/>
            <w:tcBorders>
              <w:top w:val="single" w:color="auto" w:sz="4" w:space="0"/>
              <w:left w:val="nil"/>
              <w:bottom w:val="single" w:color="auto" w:sz="4" w:space="0"/>
              <w:right w:val="single" w:color="auto" w:sz="4" w:space="0"/>
            </w:tcBorders>
            <w:noWrap/>
            <w:vAlign w:val="center"/>
          </w:tcPr>
          <w:p w14:paraId="74B4CD7F">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中级职称人员</w:t>
            </w:r>
          </w:p>
        </w:tc>
        <w:tc>
          <w:tcPr>
            <w:tcW w:w="2379" w:type="dxa"/>
            <w:gridSpan w:val="2"/>
            <w:tcBorders>
              <w:top w:val="single" w:color="auto" w:sz="4" w:space="0"/>
              <w:left w:val="nil"/>
              <w:bottom w:val="single" w:color="auto" w:sz="4" w:space="0"/>
              <w:right w:val="single" w:color="auto" w:sz="4" w:space="0"/>
            </w:tcBorders>
            <w:noWrap/>
            <w:vAlign w:val="center"/>
          </w:tcPr>
          <w:p w14:paraId="2B0BC0CF">
            <w:pPr>
              <w:rPr>
                <w:rFonts w:hint="eastAsia" w:ascii="宋体" w:hAnsi="宋体" w:eastAsia="宋体" w:cs="宋体"/>
                <w:color w:val="auto"/>
                <w:highlight w:val="none"/>
                <w:shd w:val="clear" w:color="auto" w:fill="auto"/>
              </w:rPr>
            </w:pPr>
          </w:p>
        </w:tc>
      </w:tr>
      <w:tr w14:paraId="5BD2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43" w:type="dxa"/>
            <w:tcBorders>
              <w:top w:val="single" w:color="auto" w:sz="4" w:space="0"/>
              <w:left w:val="single" w:color="auto" w:sz="4" w:space="0"/>
              <w:bottom w:val="single" w:color="auto" w:sz="4" w:space="0"/>
              <w:right w:val="single" w:color="auto" w:sz="4" w:space="0"/>
            </w:tcBorders>
            <w:noWrap/>
            <w:vAlign w:val="center"/>
          </w:tcPr>
          <w:p w14:paraId="73DE6AA5">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开户银行</w:t>
            </w:r>
          </w:p>
        </w:tc>
        <w:tc>
          <w:tcPr>
            <w:tcW w:w="2127" w:type="dxa"/>
            <w:gridSpan w:val="2"/>
            <w:tcBorders>
              <w:top w:val="single" w:color="auto" w:sz="4" w:space="0"/>
              <w:left w:val="nil"/>
              <w:bottom w:val="single" w:color="auto" w:sz="4" w:space="0"/>
              <w:right w:val="single" w:color="auto" w:sz="4" w:space="0"/>
            </w:tcBorders>
            <w:noWrap/>
            <w:vAlign w:val="center"/>
          </w:tcPr>
          <w:p w14:paraId="5EC6E4E1">
            <w:pPr>
              <w:rPr>
                <w:rFonts w:hint="eastAsia" w:ascii="宋体" w:hAnsi="宋体" w:eastAsia="宋体" w:cs="宋体"/>
                <w:color w:val="auto"/>
                <w:highlight w:val="none"/>
                <w:shd w:val="clear" w:color="auto" w:fill="auto"/>
              </w:rPr>
            </w:pPr>
          </w:p>
        </w:tc>
        <w:tc>
          <w:tcPr>
            <w:tcW w:w="5216" w:type="dxa"/>
            <w:vMerge w:val="continue"/>
            <w:tcBorders>
              <w:top w:val="nil"/>
              <w:left w:val="nil"/>
              <w:bottom w:val="single" w:color="auto" w:sz="4" w:space="0"/>
              <w:right w:val="single" w:color="auto" w:sz="4" w:space="0"/>
            </w:tcBorders>
            <w:noWrap w:val="0"/>
            <w:vAlign w:val="center"/>
          </w:tcPr>
          <w:p w14:paraId="65BD55D3">
            <w:pPr>
              <w:autoSpaceDE/>
              <w:autoSpaceDN/>
              <w:adjustRightInd/>
              <w:rPr>
                <w:rFonts w:hint="eastAsia" w:ascii="宋体" w:hAnsi="宋体" w:eastAsia="宋体" w:cs="宋体"/>
                <w:color w:val="auto"/>
                <w:highlight w:val="none"/>
                <w:shd w:val="clear" w:color="auto" w:fill="auto"/>
              </w:rPr>
            </w:pPr>
          </w:p>
        </w:tc>
        <w:tc>
          <w:tcPr>
            <w:tcW w:w="1562" w:type="dxa"/>
            <w:gridSpan w:val="2"/>
            <w:tcBorders>
              <w:top w:val="single" w:color="auto" w:sz="4" w:space="0"/>
              <w:left w:val="nil"/>
              <w:bottom w:val="single" w:color="auto" w:sz="4" w:space="0"/>
              <w:right w:val="single" w:color="auto" w:sz="4" w:space="0"/>
            </w:tcBorders>
            <w:noWrap/>
            <w:vAlign w:val="center"/>
          </w:tcPr>
          <w:p w14:paraId="75808155">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初级职称人员</w:t>
            </w:r>
          </w:p>
        </w:tc>
        <w:tc>
          <w:tcPr>
            <w:tcW w:w="2379" w:type="dxa"/>
            <w:gridSpan w:val="2"/>
            <w:tcBorders>
              <w:top w:val="single" w:color="auto" w:sz="4" w:space="0"/>
              <w:left w:val="nil"/>
              <w:bottom w:val="single" w:color="auto" w:sz="4" w:space="0"/>
              <w:right w:val="single" w:color="auto" w:sz="4" w:space="0"/>
            </w:tcBorders>
            <w:noWrap/>
            <w:vAlign w:val="center"/>
          </w:tcPr>
          <w:p w14:paraId="033CF97D">
            <w:pPr>
              <w:rPr>
                <w:rFonts w:hint="eastAsia" w:ascii="宋体" w:hAnsi="宋体" w:eastAsia="宋体" w:cs="宋体"/>
                <w:color w:val="auto"/>
                <w:highlight w:val="none"/>
                <w:shd w:val="clear" w:color="auto" w:fill="auto"/>
              </w:rPr>
            </w:pPr>
          </w:p>
        </w:tc>
      </w:tr>
      <w:tr w14:paraId="14A8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43" w:type="dxa"/>
            <w:tcBorders>
              <w:top w:val="single" w:color="auto" w:sz="4" w:space="0"/>
              <w:left w:val="single" w:color="auto" w:sz="4" w:space="0"/>
              <w:bottom w:val="single" w:color="auto" w:sz="4" w:space="0"/>
              <w:right w:val="single" w:color="auto" w:sz="4" w:space="0"/>
            </w:tcBorders>
            <w:noWrap/>
            <w:vAlign w:val="center"/>
          </w:tcPr>
          <w:p w14:paraId="68EFE36C">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账号</w:t>
            </w:r>
          </w:p>
        </w:tc>
        <w:tc>
          <w:tcPr>
            <w:tcW w:w="2127" w:type="dxa"/>
            <w:gridSpan w:val="2"/>
            <w:tcBorders>
              <w:top w:val="single" w:color="auto" w:sz="4" w:space="0"/>
              <w:left w:val="nil"/>
              <w:bottom w:val="single" w:color="auto" w:sz="4" w:space="0"/>
              <w:right w:val="single" w:color="auto" w:sz="4" w:space="0"/>
            </w:tcBorders>
            <w:noWrap/>
            <w:vAlign w:val="center"/>
          </w:tcPr>
          <w:p w14:paraId="15B0B01B">
            <w:pPr>
              <w:rPr>
                <w:rFonts w:hint="eastAsia" w:ascii="宋体" w:hAnsi="宋体" w:eastAsia="宋体" w:cs="宋体"/>
                <w:color w:val="auto"/>
                <w:highlight w:val="none"/>
                <w:shd w:val="clear" w:color="auto" w:fill="auto"/>
              </w:rPr>
            </w:pPr>
          </w:p>
        </w:tc>
        <w:tc>
          <w:tcPr>
            <w:tcW w:w="5216" w:type="dxa"/>
            <w:vMerge w:val="continue"/>
            <w:tcBorders>
              <w:top w:val="nil"/>
              <w:left w:val="nil"/>
              <w:bottom w:val="single" w:color="auto" w:sz="4" w:space="0"/>
              <w:right w:val="single" w:color="auto" w:sz="4" w:space="0"/>
            </w:tcBorders>
            <w:noWrap w:val="0"/>
            <w:vAlign w:val="center"/>
          </w:tcPr>
          <w:p w14:paraId="14A19D3A">
            <w:pPr>
              <w:autoSpaceDE/>
              <w:autoSpaceDN/>
              <w:adjustRightInd/>
              <w:rPr>
                <w:rFonts w:hint="eastAsia" w:ascii="宋体" w:hAnsi="宋体" w:eastAsia="宋体" w:cs="宋体"/>
                <w:color w:val="auto"/>
                <w:highlight w:val="none"/>
                <w:shd w:val="clear" w:color="auto" w:fill="auto"/>
              </w:rPr>
            </w:pPr>
          </w:p>
        </w:tc>
        <w:tc>
          <w:tcPr>
            <w:tcW w:w="1562" w:type="dxa"/>
            <w:gridSpan w:val="2"/>
            <w:tcBorders>
              <w:top w:val="single" w:color="auto" w:sz="4" w:space="0"/>
              <w:left w:val="nil"/>
              <w:bottom w:val="single" w:color="auto" w:sz="4" w:space="0"/>
              <w:right w:val="single" w:color="auto" w:sz="4" w:space="0"/>
            </w:tcBorders>
            <w:noWrap/>
            <w:vAlign w:val="center"/>
          </w:tcPr>
          <w:p w14:paraId="38A11730">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技工</w:t>
            </w:r>
          </w:p>
        </w:tc>
        <w:tc>
          <w:tcPr>
            <w:tcW w:w="2379" w:type="dxa"/>
            <w:gridSpan w:val="2"/>
            <w:tcBorders>
              <w:top w:val="single" w:color="auto" w:sz="4" w:space="0"/>
              <w:left w:val="nil"/>
              <w:bottom w:val="single" w:color="auto" w:sz="4" w:space="0"/>
              <w:right w:val="single" w:color="auto" w:sz="4" w:space="0"/>
            </w:tcBorders>
            <w:noWrap/>
            <w:vAlign w:val="center"/>
          </w:tcPr>
          <w:p w14:paraId="51478D94">
            <w:pPr>
              <w:rPr>
                <w:rFonts w:hint="eastAsia" w:ascii="宋体" w:hAnsi="宋体" w:eastAsia="宋体" w:cs="宋体"/>
                <w:color w:val="auto"/>
                <w:highlight w:val="none"/>
                <w:shd w:val="clear" w:color="auto" w:fill="auto"/>
              </w:rPr>
            </w:pPr>
          </w:p>
        </w:tc>
      </w:tr>
      <w:tr w14:paraId="31D6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843" w:type="dxa"/>
            <w:tcBorders>
              <w:top w:val="single" w:color="auto" w:sz="4" w:space="0"/>
              <w:left w:val="single" w:color="auto" w:sz="4" w:space="0"/>
              <w:bottom w:val="single" w:color="auto" w:sz="4" w:space="0"/>
              <w:right w:val="single" w:color="auto" w:sz="4" w:space="0"/>
            </w:tcBorders>
            <w:noWrap/>
            <w:vAlign w:val="center"/>
          </w:tcPr>
          <w:p w14:paraId="68C04628">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经营范围备注</w:t>
            </w:r>
          </w:p>
        </w:tc>
        <w:tc>
          <w:tcPr>
            <w:tcW w:w="7343" w:type="dxa"/>
            <w:gridSpan w:val="7"/>
            <w:tcBorders>
              <w:top w:val="single" w:color="auto" w:sz="4" w:space="0"/>
              <w:left w:val="nil"/>
              <w:bottom w:val="single" w:color="auto" w:sz="4" w:space="0"/>
              <w:right w:val="single" w:color="auto" w:sz="4" w:space="0"/>
            </w:tcBorders>
            <w:noWrap/>
            <w:vAlign w:val="center"/>
          </w:tcPr>
          <w:p w14:paraId="0B53E10F">
            <w:pPr>
              <w:ind w:firstLine="420" w:firstLineChars="200"/>
              <w:rPr>
                <w:rFonts w:hint="eastAsia" w:ascii="宋体" w:hAnsi="宋体" w:eastAsia="宋体" w:cs="宋体"/>
                <w:color w:val="auto"/>
                <w:highlight w:val="none"/>
                <w:shd w:val="clear" w:color="auto" w:fill="auto"/>
              </w:rPr>
            </w:pPr>
          </w:p>
        </w:tc>
      </w:tr>
    </w:tbl>
    <w:p w14:paraId="3310B2BA">
      <w:pPr>
        <w:rPr>
          <w:rFonts w:hint="eastAsia" w:ascii="宋体" w:hAnsi="宋体" w:eastAsia="宋体" w:cs="宋体"/>
          <w:color w:val="auto"/>
          <w:highlight w:val="none"/>
          <w:shd w:val="clear" w:color="auto" w:fill="auto"/>
        </w:rPr>
      </w:pPr>
    </w:p>
    <w:p w14:paraId="029A1CC0">
      <w:pP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附营业执照等相关资</w:t>
      </w:r>
      <w:r>
        <w:rPr>
          <w:rFonts w:hint="eastAsia" w:ascii="宋体" w:hAnsi="宋体" w:eastAsia="宋体" w:cs="宋体"/>
          <w:color w:val="auto"/>
          <w:highlight w:val="none"/>
          <w:shd w:val="clear" w:color="auto" w:fill="auto"/>
        </w:rPr>
        <w:t>格审查资料。</w:t>
      </w:r>
    </w:p>
    <w:bookmarkEnd w:id="66"/>
    <w:sectPr>
      <w:footerReference r:id="rId21" w:type="default"/>
      <w:pgSz w:w="11907" w:h="16840"/>
      <w:pgMar w:top="1418" w:right="1559" w:bottom="1418" w:left="1474" w:header="0" w:footer="7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22506">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DA83F">
    <w:pPr>
      <w:spacing w:line="188" w:lineRule="auto"/>
      <w:ind w:left="4373"/>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11F126">
                          <w:pPr>
                            <w:pStyle w:val="1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5D11F126">
                    <w:pPr>
                      <w:pStyle w:val="1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1C319">
    <w:pPr>
      <w:spacing w:line="188" w:lineRule="auto"/>
      <w:ind w:left="4226"/>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FD4FE7">
                          <w:pPr>
                            <w:pStyle w:val="1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3CFD4FE7">
                    <w:pPr>
                      <w:pStyle w:val="1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9E173">
    <w:pPr>
      <w:spacing w:line="188" w:lineRule="auto"/>
      <w:ind w:left="4820"/>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84BEF8">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2384BEF8">
                    <w:pPr>
                      <w:pStyle w:val="1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B1A8D">
    <w:pPr>
      <w:spacing w:line="188" w:lineRule="auto"/>
      <w:ind w:left="4815"/>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9343BA">
                          <w:pPr>
                            <w:pStyle w:val="1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3E9343BA">
                    <w:pPr>
                      <w:pStyle w:val="1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E4FA6">
    <w:pPr>
      <w:spacing w:line="186" w:lineRule="auto"/>
      <w:ind w:left="4170"/>
      <w:rPr>
        <w:rFonts w:ascii="Calibri" w:hAnsi="Calibri" w:eastAsia="Calibri" w:cs="Calibri"/>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3D2ACB">
                          <w:pPr>
                            <w:pStyle w:val="1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0F3D2ACB">
                    <w:pPr>
                      <w:pStyle w:val="1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0CB50">
    <w:pPr>
      <w:spacing w:line="188" w:lineRule="auto"/>
      <w:ind w:left="4170"/>
      <w:rPr>
        <w:rFonts w:ascii="Calibri" w:hAnsi="Calibri" w:eastAsia="Calibri" w:cs="Calibri"/>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ACEF92">
                          <w:pPr>
                            <w:pStyle w:val="1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71ACEF92">
                    <w:pPr>
                      <w:pStyle w:val="1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40AAC">
    <w:pPr>
      <w:spacing w:line="188" w:lineRule="auto"/>
      <w:ind w:left="4466"/>
      <w:rPr>
        <w:rFonts w:ascii="Calibri" w:hAnsi="Calibri" w:eastAsia="Calibri" w:cs="Calibri"/>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DE9AC9">
                          <w:pPr>
                            <w:pStyle w:val="1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11DE9AC9">
                    <w:pPr>
                      <w:pStyle w:val="1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E3F1B">
    <w:pPr>
      <w:spacing w:line="188" w:lineRule="auto"/>
      <w:ind w:left="7337"/>
      <w:rPr>
        <w:rFonts w:ascii="Calibri" w:hAnsi="Calibri" w:eastAsia="Calibri" w:cs="Calibri"/>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2CBC07">
                          <w:pPr>
                            <w:pStyle w:val="1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14:paraId="342CBC07">
                    <w:pPr>
                      <w:pStyle w:val="1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A4775">
    <w:pPr>
      <w:spacing w:line="188" w:lineRule="auto"/>
      <w:ind w:left="4170"/>
      <w:rPr>
        <w:rFonts w:ascii="Calibri" w:hAnsi="Calibri" w:eastAsia="Calibri" w:cs="Calibri"/>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BF5A88">
                          <w:pPr>
                            <w:pStyle w:val="1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6CBF5A88">
                    <w:pPr>
                      <w:pStyle w:val="1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0063">
    <w:pPr>
      <w:spacing w:line="188" w:lineRule="auto"/>
      <w:ind w:left="4661"/>
      <w:rPr>
        <w:rFonts w:ascii="Calibri" w:hAnsi="Calibri" w:eastAsia="Calibri" w:cs="Calibri"/>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0895D4">
                          <w:pPr>
                            <w:pStyle w:val="1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Kux4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Kux4zAgAAZQQAAA4AAAAAAAAAAQAgAAAAHwEAAGRycy9lMm9Eb2MueG1sUEsF&#10;BgAAAAAGAAYAWQEAAMQFAAAAAA==&#10;">
              <v:fill on="f" focussize="0,0"/>
              <v:stroke on="f" weight="0.5pt"/>
              <v:imagedata o:title=""/>
              <o:lock v:ext="edit" aspectratio="f"/>
              <v:textbox inset="0mm,0mm,0mm,0mm" style="mso-fit-shape-to-text:t;">
                <w:txbxContent>
                  <w:p w14:paraId="300895D4">
                    <w:pPr>
                      <w:pStyle w:val="1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02866">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0778F">
    <w:pPr>
      <w:spacing w:line="187" w:lineRule="auto"/>
      <w:ind w:left="4413"/>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1EB53D">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OIvo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Ym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044i+jICAABjBAAADgAAAAAAAAABACAAAAAfAQAAZHJzL2Uyb0RvYy54bWxQSwUG&#10;AAAAAAYABgBZAQAAwwUAAAAA&#10;">
              <v:fill on="f" focussize="0,0"/>
              <v:stroke on="f" weight="0.5pt"/>
              <v:imagedata o:title=""/>
              <o:lock v:ext="edit" aspectratio="f"/>
              <v:textbox inset="0mm,0mm,0mm,0mm" style="mso-fit-shape-to-text:t;">
                <w:txbxContent>
                  <w:p w14:paraId="7B1EB53D">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165B">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CE9501">
                          <w:pPr>
                            <w:pStyle w:val="1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2oaIyAgAAY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NrSjRTaPj5+7fz&#10;j1/nn1/JV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sLkWRa2&#10;+tHyCB3l8XZ1CJAzqRxF6ZRAd+IBs5f61O9JHO4/zynq6b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fahojICAABjBAAADgAAAAAAAAABACAAAAAfAQAAZHJzL2Uyb0RvYy54bWxQSwUG&#10;AAAAAAYABgBZAQAAwwUAAAAA&#10;">
              <v:fill on="f" focussize="0,0"/>
              <v:stroke on="f" weight="0.5pt"/>
              <v:imagedata o:title=""/>
              <o:lock v:ext="edit" aspectratio="f"/>
              <v:textbox inset="0mm,0mm,0mm,0mm" style="mso-fit-shape-to-text:t;">
                <w:txbxContent>
                  <w:p w14:paraId="63CE9501">
                    <w:pPr>
                      <w:pStyle w:val="1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CE2CC">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44A647">
                          <w:pPr>
                            <w:pStyle w:val="1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zWjAx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nM1owMQIAAGMEAAAOAAAAAAAAAAEAIAAAAB8BAABkcnMvZTJvRG9jLnhtbFBLBQYA&#10;AAAABgAGAFkBAADCBQAAAAA=&#10;">
              <v:fill on="f" focussize="0,0"/>
              <v:stroke on="f" weight="0.5pt"/>
              <v:imagedata o:title=""/>
              <o:lock v:ext="edit" aspectratio="f"/>
              <v:textbox inset="0mm,0mm,0mm,0mm" style="mso-fit-shape-to-text:t;">
                <w:txbxContent>
                  <w:p w14:paraId="0E44A647">
                    <w:pPr>
                      <w:pStyle w:val="1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0BAB">
    <w:pPr>
      <w:spacing w:line="188" w:lineRule="auto"/>
      <w:ind w:left="4195"/>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93D5F2">
                          <w:pPr>
                            <w:pStyle w:val="1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uUsyAgAAYw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f65SzICAABjBAAADgAAAAAAAAABACAAAAAfAQAAZHJzL2Uyb0RvYy54bWxQSwUG&#10;AAAAAAYABgBZAQAAwwUAAAAA&#10;">
              <v:fill on="f" focussize="0,0"/>
              <v:stroke on="f" weight="0.5pt"/>
              <v:imagedata o:title=""/>
              <o:lock v:ext="edit" aspectratio="f"/>
              <v:textbox inset="0mm,0mm,0mm,0mm" style="mso-fit-shape-to-text:t;">
                <w:txbxContent>
                  <w:p w14:paraId="0193D5F2">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9E27C">
    <w:pPr>
      <w:spacing w:line="188" w:lineRule="auto"/>
      <w:ind w:left="4373"/>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4DC731">
                          <w:pPr>
                            <w:pStyle w:val="1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2v9QIx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dr/UCMQIAAGMEAAAOAAAAAAAAAAEAIAAAAB8BAABkcnMvZTJvRG9jLnhtbFBLBQYA&#10;AAAABgAGAFkBAADCBQAAAAA=&#10;">
              <v:fill on="f" focussize="0,0"/>
              <v:stroke on="f" weight="0.5pt"/>
              <v:imagedata o:title=""/>
              <o:lock v:ext="edit" aspectratio="f"/>
              <v:textbox inset="0mm,0mm,0mm,0mm" style="mso-fit-shape-to-text:t;">
                <w:txbxContent>
                  <w:p w14:paraId="354DC731">
                    <w:pPr>
                      <w:pStyle w:val="1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CD0C">
    <w:pPr>
      <w:spacing w:line="188" w:lineRule="auto"/>
      <w:ind w:left="4829"/>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67A5DA">
                          <w:pPr>
                            <w:pStyle w:val="1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4E67A5DA">
                    <w:pPr>
                      <w:pStyle w:val="1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5BD49">
    <w:pPr>
      <w:spacing w:line="188" w:lineRule="auto"/>
      <w:ind w:left="4373"/>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F4CFDA">
                          <w:pPr>
                            <w:pStyle w:val="1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41F4CFDA">
                    <w:pPr>
                      <w:pStyle w:val="1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7ABE8"/>
    <w:multiLevelType w:val="multilevel"/>
    <w:tmpl w:val="8E97ABE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1897F75"/>
    <w:multiLevelType w:val="multilevel"/>
    <w:tmpl w:val="91897F7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4D5F9EA"/>
    <w:multiLevelType w:val="singleLevel"/>
    <w:tmpl w:val="94D5F9EA"/>
    <w:lvl w:ilvl="0" w:tentative="0">
      <w:start w:val="1"/>
      <w:numFmt w:val="decimalEnclosedCircleChinese"/>
      <w:suff w:val="nothing"/>
      <w:lvlText w:val="%1　"/>
      <w:lvlJc w:val="left"/>
      <w:pPr>
        <w:ind w:left="0" w:firstLine="400"/>
      </w:pPr>
      <w:rPr>
        <w:rFonts w:hint="eastAsia"/>
      </w:rPr>
    </w:lvl>
  </w:abstractNum>
  <w:abstractNum w:abstractNumId="3">
    <w:nsid w:val="B312462B"/>
    <w:multiLevelType w:val="multilevel"/>
    <w:tmpl w:val="B312462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B8AF9A10"/>
    <w:multiLevelType w:val="multilevel"/>
    <w:tmpl w:val="B8AF9A1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D0E4F85C"/>
    <w:multiLevelType w:val="singleLevel"/>
    <w:tmpl w:val="D0E4F85C"/>
    <w:lvl w:ilvl="0" w:tentative="0">
      <w:start w:val="1"/>
      <w:numFmt w:val="decimal"/>
      <w:pStyle w:val="12"/>
      <w:lvlText w:val="%1."/>
      <w:lvlJc w:val="left"/>
      <w:pPr>
        <w:tabs>
          <w:tab w:val="left" w:pos="1200"/>
        </w:tabs>
        <w:ind w:left="1200" w:hanging="360"/>
      </w:pPr>
    </w:lvl>
  </w:abstractNum>
  <w:abstractNum w:abstractNumId="6">
    <w:nsid w:val="DFFB0F7C"/>
    <w:multiLevelType w:val="singleLevel"/>
    <w:tmpl w:val="DFFB0F7C"/>
    <w:lvl w:ilvl="0" w:tentative="0">
      <w:start w:val="1"/>
      <w:numFmt w:val="decimal"/>
      <w:suff w:val="nothing"/>
      <w:lvlText w:val="（%1）"/>
      <w:lvlJc w:val="left"/>
    </w:lvl>
  </w:abstractNum>
  <w:abstractNum w:abstractNumId="7">
    <w:nsid w:val="FF7103CC"/>
    <w:multiLevelType w:val="singleLevel"/>
    <w:tmpl w:val="FF7103CC"/>
    <w:lvl w:ilvl="0" w:tentative="0">
      <w:start w:val="1"/>
      <w:numFmt w:val="decimalEnclosedCircleChinese"/>
      <w:suff w:val="nothing"/>
      <w:lvlText w:val="%1　"/>
      <w:lvlJc w:val="left"/>
      <w:pPr>
        <w:ind w:left="0" w:firstLine="400"/>
      </w:pPr>
      <w:rPr>
        <w:rFonts w:hint="eastAsia"/>
      </w:rPr>
    </w:lvl>
  </w:abstractNum>
  <w:abstractNum w:abstractNumId="8">
    <w:nsid w:val="0187D8E0"/>
    <w:multiLevelType w:val="singleLevel"/>
    <w:tmpl w:val="0187D8E0"/>
    <w:lvl w:ilvl="0" w:tentative="0">
      <w:start w:val="1"/>
      <w:numFmt w:val="decimal"/>
      <w:pStyle w:val="6"/>
      <w:lvlText w:val="%1."/>
      <w:lvlJc w:val="left"/>
      <w:pPr>
        <w:tabs>
          <w:tab w:val="left" w:pos="780"/>
        </w:tabs>
        <w:ind w:left="780" w:hanging="360"/>
      </w:pPr>
    </w:lvl>
  </w:abstractNum>
  <w:abstractNum w:abstractNumId="9">
    <w:nsid w:val="05D361DB"/>
    <w:multiLevelType w:val="multilevel"/>
    <w:tmpl w:val="05D361D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11DD1FA8"/>
    <w:multiLevelType w:val="multilevel"/>
    <w:tmpl w:val="11DD1FA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18E0F388"/>
    <w:multiLevelType w:val="singleLevel"/>
    <w:tmpl w:val="18E0F388"/>
    <w:lvl w:ilvl="0" w:tentative="0">
      <w:start w:val="1"/>
      <w:numFmt w:val="decimal"/>
      <w:lvlText w:val="%1)"/>
      <w:lvlJc w:val="left"/>
      <w:pPr>
        <w:ind w:left="425" w:hanging="425"/>
      </w:pPr>
      <w:rPr>
        <w:rFonts w:hint="default"/>
      </w:rPr>
    </w:lvl>
  </w:abstractNum>
  <w:abstractNum w:abstractNumId="12">
    <w:nsid w:val="2AB30BDE"/>
    <w:multiLevelType w:val="singleLevel"/>
    <w:tmpl w:val="2AB30BDE"/>
    <w:lvl w:ilvl="0" w:tentative="0">
      <w:start w:val="1"/>
      <w:numFmt w:val="decimalEnclosedCircleChinese"/>
      <w:suff w:val="nothing"/>
      <w:lvlText w:val="%1　"/>
      <w:lvlJc w:val="left"/>
      <w:pPr>
        <w:ind w:left="0" w:firstLine="400"/>
      </w:pPr>
      <w:rPr>
        <w:rFonts w:hint="eastAsia"/>
      </w:rPr>
    </w:lvl>
  </w:abstractNum>
  <w:abstractNum w:abstractNumId="13">
    <w:nsid w:val="443D1D99"/>
    <w:multiLevelType w:val="multilevel"/>
    <w:tmpl w:val="443D1D9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60370AB1"/>
    <w:multiLevelType w:val="multilevel"/>
    <w:tmpl w:val="60370AB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79D85C27"/>
    <w:multiLevelType w:val="multilevel"/>
    <w:tmpl w:val="79D85C2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7C958666"/>
    <w:multiLevelType w:val="multilevel"/>
    <w:tmpl w:val="7C95866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7E68505E"/>
    <w:multiLevelType w:val="singleLevel"/>
    <w:tmpl w:val="7E68505E"/>
    <w:lvl w:ilvl="0" w:tentative="0">
      <w:start w:val="1"/>
      <w:numFmt w:val="decimalEnclosedCircleChinese"/>
      <w:suff w:val="nothing"/>
      <w:lvlText w:val="%1　"/>
      <w:lvlJc w:val="left"/>
      <w:pPr>
        <w:ind w:left="0" w:firstLine="400"/>
      </w:pPr>
      <w:rPr>
        <w:rFonts w:hint="eastAsia"/>
      </w:rPr>
    </w:lvl>
  </w:abstractNum>
  <w:num w:numId="1">
    <w:abstractNumId w:val="8"/>
  </w:num>
  <w:num w:numId="2">
    <w:abstractNumId w:val="5"/>
  </w:num>
  <w:num w:numId="3">
    <w:abstractNumId w:val="6"/>
  </w:num>
  <w:num w:numId="4">
    <w:abstractNumId w:val="7"/>
  </w:num>
  <w:num w:numId="5">
    <w:abstractNumId w:val="17"/>
  </w:num>
  <w:num w:numId="6">
    <w:abstractNumId w:val="12"/>
  </w:num>
  <w:num w:numId="7">
    <w:abstractNumId w:val="2"/>
  </w:num>
  <w:num w:numId="8">
    <w:abstractNumId w:val="11"/>
  </w:num>
  <w:num w:numId="9">
    <w:abstractNumId w:val="1"/>
  </w:num>
  <w:num w:numId="10">
    <w:abstractNumId w:val="0"/>
  </w:num>
  <w:num w:numId="11">
    <w:abstractNumId w:val="3"/>
  </w:num>
  <w:num w:numId="12">
    <w:abstractNumId w:val="13"/>
  </w:num>
  <w:num w:numId="13">
    <w:abstractNumId w:val="10"/>
  </w:num>
  <w:num w:numId="14">
    <w:abstractNumId w:val="4"/>
  </w:num>
  <w:num w:numId="15">
    <w:abstractNumId w:val="14"/>
  </w:num>
  <w:num w:numId="16">
    <w:abstractNumId w:val="15"/>
  </w:num>
  <w:num w:numId="17">
    <w:abstractNumId w:val="16"/>
  </w:num>
  <w:num w:numId="1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rson w15:author="XH">
    <w15:presenceInfo w15:providerId="None" w15:userId="X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doNotCompress"/>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NjA5ZjFmMTIzMDExYmU3OTJkYTIwZTcyZmIzM2EifQ=="/>
  </w:docVars>
  <w:rsids>
    <w:rsidRoot w:val="00702EC5"/>
    <w:rsid w:val="00013654"/>
    <w:rsid w:val="00055130"/>
    <w:rsid w:val="00060497"/>
    <w:rsid w:val="00064B23"/>
    <w:rsid w:val="00074692"/>
    <w:rsid w:val="000A6356"/>
    <w:rsid w:val="000B3A92"/>
    <w:rsid w:val="000E44F2"/>
    <w:rsid w:val="000E4CB5"/>
    <w:rsid w:val="000F6453"/>
    <w:rsid w:val="00113FF6"/>
    <w:rsid w:val="00141809"/>
    <w:rsid w:val="00165366"/>
    <w:rsid w:val="00186BF0"/>
    <w:rsid w:val="00195915"/>
    <w:rsid w:val="001B77A0"/>
    <w:rsid w:val="001C2B10"/>
    <w:rsid w:val="001C3966"/>
    <w:rsid w:val="001E4522"/>
    <w:rsid w:val="001E675A"/>
    <w:rsid w:val="001E69D3"/>
    <w:rsid w:val="002117B2"/>
    <w:rsid w:val="00211E3B"/>
    <w:rsid w:val="002235CA"/>
    <w:rsid w:val="00224277"/>
    <w:rsid w:val="0023617D"/>
    <w:rsid w:val="002363AC"/>
    <w:rsid w:val="00237A6E"/>
    <w:rsid w:val="002721BB"/>
    <w:rsid w:val="0027596A"/>
    <w:rsid w:val="00285F6C"/>
    <w:rsid w:val="00295364"/>
    <w:rsid w:val="002C3AC3"/>
    <w:rsid w:val="002F1197"/>
    <w:rsid w:val="002F16F5"/>
    <w:rsid w:val="002F1733"/>
    <w:rsid w:val="002F4D4C"/>
    <w:rsid w:val="00310156"/>
    <w:rsid w:val="0031567A"/>
    <w:rsid w:val="003340F8"/>
    <w:rsid w:val="00336164"/>
    <w:rsid w:val="00352B65"/>
    <w:rsid w:val="003550AC"/>
    <w:rsid w:val="00363B93"/>
    <w:rsid w:val="003A5A8B"/>
    <w:rsid w:val="003B2432"/>
    <w:rsid w:val="003B4F63"/>
    <w:rsid w:val="003C3100"/>
    <w:rsid w:val="003C57EF"/>
    <w:rsid w:val="003E2060"/>
    <w:rsid w:val="003E6637"/>
    <w:rsid w:val="003F7FF4"/>
    <w:rsid w:val="00404B6B"/>
    <w:rsid w:val="00442846"/>
    <w:rsid w:val="004534ED"/>
    <w:rsid w:val="004744D6"/>
    <w:rsid w:val="004857AB"/>
    <w:rsid w:val="004A40FC"/>
    <w:rsid w:val="004A5C0A"/>
    <w:rsid w:val="004B321D"/>
    <w:rsid w:val="004B63E0"/>
    <w:rsid w:val="004D6462"/>
    <w:rsid w:val="004E1221"/>
    <w:rsid w:val="00505F50"/>
    <w:rsid w:val="00517719"/>
    <w:rsid w:val="0052392E"/>
    <w:rsid w:val="00535583"/>
    <w:rsid w:val="0055058D"/>
    <w:rsid w:val="0055651A"/>
    <w:rsid w:val="00596F50"/>
    <w:rsid w:val="005974DB"/>
    <w:rsid w:val="005B1814"/>
    <w:rsid w:val="005E46AE"/>
    <w:rsid w:val="005F7FCB"/>
    <w:rsid w:val="006237C7"/>
    <w:rsid w:val="00633E75"/>
    <w:rsid w:val="00637A03"/>
    <w:rsid w:val="00661ADD"/>
    <w:rsid w:val="006629CA"/>
    <w:rsid w:val="006629E1"/>
    <w:rsid w:val="00664EC4"/>
    <w:rsid w:val="00665145"/>
    <w:rsid w:val="00695F6A"/>
    <w:rsid w:val="006A202E"/>
    <w:rsid w:val="006A2DDD"/>
    <w:rsid w:val="006A4113"/>
    <w:rsid w:val="006A4998"/>
    <w:rsid w:val="006B5715"/>
    <w:rsid w:val="006C5E78"/>
    <w:rsid w:val="006C62F2"/>
    <w:rsid w:val="00702EC5"/>
    <w:rsid w:val="00707744"/>
    <w:rsid w:val="00707EEE"/>
    <w:rsid w:val="007369E8"/>
    <w:rsid w:val="00761332"/>
    <w:rsid w:val="007854FB"/>
    <w:rsid w:val="007A29CA"/>
    <w:rsid w:val="007D5CB5"/>
    <w:rsid w:val="007D6130"/>
    <w:rsid w:val="007D733A"/>
    <w:rsid w:val="0081079F"/>
    <w:rsid w:val="00844A95"/>
    <w:rsid w:val="00845837"/>
    <w:rsid w:val="00851C97"/>
    <w:rsid w:val="00854820"/>
    <w:rsid w:val="00881540"/>
    <w:rsid w:val="008D3ED5"/>
    <w:rsid w:val="00914972"/>
    <w:rsid w:val="0092089C"/>
    <w:rsid w:val="00924094"/>
    <w:rsid w:val="00942A60"/>
    <w:rsid w:val="00953DA3"/>
    <w:rsid w:val="0097383F"/>
    <w:rsid w:val="00973FB8"/>
    <w:rsid w:val="0097490A"/>
    <w:rsid w:val="00996B87"/>
    <w:rsid w:val="009B0DEE"/>
    <w:rsid w:val="009C337D"/>
    <w:rsid w:val="009D1D05"/>
    <w:rsid w:val="009D78B5"/>
    <w:rsid w:val="009E03DA"/>
    <w:rsid w:val="009E0AF8"/>
    <w:rsid w:val="009E42B7"/>
    <w:rsid w:val="00A200B0"/>
    <w:rsid w:val="00A54ED8"/>
    <w:rsid w:val="00A570A3"/>
    <w:rsid w:val="00A656E6"/>
    <w:rsid w:val="00A80CD8"/>
    <w:rsid w:val="00AA5562"/>
    <w:rsid w:val="00AA603F"/>
    <w:rsid w:val="00AC51F4"/>
    <w:rsid w:val="00AC544D"/>
    <w:rsid w:val="00AC5EB2"/>
    <w:rsid w:val="00AD43DB"/>
    <w:rsid w:val="00AD5BBD"/>
    <w:rsid w:val="00AF4B12"/>
    <w:rsid w:val="00AF621B"/>
    <w:rsid w:val="00B062A7"/>
    <w:rsid w:val="00B17FC1"/>
    <w:rsid w:val="00B23CD9"/>
    <w:rsid w:val="00B27DBE"/>
    <w:rsid w:val="00B3096B"/>
    <w:rsid w:val="00B3153B"/>
    <w:rsid w:val="00B36BE4"/>
    <w:rsid w:val="00B42DD7"/>
    <w:rsid w:val="00B56EE0"/>
    <w:rsid w:val="00B65DB0"/>
    <w:rsid w:val="00B8171D"/>
    <w:rsid w:val="00B8778E"/>
    <w:rsid w:val="00B93FE8"/>
    <w:rsid w:val="00B94061"/>
    <w:rsid w:val="00BA2D12"/>
    <w:rsid w:val="00BC6842"/>
    <w:rsid w:val="00BD64EE"/>
    <w:rsid w:val="00BF0E19"/>
    <w:rsid w:val="00C0077D"/>
    <w:rsid w:val="00C0176B"/>
    <w:rsid w:val="00C135C9"/>
    <w:rsid w:val="00C223D0"/>
    <w:rsid w:val="00C4692C"/>
    <w:rsid w:val="00C92566"/>
    <w:rsid w:val="00C95E01"/>
    <w:rsid w:val="00CB45B8"/>
    <w:rsid w:val="00CC0E0C"/>
    <w:rsid w:val="00CF6F87"/>
    <w:rsid w:val="00D15922"/>
    <w:rsid w:val="00D24FF0"/>
    <w:rsid w:val="00D30C95"/>
    <w:rsid w:val="00D348D5"/>
    <w:rsid w:val="00D42191"/>
    <w:rsid w:val="00D42ECF"/>
    <w:rsid w:val="00D44B95"/>
    <w:rsid w:val="00D50A34"/>
    <w:rsid w:val="00D55A1B"/>
    <w:rsid w:val="00D60E98"/>
    <w:rsid w:val="00D6553D"/>
    <w:rsid w:val="00D70859"/>
    <w:rsid w:val="00D72134"/>
    <w:rsid w:val="00D8309E"/>
    <w:rsid w:val="00D93FD8"/>
    <w:rsid w:val="00D96289"/>
    <w:rsid w:val="00DB199B"/>
    <w:rsid w:val="00DB3DF9"/>
    <w:rsid w:val="00DD773A"/>
    <w:rsid w:val="00DE725A"/>
    <w:rsid w:val="00E230ED"/>
    <w:rsid w:val="00E2643D"/>
    <w:rsid w:val="00E2659F"/>
    <w:rsid w:val="00E32D5A"/>
    <w:rsid w:val="00E44905"/>
    <w:rsid w:val="00E77AEE"/>
    <w:rsid w:val="00EA368A"/>
    <w:rsid w:val="00EA40E8"/>
    <w:rsid w:val="00EA672E"/>
    <w:rsid w:val="00EC25C7"/>
    <w:rsid w:val="00ED3341"/>
    <w:rsid w:val="00EF0426"/>
    <w:rsid w:val="00F3189B"/>
    <w:rsid w:val="00F323A3"/>
    <w:rsid w:val="00F55E9F"/>
    <w:rsid w:val="00F565CB"/>
    <w:rsid w:val="00F76805"/>
    <w:rsid w:val="00F83E99"/>
    <w:rsid w:val="00F97B09"/>
    <w:rsid w:val="00FD5E49"/>
    <w:rsid w:val="00FD6761"/>
    <w:rsid w:val="00FE00D0"/>
    <w:rsid w:val="00FE1A17"/>
    <w:rsid w:val="00FE4755"/>
    <w:rsid w:val="00FF4145"/>
    <w:rsid w:val="00FF4B2D"/>
    <w:rsid w:val="01011DA1"/>
    <w:rsid w:val="01052A5E"/>
    <w:rsid w:val="0127533C"/>
    <w:rsid w:val="012E1D7E"/>
    <w:rsid w:val="012F41F1"/>
    <w:rsid w:val="01323CE1"/>
    <w:rsid w:val="014F4893"/>
    <w:rsid w:val="015974C0"/>
    <w:rsid w:val="016A5229"/>
    <w:rsid w:val="017B777B"/>
    <w:rsid w:val="01910A08"/>
    <w:rsid w:val="019422A6"/>
    <w:rsid w:val="019C71B0"/>
    <w:rsid w:val="019E4ED3"/>
    <w:rsid w:val="01AC75F0"/>
    <w:rsid w:val="01B34E22"/>
    <w:rsid w:val="01B36BD0"/>
    <w:rsid w:val="01D35FC9"/>
    <w:rsid w:val="01D64ED1"/>
    <w:rsid w:val="01EA0118"/>
    <w:rsid w:val="025D4D8E"/>
    <w:rsid w:val="027838F4"/>
    <w:rsid w:val="02816CCE"/>
    <w:rsid w:val="028642E4"/>
    <w:rsid w:val="029307AF"/>
    <w:rsid w:val="02A62291"/>
    <w:rsid w:val="02BD4A0E"/>
    <w:rsid w:val="02D908B8"/>
    <w:rsid w:val="02E1151B"/>
    <w:rsid w:val="02EE59E6"/>
    <w:rsid w:val="03190CB5"/>
    <w:rsid w:val="03217B69"/>
    <w:rsid w:val="03304250"/>
    <w:rsid w:val="033124A2"/>
    <w:rsid w:val="03411FB9"/>
    <w:rsid w:val="03435D32"/>
    <w:rsid w:val="034675D0"/>
    <w:rsid w:val="034F0B7A"/>
    <w:rsid w:val="035C5D76"/>
    <w:rsid w:val="03661A20"/>
    <w:rsid w:val="036F4D79"/>
    <w:rsid w:val="037B54CB"/>
    <w:rsid w:val="03B22EB7"/>
    <w:rsid w:val="03B64756"/>
    <w:rsid w:val="03C350C4"/>
    <w:rsid w:val="03CA0201"/>
    <w:rsid w:val="03CE5F43"/>
    <w:rsid w:val="03D1333D"/>
    <w:rsid w:val="03E219EE"/>
    <w:rsid w:val="03E868D9"/>
    <w:rsid w:val="04117BDE"/>
    <w:rsid w:val="04310280"/>
    <w:rsid w:val="043F299D"/>
    <w:rsid w:val="04714B20"/>
    <w:rsid w:val="047C7A95"/>
    <w:rsid w:val="049D5915"/>
    <w:rsid w:val="04A46CA4"/>
    <w:rsid w:val="04B070B1"/>
    <w:rsid w:val="04BF588C"/>
    <w:rsid w:val="04C52EB3"/>
    <w:rsid w:val="04E90B5B"/>
    <w:rsid w:val="0514432D"/>
    <w:rsid w:val="05452235"/>
    <w:rsid w:val="05467D5B"/>
    <w:rsid w:val="056D353A"/>
    <w:rsid w:val="05746676"/>
    <w:rsid w:val="05860158"/>
    <w:rsid w:val="059705B7"/>
    <w:rsid w:val="059E36F3"/>
    <w:rsid w:val="05A21435"/>
    <w:rsid w:val="05A94AB8"/>
    <w:rsid w:val="05AA653C"/>
    <w:rsid w:val="05AC4062"/>
    <w:rsid w:val="05BC1DCB"/>
    <w:rsid w:val="05C07B0D"/>
    <w:rsid w:val="05D62E8D"/>
    <w:rsid w:val="06093262"/>
    <w:rsid w:val="060C2D53"/>
    <w:rsid w:val="06391410"/>
    <w:rsid w:val="068154EF"/>
    <w:rsid w:val="06913258"/>
    <w:rsid w:val="069D39AB"/>
    <w:rsid w:val="06CE1DB6"/>
    <w:rsid w:val="06D373CC"/>
    <w:rsid w:val="06E30A67"/>
    <w:rsid w:val="06E93094"/>
    <w:rsid w:val="06E96BF0"/>
    <w:rsid w:val="071D4AEC"/>
    <w:rsid w:val="072B545A"/>
    <w:rsid w:val="07322345"/>
    <w:rsid w:val="074C16C1"/>
    <w:rsid w:val="07577971"/>
    <w:rsid w:val="077E558A"/>
    <w:rsid w:val="07832BA1"/>
    <w:rsid w:val="07911761"/>
    <w:rsid w:val="07990616"/>
    <w:rsid w:val="07A019A5"/>
    <w:rsid w:val="07A174CB"/>
    <w:rsid w:val="07C02047"/>
    <w:rsid w:val="07E61381"/>
    <w:rsid w:val="08314CF2"/>
    <w:rsid w:val="086E7FA8"/>
    <w:rsid w:val="087B7D1C"/>
    <w:rsid w:val="08907C6B"/>
    <w:rsid w:val="089963F4"/>
    <w:rsid w:val="08AF5C17"/>
    <w:rsid w:val="08BB636A"/>
    <w:rsid w:val="08C416C3"/>
    <w:rsid w:val="08C4218D"/>
    <w:rsid w:val="08C449B7"/>
    <w:rsid w:val="08D12032"/>
    <w:rsid w:val="08D13DE0"/>
    <w:rsid w:val="08DF474E"/>
    <w:rsid w:val="08EC0C19"/>
    <w:rsid w:val="09061CDB"/>
    <w:rsid w:val="095F13EB"/>
    <w:rsid w:val="097053A7"/>
    <w:rsid w:val="09774987"/>
    <w:rsid w:val="097C3D4B"/>
    <w:rsid w:val="098A46BA"/>
    <w:rsid w:val="09A6701A"/>
    <w:rsid w:val="09BC4A90"/>
    <w:rsid w:val="09C13E54"/>
    <w:rsid w:val="09D5317B"/>
    <w:rsid w:val="09E3201C"/>
    <w:rsid w:val="09ED4C49"/>
    <w:rsid w:val="09F2225F"/>
    <w:rsid w:val="0A1B3564"/>
    <w:rsid w:val="0A3F2D93"/>
    <w:rsid w:val="0A40746F"/>
    <w:rsid w:val="0A5E78F5"/>
    <w:rsid w:val="0A681C3B"/>
    <w:rsid w:val="0A6C2012"/>
    <w:rsid w:val="0A7809B7"/>
    <w:rsid w:val="0AB3379D"/>
    <w:rsid w:val="0AD17E5F"/>
    <w:rsid w:val="0AF85654"/>
    <w:rsid w:val="0AFD710E"/>
    <w:rsid w:val="0B097BE1"/>
    <w:rsid w:val="0B1F52D6"/>
    <w:rsid w:val="0B424B21"/>
    <w:rsid w:val="0B723658"/>
    <w:rsid w:val="0B7E024F"/>
    <w:rsid w:val="0B84338B"/>
    <w:rsid w:val="0B867103"/>
    <w:rsid w:val="0B8E420A"/>
    <w:rsid w:val="0B955598"/>
    <w:rsid w:val="0BED0F30"/>
    <w:rsid w:val="0C061FF2"/>
    <w:rsid w:val="0C06291C"/>
    <w:rsid w:val="0C252478"/>
    <w:rsid w:val="0C3C3C66"/>
    <w:rsid w:val="0C3E353A"/>
    <w:rsid w:val="0C6311F3"/>
    <w:rsid w:val="0C843ED8"/>
    <w:rsid w:val="0C8C0749"/>
    <w:rsid w:val="0C8D69A8"/>
    <w:rsid w:val="0C913FB2"/>
    <w:rsid w:val="0CA02447"/>
    <w:rsid w:val="0CD36378"/>
    <w:rsid w:val="0CD81BE1"/>
    <w:rsid w:val="0CDD2D53"/>
    <w:rsid w:val="0CEA4DAF"/>
    <w:rsid w:val="0CEC743A"/>
    <w:rsid w:val="0CF14A50"/>
    <w:rsid w:val="0D044784"/>
    <w:rsid w:val="0D1F336B"/>
    <w:rsid w:val="0D466B4A"/>
    <w:rsid w:val="0D5374B9"/>
    <w:rsid w:val="0D841421"/>
    <w:rsid w:val="0DA23DAC"/>
    <w:rsid w:val="0DA6583B"/>
    <w:rsid w:val="0DAB2E51"/>
    <w:rsid w:val="0DC857B1"/>
    <w:rsid w:val="0E06277D"/>
    <w:rsid w:val="0E1852B8"/>
    <w:rsid w:val="0E23781C"/>
    <w:rsid w:val="0E2A15BE"/>
    <w:rsid w:val="0E321257"/>
    <w:rsid w:val="0E325320"/>
    <w:rsid w:val="0E76345F"/>
    <w:rsid w:val="0E8A0CB9"/>
    <w:rsid w:val="0ED87C76"/>
    <w:rsid w:val="0EE77EB9"/>
    <w:rsid w:val="0EEA1757"/>
    <w:rsid w:val="0F156190"/>
    <w:rsid w:val="0F3A0931"/>
    <w:rsid w:val="0F490B74"/>
    <w:rsid w:val="0F59545C"/>
    <w:rsid w:val="0F7F6343"/>
    <w:rsid w:val="0F926D2E"/>
    <w:rsid w:val="0F9C5147"/>
    <w:rsid w:val="0FA67D74"/>
    <w:rsid w:val="0FA81EC1"/>
    <w:rsid w:val="0FA91612"/>
    <w:rsid w:val="0FAA6444"/>
    <w:rsid w:val="0FC401FA"/>
    <w:rsid w:val="0FCE72CB"/>
    <w:rsid w:val="0FD83CA6"/>
    <w:rsid w:val="0FFD54BA"/>
    <w:rsid w:val="1001144E"/>
    <w:rsid w:val="100D394F"/>
    <w:rsid w:val="1018381D"/>
    <w:rsid w:val="103B4960"/>
    <w:rsid w:val="103E61FE"/>
    <w:rsid w:val="10594DE6"/>
    <w:rsid w:val="10757746"/>
    <w:rsid w:val="107C1126"/>
    <w:rsid w:val="10881228"/>
    <w:rsid w:val="108A1444"/>
    <w:rsid w:val="108D683E"/>
    <w:rsid w:val="109D1177"/>
    <w:rsid w:val="10AC13BA"/>
    <w:rsid w:val="10D64689"/>
    <w:rsid w:val="10D821AF"/>
    <w:rsid w:val="10DD77C5"/>
    <w:rsid w:val="10E70B80"/>
    <w:rsid w:val="10EE1DD4"/>
    <w:rsid w:val="10F60887"/>
    <w:rsid w:val="10FB5E9E"/>
    <w:rsid w:val="10FE07A7"/>
    <w:rsid w:val="11365128"/>
    <w:rsid w:val="113969C6"/>
    <w:rsid w:val="11513D10"/>
    <w:rsid w:val="11716160"/>
    <w:rsid w:val="11902A8A"/>
    <w:rsid w:val="119B31DD"/>
    <w:rsid w:val="11B83D8F"/>
    <w:rsid w:val="11C646FD"/>
    <w:rsid w:val="11DC7A7D"/>
    <w:rsid w:val="121216F1"/>
    <w:rsid w:val="12152F8F"/>
    <w:rsid w:val="121A67F7"/>
    <w:rsid w:val="122136E2"/>
    <w:rsid w:val="123258EF"/>
    <w:rsid w:val="12463148"/>
    <w:rsid w:val="12577104"/>
    <w:rsid w:val="125E0568"/>
    <w:rsid w:val="12706417"/>
    <w:rsid w:val="1289059B"/>
    <w:rsid w:val="129640D0"/>
    <w:rsid w:val="129A3494"/>
    <w:rsid w:val="129F5349"/>
    <w:rsid w:val="12A44358"/>
    <w:rsid w:val="12A460C1"/>
    <w:rsid w:val="12B47E12"/>
    <w:rsid w:val="12B50826"/>
    <w:rsid w:val="12BE7183"/>
    <w:rsid w:val="12BF28F8"/>
    <w:rsid w:val="12D60970"/>
    <w:rsid w:val="13082455"/>
    <w:rsid w:val="132711CC"/>
    <w:rsid w:val="134578A4"/>
    <w:rsid w:val="135E44C2"/>
    <w:rsid w:val="136A10B9"/>
    <w:rsid w:val="136F3130"/>
    <w:rsid w:val="138F28CD"/>
    <w:rsid w:val="13A10F7E"/>
    <w:rsid w:val="13B3480E"/>
    <w:rsid w:val="13B50586"/>
    <w:rsid w:val="13CE7899"/>
    <w:rsid w:val="13D1528B"/>
    <w:rsid w:val="13D761D1"/>
    <w:rsid w:val="13DC1FB6"/>
    <w:rsid w:val="13E9022F"/>
    <w:rsid w:val="140A090B"/>
    <w:rsid w:val="142E20E6"/>
    <w:rsid w:val="143376FC"/>
    <w:rsid w:val="14431FCC"/>
    <w:rsid w:val="14667AD2"/>
    <w:rsid w:val="14812B5E"/>
    <w:rsid w:val="14A23938"/>
    <w:rsid w:val="14A45A4F"/>
    <w:rsid w:val="14A979BF"/>
    <w:rsid w:val="14B7032D"/>
    <w:rsid w:val="14C60571"/>
    <w:rsid w:val="14C802F8"/>
    <w:rsid w:val="14D40EDF"/>
    <w:rsid w:val="14E86739"/>
    <w:rsid w:val="151C682B"/>
    <w:rsid w:val="154C316C"/>
    <w:rsid w:val="15966195"/>
    <w:rsid w:val="159E4343"/>
    <w:rsid w:val="159F14ED"/>
    <w:rsid w:val="15C56A7A"/>
    <w:rsid w:val="15DA0777"/>
    <w:rsid w:val="15F1577D"/>
    <w:rsid w:val="160457F4"/>
    <w:rsid w:val="16070E41"/>
    <w:rsid w:val="16227A29"/>
    <w:rsid w:val="16302145"/>
    <w:rsid w:val="163836F0"/>
    <w:rsid w:val="165F6ECF"/>
    <w:rsid w:val="16610551"/>
    <w:rsid w:val="16685D83"/>
    <w:rsid w:val="1682323F"/>
    <w:rsid w:val="16857815"/>
    <w:rsid w:val="168D3A3C"/>
    <w:rsid w:val="16AB5C70"/>
    <w:rsid w:val="16B17C2B"/>
    <w:rsid w:val="16B965DF"/>
    <w:rsid w:val="16CC508A"/>
    <w:rsid w:val="16D00D56"/>
    <w:rsid w:val="16DE1BA1"/>
    <w:rsid w:val="1706734A"/>
    <w:rsid w:val="174F2A9F"/>
    <w:rsid w:val="175A34BD"/>
    <w:rsid w:val="175C51BC"/>
    <w:rsid w:val="17602EFE"/>
    <w:rsid w:val="177B1AE6"/>
    <w:rsid w:val="178564C1"/>
    <w:rsid w:val="179606CE"/>
    <w:rsid w:val="17A2005D"/>
    <w:rsid w:val="17A96653"/>
    <w:rsid w:val="17B31280"/>
    <w:rsid w:val="17EB23A8"/>
    <w:rsid w:val="18351C95"/>
    <w:rsid w:val="183B3024"/>
    <w:rsid w:val="18475E6C"/>
    <w:rsid w:val="18754787"/>
    <w:rsid w:val="18786026"/>
    <w:rsid w:val="187B091F"/>
    <w:rsid w:val="1881312C"/>
    <w:rsid w:val="18925339"/>
    <w:rsid w:val="18950986"/>
    <w:rsid w:val="18AA2E4C"/>
    <w:rsid w:val="18B2778A"/>
    <w:rsid w:val="18C33745"/>
    <w:rsid w:val="1901601B"/>
    <w:rsid w:val="19055FA5"/>
    <w:rsid w:val="190873AA"/>
    <w:rsid w:val="190D2C12"/>
    <w:rsid w:val="19197809"/>
    <w:rsid w:val="192D6E10"/>
    <w:rsid w:val="193B777F"/>
    <w:rsid w:val="194F4FD8"/>
    <w:rsid w:val="1968609A"/>
    <w:rsid w:val="196D36B1"/>
    <w:rsid w:val="198B3B37"/>
    <w:rsid w:val="199926F8"/>
    <w:rsid w:val="19AC41D9"/>
    <w:rsid w:val="19C534ED"/>
    <w:rsid w:val="19D90D46"/>
    <w:rsid w:val="19DB4ABE"/>
    <w:rsid w:val="19EE2A43"/>
    <w:rsid w:val="19F65454"/>
    <w:rsid w:val="1A0818E1"/>
    <w:rsid w:val="1A107C62"/>
    <w:rsid w:val="1A35028C"/>
    <w:rsid w:val="1A7A6085"/>
    <w:rsid w:val="1A7B1DFD"/>
    <w:rsid w:val="1A8C400A"/>
    <w:rsid w:val="1AAA27D1"/>
    <w:rsid w:val="1AAB26E2"/>
    <w:rsid w:val="1ABC669E"/>
    <w:rsid w:val="1AD0039B"/>
    <w:rsid w:val="1AD95915"/>
    <w:rsid w:val="1AE87493"/>
    <w:rsid w:val="1AEE0821"/>
    <w:rsid w:val="1B0818E3"/>
    <w:rsid w:val="1B397375"/>
    <w:rsid w:val="1B3A5814"/>
    <w:rsid w:val="1B506DE6"/>
    <w:rsid w:val="1B59213E"/>
    <w:rsid w:val="1B811695"/>
    <w:rsid w:val="1B9F38C9"/>
    <w:rsid w:val="1BB83309"/>
    <w:rsid w:val="1BBE6445"/>
    <w:rsid w:val="1BC53330"/>
    <w:rsid w:val="1BC670A8"/>
    <w:rsid w:val="1BDD5652"/>
    <w:rsid w:val="1BF63E31"/>
    <w:rsid w:val="1BF754B3"/>
    <w:rsid w:val="1BFE6842"/>
    <w:rsid w:val="1C1350DC"/>
    <w:rsid w:val="1C163B8C"/>
    <w:rsid w:val="1C35495A"/>
    <w:rsid w:val="1C420E24"/>
    <w:rsid w:val="1C4F3541"/>
    <w:rsid w:val="1C536B8E"/>
    <w:rsid w:val="1C56042C"/>
    <w:rsid w:val="1C5B3C94"/>
    <w:rsid w:val="1C683FA7"/>
    <w:rsid w:val="1C6E1C1A"/>
    <w:rsid w:val="1C7134B8"/>
    <w:rsid w:val="1C737230"/>
    <w:rsid w:val="1C961170"/>
    <w:rsid w:val="1CB03FE0"/>
    <w:rsid w:val="1CFE1968"/>
    <w:rsid w:val="1D0936F0"/>
    <w:rsid w:val="1D181B85"/>
    <w:rsid w:val="1D1E3640"/>
    <w:rsid w:val="1D28626C"/>
    <w:rsid w:val="1D2D3883"/>
    <w:rsid w:val="1D305121"/>
    <w:rsid w:val="1D3369BF"/>
    <w:rsid w:val="1D3544E5"/>
    <w:rsid w:val="1D6F3E9B"/>
    <w:rsid w:val="1D884F5D"/>
    <w:rsid w:val="1DB55626"/>
    <w:rsid w:val="1DC60D40"/>
    <w:rsid w:val="1DC85359"/>
    <w:rsid w:val="1DCB4E4A"/>
    <w:rsid w:val="1DE877AA"/>
    <w:rsid w:val="1DEA3522"/>
    <w:rsid w:val="1E1467F1"/>
    <w:rsid w:val="1E2F2D17"/>
    <w:rsid w:val="1E2F7187"/>
    <w:rsid w:val="1E37603B"/>
    <w:rsid w:val="1E3B5B2B"/>
    <w:rsid w:val="1E430E84"/>
    <w:rsid w:val="1E4E1D03"/>
    <w:rsid w:val="1E65704C"/>
    <w:rsid w:val="1E6908EA"/>
    <w:rsid w:val="1E6D7CAF"/>
    <w:rsid w:val="1EA47B74"/>
    <w:rsid w:val="1EBB4EBE"/>
    <w:rsid w:val="1ED3045A"/>
    <w:rsid w:val="1EDA5344"/>
    <w:rsid w:val="1EE44415"/>
    <w:rsid w:val="1EF34658"/>
    <w:rsid w:val="1F3802BD"/>
    <w:rsid w:val="1F443106"/>
    <w:rsid w:val="1F503858"/>
    <w:rsid w:val="1F536EA5"/>
    <w:rsid w:val="1F596DE3"/>
    <w:rsid w:val="1F5C044F"/>
    <w:rsid w:val="1F922DF9"/>
    <w:rsid w:val="1FF22B62"/>
    <w:rsid w:val="200D799B"/>
    <w:rsid w:val="20126D60"/>
    <w:rsid w:val="204330BE"/>
    <w:rsid w:val="204C04C4"/>
    <w:rsid w:val="205D622D"/>
    <w:rsid w:val="206051B5"/>
    <w:rsid w:val="20653333"/>
    <w:rsid w:val="20661F44"/>
    <w:rsid w:val="208E4638"/>
    <w:rsid w:val="20983709"/>
    <w:rsid w:val="20B561E4"/>
    <w:rsid w:val="20EA55E7"/>
    <w:rsid w:val="20F36B91"/>
    <w:rsid w:val="20F841A8"/>
    <w:rsid w:val="210E7DC4"/>
    <w:rsid w:val="210F6034"/>
    <w:rsid w:val="212A0BF1"/>
    <w:rsid w:val="212F5334"/>
    <w:rsid w:val="213F377A"/>
    <w:rsid w:val="21502CEB"/>
    <w:rsid w:val="21701F90"/>
    <w:rsid w:val="21902632"/>
    <w:rsid w:val="219B1DC8"/>
    <w:rsid w:val="21A67760"/>
    <w:rsid w:val="21AB746C"/>
    <w:rsid w:val="21DF2C72"/>
    <w:rsid w:val="220551A5"/>
    <w:rsid w:val="221F6292"/>
    <w:rsid w:val="222776AC"/>
    <w:rsid w:val="223B259E"/>
    <w:rsid w:val="22525D60"/>
    <w:rsid w:val="22715FC0"/>
    <w:rsid w:val="228C4BA7"/>
    <w:rsid w:val="229E48DB"/>
    <w:rsid w:val="22A46395"/>
    <w:rsid w:val="22AD2D70"/>
    <w:rsid w:val="22C335E1"/>
    <w:rsid w:val="22F8223D"/>
    <w:rsid w:val="22F95FB5"/>
    <w:rsid w:val="22FF4879"/>
    <w:rsid w:val="230706D2"/>
    <w:rsid w:val="231921B3"/>
    <w:rsid w:val="231D7EF5"/>
    <w:rsid w:val="23377209"/>
    <w:rsid w:val="234731C4"/>
    <w:rsid w:val="23476D20"/>
    <w:rsid w:val="235C6C70"/>
    <w:rsid w:val="235F406A"/>
    <w:rsid w:val="23706277"/>
    <w:rsid w:val="23713D9D"/>
    <w:rsid w:val="23BA1BE8"/>
    <w:rsid w:val="23E5465A"/>
    <w:rsid w:val="23EA37A2"/>
    <w:rsid w:val="23EB7FF4"/>
    <w:rsid w:val="23F76998"/>
    <w:rsid w:val="246C2EE2"/>
    <w:rsid w:val="246C54B4"/>
    <w:rsid w:val="247022A7"/>
    <w:rsid w:val="247104F9"/>
    <w:rsid w:val="24783253"/>
    <w:rsid w:val="248C70E1"/>
    <w:rsid w:val="249441E7"/>
    <w:rsid w:val="24D26ABE"/>
    <w:rsid w:val="24F829C8"/>
    <w:rsid w:val="24F86524"/>
    <w:rsid w:val="250273A3"/>
    <w:rsid w:val="25164BFC"/>
    <w:rsid w:val="25253091"/>
    <w:rsid w:val="252C2672"/>
    <w:rsid w:val="25341526"/>
    <w:rsid w:val="254A7641"/>
    <w:rsid w:val="256911D0"/>
    <w:rsid w:val="256B319A"/>
    <w:rsid w:val="2580651A"/>
    <w:rsid w:val="25A16BBC"/>
    <w:rsid w:val="25C12DBA"/>
    <w:rsid w:val="25E96C9E"/>
    <w:rsid w:val="25F413E1"/>
    <w:rsid w:val="25FA2770"/>
    <w:rsid w:val="263C68E5"/>
    <w:rsid w:val="26487037"/>
    <w:rsid w:val="265E685B"/>
    <w:rsid w:val="26687ABC"/>
    <w:rsid w:val="269E134D"/>
    <w:rsid w:val="26B66697"/>
    <w:rsid w:val="26F62F37"/>
    <w:rsid w:val="26FC6074"/>
    <w:rsid w:val="26FF0060"/>
    <w:rsid w:val="271B299E"/>
    <w:rsid w:val="272555CB"/>
    <w:rsid w:val="276F6846"/>
    <w:rsid w:val="27734588"/>
    <w:rsid w:val="279A1B15"/>
    <w:rsid w:val="279F1B2D"/>
    <w:rsid w:val="279F712B"/>
    <w:rsid w:val="27C76682"/>
    <w:rsid w:val="27D74B17"/>
    <w:rsid w:val="27DC212D"/>
    <w:rsid w:val="27EB411E"/>
    <w:rsid w:val="27F136FF"/>
    <w:rsid w:val="28221B0A"/>
    <w:rsid w:val="282B09BF"/>
    <w:rsid w:val="283C0E1E"/>
    <w:rsid w:val="284952E9"/>
    <w:rsid w:val="28497097"/>
    <w:rsid w:val="28616AD6"/>
    <w:rsid w:val="28624148"/>
    <w:rsid w:val="28926C90"/>
    <w:rsid w:val="28A236DD"/>
    <w:rsid w:val="28CD0E0B"/>
    <w:rsid w:val="28DF17A9"/>
    <w:rsid w:val="28ED11D6"/>
    <w:rsid w:val="29053906"/>
    <w:rsid w:val="291D2772"/>
    <w:rsid w:val="29341998"/>
    <w:rsid w:val="294837F2"/>
    <w:rsid w:val="2963035C"/>
    <w:rsid w:val="2967011C"/>
    <w:rsid w:val="29852351"/>
    <w:rsid w:val="29AC5B2F"/>
    <w:rsid w:val="29BD5F8E"/>
    <w:rsid w:val="29BF1D06"/>
    <w:rsid w:val="29CC71C0"/>
    <w:rsid w:val="29DB6414"/>
    <w:rsid w:val="29DD218D"/>
    <w:rsid w:val="2A0C4970"/>
    <w:rsid w:val="2A133E00"/>
    <w:rsid w:val="2A1C3D55"/>
    <w:rsid w:val="2A24600D"/>
    <w:rsid w:val="2A2E29E8"/>
    <w:rsid w:val="2A314286"/>
    <w:rsid w:val="2A3E70CF"/>
    <w:rsid w:val="2A5650D2"/>
    <w:rsid w:val="2A992376"/>
    <w:rsid w:val="2A9E122B"/>
    <w:rsid w:val="2ABF1892"/>
    <w:rsid w:val="2AC05D36"/>
    <w:rsid w:val="2AC450FA"/>
    <w:rsid w:val="2AD25A69"/>
    <w:rsid w:val="2AD417E1"/>
    <w:rsid w:val="2AE068BD"/>
    <w:rsid w:val="2AF02ACB"/>
    <w:rsid w:val="2AF059EC"/>
    <w:rsid w:val="2AFB6D6E"/>
    <w:rsid w:val="2B10010F"/>
    <w:rsid w:val="2B1E480B"/>
    <w:rsid w:val="2B2A31B0"/>
    <w:rsid w:val="2B2D0EF2"/>
    <w:rsid w:val="2B4A5600"/>
    <w:rsid w:val="2B6F150A"/>
    <w:rsid w:val="2B797C93"/>
    <w:rsid w:val="2B9D6077"/>
    <w:rsid w:val="2BA9515B"/>
    <w:rsid w:val="2BBB64FD"/>
    <w:rsid w:val="2C11611D"/>
    <w:rsid w:val="2C1C51EE"/>
    <w:rsid w:val="2C2E0A7D"/>
    <w:rsid w:val="2C322577"/>
    <w:rsid w:val="2C334D76"/>
    <w:rsid w:val="2C351E0C"/>
    <w:rsid w:val="2C3F2C8B"/>
    <w:rsid w:val="2C3F6DD8"/>
    <w:rsid w:val="2C4058A5"/>
    <w:rsid w:val="2C432011"/>
    <w:rsid w:val="2C532BDA"/>
    <w:rsid w:val="2C5C383D"/>
    <w:rsid w:val="2C7E7C57"/>
    <w:rsid w:val="2C840FE5"/>
    <w:rsid w:val="2C92725E"/>
    <w:rsid w:val="2C9805ED"/>
    <w:rsid w:val="2CA3146B"/>
    <w:rsid w:val="2CD258AD"/>
    <w:rsid w:val="2CF0667B"/>
    <w:rsid w:val="2D03015C"/>
    <w:rsid w:val="2D0A3299"/>
    <w:rsid w:val="2D60735C"/>
    <w:rsid w:val="2D7626DC"/>
    <w:rsid w:val="2D850B71"/>
    <w:rsid w:val="2DAA4A7C"/>
    <w:rsid w:val="2DCA3B5A"/>
    <w:rsid w:val="2DCC49F2"/>
    <w:rsid w:val="2DCD0A11"/>
    <w:rsid w:val="2DF83A39"/>
    <w:rsid w:val="2DFB4EDC"/>
    <w:rsid w:val="2DFD2DFD"/>
    <w:rsid w:val="2E0E0B66"/>
    <w:rsid w:val="2E183793"/>
    <w:rsid w:val="2E206AEC"/>
    <w:rsid w:val="2E271C28"/>
    <w:rsid w:val="2E2C5491"/>
    <w:rsid w:val="2E2E745B"/>
    <w:rsid w:val="2E514EF7"/>
    <w:rsid w:val="2E555FE9"/>
    <w:rsid w:val="2E5C5D76"/>
    <w:rsid w:val="2E6115DE"/>
    <w:rsid w:val="2E750BE6"/>
    <w:rsid w:val="2E7A61FC"/>
    <w:rsid w:val="2E8157DC"/>
    <w:rsid w:val="2E8F2AA8"/>
    <w:rsid w:val="2E9F2106"/>
    <w:rsid w:val="2EA8720D"/>
    <w:rsid w:val="2ECD75AB"/>
    <w:rsid w:val="2EDA6C9B"/>
    <w:rsid w:val="2EDD678B"/>
    <w:rsid w:val="2EDF69A7"/>
    <w:rsid w:val="2EFC30B5"/>
    <w:rsid w:val="2F2F348A"/>
    <w:rsid w:val="2F5C1DA5"/>
    <w:rsid w:val="2F967065"/>
    <w:rsid w:val="2F9E23BE"/>
    <w:rsid w:val="2FA23497"/>
    <w:rsid w:val="2FBB5B5C"/>
    <w:rsid w:val="2FCA4F61"/>
    <w:rsid w:val="2FFE4C0B"/>
    <w:rsid w:val="302063B0"/>
    <w:rsid w:val="303A20E7"/>
    <w:rsid w:val="304E7940"/>
    <w:rsid w:val="30546F8C"/>
    <w:rsid w:val="30562C99"/>
    <w:rsid w:val="3062163D"/>
    <w:rsid w:val="3078676B"/>
    <w:rsid w:val="307D0225"/>
    <w:rsid w:val="308710A4"/>
    <w:rsid w:val="309C68FD"/>
    <w:rsid w:val="30C95219"/>
    <w:rsid w:val="30D140CD"/>
    <w:rsid w:val="30E16A06"/>
    <w:rsid w:val="30E20088"/>
    <w:rsid w:val="30FE1366"/>
    <w:rsid w:val="310F3573"/>
    <w:rsid w:val="31172428"/>
    <w:rsid w:val="312B1A2F"/>
    <w:rsid w:val="312B32C2"/>
    <w:rsid w:val="31461C62"/>
    <w:rsid w:val="314952D3"/>
    <w:rsid w:val="314B0324"/>
    <w:rsid w:val="31540F86"/>
    <w:rsid w:val="315471D8"/>
    <w:rsid w:val="318178A1"/>
    <w:rsid w:val="31903F88"/>
    <w:rsid w:val="31945827"/>
    <w:rsid w:val="31A55C86"/>
    <w:rsid w:val="31B41A25"/>
    <w:rsid w:val="31BE28A4"/>
    <w:rsid w:val="31C83722"/>
    <w:rsid w:val="31CD6F8B"/>
    <w:rsid w:val="31F167D5"/>
    <w:rsid w:val="32011BB7"/>
    <w:rsid w:val="32133CF7"/>
    <w:rsid w:val="32195D2C"/>
    <w:rsid w:val="322C3CB1"/>
    <w:rsid w:val="325A570B"/>
    <w:rsid w:val="32690145"/>
    <w:rsid w:val="327B0795"/>
    <w:rsid w:val="327D275F"/>
    <w:rsid w:val="32933ECB"/>
    <w:rsid w:val="32B11D6B"/>
    <w:rsid w:val="32C33F44"/>
    <w:rsid w:val="32EB4869"/>
    <w:rsid w:val="332A4581"/>
    <w:rsid w:val="335A65FC"/>
    <w:rsid w:val="33601288"/>
    <w:rsid w:val="33635E53"/>
    <w:rsid w:val="33B73A4E"/>
    <w:rsid w:val="33C80F54"/>
    <w:rsid w:val="341C1B03"/>
    <w:rsid w:val="34313801"/>
    <w:rsid w:val="3437693D"/>
    <w:rsid w:val="344352E2"/>
    <w:rsid w:val="3454129D"/>
    <w:rsid w:val="345D0C3E"/>
    <w:rsid w:val="34607C42"/>
    <w:rsid w:val="347926F3"/>
    <w:rsid w:val="34A55F9D"/>
    <w:rsid w:val="34B00BC9"/>
    <w:rsid w:val="34C74165"/>
    <w:rsid w:val="34CD235C"/>
    <w:rsid w:val="34D67F04"/>
    <w:rsid w:val="34E46AC5"/>
    <w:rsid w:val="34ED75C6"/>
    <w:rsid w:val="35040F15"/>
    <w:rsid w:val="350902DA"/>
    <w:rsid w:val="351153E0"/>
    <w:rsid w:val="35243365"/>
    <w:rsid w:val="35260FC4"/>
    <w:rsid w:val="353F3CFB"/>
    <w:rsid w:val="35470E02"/>
    <w:rsid w:val="35B30245"/>
    <w:rsid w:val="35BC359E"/>
    <w:rsid w:val="35BE7316"/>
    <w:rsid w:val="35BF6BEA"/>
    <w:rsid w:val="35C91817"/>
    <w:rsid w:val="35CD1307"/>
    <w:rsid w:val="35CF1523"/>
    <w:rsid w:val="35D72186"/>
    <w:rsid w:val="35E6061B"/>
    <w:rsid w:val="35EB179D"/>
    <w:rsid w:val="35EC2095"/>
    <w:rsid w:val="35F67F15"/>
    <w:rsid w:val="35FC399A"/>
    <w:rsid w:val="361B63CE"/>
    <w:rsid w:val="362353CB"/>
    <w:rsid w:val="362A49AB"/>
    <w:rsid w:val="362A5E2D"/>
    <w:rsid w:val="363D610B"/>
    <w:rsid w:val="365365D2"/>
    <w:rsid w:val="366003CD"/>
    <w:rsid w:val="366215F3"/>
    <w:rsid w:val="366B28CE"/>
    <w:rsid w:val="369462C9"/>
    <w:rsid w:val="36D14E27"/>
    <w:rsid w:val="36EA7C97"/>
    <w:rsid w:val="36F20CBC"/>
    <w:rsid w:val="37070849"/>
    <w:rsid w:val="37162B2F"/>
    <w:rsid w:val="371A4A20"/>
    <w:rsid w:val="37265173"/>
    <w:rsid w:val="373D24BC"/>
    <w:rsid w:val="374970B3"/>
    <w:rsid w:val="376D0FF4"/>
    <w:rsid w:val="37734130"/>
    <w:rsid w:val="377A101B"/>
    <w:rsid w:val="378E4AC6"/>
    <w:rsid w:val="37943C73"/>
    <w:rsid w:val="37A8202C"/>
    <w:rsid w:val="37AB38CA"/>
    <w:rsid w:val="37B54749"/>
    <w:rsid w:val="37B7226F"/>
    <w:rsid w:val="37C5719A"/>
    <w:rsid w:val="37D03331"/>
    <w:rsid w:val="37DA5F5D"/>
    <w:rsid w:val="37EE37B7"/>
    <w:rsid w:val="37F4701F"/>
    <w:rsid w:val="37FF7772"/>
    <w:rsid w:val="3801173C"/>
    <w:rsid w:val="380A0E23"/>
    <w:rsid w:val="38190834"/>
    <w:rsid w:val="38202C36"/>
    <w:rsid w:val="38367638"/>
    <w:rsid w:val="383E43AA"/>
    <w:rsid w:val="384B0D26"/>
    <w:rsid w:val="386046B4"/>
    <w:rsid w:val="388C54AA"/>
    <w:rsid w:val="389820A0"/>
    <w:rsid w:val="38991974"/>
    <w:rsid w:val="38BB7B3D"/>
    <w:rsid w:val="38C2711D"/>
    <w:rsid w:val="38CA4224"/>
    <w:rsid w:val="38CA7D80"/>
    <w:rsid w:val="38D21D7C"/>
    <w:rsid w:val="38E946AA"/>
    <w:rsid w:val="38F71809"/>
    <w:rsid w:val="39047736"/>
    <w:rsid w:val="392A3F4E"/>
    <w:rsid w:val="39387D98"/>
    <w:rsid w:val="395A08EE"/>
    <w:rsid w:val="396A50BF"/>
    <w:rsid w:val="39812B34"/>
    <w:rsid w:val="39932868"/>
    <w:rsid w:val="39A22AAB"/>
    <w:rsid w:val="39AD3929"/>
    <w:rsid w:val="39C31030"/>
    <w:rsid w:val="39D8471E"/>
    <w:rsid w:val="39DA6510"/>
    <w:rsid w:val="39E82BB3"/>
    <w:rsid w:val="39EE37AE"/>
    <w:rsid w:val="3A0948D8"/>
    <w:rsid w:val="3A1F234D"/>
    <w:rsid w:val="3A231E3E"/>
    <w:rsid w:val="3A257964"/>
    <w:rsid w:val="3A2C570F"/>
    <w:rsid w:val="3A30455A"/>
    <w:rsid w:val="3A323E2F"/>
    <w:rsid w:val="3A3B51AB"/>
    <w:rsid w:val="3A3E27D3"/>
    <w:rsid w:val="3A3F654C"/>
    <w:rsid w:val="3A4B3142"/>
    <w:rsid w:val="3A59463F"/>
    <w:rsid w:val="3A611DE7"/>
    <w:rsid w:val="3A6D130B"/>
    <w:rsid w:val="3A7D77A0"/>
    <w:rsid w:val="3A8C79E3"/>
    <w:rsid w:val="3A8D72B7"/>
    <w:rsid w:val="3A900B55"/>
    <w:rsid w:val="3AA6136A"/>
    <w:rsid w:val="3AAD7959"/>
    <w:rsid w:val="3ABB02C8"/>
    <w:rsid w:val="3AEA6701"/>
    <w:rsid w:val="3B111C96"/>
    <w:rsid w:val="3B343BD6"/>
    <w:rsid w:val="3B367020"/>
    <w:rsid w:val="3B424545"/>
    <w:rsid w:val="3B842468"/>
    <w:rsid w:val="3B950B19"/>
    <w:rsid w:val="3BB07701"/>
    <w:rsid w:val="3BC1190E"/>
    <w:rsid w:val="3BC27434"/>
    <w:rsid w:val="3BCE7B87"/>
    <w:rsid w:val="3BD74C8E"/>
    <w:rsid w:val="3BDC22A4"/>
    <w:rsid w:val="3C123F18"/>
    <w:rsid w:val="3C396621"/>
    <w:rsid w:val="3C5C2972"/>
    <w:rsid w:val="3C5E715D"/>
    <w:rsid w:val="3C81109D"/>
    <w:rsid w:val="3C8C1F1C"/>
    <w:rsid w:val="3C94492D"/>
    <w:rsid w:val="3C9E1C4F"/>
    <w:rsid w:val="3CC2593E"/>
    <w:rsid w:val="3CC96E22"/>
    <w:rsid w:val="3CCF005B"/>
    <w:rsid w:val="3CDE3DFA"/>
    <w:rsid w:val="3CE37662"/>
    <w:rsid w:val="3CF96E86"/>
    <w:rsid w:val="3CFC24D2"/>
    <w:rsid w:val="3D05582A"/>
    <w:rsid w:val="3D1B504E"/>
    <w:rsid w:val="3D1E069A"/>
    <w:rsid w:val="3D26492B"/>
    <w:rsid w:val="3D4E0F7F"/>
    <w:rsid w:val="3D4F6AA6"/>
    <w:rsid w:val="3D5B544A"/>
    <w:rsid w:val="3D6267D9"/>
    <w:rsid w:val="3D794B61"/>
    <w:rsid w:val="3D7D3613"/>
    <w:rsid w:val="3D801355"/>
    <w:rsid w:val="3D806841"/>
    <w:rsid w:val="3D931088"/>
    <w:rsid w:val="3DA60DBB"/>
    <w:rsid w:val="3DA94408"/>
    <w:rsid w:val="3DBC7FB6"/>
    <w:rsid w:val="3DBD6105"/>
    <w:rsid w:val="3DCB0822"/>
    <w:rsid w:val="3DFD29A6"/>
    <w:rsid w:val="3E071082"/>
    <w:rsid w:val="3E295549"/>
    <w:rsid w:val="3E4405D4"/>
    <w:rsid w:val="3E481E73"/>
    <w:rsid w:val="3E554590"/>
    <w:rsid w:val="3E5C591E"/>
    <w:rsid w:val="3E6D18D9"/>
    <w:rsid w:val="3E912B54"/>
    <w:rsid w:val="3E9C21BE"/>
    <w:rsid w:val="3EA90437"/>
    <w:rsid w:val="3ED23E32"/>
    <w:rsid w:val="3EFC4A0B"/>
    <w:rsid w:val="3F516B05"/>
    <w:rsid w:val="3F520ACF"/>
    <w:rsid w:val="3F5D7BA0"/>
    <w:rsid w:val="3F7E3672"/>
    <w:rsid w:val="3F885DDF"/>
    <w:rsid w:val="3F93536F"/>
    <w:rsid w:val="3F9D1D4A"/>
    <w:rsid w:val="3FB5178A"/>
    <w:rsid w:val="3FD20690"/>
    <w:rsid w:val="3FFC1167"/>
    <w:rsid w:val="3FFD0165"/>
    <w:rsid w:val="400B75FC"/>
    <w:rsid w:val="40167D4F"/>
    <w:rsid w:val="401C35B7"/>
    <w:rsid w:val="403A1C8F"/>
    <w:rsid w:val="405368AD"/>
    <w:rsid w:val="40777105"/>
    <w:rsid w:val="407978E4"/>
    <w:rsid w:val="409361C4"/>
    <w:rsid w:val="409C46F8"/>
    <w:rsid w:val="40A34EB3"/>
    <w:rsid w:val="40A4535A"/>
    <w:rsid w:val="40A8309D"/>
    <w:rsid w:val="40D53766"/>
    <w:rsid w:val="40DB5220"/>
    <w:rsid w:val="40E1210B"/>
    <w:rsid w:val="40F63E08"/>
    <w:rsid w:val="410417E6"/>
    <w:rsid w:val="41087697"/>
    <w:rsid w:val="41184F31"/>
    <w:rsid w:val="41197AF6"/>
    <w:rsid w:val="41401527"/>
    <w:rsid w:val="414F176A"/>
    <w:rsid w:val="41597EF3"/>
    <w:rsid w:val="417C1E33"/>
    <w:rsid w:val="41911D83"/>
    <w:rsid w:val="41943621"/>
    <w:rsid w:val="41A575DC"/>
    <w:rsid w:val="41A90E7A"/>
    <w:rsid w:val="42031BCD"/>
    <w:rsid w:val="42383FAC"/>
    <w:rsid w:val="42756FAE"/>
    <w:rsid w:val="427647BB"/>
    <w:rsid w:val="42921365"/>
    <w:rsid w:val="42937435"/>
    <w:rsid w:val="42A31D6D"/>
    <w:rsid w:val="42A81132"/>
    <w:rsid w:val="42B21FB1"/>
    <w:rsid w:val="42B56347"/>
    <w:rsid w:val="42C65A5C"/>
    <w:rsid w:val="42CE4911"/>
    <w:rsid w:val="42D71A17"/>
    <w:rsid w:val="42DE18F7"/>
    <w:rsid w:val="433230F1"/>
    <w:rsid w:val="436239D7"/>
    <w:rsid w:val="436D4129"/>
    <w:rsid w:val="43721740"/>
    <w:rsid w:val="438D0328"/>
    <w:rsid w:val="43AF64F0"/>
    <w:rsid w:val="43B23C13"/>
    <w:rsid w:val="43C24475"/>
    <w:rsid w:val="43D146B8"/>
    <w:rsid w:val="43FD19F6"/>
    <w:rsid w:val="43FD779D"/>
    <w:rsid w:val="44305883"/>
    <w:rsid w:val="4444198E"/>
    <w:rsid w:val="44BA339E"/>
    <w:rsid w:val="44BC0EC5"/>
    <w:rsid w:val="44C22253"/>
    <w:rsid w:val="44CB735A"/>
    <w:rsid w:val="44CE0BF8"/>
    <w:rsid w:val="44E31B64"/>
    <w:rsid w:val="45034D45"/>
    <w:rsid w:val="450A60D4"/>
    <w:rsid w:val="452318E0"/>
    <w:rsid w:val="45401AF6"/>
    <w:rsid w:val="45570BED"/>
    <w:rsid w:val="45637592"/>
    <w:rsid w:val="45703A5D"/>
    <w:rsid w:val="458F482B"/>
    <w:rsid w:val="45943BEF"/>
    <w:rsid w:val="45A973D4"/>
    <w:rsid w:val="45CB0959"/>
    <w:rsid w:val="45EA380F"/>
    <w:rsid w:val="4604196F"/>
    <w:rsid w:val="460F3276"/>
    <w:rsid w:val="46192347"/>
    <w:rsid w:val="46277C5E"/>
    <w:rsid w:val="4629258A"/>
    <w:rsid w:val="462A00B0"/>
    <w:rsid w:val="46431172"/>
    <w:rsid w:val="465B64BB"/>
    <w:rsid w:val="46641814"/>
    <w:rsid w:val="46696E2A"/>
    <w:rsid w:val="46717A8D"/>
    <w:rsid w:val="46851714"/>
    <w:rsid w:val="46B362F7"/>
    <w:rsid w:val="46B502C1"/>
    <w:rsid w:val="46CD27B5"/>
    <w:rsid w:val="46FC37FA"/>
    <w:rsid w:val="471A6376"/>
    <w:rsid w:val="47240FA3"/>
    <w:rsid w:val="474B6530"/>
    <w:rsid w:val="474E7DCE"/>
    <w:rsid w:val="474F0746"/>
    <w:rsid w:val="47507FEA"/>
    <w:rsid w:val="47573C81"/>
    <w:rsid w:val="479F062A"/>
    <w:rsid w:val="47B43D35"/>
    <w:rsid w:val="47B75973"/>
    <w:rsid w:val="47CC1972"/>
    <w:rsid w:val="47DD5E3B"/>
    <w:rsid w:val="47E10CA5"/>
    <w:rsid w:val="47E744AA"/>
    <w:rsid w:val="47F70466"/>
    <w:rsid w:val="4824574D"/>
    <w:rsid w:val="48274C8F"/>
    <w:rsid w:val="483D7ABC"/>
    <w:rsid w:val="486C78B4"/>
    <w:rsid w:val="48861F15"/>
    <w:rsid w:val="488C6E00"/>
    <w:rsid w:val="488D786C"/>
    <w:rsid w:val="48A57EC2"/>
    <w:rsid w:val="48D1043A"/>
    <w:rsid w:val="48E46C3C"/>
    <w:rsid w:val="48EB7FCA"/>
    <w:rsid w:val="48FF3A76"/>
    <w:rsid w:val="49107A31"/>
    <w:rsid w:val="49115557"/>
    <w:rsid w:val="49137521"/>
    <w:rsid w:val="49155047"/>
    <w:rsid w:val="49184B37"/>
    <w:rsid w:val="49290AF3"/>
    <w:rsid w:val="492C413F"/>
    <w:rsid w:val="493078C5"/>
    <w:rsid w:val="494B3812"/>
    <w:rsid w:val="495E079C"/>
    <w:rsid w:val="496D09DF"/>
    <w:rsid w:val="49746212"/>
    <w:rsid w:val="49747FC0"/>
    <w:rsid w:val="49AA1C33"/>
    <w:rsid w:val="49F24292"/>
    <w:rsid w:val="49F509D5"/>
    <w:rsid w:val="4A174DEF"/>
    <w:rsid w:val="4A370FED"/>
    <w:rsid w:val="4A45370A"/>
    <w:rsid w:val="4A6B762E"/>
    <w:rsid w:val="4A6E2C61"/>
    <w:rsid w:val="4A6F69D9"/>
    <w:rsid w:val="4A82495E"/>
    <w:rsid w:val="4A8E3303"/>
    <w:rsid w:val="4AA77F21"/>
    <w:rsid w:val="4AA94AD5"/>
    <w:rsid w:val="4ABD14F2"/>
    <w:rsid w:val="4ABF34BD"/>
    <w:rsid w:val="4AD93E52"/>
    <w:rsid w:val="4AE41175"/>
    <w:rsid w:val="4AE922E8"/>
    <w:rsid w:val="4AF56EDE"/>
    <w:rsid w:val="4B0215FB"/>
    <w:rsid w:val="4B02784D"/>
    <w:rsid w:val="4B264F45"/>
    <w:rsid w:val="4B384406"/>
    <w:rsid w:val="4B410321"/>
    <w:rsid w:val="4B410375"/>
    <w:rsid w:val="4B4B2196"/>
    <w:rsid w:val="4B5F6A4E"/>
    <w:rsid w:val="4B764453"/>
    <w:rsid w:val="4B95246F"/>
    <w:rsid w:val="4BA601D9"/>
    <w:rsid w:val="4BAA1B73"/>
    <w:rsid w:val="4BAB3A41"/>
    <w:rsid w:val="4BB23021"/>
    <w:rsid w:val="4BB24DCF"/>
    <w:rsid w:val="4BB714C5"/>
    <w:rsid w:val="4BBD5522"/>
    <w:rsid w:val="4BC82845"/>
    <w:rsid w:val="4BC93EC7"/>
    <w:rsid w:val="4BD45878"/>
    <w:rsid w:val="4BE86A43"/>
    <w:rsid w:val="4BF47196"/>
    <w:rsid w:val="4C147838"/>
    <w:rsid w:val="4C2537F3"/>
    <w:rsid w:val="4C394EB9"/>
    <w:rsid w:val="4C3972B5"/>
    <w:rsid w:val="4C3D6D8F"/>
    <w:rsid w:val="4C651E42"/>
    <w:rsid w:val="4C681932"/>
    <w:rsid w:val="4C6F4A6E"/>
    <w:rsid w:val="4C71246E"/>
    <w:rsid w:val="4C8670D9"/>
    <w:rsid w:val="4C8A5D4C"/>
    <w:rsid w:val="4C8F5111"/>
    <w:rsid w:val="4C942727"/>
    <w:rsid w:val="4CAA1F4A"/>
    <w:rsid w:val="4CAE1A3B"/>
    <w:rsid w:val="4CCA439B"/>
    <w:rsid w:val="4CCF11E6"/>
    <w:rsid w:val="4D155616"/>
    <w:rsid w:val="4D2717ED"/>
    <w:rsid w:val="4D4001B9"/>
    <w:rsid w:val="4D722A68"/>
    <w:rsid w:val="4D812CAB"/>
    <w:rsid w:val="4D9F75D5"/>
    <w:rsid w:val="4DA92202"/>
    <w:rsid w:val="4DAB7D28"/>
    <w:rsid w:val="4DC22E25"/>
    <w:rsid w:val="4DC45D22"/>
    <w:rsid w:val="4DDA6DE0"/>
    <w:rsid w:val="4DEA6AA2"/>
    <w:rsid w:val="4DEB0A90"/>
    <w:rsid w:val="4E127DA7"/>
    <w:rsid w:val="4E157897"/>
    <w:rsid w:val="4E3E6DEE"/>
    <w:rsid w:val="4E41488C"/>
    <w:rsid w:val="4E4168DE"/>
    <w:rsid w:val="4E516B22"/>
    <w:rsid w:val="4E704ACE"/>
    <w:rsid w:val="4E9B1B4B"/>
    <w:rsid w:val="4EA84268"/>
    <w:rsid w:val="4EAF3848"/>
    <w:rsid w:val="4EB90223"/>
    <w:rsid w:val="4ED84B4D"/>
    <w:rsid w:val="4EDF1ABC"/>
    <w:rsid w:val="4EF83441"/>
    <w:rsid w:val="4F043B94"/>
    <w:rsid w:val="4F0A6CD0"/>
    <w:rsid w:val="4F0B67EE"/>
    <w:rsid w:val="4F111E0D"/>
    <w:rsid w:val="4F2E0C11"/>
    <w:rsid w:val="4F6665FD"/>
    <w:rsid w:val="4F714FA1"/>
    <w:rsid w:val="4F870321"/>
    <w:rsid w:val="4F992060"/>
    <w:rsid w:val="4F9A62A6"/>
    <w:rsid w:val="4FD55530"/>
    <w:rsid w:val="4FD572DE"/>
    <w:rsid w:val="4FF260E2"/>
    <w:rsid w:val="50016325"/>
    <w:rsid w:val="501778F7"/>
    <w:rsid w:val="502344EE"/>
    <w:rsid w:val="504306EC"/>
    <w:rsid w:val="50680152"/>
    <w:rsid w:val="5076286F"/>
    <w:rsid w:val="507C3BFE"/>
    <w:rsid w:val="50874A7C"/>
    <w:rsid w:val="50964618"/>
    <w:rsid w:val="50AF405F"/>
    <w:rsid w:val="50CA6717"/>
    <w:rsid w:val="50E27F05"/>
    <w:rsid w:val="50EC0D83"/>
    <w:rsid w:val="50F1639A"/>
    <w:rsid w:val="50F25C6E"/>
    <w:rsid w:val="510F4A72"/>
    <w:rsid w:val="5116195C"/>
    <w:rsid w:val="511E6A63"/>
    <w:rsid w:val="51273B6A"/>
    <w:rsid w:val="51452242"/>
    <w:rsid w:val="51782617"/>
    <w:rsid w:val="518C436B"/>
    <w:rsid w:val="51937451"/>
    <w:rsid w:val="51A056CA"/>
    <w:rsid w:val="51A927D1"/>
    <w:rsid w:val="51DA6E2E"/>
    <w:rsid w:val="51DF2696"/>
    <w:rsid w:val="51DF4444"/>
    <w:rsid w:val="51E90E1F"/>
    <w:rsid w:val="51F837D1"/>
    <w:rsid w:val="51FE0D6E"/>
    <w:rsid w:val="520B6FE7"/>
    <w:rsid w:val="521265C8"/>
    <w:rsid w:val="52262073"/>
    <w:rsid w:val="522959F2"/>
    <w:rsid w:val="522E717A"/>
    <w:rsid w:val="52377DDC"/>
    <w:rsid w:val="523B4A14"/>
    <w:rsid w:val="52435BF2"/>
    <w:rsid w:val="524D5852"/>
    <w:rsid w:val="52742DDF"/>
    <w:rsid w:val="52756B57"/>
    <w:rsid w:val="5277467D"/>
    <w:rsid w:val="527D59BA"/>
    <w:rsid w:val="527E3C5D"/>
    <w:rsid w:val="527F1783"/>
    <w:rsid w:val="5281374D"/>
    <w:rsid w:val="52B00AE6"/>
    <w:rsid w:val="52B057F0"/>
    <w:rsid w:val="52BC4786"/>
    <w:rsid w:val="52C8312A"/>
    <w:rsid w:val="52DB4C0C"/>
    <w:rsid w:val="52DE46FC"/>
    <w:rsid w:val="52F06AFB"/>
    <w:rsid w:val="53407165"/>
    <w:rsid w:val="53605111"/>
    <w:rsid w:val="536F35A6"/>
    <w:rsid w:val="53740BBC"/>
    <w:rsid w:val="538E7ED0"/>
    <w:rsid w:val="53A5346C"/>
    <w:rsid w:val="53B536AF"/>
    <w:rsid w:val="53BB67EB"/>
    <w:rsid w:val="53FA5565"/>
    <w:rsid w:val="540957A8"/>
    <w:rsid w:val="54120B01"/>
    <w:rsid w:val="54212AF2"/>
    <w:rsid w:val="542645AC"/>
    <w:rsid w:val="543C5B7E"/>
    <w:rsid w:val="543D36A4"/>
    <w:rsid w:val="543D5452"/>
    <w:rsid w:val="5446092D"/>
    <w:rsid w:val="54497D6E"/>
    <w:rsid w:val="546D5D37"/>
    <w:rsid w:val="549459BA"/>
    <w:rsid w:val="5495703C"/>
    <w:rsid w:val="54BF40B9"/>
    <w:rsid w:val="54E1305C"/>
    <w:rsid w:val="550C5017"/>
    <w:rsid w:val="55191A1B"/>
    <w:rsid w:val="553E5926"/>
    <w:rsid w:val="55410F72"/>
    <w:rsid w:val="55425416"/>
    <w:rsid w:val="55651104"/>
    <w:rsid w:val="556F5ADF"/>
    <w:rsid w:val="55794BB0"/>
    <w:rsid w:val="55AC288F"/>
    <w:rsid w:val="55AF412E"/>
    <w:rsid w:val="55C30851"/>
    <w:rsid w:val="55CE2806"/>
    <w:rsid w:val="55D87B28"/>
    <w:rsid w:val="55EB160A"/>
    <w:rsid w:val="55F44741"/>
    <w:rsid w:val="55F935FB"/>
    <w:rsid w:val="561A3C9D"/>
    <w:rsid w:val="562763BA"/>
    <w:rsid w:val="56327239"/>
    <w:rsid w:val="56334D5F"/>
    <w:rsid w:val="563B3C13"/>
    <w:rsid w:val="564E7DEA"/>
    <w:rsid w:val="565F7902"/>
    <w:rsid w:val="56850FC1"/>
    <w:rsid w:val="569A6B8C"/>
    <w:rsid w:val="56AF6ADB"/>
    <w:rsid w:val="56D24578"/>
    <w:rsid w:val="56F16703"/>
    <w:rsid w:val="56FA587C"/>
    <w:rsid w:val="57154464"/>
    <w:rsid w:val="57266671"/>
    <w:rsid w:val="5764512D"/>
    <w:rsid w:val="57711FE2"/>
    <w:rsid w:val="57877235"/>
    <w:rsid w:val="578A30A4"/>
    <w:rsid w:val="5791383A"/>
    <w:rsid w:val="57AC301B"/>
    <w:rsid w:val="57B7551B"/>
    <w:rsid w:val="57D85BBE"/>
    <w:rsid w:val="57E738F8"/>
    <w:rsid w:val="57E91B79"/>
    <w:rsid w:val="57E96E52"/>
    <w:rsid w:val="57F55CA9"/>
    <w:rsid w:val="58070251"/>
    <w:rsid w:val="58296419"/>
    <w:rsid w:val="582E1C82"/>
    <w:rsid w:val="58306118"/>
    <w:rsid w:val="583B7EFB"/>
    <w:rsid w:val="58913FBE"/>
    <w:rsid w:val="58C425E6"/>
    <w:rsid w:val="58C61EBA"/>
    <w:rsid w:val="58CB127E"/>
    <w:rsid w:val="58F72073"/>
    <w:rsid w:val="58FC3B2E"/>
    <w:rsid w:val="58FC58DC"/>
    <w:rsid w:val="5905591A"/>
    <w:rsid w:val="59091DA7"/>
    <w:rsid w:val="590D7AE9"/>
    <w:rsid w:val="59120BC1"/>
    <w:rsid w:val="59126EAD"/>
    <w:rsid w:val="5919023C"/>
    <w:rsid w:val="59301A29"/>
    <w:rsid w:val="593037D7"/>
    <w:rsid w:val="594554D5"/>
    <w:rsid w:val="595219A0"/>
    <w:rsid w:val="59594ADC"/>
    <w:rsid w:val="596646CD"/>
    <w:rsid w:val="597E4543"/>
    <w:rsid w:val="5980650D"/>
    <w:rsid w:val="59831B59"/>
    <w:rsid w:val="59851D75"/>
    <w:rsid w:val="598633F7"/>
    <w:rsid w:val="599B3347"/>
    <w:rsid w:val="59BE0DE3"/>
    <w:rsid w:val="59CD7278"/>
    <w:rsid w:val="59F760A3"/>
    <w:rsid w:val="5A0A4028"/>
    <w:rsid w:val="5A1D1FAE"/>
    <w:rsid w:val="5A3B30F9"/>
    <w:rsid w:val="5A5C0D28"/>
    <w:rsid w:val="5A867B53"/>
    <w:rsid w:val="5A9A35FE"/>
    <w:rsid w:val="5ABA15AB"/>
    <w:rsid w:val="5AC11AB8"/>
    <w:rsid w:val="5AC149CA"/>
    <w:rsid w:val="5AD3266C"/>
    <w:rsid w:val="5ADE01AC"/>
    <w:rsid w:val="5AE605F2"/>
    <w:rsid w:val="5AEC27A8"/>
    <w:rsid w:val="5B0D3DD0"/>
    <w:rsid w:val="5B345801"/>
    <w:rsid w:val="5B3A0083"/>
    <w:rsid w:val="5B3F5F54"/>
    <w:rsid w:val="5B4D68C3"/>
    <w:rsid w:val="5B4F263B"/>
    <w:rsid w:val="5B5163B3"/>
    <w:rsid w:val="5B745980"/>
    <w:rsid w:val="5B765E19"/>
    <w:rsid w:val="5B9B7EF0"/>
    <w:rsid w:val="5BB66216"/>
    <w:rsid w:val="5BD02782"/>
    <w:rsid w:val="5BEF690A"/>
    <w:rsid w:val="5C0F5926"/>
    <w:rsid w:val="5C175789"/>
    <w:rsid w:val="5C1949F7"/>
    <w:rsid w:val="5C2515ED"/>
    <w:rsid w:val="5C3F26AF"/>
    <w:rsid w:val="5C45759A"/>
    <w:rsid w:val="5C5A1297"/>
    <w:rsid w:val="5C6A7000"/>
    <w:rsid w:val="5C7165E1"/>
    <w:rsid w:val="5C7E485A"/>
    <w:rsid w:val="5CAB1AF3"/>
    <w:rsid w:val="5CBA1D36"/>
    <w:rsid w:val="5CD34BA6"/>
    <w:rsid w:val="5CFA65D6"/>
    <w:rsid w:val="5CFB0C71"/>
    <w:rsid w:val="5CFF3BED"/>
    <w:rsid w:val="5D073323"/>
    <w:rsid w:val="5D0E3E30"/>
    <w:rsid w:val="5D1A4582"/>
    <w:rsid w:val="5D2F7160"/>
    <w:rsid w:val="5D417D61"/>
    <w:rsid w:val="5D4B5084"/>
    <w:rsid w:val="5D503F20"/>
    <w:rsid w:val="5D6323CD"/>
    <w:rsid w:val="5D7E1EC0"/>
    <w:rsid w:val="5D8365CC"/>
    <w:rsid w:val="5D9500AD"/>
    <w:rsid w:val="5D9C143B"/>
    <w:rsid w:val="5D9E3405"/>
    <w:rsid w:val="5DAF73C1"/>
    <w:rsid w:val="5DB42C29"/>
    <w:rsid w:val="5DCF1811"/>
    <w:rsid w:val="5DD62B9F"/>
    <w:rsid w:val="5DD76917"/>
    <w:rsid w:val="5DE0757A"/>
    <w:rsid w:val="5DE3706A"/>
    <w:rsid w:val="5E0A0A9B"/>
    <w:rsid w:val="5E211941"/>
    <w:rsid w:val="5E2751A9"/>
    <w:rsid w:val="5E36363E"/>
    <w:rsid w:val="5EA20CD3"/>
    <w:rsid w:val="5EA7453C"/>
    <w:rsid w:val="5EAE1426"/>
    <w:rsid w:val="5EB56C59"/>
    <w:rsid w:val="5EB6652D"/>
    <w:rsid w:val="5ECE29A1"/>
    <w:rsid w:val="5EE70DDC"/>
    <w:rsid w:val="5EF07C91"/>
    <w:rsid w:val="5EFD23AE"/>
    <w:rsid w:val="5F3F4774"/>
    <w:rsid w:val="5F447FDD"/>
    <w:rsid w:val="5F5226F9"/>
    <w:rsid w:val="5F6244B3"/>
    <w:rsid w:val="5F750471"/>
    <w:rsid w:val="5F9A3EA5"/>
    <w:rsid w:val="5FAA35C6"/>
    <w:rsid w:val="5FB213EA"/>
    <w:rsid w:val="5FBE1B3D"/>
    <w:rsid w:val="5FEC48FC"/>
    <w:rsid w:val="5FFA069B"/>
    <w:rsid w:val="5FFB4B3F"/>
    <w:rsid w:val="5FFD53E3"/>
    <w:rsid w:val="5FFE63DD"/>
    <w:rsid w:val="600D6620"/>
    <w:rsid w:val="601B6F8F"/>
    <w:rsid w:val="602A3F44"/>
    <w:rsid w:val="603D5158"/>
    <w:rsid w:val="60583D40"/>
    <w:rsid w:val="606A5821"/>
    <w:rsid w:val="6071416B"/>
    <w:rsid w:val="609E54CA"/>
    <w:rsid w:val="60C70EC5"/>
    <w:rsid w:val="60D13AF2"/>
    <w:rsid w:val="60EB4BB4"/>
    <w:rsid w:val="60EC26DA"/>
    <w:rsid w:val="611046CB"/>
    <w:rsid w:val="6129748A"/>
    <w:rsid w:val="613126F2"/>
    <w:rsid w:val="613D2F35"/>
    <w:rsid w:val="614147D4"/>
    <w:rsid w:val="61565DA5"/>
    <w:rsid w:val="618B5A4F"/>
    <w:rsid w:val="618C17C7"/>
    <w:rsid w:val="61A04593"/>
    <w:rsid w:val="61A22D98"/>
    <w:rsid w:val="61A42FB4"/>
    <w:rsid w:val="61AB60F1"/>
    <w:rsid w:val="61C52C5F"/>
    <w:rsid w:val="61D967C4"/>
    <w:rsid w:val="61DE2B8B"/>
    <w:rsid w:val="622C52FC"/>
    <w:rsid w:val="62570027"/>
    <w:rsid w:val="626403BB"/>
    <w:rsid w:val="626A7D5A"/>
    <w:rsid w:val="62830E1C"/>
    <w:rsid w:val="628A03FC"/>
    <w:rsid w:val="628D3A49"/>
    <w:rsid w:val="628D57F7"/>
    <w:rsid w:val="62A414BE"/>
    <w:rsid w:val="62AE5E99"/>
    <w:rsid w:val="62AF1C11"/>
    <w:rsid w:val="62C3746A"/>
    <w:rsid w:val="62EE2739"/>
    <w:rsid w:val="6300246C"/>
    <w:rsid w:val="63073A94"/>
    <w:rsid w:val="633640E0"/>
    <w:rsid w:val="63506F50"/>
    <w:rsid w:val="635B76A3"/>
    <w:rsid w:val="635F7FDB"/>
    <w:rsid w:val="63624ED5"/>
    <w:rsid w:val="636C18B0"/>
    <w:rsid w:val="6390559E"/>
    <w:rsid w:val="63911317"/>
    <w:rsid w:val="63BF5E84"/>
    <w:rsid w:val="63C4349A"/>
    <w:rsid w:val="63D77671"/>
    <w:rsid w:val="63F024E1"/>
    <w:rsid w:val="640A35A3"/>
    <w:rsid w:val="641066DF"/>
    <w:rsid w:val="64460353"/>
    <w:rsid w:val="647454AC"/>
    <w:rsid w:val="64900ACE"/>
    <w:rsid w:val="64B33C3A"/>
    <w:rsid w:val="64B452BD"/>
    <w:rsid w:val="64C5571C"/>
    <w:rsid w:val="64CC6AAA"/>
    <w:rsid w:val="64DB0A9B"/>
    <w:rsid w:val="64EA6855"/>
    <w:rsid w:val="64F5A826"/>
    <w:rsid w:val="65053D6A"/>
    <w:rsid w:val="6509385A"/>
    <w:rsid w:val="65131CCD"/>
    <w:rsid w:val="651D7306"/>
    <w:rsid w:val="6522491C"/>
    <w:rsid w:val="652C12F7"/>
    <w:rsid w:val="654D3011"/>
    <w:rsid w:val="655E42E2"/>
    <w:rsid w:val="65640A91"/>
    <w:rsid w:val="65836DB6"/>
    <w:rsid w:val="6587477F"/>
    <w:rsid w:val="659A0956"/>
    <w:rsid w:val="65AE4402"/>
    <w:rsid w:val="65C47781"/>
    <w:rsid w:val="66061B48"/>
    <w:rsid w:val="66263F98"/>
    <w:rsid w:val="662E3598"/>
    <w:rsid w:val="663C1A0D"/>
    <w:rsid w:val="663F32AC"/>
    <w:rsid w:val="665A1E94"/>
    <w:rsid w:val="669A48EB"/>
    <w:rsid w:val="66AC79F5"/>
    <w:rsid w:val="66CD08B8"/>
    <w:rsid w:val="66DF5346"/>
    <w:rsid w:val="66EA1469"/>
    <w:rsid w:val="670F6ACA"/>
    <w:rsid w:val="672A030B"/>
    <w:rsid w:val="672C7CD4"/>
    <w:rsid w:val="673F17B5"/>
    <w:rsid w:val="675114E9"/>
    <w:rsid w:val="675F3C06"/>
    <w:rsid w:val="67760F4F"/>
    <w:rsid w:val="67786A75"/>
    <w:rsid w:val="677A27ED"/>
    <w:rsid w:val="67931B01"/>
    <w:rsid w:val="67C24194"/>
    <w:rsid w:val="67D8655F"/>
    <w:rsid w:val="67DD0FCE"/>
    <w:rsid w:val="67E10ABE"/>
    <w:rsid w:val="680A6658"/>
    <w:rsid w:val="68110444"/>
    <w:rsid w:val="681E586F"/>
    <w:rsid w:val="682D7860"/>
    <w:rsid w:val="683D381B"/>
    <w:rsid w:val="68464DC5"/>
    <w:rsid w:val="688B27D8"/>
    <w:rsid w:val="68945B31"/>
    <w:rsid w:val="68A044D6"/>
    <w:rsid w:val="68B00491"/>
    <w:rsid w:val="68C1269E"/>
    <w:rsid w:val="68C331B9"/>
    <w:rsid w:val="68E819D9"/>
    <w:rsid w:val="68ED6FEF"/>
    <w:rsid w:val="69286279"/>
    <w:rsid w:val="69450BD9"/>
    <w:rsid w:val="69562972"/>
    <w:rsid w:val="699A7177"/>
    <w:rsid w:val="69A55B1C"/>
    <w:rsid w:val="69AC6EAA"/>
    <w:rsid w:val="69AD360D"/>
    <w:rsid w:val="69B407F3"/>
    <w:rsid w:val="69C42446"/>
    <w:rsid w:val="69E94057"/>
    <w:rsid w:val="69F06D97"/>
    <w:rsid w:val="6A2A26F4"/>
    <w:rsid w:val="6A502604"/>
    <w:rsid w:val="6A6232DA"/>
    <w:rsid w:val="6A7E0847"/>
    <w:rsid w:val="6AA90784"/>
    <w:rsid w:val="6AAD2EDA"/>
    <w:rsid w:val="6AC41FD2"/>
    <w:rsid w:val="6ADD4D4C"/>
    <w:rsid w:val="6AFC5C0F"/>
    <w:rsid w:val="6B054AC4"/>
    <w:rsid w:val="6B07083C"/>
    <w:rsid w:val="6B0F1BAE"/>
    <w:rsid w:val="6B1765A5"/>
    <w:rsid w:val="6B2534DA"/>
    <w:rsid w:val="6B274241"/>
    <w:rsid w:val="6B361121"/>
    <w:rsid w:val="6B413622"/>
    <w:rsid w:val="6B630F5F"/>
    <w:rsid w:val="6B6C4B43"/>
    <w:rsid w:val="6BB235AF"/>
    <w:rsid w:val="6BC06C3D"/>
    <w:rsid w:val="6BCA7305"/>
    <w:rsid w:val="6BDD77EF"/>
    <w:rsid w:val="6C042FCD"/>
    <w:rsid w:val="6C411B2C"/>
    <w:rsid w:val="6C4229B3"/>
    <w:rsid w:val="6C507FC1"/>
    <w:rsid w:val="6C7C0DB6"/>
    <w:rsid w:val="6C9205D9"/>
    <w:rsid w:val="6C9C4FB4"/>
    <w:rsid w:val="6CBA18DE"/>
    <w:rsid w:val="6CC10EBE"/>
    <w:rsid w:val="6CE10C19"/>
    <w:rsid w:val="6CE45CA5"/>
    <w:rsid w:val="6CF43042"/>
    <w:rsid w:val="6D1C7EA3"/>
    <w:rsid w:val="6D4A2C62"/>
    <w:rsid w:val="6D57537F"/>
    <w:rsid w:val="6D853C9A"/>
    <w:rsid w:val="6DBE0F5A"/>
    <w:rsid w:val="6DD10C8D"/>
    <w:rsid w:val="6E0E1EE1"/>
    <w:rsid w:val="6E2B704C"/>
    <w:rsid w:val="6E3000AA"/>
    <w:rsid w:val="6E421B8B"/>
    <w:rsid w:val="6E492F1A"/>
    <w:rsid w:val="6E535B46"/>
    <w:rsid w:val="6E682EC4"/>
    <w:rsid w:val="6E72625A"/>
    <w:rsid w:val="6E7F4B8D"/>
    <w:rsid w:val="6E8126B3"/>
    <w:rsid w:val="6EA168B2"/>
    <w:rsid w:val="6EDD18B4"/>
    <w:rsid w:val="6EEB3FD1"/>
    <w:rsid w:val="6F3B64CA"/>
    <w:rsid w:val="6F410095"/>
    <w:rsid w:val="6F451933"/>
    <w:rsid w:val="6F5A2F04"/>
    <w:rsid w:val="6F616041"/>
    <w:rsid w:val="6F6A1399"/>
    <w:rsid w:val="6F8306AD"/>
    <w:rsid w:val="6F983B5E"/>
    <w:rsid w:val="6F9A2BEA"/>
    <w:rsid w:val="6FC54822"/>
    <w:rsid w:val="6FD23F05"/>
    <w:rsid w:val="6FDE7692"/>
    <w:rsid w:val="6FEA072C"/>
    <w:rsid w:val="6FF173C5"/>
    <w:rsid w:val="6FF24B04"/>
    <w:rsid w:val="7002794D"/>
    <w:rsid w:val="700D682A"/>
    <w:rsid w:val="701557A9"/>
    <w:rsid w:val="701572B5"/>
    <w:rsid w:val="701B6B38"/>
    <w:rsid w:val="701F03D6"/>
    <w:rsid w:val="7021652D"/>
    <w:rsid w:val="70271038"/>
    <w:rsid w:val="70357BF9"/>
    <w:rsid w:val="703F46DD"/>
    <w:rsid w:val="70422316"/>
    <w:rsid w:val="70512559"/>
    <w:rsid w:val="7056191E"/>
    <w:rsid w:val="70673B2B"/>
    <w:rsid w:val="70710506"/>
    <w:rsid w:val="709A5CAE"/>
    <w:rsid w:val="70D2369A"/>
    <w:rsid w:val="70E60EF4"/>
    <w:rsid w:val="70E909E4"/>
    <w:rsid w:val="70F1533B"/>
    <w:rsid w:val="70FD7FEB"/>
    <w:rsid w:val="71033854"/>
    <w:rsid w:val="711041C2"/>
    <w:rsid w:val="71267542"/>
    <w:rsid w:val="712D267F"/>
    <w:rsid w:val="712D37CE"/>
    <w:rsid w:val="71332BBF"/>
    <w:rsid w:val="713A4D9B"/>
    <w:rsid w:val="713C0B14"/>
    <w:rsid w:val="713D663A"/>
    <w:rsid w:val="714A1482"/>
    <w:rsid w:val="714A4BCF"/>
    <w:rsid w:val="71603845"/>
    <w:rsid w:val="716B764B"/>
    <w:rsid w:val="718A79D3"/>
    <w:rsid w:val="71AB7A47"/>
    <w:rsid w:val="71BC2356"/>
    <w:rsid w:val="71EA67C2"/>
    <w:rsid w:val="71F80EDE"/>
    <w:rsid w:val="71FD29A8"/>
    <w:rsid w:val="71FE226D"/>
    <w:rsid w:val="720158B9"/>
    <w:rsid w:val="72090A3F"/>
    <w:rsid w:val="720F6228"/>
    <w:rsid w:val="723F6B0D"/>
    <w:rsid w:val="7274711A"/>
    <w:rsid w:val="727918F3"/>
    <w:rsid w:val="72A20E4A"/>
    <w:rsid w:val="72A72905"/>
    <w:rsid w:val="72C76B03"/>
    <w:rsid w:val="72D03C09"/>
    <w:rsid w:val="72EE408F"/>
    <w:rsid w:val="72FA6ED8"/>
    <w:rsid w:val="733F48EB"/>
    <w:rsid w:val="734939BC"/>
    <w:rsid w:val="73612AB3"/>
    <w:rsid w:val="7379604F"/>
    <w:rsid w:val="738642C8"/>
    <w:rsid w:val="73A429A0"/>
    <w:rsid w:val="73CD639B"/>
    <w:rsid w:val="73CE642D"/>
    <w:rsid w:val="73DD4830"/>
    <w:rsid w:val="73E21E46"/>
    <w:rsid w:val="73F27BAF"/>
    <w:rsid w:val="74075FB0"/>
    <w:rsid w:val="74081181"/>
    <w:rsid w:val="7419338E"/>
    <w:rsid w:val="742412C2"/>
    <w:rsid w:val="742D4A93"/>
    <w:rsid w:val="743401C8"/>
    <w:rsid w:val="74421DA2"/>
    <w:rsid w:val="74710B02"/>
    <w:rsid w:val="74786307"/>
    <w:rsid w:val="74844CAB"/>
    <w:rsid w:val="749B0247"/>
    <w:rsid w:val="749E7B1F"/>
    <w:rsid w:val="74CB28DA"/>
    <w:rsid w:val="74DD0860"/>
    <w:rsid w:val="74E2242F"/>
    <w:rsid w:val="75063912"/>
    <w:rsid w:val="75091655"/>
    <w:rsid w:val="75115A26"/>
    <w:rsid w:val="751A116C"/>
    <w:rsid w:val="75347933"/>
    <w:rsid w:val="7535244A"/>
    <w:rsid w:val="75385CD4"/>
    <w:rsid w:val="756B19C7"/>
    <w:rsid w:val="75751129"/>
    <w:rsid w:val="75986535"/>
    <w:rsid w:val="759C6025"/>
    <w:rsid w:val="75A9488E"/>
    <w:rsid w:val="75C37A55"/>
    <w:rsid w:val="75C8506C"/>
    <w:rsid w:val="75DA70EC"/>
    <w:rsid w:val="75E2743D"/>
    <w:rsid w:val="7601057E"/>
    <w:rsid w:val="76257DC8"/>
    <w:rsid w:val="762C55FB"/>
    <w:rsid w:val="76320737"/>
    <w:rsid w:val="769F1D04"/>
    <w:rsid w:val="76AE24B4"/>
    <w:rsid w:val="76AE6010"/>
    <w:rsid w:val="76BB697E"/>
    <w:rsid w:val="76E539FB"/>
    <w:rsid w:val="76EC08E6"/>
    <w:rsid w:val="76F1414E"/>
    <w:rsid w:val="76FB4FCD"/>
    <w:rsid w:val="77000835"/>
    <w:rsid w:val="770B16B4"/>
    <w:rsid w:val="770F2826"/>
    <w:rsid w:val="77100A78"/>
    <w:rsid w:val="771F6F0D"/>
    <w:rsid w:val="77815D46"/>
    <w:rsid w:val="77882D05"/>
    <w:rsid w:val="778B0BED"/>
    <w:rsid w:val="779F1DFC"/>
    <w:rsid w:val="77AE203F"/>
    <w:rsid w:val="77D71596"/>
    <w:rsid w:val="77E15F71"/>
    <w:rsid w:val="78006D3F"/>
    <w:rsid w:val="78112CFA"/>
    <w:rsid w:val="78520C1D"/>
    <w:rsid w:val="785B21C7"/>
    <w:rsid w:val="786372CE"/>
    <w:rsid w:val="78770683"/>
    <w:rsid w:val="788D60F9"/>
    <w:rsid w:val="78AC2A23"/>
    <w:rsid w:val="78AC47D1"/>
    <w:rsid w:val="78C53AE4"/>
    <w:rsid w:val="78D5544C"/>
    <w:rsid w:val="78DD498A"/>
    <w:rsid w:val="79022643"/>
    <w:rsid w:val="790C1713"/>
    <w:rsid w:val="795D3D1D"/>
    <w:rsid w:val="796B643A"/>
    <w:rsid w:val="799A287B"/>
    <w:rsid w:val="799B65F3"/>
    <w:rsid w:val="79A17CD4"/>
    <w:rsid w:val="79A47B9E"/>
    <w:rsid w:val="79BD2A0E"/>
    <w:rsid w:val="79C132A3"/>
    <w:rsid w:val="79EF3FF8"/>
    <w:rsid w:val="79F71A7C"/>
    <w:rsid w:val="79F91C98"/>
    <w:rsid w:val="79FC1788"/>
    <w:rsid w:val="7A020420"/>
    <w:rsid w:val="7A044199"/>
    <w:rsid w:val="7A0F3269"/>
    <w:rsid w:val="7A28257D"/>
    <w:rsid w:val="7A392094"/>
    <w:rsid w:val="7A49604F"/>
    <w:rsid w:val="7A4B0019"/>
    <w:rsid w:val="7A4F7B0A"/>
    <w:rsid w:val="7A5275FA"/>
    <w:rsid w:val="7A5501E4"/>
    <w:rsid w:val="7A6D7F90"/>
    <w:rsid w:val="7A770E0E"/>
    <w:rsid w:val="7A8F2DE1"/>
    <w:rsid w:val="7AA02113"/>
    <w:rsid w:val="7AA240DD"/>
    <w:rsid w:val="7AA37E55"/>
    <w:rsid w:val="7AA53BCD"/>
    <w:rsid w:val="7AAD65DE"/>
    <w:rsid w:val="7AB160CE"/>
    <w:rsid w:val="7AC34054"/>
    <w:rsid w:val="7AC540CB"/>
    <w:rsid w:val="7ACD071A"/>
    <w:rsid w:val="7AD61FD9"/>
    <w:rsid w:val="7AD9621B"/>
    <w:rsid w:val="7B0F1047"/>
    <w:rsid w:val="7B160627"/>
    <w:rsid w:val="7B5353D8"/>
    <w:rsid w:val="7B6A2721"/>
    <w:rsid w:val="7B6C6499"/>
    <w:rsid w:val="7B6E5D6D"/>
    <w:rsid w:val="7B876E2F"/>
    <w:rsid w:val="7BA64D48"/>
    <w:rsid w:val="7BB340C8"/>
    <w:rsid w:val="7BB35E76"/>
    <w:rsid w:val="7BC63DFB"/>
    <w:rsid w:val="7BDA1707"/>
    <w:rsid w:val="7BE75B20"/>
    <w:rsid w:val="7C077F70"/>
    <w:rsid w:val="7C084414"/>
    <w:rsid w:val="7C1508DF"/>
    <w:rsid w:val="7C217284"/>
    <w:rsid w:val="7C2428D0"/>
    <w:rsid w:val="7C29438A"/>
    <w:rsid w:val="7C430444"/>
    <w:rsid w:val="7C43369E"/>
    <w:rsid w:val="7C541407"/>
    <w:rsid w:val="7C5C02BC"/>
    <w:rsid w:val="7C5C650E"/>
    <w:rsid w:val="7C61326C"/>
    <w:rsid w:val="7C615578"/>
    <w:rsid w:val="7C745605"/>
    <w:rsid w:val="7C7B135B"/>
    <w:rsid w:val="7C99506C"/>
    <w:rsid w:val="7C9D6338"/>
    <w:rsid w:val="7CB866A5"/>
    <w:rsid w:val="7CC66C84"/>
    <w:rsid w:val="7CFD1A9F"/>
    <w:rsid w:val="7D172435"/>
    <w:rsid w:val="7D1F7C67"/>
    <w:rsid w:val="7D2C4132"/>
    <w:rsid w:val="7D322473"/>
    <w:rsid w:val="7D360636"/>
    <w:rsid w:val="7D4E5E48"/>
    <w:rsid w:val="7D625DA6"/>
    <w:rsid w:val="7D7D2BE0"/>
    <w:rsid w:val="7DB3215D"/>
    <w:rsid w:val="7DB55ED6"/>
    <w:rsid w:val="7DC66335"/>
    <w:rsid w:val="7DF764EE"/>
    <w:rsid w:val="7E06188F"/>
    <w:rsid w:val="7E0D5D12"/>
    <w:rsid w:val="7E130E4E"/>
    <w:rsid w:val="7E260B81"/>
    <w:rsid w:val="7E4B4A8C"/>
    <w:rsid w:val="7E553215"/>
    <w:rsid w:val="7E6416AA"/>
    <w:rsid w:val="7E8135BB"/>
    <w:rsid w:val="7EE50A3C"/>
    <w:rsid w:val="7EF90044"/>
    <w:rsid w:val="7EFE38AC"/>
    <w:rsid w:val="7F01339C"/>
    <w:rsid w:val="7F1F679B"/>
    <w:rsid w:val="7F4339B5"/>
    <w:rsid w:val="7F737DF6"/>
    <w:rsid w:val="7F7B6CAB"/>
    <w:rsid w:val="7F802513"/>
    <w:rsid w:val="7F9F508F"/>
    <w:rsid w:val="7FA51F7A"/>
    <w:rsid w:val="7FB20A13"/>
    <w:rsid w:val="7FBA5A25"/>
    <w:rsid w:val="7FCB7C32"/>
    <w:rsid w:val="7FDB3BED"/>
    <w:rsid w:val="7FE01204"/>
    <w:rsid w:val="7FEE3921"/>
    <w:rsid w:val="7FEE56CF"/>
    <w:rsid w:val="CFDF19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宋体" w:cs="Arial"/>
      <w:snapToGrid w:val="0"/>
      <w:color w:val="000000"/>
      <w:sz w:val="21"/>
      <w:szCs w:val="21"/>
      <w:lang w:val="en-US" w:eastAsia="zh-CN" w:bidi="ar-SA"/>
    </w:rPr>
  </w:style>
  <w:style w:type="paragraph" w:styleId="4">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5">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6">
    <w:name w:val="List Number 2"/>
    <w:basedOn w:val="1"/>
    <w:qFormat/>
    <w:uiPriority w:val="0"/>
    <w:pPr>
      <w:numPr>
        <w:ilvl w:val="0"/>
        <w:numId w:val="1"/>
      </w:numPr>
    </w:pPr>
  </w:style>
  <w:style w:type="paragraph" w:styleId="7">
    <w:name w:val="Normal Indent"/>
    <w:basedOn w:val="1"/>
    <w:qFormat/>
    <w:uiPriority w:val="0"/>
    <w:pPr>
      <w:ind w:firstLine="200" w:firstLineChars="200"/>
    </w:pPr>
  </w:style>
  <w:style w:type="paragraph" w:styleId="8">
    <w:name w:val="annotation text"/>
    <w:basedOn w:val="1"/>
    <w:link w:val="35"/>
    <w:qFormat/>
    <w:uiPriority w:val="0"/>
    <w:pPr>
      <w:widowControl w:val="0"/>
    </w:pPr>
    <w:rPr>
      <w:rFonts w:ascii="Times New Roman" w:hAnsi="Times New Roman" w:eastAsia="宋体" w:cs="Times New Roman"/>
      <w:kern w:val="2"/>
      <w:szCs w:val="24"/>
    </w:rPr>
  </w:style>
  <w:style w:type="paragraph" w:styleId="9">
    <w:name w:val="Body Text"/>
    <w:basedOn w:val="1"/>
    <w:next w:val="1"/>
    <w:qFormat/>
    <w:uiPriority w:val="0"/>
    <w:pPr>
      <w:spacing w:after="120"/>
    </w:pPr>
    <w:rPr>
      <w:sz w:val="20"/>
    </w:rPr>
  </w:style>
  <w:style w:type="paragraph" w:styleId="10">
    <w:name w:val="Body Text Indent"/>
    <w:basedOn w:val="1"/>
    <w:next w:val="11"/>
    <w:qFormat/>
    <w:uiPriority w:val="0"/>
    <w:pPr>
      <w:spacing w:line="500" w:lineRule="atLeast"/>
      <w:ind w:firstLine="510"/>
    </w:pPr>
    <w:rPr>
      <w:rFonts w:ascii="仿宋_GB2312" w:eastAsia="仿宋_GB2312"/>
      <w:sz w:val="24"/>
      <w:szCs w:val="20"/>
    </w:rPr>
  </w:style>
  <w:style w:type="paragraph" w:styleId="11">
    <w:name w:val="Body Text First Indent 2"/>
    <w:basedOn w:val="10"/>
    <w:unhideWhenUsed/>
    <w:qFormat/>
    <w:uiPriority w:val="99"/>
    <w:pPr>
      <w:spacing w:line="200" w:lineRule="atLeast"/>
      <w:ind w:firstLine="420"/>
    </w:pPr>
    <w:rPr>
      <w:rFonts w:ascii="宋体" w:hAnsi="Courier New"/>
      <w:spacing w:val="-4"/>
      <w:sz w:val="18"/>
    </w:rPr>
  </w:style>
  <w:style w:type="paragraph" w:styleId="12">
    <w:name w:val="List Number 3"/>
    <w:basedOn w:val="1"/>
    <w:qFormat/>
    <w:uiPriority w:val="0"/>
    <w:pPr>
      <w:numPr>
        <w:ilvl w:val="0"/>
        <w:numId w:val="2"/>
      </w:numPr>
    </w:pPr>
  </w:style>
  <w:style w:type="paragraph" w:styleId="13">
    <w:name w:val="toc 3"/>
    <w:basedOn w:val="1"/>
    <w:next w:val="1"/>
    <w:unhideWhenUsed/>
    <w:qFormat/>
    <w:uiPriority w:val="39"/>
    <w:pPr>
      <w:kinsoku/>
      <w:autoSpaceDE/>
      <w:autoSpaceDN/>
      <w:adjustRightInd/>
      <w:snapToGrid/>
      <w:spacing w:after="100" w:line="276" w:lineRule="auto"/>
      <w:ind w:left="440"/>
      <w:textAlignment w:val="auto"/>
    </w:pPr>
    <w:rPr>
      <w:rFonts w:ascii="Calibri" w:hAnsi="Calibri" w:eastAsia="宋体" w:cs="Times New Roman"/>
      <w:snapToGrid/>
      <w:color w:val="auto"/>
      <w:sz w:val="22"/>
      <w:szCs w:val="22"/>
    </w:rPr>
  </w:style>
  <w:style w:type="paragraph" w:styleId="14">
    <w:name w:val="Plain Text"/>
    <w:basedOn w:val="1"/>
    <w:unhideWhenUsed/>
    <w:qFormat/>
    <w:uiPriority w:val="99"/>
    <w:pPr>
      <w:autoSpaceDN/>
      <w:adjustRightInd/>
      <w:jc w:val="both"/>
    </w:pPr>
    <w:rPr>
      <w:rFonts w:ascii="宋体" w:hAnsi="Courier New"/>
      <w:sz w:val="20"/>
      <w:szCs w:val="20"/>
    </w:rPr>
  </w:style>
  <w:style w:type="paragraph" w:styleId="15">
    <w:name w:val="Date"/>
    <w:basedOn w:val="1"/>
    <w:next w:val="1"/>
    <w:qFormat/>
    <w:uiPriority w:val="0"/>
    <w:rPr>
      <w:rFonts w:ascii="宋体"/>
      <w:szCs w:val="20"/>
    </w:rPr>
  </w:style>
  <w:style w:type="paragraph" w:styleId="16">
    <w:name w:val="Body Text Indent 2"/>
    <w:basedOn w:val="1"/>
    <w:qFormat/>
    <w:uiPriority w:val="0"/>
    <w:pPr>
      <w:spacing w:after="120" w:line="480" w:lineRule="auto"/>
      <w:ind w:left="200" w:leftChars="200"/>
    </w:pPr>
  </w:style>
  <w:style w:type="paragraph" w:styleId="17">
    <w:name w:val="Balloon Text"/>
    <w:basedOn w:val="1"/>
    <w:link w:val="36"/>
    <w:qFormat/>
    <w:uiPriority w:val="0"/>
    <w:rPr>
      <w:sz w:val="18"/>
      <w:szCs w:val="18"/>
    </w:rPr>
  </w:style>
  <w:style w:type="paragraph" w:styleId="18">
    <w:name w:val="footer"/>
    <w:basedOn w:val="1"/>
    <w:link w:val="37"/>
    <w:qFormat/>
    <w:uiPriority w:val="0"/>
    <w:pPr>
      <w:tabs>
        <w:tab w:val="center" w:pos="4153"/>
        <w:tab w:val="right" w:pos="8306"/>
      </w:tabs>
    </w:pPr>
    <w:rPr>
      <w:sz w:val="18"/>
      <w:szCs w:val="18"/>
    </w:rPr>
  </w:style>
  <w:style w:type="paragraph" w:styleId="19">
    <w:name w:val="header"/>
    <w:basedOn w:val="1"/>
    <w:link w:val="38"/>
    <w:qFormat/>
    <w:uiPriority w:val="0"/>
    <w:pPr>
      <w:pBdr>
        <w:bottom w:val="single" w:color="auto" w:sz="6" w:space="1"/>
      </w:pBdr>
      <w:tabs>
        <w:tab w:val="center" w:pos="4153"/>
        <w:tab w:val="right" w:pos="8306"/>
      </w:tabs>
      <w:jc w:val="center"/>
    </w:pPr>
    <w:rPr>
      <w:sz w:val="18"/>
      <w:szCs w:val="18"/>
    </w:rPr>
  </w:style>
  <w:style w:type="paragraph" w:styleId="20">
    <w:name w:val="toc 1"/>
    <w:basedOn w:val="1"/>
    <w:next w:val="1"/>
    <w:unhideWhenUsed/>
    <w:qFormat/>
    <w:uiPriority w:val="39"/>
    <w:pPr>
      <w:kinsoku/>
      <w:autoSpaceDE/>
      <w:autoSpaceDN/>
      <w:adjustRightInd/>
      <w:snapToGrid/>
      <w:spacing w:after="100" w:line="276" w:lineRule="auto"/>
      <w:textAlignment w:val="auto"/>
    </w:pPr>
    <w:rPr>
      <w:rFonts w:ascii="Calibri" w:hAnsi="Calibri" w:eastAsia="宋体" w:cs="Times New Roman"/>
      <w:snapToGrid/>
      <w:color w:val="auto"/>
      <w:sz w:val="22"/>
      <w:szCs w:val="22"/>
    </w:rPr>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toc 2"/>
    <w:basedOn w:val="1"/>
    <w:next w:val="1"/>
    <w:unhideWhenUsed/>
    <w:qFormat/>
    <w:uiPriority w:val="39"/>
    <w:pPr>
      <w:kinsoku/>
      <w:autoSpaceDE/>
      <w:autoSpaceDN/>
      <w:adjustRightInd/>
      <w:snapToGrid/>
      <w:spacing w:after="100" w:line="276" w:lineRule="auto"/>
      <w:ind w:left="220"/>
      <w:textAlignment w:val="auto"/>
    </w:pPr>
    <w:rPr>
      <w:rFonts w:ascii="Calibri" w:hAnsi="Calibri" w:eastAsia="宋体" w:cs="Times New Roman"/>
      <w:snapToGrid/>
      <w:color w:val="auto"/>
      <w:sz w:val="22"/>
      <w:szCs w:val="22"/>
    </w:rPr>
  </w:style>
  <w:style w:type="paragraph" w:styleId="2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Title"/>
    <w:basedOn w:val="1"/>
    <w:next w:val="1"/>
    <w:qFormat/>
    <w:uiPriority w:val="0"/>
    <w:pPr>
      <w:widowControl w:val="0"/>
      <w:spacing w:before="240" w:after="60"/>
      <w:jc w:val="center"/>
      <w:outlineLvl w:val="0"/>
    </w:pPr>
    <w:rPr>
      <w:rFonts w:ascii="Calibri Light" w:hAnsi="Calibri Light" w:eastAsia="宋体" w:cs="Times New Roman"/>
      <w:b/>
      <w:bCs/>
      <w:kern w:val="2"/>
      <w:sz w:val="32"/>
      <w:szCs w:val="32"/>
    </w:rPr>
  </w:style>
  <w:style w:type="paragraph" w:styleId="25">
    <w:name w:val="annotation subject"/>
    <w:basedOn w:val="8"/>
    <w:next w:val="8"/>
    <w:link w:val="39"/>
    <w:qFormat/>
    <w:uiPriority w:val="0"/>
    <w:rPr>
      <w:b/>
      <w:bCs/>
    </w:rPr>
  </w:style>
  <w:style w:type="paragraph" w:styleId="26">
    <w:name w:val="Body Text First Indent"/>
    <w:basedOn w:val="9"/>
    <w:next w:val="1"/>
    <w:unhideWhenUsed/>
    <w:qFormat/>
    <w:uiPriority w:val="99"/>
    <w:pPr>
      <w:ind w:firstLine="420" w:firstLineChars="1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FollowedHyperlink"/>
    <w:basedOn w:val="29"/>
    <w:qFormat/>
    <w:uiPriority w:val="0"/>
    <w:rPr>
      <w:color w:val="800080"/>
      <w:u w:val="none"/>
    </w:rPr>
  </w:style>
  <w:style w:type="character" w:styleId="32">
    <w:name w:val="Hyperlink"/>
    <w:basedOn w:val="29"/>
    <w:qFormat/>
    <w:uiPriority w:val="0"/>
    <w:rPr>
      <w:color w:val="0000FF"/>
      <w:u w:val="single"/>
    </w:rPr>
  </w:style>
  <w:style w:type="character" w:styleId="33">
    <w:name w:val="annotation reference"/>
    <w:basedOn w:val="29"/>
    <w:qFormat/>
    <w:uiPriority w:val="0"/>
    <w:rPr>
      <w:sz w:val="21"/>
      <w:szCs w:val="21"/>
    </w:rPr>
  </w:style>
  <w:style w:type="character" w:customStyle="1" w:styleId="34">
    <w:name w:val="标题 1 Char"/>
    <w:basedOn w:val="29"/>
    <w:link w:val="4"/>
    <w:qFormat/>
    <w:uiPriority w:val="0"/>
    <w:rPr>
      <w:rFonts w:ascii="Arial" w:hAnsi="Arial" w:eastAsia="Arial" w:cs="Arial"/>
      <w:b/>
      <w:bCs/>
      <w:snapToGrid w:val="0"/>
      <w:color w:val="000000"/>
      <w:kern w:val="44"/>
      <w:sz w:val="44"/>
      <w:szCs w:val="44"/>
    </w:rPr>
  </w:style>
  <w:style w:type="character" w:customStyle="1" w:styleId="35">
    <w:name w:val="批注文字 Char1"/>
    <w:basedOn w:val="29"/>
    <w:link w:val="8"/>
    <w:qFormat/>
    <w:uiPriority w:val="0"/>
    <w:rPr>
      <w:kern w:val="2"/>
      <w:sz w:val="21"/>
      <w:szCs w:val="24"/>
    </w:rPr>
  </w:style>
  <w:style w:type="character" w:customStyle="1" w:styleId="36">
    <w:name w:val="批注框文本 Char"/>
    <w:basedOn w:val="29"/>
    <w:link w:val="17"/>
    <w:qFormat/>
    <w:uiPriority w:val="0"/>
    <w:rPr>
      <w:rFonts w:ascii="Arial" w:hAnsi="Arial" w:eastAsia="Arial" w:cs="Arial"/>
      <w:snapToGrid w:val="0"/>
      <w:color w:val="000000"/>
      <w:sz w:val="18"/>
      <w:szCs w:val="18"/>
    </w:rPr>
  </w:style>
  <w:style w:type="character" w:customStyle="1" w:styleId="37">
    <w:name w:val="页脚 Char"/>
    <w:basedOn w:val="29"/>
    <w:link w:val="18"/>
    <w:qFormat/>
    <w:uiPriority w:val="0"/>
    <w:rPr>
      <w:rFonts w:ascii="Arial" w:hAnsi="Arial" w:eastAsia="Arial" w:cs="Arial"/>
      <w:snapToGrid w:val="0"/>
      <w:color w:val="000000"/>
      <w:sz w:val="18"/>
      <w:szCs w:val="18"/>
    </w:rPr>
  </w:style>
  <w:style w:type="character" w:customStyle="1" w:styleId="38">
    <w:name w:val="页眉 Char"/>
    <w:basedOn w:val="29"/>
    <w:link w:val="19"/>
    <w:qFormat/>
    <w:uiPriority w:val="0"/>
    <w:rPr>
      <w:rFonts w:ascii="Arial" w:hAnsi="Arial" w:eastAsia="Arial" w:cs="Arial"/>
      <w:snapToGrid w:val="0"/>
      <w:color w:val="000000"/>
      <w:sz w:val="18"/>
      <w:szCs w:val="18"/>
    </w:rPr>
  </w:style>
  <w:style w:type="character" w:customStyle="1" w:styleId="39">
    <w:name w:val="批注主题 Char"/>
    <w:basedOn w:val="40"/>
    <w:link w:val="25"/>
    <w:qFormat/>
    <w:uiPriority w:val="0"/>
    <w:rPr>
      <w:rFonts w:ascii="Arial" w:hAnsi="Arial" w:eastAsia="Arial" w:cs="Arial"/>
      <w:b/>
      <w:bCs/>
      <w:snapToGrid w:val="0"/>
      <w:color w:val="000000"/>
      <w:sz w:val="21"/>
      <w:szCs w:val="21"/>
    </w:rPr>
  </w:style>
  <w:style w:type="character" w:customStyle="1" w:styleId="40">
    <w:name w:val="批注文字 Char"/>
    <w:basedOn w:val="29"/>
    <w:qFormat/>
    <w:uiPriority w:val="0"/>
    <w:rPr>
      <w:rFonts w:ascii="Arial" w:hAnsi="Arial" w:eastAsia="Arial" w:cs="Arial"/>
      <w:snapToGrid w:val="0"/>
      <w:color w:val="000000"/>
      <w:sz w:val="21"/>
      <w:szCs w:val="21"/>
    </w:rPr>
  </w:style>
  <w:style w:type="paragraph" w:customStyle="1" w:styleId="41">
    <w:name w:val="Heading1"/>
    <w:basedOn w:val="1"/>
    <w:next w:val="1"/>
    <w:qFormat/>
    <w:uiPriority w:val="0"/>
    <w:pPr>
      <w:keepNext/>
      <w:keepLines/>
      <w:spacing w:before="340" w:after="330" w:line="576" w:lineRule="auto"/>
    </w:pPr>
    <w:rPr>
      <w:b/>
      <w:bCs/>
      <w:kern w:val="44"/>
      <w:sz w:val="44"/>
      <w:szCs w:val="44"/>
    </w:rPr>
  </w:style>
  <w:style w:type="table" w:customStyle="1" w:styleId="42">
    <w:name w:val="Table Normal"/>
    <w:unhideWhenUsed/>
    <w:qFormat/>
    <w:uiPriority w:val="0"/>
    <w:tblPr>
      <w:tblCellMar>
        <w:top w:w="0" w:type="dxa"/>
        <w:left w:w="0" w:type="dxa"/>
        <w:bottom w:w="0" w:type="dxa"/>
        <w:right w:w="0" w:type="dxa"/>
      </w:tblCellMar>
    </w:tblPr>
  </w:style>
  <w:style w:type="paragraph" w:customStyle="1" w:styleId="43">
    <w:name w:val="TOC 标题1"/>
    <w:basedOn w:val="4"/>
    <w:next w:val="1"/>
    <w:unhideWhenUsed/>
    <w:qFormat/>
    <w:uiPriority w:val="39"/>
    <w:pPr>
      <w:kinsoku/>
      <w:autoSpaceDE/>
      <w:autoSpaceDN/>
      <w:adjustRightInd/>
      <w:snapToGrid/>
      <w:spacing w:before="480" w:after="0" w:line="276" w:lineRule="auto"/>
      <w:textAlignment w:val="auto"/>
      <w:outlineLvl w:val="9"/>
    </w:pPr>
    <w:rPr>
      <w:rFonts w:ascii="Cambria" w:hAnsi="Cambria" w:eastAsia="宋体" w:cs="Times New Roman"/>
      <w:snapToGrid/>
      <w:color w:val="366091"/>
      <w:kern w:val="0"/>
      <w:sz w:val="28"/>
      <w:szCs w:val="28"/>
    </w:rPr>
  </w:style>
  <w:style w:type="paragraph" w:customStyle="1" w:styleId="44">
    <w:name w:val="正文，首行缩进:"/>
    <w:basedOn w:val="1"/>
    <w:qFormat/>
    <w:uiPriority w:val="0"/>
    <w:pPr>
      <w:spacing w:line="460" w:lineRule="exact"/>
      <w:ind w:firstLine="480" w:firstLineChars="200"/>
    </w:pPr>
    <w:rPr>
      <w:rFonts w:ascii="宋体" w:hAnsi="宋体" w:cs="宋体"/>
    </w:rPr>
  </w:style>
  <w:style w:type="paragraph" w:customStyle="1" w:styleId="45">
    <w:name w:val="Table Paragraph"/>
    <w:basedOn w:val="1"/>
    <w:qFormat/>
    <w:uiPriority w:val="1"/>
    <w:pPr>
      <w:ind w:firstLine="126" w:firstLineChars="60"/>
    </w:pPr>
  </w:style>
  <w:style w:type="paragraph" w:styleId="46">
    <w:name w:val="List Paragraph"/>
    <w:basedOn w:val="1"/>
    <w:qFormat/>
    <w:uiPriority w:val="0"/>
    <w:pPr>
      <w:spacing w:line="440" w:lineRule="exact"/>
      <w:ind w:firstLine="420" w:firstLineChars="200"/>
    </w:pPr>
    <w:rPr>
      <w:szCs w:val="20"/>
    </w:rPr>
  </w:style>
  <w:style w:type="paragraph" w:customStyle="1" w:styleId="47">
    <w:name w:val="正文1"/>
    <w:qFormat/>
    <w:uiPriority w:val="0"/>
    <w:pPr>
      <w:jc w:val="both"/>
    </w:pPr>
    <w:rPr>
      <w:rFonts w:ascii="Calibri" w:hAnsi="Calibri" w:eastAsia="宋体" w:cs="Calibri"/>
      <w:kern w:val="2"/>
      <w:sz w:val="21"/>
      <w:szCs w:val="21"/>
      <w:lang w:val="en-US" w:eastAsia="zh-CN" w:bidi="ar-SA"/>
    </w:rPr>
  </w:style>
  <w:style w:type="paragraph" w:customStyle="1" w:styleId="48">
    <w:name w:val="修订1"/>
    <w:unhideWhenUsed/>
    <w:qFormat/>
    <w:uiPriority w:val="99"/>
    <w:rPr>
      <w:rFonts w:ascii="Arial" w:hAnsi="Arial" w:eastAsia="Arial" w:cs="Arial"/>
      <w:snapToGrid w:val="0"/>
      <w:color w:val="000000"/>
      <w:sz w:val="21"/>
      <w:szCs w:val="21"/>
      <w:lang w:val="en-US" w:eastAsia="zh-CN" w:bidi="ar-SA"/>
    </w:rPr>
  </w:style>
  <w:style w:type="character" w:customStyle="1" w:styleId="49">
    <w:name w:val="19"/>
    <w:qFormat/>
    <w:uiPriority w:val="0"/>
    <w:rPr>
      <w:rFonts w:hint="default" w:ascii="Times New Roman" w:hAnsi="Times New Roman" w:cs="Times New Roman"/>
      <w:sz w:val="21"/>
      <w:szCs w:val="21"/>
    </w:rPr>
  </w:style>
  <w:style w:type="paragraph" w:customStyle="1" w:styleId="50">
    <w:name w:val="表正文"/>
    <w:basedOn w:val="1"/>
    <w:next w:val="14"/>
    <w:qFormat/>
    <w:uiPriority w:val="0"/>
    <w:rPr>
      <w:rFonts w:ascii="宋体"/>
      <w:szCs w:val="20"/>
    </w:rPr>
  </w:style>
  <w:style w:type="paragraph" w:customStyle="1" w:styleId="51">
    <w:name w:val="正文段"/>
    <w:basedOn w:val="1"/>
    <w:qFormat/>
    <w:uiPriority w:val="0"/>
    <w:pPr>
      <w:widowControl/>
      <w:snapToGrid w:val="0"/>
      <w:spacing w:after="50" w:afterLines="50"/>
      <w:ind w:firstLine="200" w:firstLineChars="200"/>
    </w:pPr>
    <w:rPr>
      <w:kern w:val="0"/>
      <w:sz w:val="24"/>
      <w:szCs w:val="20"/>
    </w:rPr>
  </w:style>
  <w:style w:type="paragraph" w:customStyle="1" w:styleId="52">
    <w:name w:val="样式5"/>
    <w:basedOn w:val="1"/>
    <w:qFormat/>
    <w:uiPriority w:val="0"/>
    <w:pPr>
      <w:spacing w:line="440" w:lineRule="exact"/>
      <w:ind w:firstLine="200" w:firstLineChars="200"/>
    </w:pPr>
    <w:rPr>
      <w:rFonts w:ascii="宋体"/>
      <w:szCs w:val="21"/>
    </w:rPr>
  </w:style>
  <w:style w:type="paragraph" w:customStyle="1" w:styleId="53">
    <w:name w:val="*正文"/>
    <w:basedOn w:val="1"/>
    <w:qFormat/>
    <w:uiPriority w:val="0"/>
    <w:pPr>
      <w:spacing w:line="360" w:lineRule="auto"/>
      <w:ind w:firstLine="200" w:firstLineChars="200"/>
    </w:pPr>
    <w:rPr>
      <w:rFonts w:ascii="宋体" w:hAnsi="宋体" w:eastAsia="Times New Roman"/>
      <w:kern w:val="0"/>
      <w:sz w:val="2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9475</Words>
  <Characters>10264</Characters>
  <Lines>349</Lines>
  <Paragraphs>98</Paragraphs>
  <TotalTime>8</TotalTime>
  <ScaleCrop>false</ScaleCrop>
  <LinksUpToDate>false</LinksUpToDate>
  <CharactersWithSpaces>10855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2024-10-21T06:57:00Z</dcterms:created>
  <dc:creator>微软系统</dc:creator>
  <cp:lastModifiedBy>admin</cp:lastModifiedBy>
  <cp:lastPrinted>2023-11-27T06:41:00Z</cp:lastPrinted>
  <dcterms:modified xsi:type="dcterms:W3CDTF">2025-05-30T09:16:37Z</dcterms:modified>
  <dc:title>（项目名称）         标段服务招标</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2023-06-16T17:12:46Z</vt:filetime>
  </property>
  <property fmtid="{D5CDD505-2E9C-101B-9397-08002B2CF9AE}" pid="4" name="KSOProductBuildVer">
    <vt:lpwstr>2052-12.1.0.21171</vt:lpwstr>
  </property>
  <property fmtid="{D5CDD505-2E9C-101B-9397-08002B2CF9AE}" pid="5" name="ICV">
    <vt:lpwstr>60B14D19D6BD4936AAA790758230A9A6_13</vt:lpwstr>
  </property>
  <property fmtid="{D5CDD505-2E9C-101B-9397-08002B2CF9AE}" pid="6" name="KSOTemplateDocerSaveRecord">
    <vt:lpwstr>eyJoZGlkIjoiMTUzNjJmNTA5MTIyYmQ1MzFkNjFhOGU0ZDVmMjU2ZGEiLCJ1c2VySWQiOiI0MDY3NDkwMzMifQ==</vt:lpwstr>
  </property>
</Properties>
</file>