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3F4D3">
      <w:pPr>
        <w:spacing w:line="440" w:lineRule="exact"/>
        <w:ind w:right="-386" w:rightChars="-138"/>
        <w:jc w:val="center"/>
        <w:rPr>
          <w:rFonts w:ascii="宋体" w:hAnsi="宋体" w:cs="宋体"/>
          <w:b/>
          <w:bCs/>
          <w:color w:val="auto"/>
          <w:sz w:val="44"/>
          <w:szCs w:val="44"/>
          <w:highlight w:val="none"/>
        </w:rPr>
      </w:pPr>
    </w:p>
    <w:p w14:paraId="00CA83E8">
      <w:pPr>
        <w:spacing w:line="360" w:lineRule="auto"/>
        <w:ind w:right="-386" w:rightChars="-138"/>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柯城区城区区域安防设备补盲一期租赁服务项目</w:t>
      </w:r>
    </w:p>
    <w:p w14:paraId="1C77DC73">
      <w:pPr>
        <w:pStyle w:val="4"/>
        <w:keepNext w:val="0"/>
        <w:keepLines w:val="0"/>
        <w:rPr>
          <w:color w:val="auto"/>
          <w:highlight w:val="none"/>
        </w:rPr>
      </w:pPr>
    </w:p>
    <w:p w14:paraId="58F4A694">
      <w:pPr>
        <w:pStyle w:val="9"/>
        <w:rPr>
          <w:color w:val="auto"/>
          <w:highlight w:val="none"/>
        </w:rPr>
      </w:pPr>
    </w:p>
    <w:p w14:paraId="198975AB">
      <w:pPr>
        <w:spacing w:line="360" w:lineRule="auto"/>
        <w:jc w:val="center"/>
        <w:rPr>
          <w:rFonts w:ascii="宋体" w:cs="宋体"/>
          <w:b/>
          <w:color w:val="auto"/>
          <w:spacing w:val="-6"/>
          <w:sz w:val="56"/>
          <w:szCs w:val="56"/>
          <w:highlight w:val="none"/>
        </w:rPr>
      </w:pPr>
      <w:r>
        <w:rPr>
          <w:rFonts w:hint="eastAsia" w:ascii="宋体" w:hAnsi="宋体" w:cs="宋体"/>
          <w:b/>
          <w:color w:val="auto"/>
          <w:spacing w:val="-6"/>
          <w:sz w:val="56"/>
          <w:szCs w:val="56"/>
          <w:highlight w:val="none"/>
        </w:rPr>
        <w:t>招</w:t>
      </w:r>
    </w:p>
    <w:p w14:paraId="767E5715">
      <w:pPr>
        <w:spacing w:line="360" w:lineRule="auto"/>
        <w:jc w:val="center"/>
        <w:rPr>
          <w:rFonts w:ascii="宋体" w:cs="宋体"/>
          <w:b/>
          <w:color w:val="auto"/>
          <w:spacing w:val="-6"/>
          <w:sz w:val="56"/>
          <w:szCs w:val="56"/>
          <w:highlight w:val="none"/>
        </w:rPr>
      </w:pPr>
      <w:r>
        <w:rPr>
          <w:rFonts w:hint="eastAsia" w:ascii="宋体" w:hAnsi="宋体" w:cs="宋体"/>
          <w:b/>
          <w:color w:val="auto"/>
          <w:spacing w:val="-6"/>
          <w:sz w:val="56"/>
          <w:szCs w:val="56"/>
          <w:highlight w:val="none"/>
        </w:rPr>
        <w:t>标</w:t>
      </w:r>
    </w:p>
    <w:p w14:paraId="0E055085">
      <w:pPr>
        <w:spacing w:line="360" w:lineRule="auto"/>
        <w:jc w:val="center"/>
        <w:rPr>
          <w:rFonts w:ascii="宋体" w:cs="宋体"/>
          <w:b/>
          <w:color w:val="auto"/>
          <w:spacing w:val="-6"/>
          <w:sz w:val="56"/>
          <w:szCs w:val="56"/>
          <w:highlight w:val="none"/>
        </w:rPr>
      </w:pPr>
      <w:r>
        <w:rPr>
          <w:rFonts w:hint="eastAsia" w:ascii="宋体" w:hAnsi="宋体" w:cs="宋体"/>
          <w:b/>
          <w:color w:val="auto"/>
          <w:spacing w:val="-6"/>
          <w:sz w:val="56"/>
          <w:szCs w:val="56"/>
          <w:highlight w:val="none"/>
        </w:rPr>
        <w:t>文</w:t>
      </w:r>
    </w:p>
    <w:p w14:paraId="3C4B9BB2">
      <w:pPr>
        <w:spacing w:line="360" w:lineRule="auto"/>
        <w:jc w:val="center"/>
        <w:rPr>
          <w:rFonts w:ascii="宋体" w:hAnsi="宋体" w:cs="宋体"/>
          <w:b/>
          <w:color w:val="auto"/>
          <w:spacing w:val="-6"/>
          <w:sz w:val="56"/>
          <w:szCs w:val="56"/>
          <w:highlight w:val="none"/>
        </w:rPr>
      </w:pPr>
      <w:r>
        <w:rPr>
          <w:rFonts w:hint="eastAsia" w:ascii="宋体" w:hAnsi="宋体" w:cs="宋体"/>
          <w:b/>
          <w:color w:val="auto"/>
          <w:spacing w:val="-6"/>
          <w:sz w:val="56"/>
          <w:szCs w:val="56"/>
          <w:highlight w:val="none"/>
        </w:rPr>
        <w:t>件</w:t>
      </w:r>
    </w:p>
    <w:p w14:paraId="13DF90EE">
      <w:pPr>
        <w:pStyle w:val="4"/>
        <w:keepNext w:val="0"/>
        <w:keepLines w:val="0"/>
        <w:rPr>
          <w:color w:val="auto"/>
          <w:highlight w:val="none"/>
        </w:rPr>
      </w:pPr>
    </w:p>
    <w:p w14:paraId="5833333F">
      <w:pPr>
        <w:widowControl/>
        <w:spacing w:line="360" w:lineRule="auto"/>
        <w:ind w:right="-2"/>
        <w:jc w:val="center"/>
        <w:rPr>
          <w:rFonts w:ascii="宋体" w:cs="宋体"/>
          <w:b/>
          <w:color w:val="auto"/>
          <w:sz w:val="36"/>
          <w:highlight w:val="none"/>
        </w:rPr>
      </w:pPr>
      <w:r>
        <w:rPr>
          <w:rFonts w:hint="eastAsia" w:ascii="宋体" w:hAnsi="宋体" w:cs="宋体"/>
          <w:b/>
          <w:color w:val="auto"/>
          <w:sz w:val="36"/>
          <w:highlight w:val="none"/>
        </w:rPr>
        <w:t>（线上电子招投标）</w:t>
      </w:r>
    </w:p>
    <w:p w14:paraId="4BB2AB24">
      <w:pPr>
        <w:pStyle w:val="4"/>
        <w:keepNext w:val="0"/>
        <w:keepLines w:val="0"/>
        <w:rPr>
          <w:color w:val="auto"/>
          <w:highlight w:val="none"/>
        </w:rPr>
      </w:pPr>
    </w:p>
    <w:p w14:paraId="0D5FD7A1">
      <w:pPr>
        <w:spacing w:line="560" w:lineRule="exact"/>
        <w:ind w:left="0" w:leftChars="0" w:firstLine="1124" w:firstLineChars="350"/>
        <w:jc w:val="both"/>
        <w:rPr>
          <w:rFonts w:hint="eastAsia" w:ascii="宋体" w:eastAsia="宋体" w:cs="宋体"/>
          <w:b/>
          <w:bCs/>
          <w:color w:val="auto"/>
          <w:sz w:val="32"/>
          <w:szCs w:val="32"/>
          <w:highlight w:val="none"/>
          <w:lang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lang w:eastAsia="zh-CN"/>
        </w:rPr>
        <w:t>QZSY2025-04-14</w:t>
      </w:r>
    </w:p>
    <w:p w14:paraId="62554DD9">
      <w:pPr>
        <w:spacing w:line="560" w:lineRule="exact"/>
        <w:ind w:left="0" w:leftChars="0" w:firstLine="1124" w:firstLineChars="350"/>
        <w:jc w:val="both"/>
        <w:rPr>
          <w:rFonts w:ascii="宋体" w:cs="宋体"/>
          <w:b/>
          <w:bCs/>
          <w:color w:val="auto"/>
          <w:sz w:val="32"/>
          <w:szCs w:val="32"/>
          <w:highlight w:val="none"/>
        </w:rPr>
      </w:pPr>
    </w:p>
    <w:p w14:paraId="06B6AC8E">
      <w:pPr>
        <w:spacing w:line="560" w:lineRule="exact"/>
        <w:ind w:left="0" w:leftChars="0" w:firstLine="1124" w:firstLineChars="350"/>
        <w:jc w:val="both"/>
        <w:rPr>
          <w:rFonts w:hint="eastAsia" w:asci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采购人：</w:t>
      </w:r>
      <w:r>
        <w:rPr>
          <w:rFonts w:hint="eastAsia" w:ascii="宋体" w:hAnsi="宋体" w:cs="宋体"/>
          <w:b/>
          <w:bCs/>
          <w:color w:val="auto"/>
          <w:sz w:val="32"/>
          <w:szCs w:val="32"/>
          <w:highlight w:val="none"/>
          <w:lang w:eastAsia="zh-CN"/>
        </w:rPr>
        <w:t>衢州市公安局柯城分局</w:t>
      </w:r>
    </w:p>
    <w:p w14:paraId="7BB71101">
      <w:pPr>
        <w:spacing w:line="560" w:lineRule="exact"/>
        <w:ind w:left="0" w:leftChars="0" w:firstLine="1124" w:firstLineChars="350"/>
        <w:jc w:val="both"/>
        <w:rPr>
          <w:rFonts w:ascii="宋体" w:cs="宋体"/>
          <w:b/>
          <w:bCs/>
          <w:color w:val="auto"/>
          <w:sz w:val="32"/>
          <w:szCs w:val="32"/>
          <w:highlight w:val="none"/>
        </w:rPr>
      </w:pPr>
    </w:p>
    <w:p w14:paraId="5B590331">
      <w:pPr>
        <w:spacing w:line="560" w:lineRule="exact"/>
        <w:ind w:left="0" w:leftChars="0" w:firstLine="1124" w:firstLineChars="350"/>
        <w:jc w:val="both"/>
        <w:rPr>
          <w:rFonts w:hint="eastAsia" w:asci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eastAsia="zh-CN"/>
        </w:rPr>
        <w:t>衢州胜友如云工程咨询有限公司</w:t>
      </w:r>
    </w:p>
    <w:p w14:paraId="52F3823B">
      <w:pPr>
        <w:spacing w:line="560" w:lineRule="exact"/>
        <w:jc w:val="center"/>
        <w:rPr>
          <w:rFonts w:ascii="宋体" w:cs="宋体"/>
          <w:b/>
          <w:bCs/>
          <w:color w:val="auto"/>
          <w:sz w:val="32"/>
          <w:szCs w:val="32"/>
          <w:highlight w:val="none"/>
        </w:rPr>
      </w:pPr>
    </w:p>
    <w:p w14:paraId="7E26D004">
      <w:pPr>
        <w:spacing w:line="560" w:lineRule="exact"/>
        <w:jc w:val="center"/>
        <w:rPr>
          <w:rFonts w:hint="eastAsia" w:asci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二〇二</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lang w:eastAsia="zh-CN"/>
        </w:rPr>
        <w:t>年</w:t>
      </w:r>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lang w:eastAsia="zh-CN"/>
        </w:rPr>
        <w:t>月</w:t>
      </w:r>
    </w:p>
    <w:p w14:paraId="0010C415">
      <w:pPr>
        <w:pStyle w:val="9"/>
        <w:ind w:firstLine="0"/>
        <w:rPr>
          <w:rFonts w:hAnsi="宋体" w:cs="宋体"/>
          <w:b/>
          <w:color w:val="auto"/>
          <w:sz w:val="21"/>
          <w:szCs w:val="21"/>
          <w:highlight w:val="none"/>
        </w:rPr>
      </w:pPr>
    </w:p>
    <w:p w14:paraId="0F47C822">
      <w:pPr>
        <w:pStyle w:val="9"/>
        <w:rPr>
          <w:rFonts w:hAnsi="宋体" w:cs="宋体"/>
          <w:b/>
          <w:color w:val="auto"/>
          <w:sz w:val="21"/>
          <w:szCs w:val="21"/>
          <w:highlight w:val="none"/>
        </w:rPr>
        <w:sectPr>
          <w:headerReference r:id="rId3" w:type="default"/>
          <w:pgSz w:w="11906" w:h="16838"/>
          <w:pgMar w:top="1440" w:right="1247" w:bottom="1440" w:left="1247" w:header="283" w:footer="850" w:gutter="0"/>
          <w:cols w:space="720" w:num="1"/>
          <w:docGrid w:linePitch="381" w:charSpace="0"/>
        </w:sectPr>
      </w:pPr>
    </w:p>
    <w:p w14:paraId="52825997">
      <w:pPr>
        <w:spacing w:line="480" w:lineRule="auto"/>
        <w:rPr>
          <w:rFonts w:ascii="宋体" w:cs="宋体"/>
          <w:b/>
          <w:color w:val="auto"/>
          <w:sz w:val="21"/>
          <w:szCs w:val="21"/>
          <w:highlight w:val="none"/>
        </w:rPr>
      </w:pPr>
    </w:p>
    <w:p w14:paraId="4C3E5850">
      <w:pPr>
        <w:pStyle w:val="16"/>
        <w:spacing w:beforeLines="0" w:afterLines="0" w:line="480" w:lineRule="auto"/>
        <w:jc w:val="center"/>
        <w:outlineLvl w:val="0"/>
        <w:rPr>
          <w:rFonts w:hAnsi="宋体" w:cs="宋体"/>
          <w:b/>
          <w:color w:val="auto"/>
          <w:sz w:val="32"/>
          <w:szCs w:val="32"/>
          <w:highlight w:val="none"/>
        </w:rPr>
      </w:pPr>
      <w:r>
        <w:rPr>
          <w:rFonts w:hint="eastAsia" w:hAnsi="宋体" w:cs="宋体"/>
          <w:b/>
          <w:color w:val="auto"/>
          <w:sz w:val="32"/>
          <w:szCs w:val="32"/>
          <w:highlight w:val="none"/>
        </w:rPr>
        <w:t>目</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rPr>
        <w:t>录</w:t>
      </w:r>
    </w:p>
    <w:p w14:paraId="2D9CF08D">
      <w:pPr>
        <w:spacing w:line="800" w:lineRule="exact"/>
        <w:ind w:left="0" w:leftChars="0" w:firstLine="558" w:firstLineChars="194"/>
        <w:rPr>
          <w:rFonts w:hint="eastAsia" w:ascii="宋体" w:eastAsia="宋体" w:cs="宋体"/>
          <w:b w:val="0"/>
          <w:bCs/>
          <w:color w:val="auto"/>
          <w:spacing w:val="-6"/>
          <w:sz w:val="30"/>
          <w:szCs w:val="30"/>
          <w:highlight w:val="none"/>
          <w:lang w:eastAsia="zh-CN"/>
        </w:rPr>
      </w:pPr>
      <w:r>
        <w:rPr>
          <w:rFonts w:hint="eastAsia" w:ascii="宋体" w:hAnsi="宋体" w:cs="宋体"/>
          <w:b w:val="0"/>
          <w:bCs/>
          <w:color w:val="auto"/>
          <w:spacing w:val="-6"/>
          <w:sz w:val="30"/>
          <w:szCs w:val="30"/>
          <w:highlight w:val="none"/>
        </w:rPr>
        <w:t xml:space="preserve">第一章  招标公告 </w:t>
      </w:r>
      <w:r>
        <w:rPr>
          <w:rFonts w:hint="eastAsia" w:ascii="宋体" w:hAnsi="宋体" w:cs="宋体"/>
          <w:b w:val="0"/>
          <w:bCs/>
          <w:color w:val="auto"/>
          <w:spacing w:val="-6"/>
          <w:sz w:val="30"/>
          <w:szCs w:val="30"/>
          <w:highlight w:val="none"/>
          <w:lang w:val="en-US" w:eastAsia="zh-CN"/>
        </w:rPr>
        <w:t xml:space="preserve"> </w:t>
      </w:r>
      <w:r>
        <w:rPr>
          <w:rFonts w:hint="eastAsia" w:ascii="宋体" w:hAnsi="宋体" w:cs="宋体"/>
          <w:b w:val="0"/>
          <w:bCs/>
          <w:color w:val="auto"/>
          <w:sz w:val="32"/>
          <w:szCs w:val="32"/>
          <w:highlight w:val="none"/>
        </w:rPr>
        <w:t>…………………………………………………</w:t>
      </w:r>
      <w:r>
        <w:rPr>
          <w:rFonts w:hint="eastAsia" w:ascii="宋体" w:hAnsi="宋体" w:cs="宋体"/>
          <w:b w:val="0"/>
          <w:bCs/>
          <w:color w:val="auto"/>
          <w:sz w:val="32"/>
          <w:szCs w:val="32"/>
          <w:highlight w:val="none"/>
          <w:lang w:val="en-US" w:eastAsia="zh-CN"/>
        </w:rPr>
        <w:t>1</w:t>
      </w:r>
    </w:p>
    <w:p w14:paraId="7ACDE611">
      <w:pPr>
        <w:spacing w:line="800" w:lineRule="exact"/>
        <w:ind w:left="0" w:leftChars="0" w:firstLine="558" w:firstLineChars="194"/>
        <w:rPr>
          <w:rFonts w:hint="default" w:ascii="宋体" w:eastAsia="宋体" w:cs="宋体"/>
          <w:b w:val="0"/>
          <w:bCs/>
          <w:color w:val="auto"/>
          <w:spacing w:val="-6"/>
          <w:sz w:val="30"/>
          <w:szCs w:val="30"/>
          <w:highlight w:val="none"/>
          <w:lang w:val="en-US" w:eastAsia="zh-CN"/>
        </w:rPr>
      </w:pPr>
      <w:r>
        <w:rPr>
          <w:rFonts w:hint="eastAsia" w:ascii="宋体" w:hAnsi="宋体" w:cs="宋体"/>
          <w:b w:val="0"/>
          <w:bCs/>
          <w:color w:val="auto"/>
          <w:spacing w:val="-6"/>
          <w:sz w:val="30"/>
          <w:szCs w:val="30"/>
          <w:highlight w:val="none"/>
        </w:rPr>
        <w:t>第二章  投标人须知</w:t>
      </w:r>
      <w:r>
        <w:rPr>
          <w:rFonts w:hint="eastAsia" w:ascii="宋体" w:hAnsi="宋体" w:cs="宋体"/>
          <w:b w:val="0"/>
          <w:bCs/>
          <w:color w:val="auto"/>
          <w:spacing w:val="-6"/>
          <w:sz w:val="30"/>
          <w:szCs w:val="30"/>
          <w:highlight w:val="none"/>
          <w:lang w:val="en-US" w:eastAsia="zh-CN"/>
        </w:rPr>
        <w:t xml:space="preserve"> </w:t>
      </w:r>
      <w:r>
        <w:rPr>
          <w:rFonts w:hint="eastAsia" w:ascii="宋体" w:hAnsi="宋体" w:cs="宋体"/>
          <w:b w:val="0"/>
          <w:bCs/>
          <w:color w:val="auto"/>
          <w:spacing w:val="-6"/>
          <w:sz w:val="30"/>
          <w:szCs w:val="30"/>
          <w:highlight w:val="none"/>
        </w:rPr>
        <w:t xml:space="preserve"> </w:t>
      </w:r>
      <w:r>
        <w:rPr>
          <w:rFonts w:hint="eastAsia" w:ascii="宋体" w:hAnsi="宋体" w:cs="宋体"/>
          <w:b w:val="0"/>
          <w:bCs/>
          <w:color w:val="auto"/>
          <w:sz w:val="32"/>
          <w:szCs w:val="32"/>
          <w:highlight w:val="none"/>
        </w:rPr>
        <w:t>………………………………………………</w:t>
      </w:r>
      <w:r>
        <w:rPr>
          <w:rFonts w:hint="eastAsia" w:ascii="宋体" w:hAnsi="宋体" w:cs="宋体"/>
          <w:b w:val="0"/>
          <w:bCs/>
          <w:color w:val="auto"/>
          <w:sz w:val="32"/>
          <w:szCs w:val="32"/>
          <w:highlight w:val="none"/>
          <w:lang w:val="en-US" w:eastAsia="zh-CN"/>
        </w:rPr>
        <w:t>5</w:t>
      </w:r>
    </w:p>
    <w:p w14:paraId="3677D766">
      <w:pPr>
        <w:spacing w:line="800" w:lineRule="exact"/>
        <w:ind w:left="0" w:leftChars="0" w:firstLine="558" w:firstLineChars="194"/>
        <w:rPr>
          <w:rFonts w:hint="default" w:ascii="宋体" w:eastAsia="宋体" w:cs="宋体"/>
          <w:b w:val="0"/>
          <w:bCs/>
          <w:color w:val="auto"/>
          <w:sz w:val="32"/>
          <w:szCs w:val="32"/>
          <w:highlight w:val="none"/>
          <w:lang w:val="en-US" w:eastAsia="zh-CN"/>
        </w:rPr>
      </w:pPr>
      <w:r>
        <w:rPr>
          <w:rFonts w:hint="eastAsia" w:ascii="宋体" w:hAnsi="宋体" w:cs="宋体"/>
          <w:b w:val="0"/>
          <w:bCs/>
          <w:color w:val="auto"/>
          <w:spacing w:val="-6"/>
          <w:sz w:val="30"/>
          <w:szCs w:val="30"/>
          <w:highlight w:val="none"/>
        </w:rPr>
        <w:t>第三章  采购需求</w:t>
      </w:r>
      <w:r>
        <w:rPr>
          <w:rFonts w:hint="eastAsia" w:ascii="宋体" w:hAnsi="宋体" w:cs="宋体"/>
          <w:b w:val="0"/>
          <w:bCs/>
          <w:color w:val="auto"/>
          <w:spacing w:val="-6"/>
          <w:sz w:val="30"/>
          <w:szCs w:val="30"/>
          <w:highlight w:val="none"/>
          <w:lang w:val="en-US" w:eastAsia="zh-CN"/>
        </w:rPr>
        <w:t xml:space="preserve"> </w:t>
      </w:r>
      <w:r>
        <w:rPr>
          <w:rFonts w:hint="eastAsia" w:ascii="宋体" w:hAnsi="宋体" w:cs="宋体"/>
          <w:b w:val="0"/>
          <w:bCs/>
          <w:color w:val="auto"/>
          <w:sz w:val="32"/>
          <w:szCs w:val="32"/>
          <w:highlight w:val="none"/>
        </w:rPr>
        <w:t>…………………………………………………</w:t>
      </w:r>
      <w:r>
        <w:rPr>
          <w:rFonts w:hint="eastAsia" w:ascii="宋体" w:hAnsi="宋体" w:cs="宋体"/>
          <w:b w:val="0"/>
          <w:bCs/>
          <w:color w:val="auto"/>
          <w:sz w:val="32"/>
          <w:szCs w:val="32"/>
          <w:highlight w:val="none"/>
          <w:lang w:val="en-US" w:eastAsia="zh-CN"/>
        </w:rPr>
        <w:t>23</w:t>
      </w:r>
    </w:p>
    <w:p w14:paraId="524D4684">
      <w:pPr>
        <w:spacing w:line="800" w:lineRule="exact"/>
        <w:ind w:left="0" w:leftChars="0" w:firstLine="558" w:firstLineChars="194"/>
        <w:rPr>
          <w:rFonts w:hint="default" w:ascii="宋体" w:eastAsia="宋体" w:cs="宋体"/>
          <w:b w:val="0"/>
          <w:bCs/>
          <w:color w:val="auto"/>
          <w:spacing w:val="-6"/>
          <w:sz w:val="30"/>
          <w:szCs w:val="30"/>
          <w:highlight w:val="none"/>
          <w:lang w:val="en-US" w:eastAsia="zh-CN"/>
        </w:rPr>
      </w:pPr>
      <w:r>
        <w:rPr>
          <w:rFonts w:hint="eastAsia" w:ascii="宋体" w:hAnsi="宋体" w:cs="宋体"/>
          <w:b w:val="0"/>
          <w:bCs/>
          <w:color w:val="auto"/>
          <w:spacing w:val="-6"/>
          <w:sz w:val="30"/>
          <w:szCs w:val="30"/>
          <w:highlight w:val="none"/>
        </w:rPr>
        <w:t xml:space="preserve">第四章  </w:t>
      </w:r>
      <w:r>
        <w:rPr>
          <w:rFonts w:hint="eastAsia" w:ascii="宋体" w:hAnsi="宋体" w:cs="宋体"/>
          <w:b w:val="0"/>
          <w:bCs/>
          <w:color w:val="auto"/>
          <w:sz w:val="32"/>
          <w:szCs w:val="32"/>
          <w:highlight w:val="none"/>
        </w:rPr>
        <w:t xml:space="preserve">合同主要条款 </w:t>
      </w:r>
      <w:r>
        <w:rPr>
          <w:rFonts w:hint="eastAsia" w:ascii="宋体" w:hAnsi="宋体" w:cs="宋体"/>
          <w:b w:val="0"/>
          <w:bCs/>
          <w:color w:val="auto"/>
          <w:sz w:val="32"/>
          <w:szCs w:val="32"/>
          <w:highlight w:val="none"/>
          <w:lang w:val="en-US" w:eastAsia="zh-CN"/>
        </w:rPr>
        <w:t xml:space="preserve"> </w:t>
      </w:r>
      <w:r>
        <w:rPr>
          <w:rFonts w:hint="eastAsia" w:ascii="宋体" w:hAnsi="宋体" w:cs="宋体"/>
          <w:b w:val="0"/>
          <w:bCs/>
          <w:color w:val="auto"/>
          <w:sz w:val="32"/>
          <w:szCs w:val="32"/>
          <w:highlight w:val="none"/>
        </w:rPr>
        <w:t>…………………………………………</w:t>
      </w:r>
      <w:r>
        <w:rPr>
          <w:rFonts w:hint="eastAsia" w:ascii="宋体" w:hAnsi="宋体" w:cs="宋体"/>
          <w:b w:val="0"/>
          <w:bCs/>
          <w:color w:val="auto"/>
          <w:sz w:val="32"/>
          <w:szCs w:val="32"/>
          <w:highlight w:val="none"/>
          <w:lang w:val="en-US" w:eastAsia="zh-CN"/>
        </w:rPr>
        <w:t>62</w:t>
      </w:r>
    </w:p>
    <w:p w14:paraId="34CEE7C0">
      <w:pPr>
        <w:spacing w:line="800" w:lineRule="exact"/>
        <w:ind w:left="0" w:leftChars="0" w:firstLine="558" w:firstLineChars="194"/>
        <w:rPr>
          <w:rFonts w:hint="default" w:ascii="宋体" w:eastAsia="宋体" w:cs="宋体"/>
          <w:b w:val="0"/>
          <w:bCs/>
          <w:color w:val="auto"/>
          <w:spacing w:val="-6"/>
          <w:sz w:val="30"/>
          <w:szCs w:val="30"/>
          <w:highlight w:val="none"/>
          <w:lang w:val="en-US" w:eastAsia="zh-CN"/>
        </w:rPr>
      </w:pPr>
      <w:r>
        <w:rPr>
          <w:rFonts w:hint="eastAsia" w:ascii="宋体" w:hAnsi="宋体" w:cs="宋体"/>
          <w:b w:val="0"/>
          <w:bCs/>
          <w:color w:val="auto"/>
          <w:spacing w:val="-6"/>
          <w:sz w:val="30"/>
          <w:szCs w:val="30"/>
          <w:highlight w:val="none"/>
        </w:rPr>
        <w:t>第五章  评标办法及评分标准</w:t>
      </w:r>
      <w:r>
        <w:rPr>
          <w:rFonts w:hint="eastAsia" w:ascii="宋体" w:hAnsi="宋体" w:cs="宋体"/>
          <w:b w:val="0"/>
          <w:bCs/>
          <w:color w:val="auto"/>
          <w:spacing w:val="-6"/>
          <w:sz w:val="30"/>
          <w:szCs w:val="30"/>
          <w:highlight w:val="none"/>
          <w:lang w:val="en-US" w:eastAsia="zh-CN"/>
        </w:rPr>
        <w:t xml:space="preserve">  </w:t>
      </w:r>
      <w:r>
        <w:rPr>
          <w:rFonts w:hint="eastAsia" w:ascii="宋体" w:hAnsi="宋体" w:cs="宋体"/>
          <w:b w:val="0"/>
          <w:bCs/>
          <w:color w:val="auto"/>
          <w:sz w:val="32"/>
          <w:szCs w:val="32"/>
          <w:highlight w:val="none"/>
        </w:rPr>
        <w:t>……………………………………</w:t>
      </w:r>
      <w:r>
        <w:rPr>
          <w:rFonts w:hint="eastAsia" w:ascii="宋体" w:hAnsi="宋体" w:cs="宋体"/>
          <w:b w:val="0"/>
          <w:bCs/>
          <w:color w:val="auto"/>
          <w:sz w:val="32"/>
          <w:szCs w:val="32"/>
          <w:highlight w:val="none"/>
          <w:lang w:val="en-US" w:eastAsia="zh-CN"/>
        </w:rPr>
        <w:t>70</w:t>
      </w:r>
    </w:p>
    <w:p w14:paraId="6F4C07E7">
      <w:pPr>
        <w:spacing w:line="800" w:lineRule="exact"/>
        <w:ind w:left="0" w:leftChars="0" w:firstLine="558" w:firstLineChars="194"/>
        <w:rPr>
          <w:rFonts w:hint="default" w:ascii="宋体" w:eastAsia="宋体" w:cs="宋体"/>
          <w:b w:val="0"/>
          <w:bCs/>
          <w:color w:val="auto"/>
          <w:sz w:val="32"/>
          <w:szCs w:val="32"/>
          <w:highlight w:val="none"/>
          <w:lang w:val="en-US" w:eastAsia="zh-CN"/>
        </w:rPr>
      </w:pPr>
      <w:r>
        <w:rPr>
          <w:rFonts w:hint="eastAsia" w:ascii="宋体" w:hAnsi="宋体" w:cs="宋体"/>
          <w:b w:val="0"/>
          <w:bCs/>
          <w:color w:val="auto"/>
          <w:spacing w:val="-6"/>
          <w:sz w:val="30"/>
          <w:szCs w:val="30"/>
          <w:highlight w:val="none"/>
        </w:rPr>
        <w:t>第六章  投标文件格式</w:t>
      </w:r>
      <w:r>
        <w:rPr>
          <w:rFonts w:hint="eastAsia" w:ascii="宋体" w:hAnsi="宋体" w:cs="宋体"/>
          <w:b w:val="0"/>
          <w:bCs/>
          <w:color w:val="auto"/>
          <w:spacing w:val="-6"/>
          <w:sz w:val="30"/>
          <w:szCs w:val="30"/>
          <w:highlight w:val="none"/>
          <w:lang w:val="en-US" w:eastAsia="zh-CN"/>
        </w:rPr>
        <w:t xml:space="preserve"> </w:t>
      </w:r>
      <w:bookmarkStart w:id="102" w:name="_GoBack"/>
      <w:bookmarkEnd w:id="102"/>
      <w:r>
        <w:rPr>
          <w:rFonts w:hint="eastAsia" w:ascii="宋体" w:hAnsi="宋体" w:cs="宋体"/>
          <w:b w:val="0"/>
          <w:bCs/>
          <w:color w:val="auto"/>
          <w:sz w:val="32"/>
          <w:szCs w:val="32"/>
          <w:highlight w:val="none"/>
        </w:rPr>
        <w:t>……………………………………………</w:t>
      </w:r>
      <w:r>
        <w:rPr>
          <w:rFonts w:hint="eastAsia" w:ascii="宋体" w:hAnsi="宋体" w:cs="宋体"/>
          <w:b w:val="0"/>
          <w:bCs/>
          <w:color w:val="auto"/>
          <w:sz w:val="32"/>
          <w:szCs w:val="32"/>
          <w:highlight w:val="none"/>
          <w:lang w:val="en-US" w:eastAsia="zh-CN"/>
        </w:rPr>
        <w:t>73</w:t>
      </w:r>
    </w:p>
    <w:p w14:paraId="131C3F77">
      <w:pPr>
        <w:spacing w:line="360" w:lineRule="auto"/>
        <w:ind w:firstLine="578" w:firstLineChars="200"/>
        <w:rPr>
          <w:rFonts w:ascii="宋体" w:cs="宋体"/>
          <w:b/>
          <w:color w:val="auto"/>
          <w:spacing w:val="-6"/>
          <w:sz w:val="30"/>
          <w:szCs w:val="30"/>
          <w:highlight w:val="none"/>
        </w:rPr>
      </w:pPr>
    </w:p>
    <w:p w14:paraId="64F3C83C">
      <w:pPr>
        <w:pStyle w:val="43"/>
        <w:rPr>
          <w:color w:val="auto"/>
          <w:highlight w:val="none"/>
        </w:rPr>
      </w:pPr>
    </w:p>
    <w:p w14:paraId="4D044DF7">
      <w:pPr>
        <w:pStyle w:val="43"/>
        <w:rPr>
          <w:color w:val="auto"/>
          <w:highlight w:val="none"/>
        </w:rPr>
      </w:pPr>
    </w:p>
    <w:p w14:paraId="57DE67BC">
      <w:pPr>
        <w:pStyle w:val="43"/>
        <w:ind w:firstLineChars="0"/>
        <w:rPr>
          <w:color w:val="auto"/>
          <w:highlight w:val="none"/>
        </w:rPr>
      </w:pPr>
    </w:p>
    <w:p w14:paraId="632461FC">
      <w:pPr>
        <w:pStyle w:val="43"/>
        <w:rPr>
          <w:color w:val="auto"/>
          <w:highlight w:val="none"/>
        </w:rPr>
      </w:pPr>
    </w:p>
    <w:p w14:paraId="4F66E709">
      <w:pPr>
        <w:pStyle w:val="43"/>
        <w:ind w:firstLineChars="0"/>
        <w:rPr>
          <w:color w:val="auto"/>
          <w:highlight w:val="none"/>
        </w:rPr>
      </w:pPr>
    </w:p>
    <w:p w14:paraId="118185D3">
      <w:pPr>
        <w:pStyle w:val="43"/>
        <w:ind w:left="1200" w:firstLine="0" w:firstLineChars="0"/>
        <w:rPr>
          <w:color w:val="auto"/>
          <w:highlight w:val="none"/>
        </w:rPr>
      </w:pPr>
    </w:p>
    <w:p w14:paraId="13B57745">
      <w:pPr>
        <w:pStyle w:val="43"/>
        <w:rPr>
          <w:color w:val="auto"/>
          <w:highlight w:val="none"/>
        </w:rPr>
      </w:pPr>
    </w:p>
    <w:p w14:paraId="614AA354">
      <w:pPr>
        <w:pStyle w:val="16"/>
        <w:spacing w:before="156" w:after="156" w:line="288" w:lineRule="auto"/>
        <w:jc w:val="center"/>
        <w:outlineLvl w:val="0"/>
        <w:rPr>
          <w:rFonts w:hint="eastAsia" w:hAnsi="宋体" w:cs="宋体"/>
          <w:b/>
          <w:color w:val="auto"/>
          <w:spacing w:val="-6"/>
          <w:sz w:val="32"/>
          <w:szCs w:val="32"/>
          <w:highlight w:val="none"/>
        </w:rPr>
        <w:sectPr>
          <w:headerReference r:id="rId4" w:type="default"/>
          <w:footerReference r:id="rId5" w:type="default"/>
          <w:pgSz w:w="11907" w:h="16840"/>
          <w:pgMar w:top="1417" w:right="1134" w:bottom="1417" w:left="1134" w:header="851" w:footer="850" w:gutter="0"/>
          <w:cols w:space="720" w:num="1"/>
          <w:rtlGutter w:val="0"/>
          <w:docGrid w:linePitch="0" w:charSpace="0"/>
        </w:sectPr>
      </w:pPr>
    </w:p>
    <w:p w14:paraId="714AEF1C">
      <w:pPr>
        <w:pStyle w:val="16"/>
        <w:spacing w:before="156" w:after="156" w:line="288" w:lineRule="auto"/>
        <w:jc w:val="center"/>
        <w:outlineLvl w:val="0"/>
        <w:rPr>
          <w:rFonts w:hAnsi="宋体" w:cs="宋体"/>
          <w:b/>
          <w:color w:val="auto"/>
          <w:spacing w:val="-6"/>
          <w:sz w:val="32"/>
          <w:szCs w:val="32"/>
          <w:highlight w:val="none"/>
        </w:rPr>
      </w:pPr>
      <w:r>
        <w:rPr>
          <w:rFonts w:hint="eastAsia" w:hAnsi="宋体" w:cs="宋体"/>
          <w:b/>
          <w:color w:val="auto"/>
          <w:spacing w:val="-6"/>
          <w:sz w:val="32"/>
          <w:szCs w:val="32"/>
          <w:highlight w:val="none"/>
        </w:rPr>
        <w:t>第一章  招标公告</w:t>
      </w:r>
    </w:p>
    <w:p w14:paraId="1D58BA7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765D845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single"/>
          <w:lang w:eastAsia="zh-CN"/>
        </w:rPr>
        <w:t>柯城区城区区域安防设备补盲一期租赁服务项目</w:t>
      </w:r>
      <w:r>
        <w:rPr>
          <w:rFonts w:hint="eastAsia" w:ascii="宋体" w:hAnsi="宋体" w:cs="宋体"/>
          <w:color w:val="auto"/>
          <w:sz w:val="24"/>
          <w:highlight w:val="none"/>
        </w:rPr>
        <w:t>的潜在投标人应在</w:t>
      </w:r>
      <w:r>
        <w:rPr>
          <w:rFonts w:hint="eastAsia" w:ascii="宋体" w:hAnsi="宋体" w:cs="宋体"/>
          <w:color w:val="auto"/>
          <w:sz w:val="24"/>
          <w:highlight w:val="none"/>
          <w:u w:val="single"/>
        </w:rPr>
        <w:t>政采云平台</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eastAsia="zh-CN"/>
        </w:rPr>
        <w:t>2025年7月    日</w:t>
      </w:r>
      <w:r>
        <w:rPr>
          <w:rFonts w:hint="eastAsia" w:ascii="宋体" w:hAnsi="宋体" w:cs="宋体"/>
          <w:color w:val="auto"/>
          <w:sz w:val="24"/>
          <w:highlight w:val="none"/>
          <w:u w:val="single"/>
          <w:lang w:val="en-US" w:eastAsia="zh-CN"/>
        </w:rPr>
        <w:t>09点30分</w:t>
      </w:r>
      <w:r>
        <w:rPr>
          <w:rFonts w:hint="eastAsia" w:ascii="宋体" w:hAnsi="宋体" w:cs="宋体"/>
          <w:bCs/>
          <w:color w:val="auto"/>
          <w:sz w:val="24"/>
          <w:highlight w:val="none"/>
          <w:u w:val="single"/>
        </w:rPr>
        <w:t>（</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14:paraId="183DBAB6">
      <w:pPr>
        <w:pStyle w:val="16"/>
        <w:keepNext w:val="0"/>
        <w:keepLines w:val="0"/>
        <w:pageBreakBefore w:val="0"/>
        <w:widowControl w:val="0"/>
        <w:kinsoku/>
        <w:wordWrap/>
        <w:overflowPunct/>
        <w:topLinePunct w:val="0"/>
        <w:autoSpaceDE/>
        <w:autoSpaceDN/>
        <w:bidi w:val="0"/>
        <w:adjustRightInd/>
        <w:snapToGrid/>
        <w:spacing w:before="156" w:after="156" w:line="480" w:lineRule="exact"/>
        <w:ind w:firstLine="562" w:firstLineChars="200"/>
        <w:textAlignment w:val="auto"/>
        <w:rPr>
          <w:rFonts w:hAnsi="宋体" w:cs="宋体"/>
          <w:b/>
          <w:color w:val="auto"/>
          <w:sz w:val="28"/>
          <w:szCs w:val="32"/>
          <w:highlight w:val="none"/>
        </w:rPr>
      </w:pPr>
      <w:r>
        <w:rPr>
          <w:rFonts w:hint="eastAsia" w:hAnsi="宋体" w:cs="宋体"/>
          <w:b/>
          <w:color w:val="auto"/>
          <w:sz w:val="28"/>
          <w:szCs w:val="32"/>
          <w:highlight w:val="none"/>
        </w:rPr>
        <w:t>一、项目基本情况：</w:t>
      </w:r>
    </w:p>
    <w:p w14:paraId="0E8705C6">
      <w:pPr>
        <w:keepNext w:val="0"/>
        <w:keepLines w:val="0"/>
        <w:pageBreakBefore w:val="0"/>
        <w:widowControl w:val="0"/>
        <w:kinsoku/>
        <w:wordWrap/>
        <w:overflowPunct/>
        <w:topLinePunct w:val="0"/>
        <w:autoSpaceDE/>
        <w:autoSpaceDN/>
        <w:bidi w:val="0"/>
        <w:adjustRightInd/>
        <w:snapToGrid/>
        <w:spacing w:line="480" w:lineRule="exact"/>
        <w:ind w:right="-67" w:rightChars="-24"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QZSY2025-04-14</w:t>
      </w:r>
    </w:p>
    <w:p w14:paraId="54A3AE12">
      <w:pPr>
        <w:keepNext w:val="0"/>
        <w:keepLines w:val="0"/>
        <w:pageBreakBefore w:val="0"/>
        <w:widowControl w:val="0"/>
        <w:kinsoku/>
        <w:wordWrap/>
        <w:overflowPunct/>
        <w:topLinePunct w:val="0"/>
        <w:autoSpaceDE/>
        <w:autoSpaceDN/>
        <w:bidi w:val="0"/>
        <w:adjustRightInd/>
        <w:snapToGrid/>
        <w:spacing w:line="480" w:lineRule="exact"/>
        <w:ind w:right="-67" w:rightChars="-24"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柯城区城区区域安防设备补盲一期租赁服务项目</w:t>
      </w:r>
    </w:p>
    <w:p w14:paraId="76A6ADE1">
      <w:pPr>
        <w:keepNext w:val="0"/>
        <w:keepLines w:val="0"/>
        <w:pageBreakBefore w:val="0"/>
        <w:widowControl w:val="0"/>
        <w:kinsoku/>
        <w:wordWrap/>
        <w:overflowPunct/>
        <w:topLinePunct w:val="0"/>
        <w:autoSpaceDE/>
        <w:autoSpaceDN/>
        <w:bidi w:val="0"/>
        <w:adjustRightInd/>
        <w:snapToGrid/>
        <w:spacing w:line="480" w:lineRule="exact"/>
        <w:ind w:right="-67" w:rightChars="-24"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预算金额：</w:t>
      </w:r>
      <w:r>
        <w:rPr>
          <w:rFonts w:hint="eastAsia" w:ascii="宋体" w:hAnsi="宋体" w:cs="宋体"/>
          <w:color w:val="auto"/>
          <w:sz w:val="24"/>
          <w:highlight w:val="none"/>
          <w:lang w:val="en-US" w:eastAsia="zh-CN"/>
        </w:rPr>
        <w:t>12000000</w:t>
      </w:r>
      <w:r>
        <w:rPr>
          <w:rFonts w:hint="eastAsia" w:ascii="宋体" w:hAnsi="宋体" w:cs="宋体"/>
          <w:color w:val="auto"/>
          <w:sz w:val="24"/>
          <w:highlight w:val="none"/>
          <w:lang w:eastAsia="zh-CN"/>
        </w:rPr>
        <w:t>元</w:t>
      </w:r>
    </w:p>
    <w:p w14:paraId="51E15AC1">
      <w:pPr>
        <w:keepNext w:val="0"/>
        <w:keepLines w:val="0"/>
        <w:pageBreakBefore w:val="0"/>
        <w:widowControl w:val="0"/>
        <w:kinsoku/>
        <w:wordWrap/>
        <w:overflowPunct/>
        <w:topLinePunct w:val="0"/>
        <w:autoSpaceDE/>
        <w:autoSpaceDN/>
        <w:bidi w:val="0"/>
        <w:adjustRightInd/>
        <w:snapToGrid/>
        <w:spacing w:line="480" w:lineRule="exact"/>
        <w:ind w:right="-67" w:rightChars="-24"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最高限价：</w:t>
      </w:r>
      <w:r>
        <w:rPr>
          <w:rFonts w:hint="eastAsia" w:ascii="宋体" w:hAnsi="宋体" w:cs="宋体"/>
          <w:color w:val="auto"/>
          <w:kern w:val="0"/>
          <w:sz w:val="24"/>
          <w:highlight w:val="none"/>
          <w:lang w:val="en-US" w:eastAsia="zh-CN"/>
        </w:rPr>
        <w:t>10738459元</w:t>
      </w:r>
    </w:p>
    <w:p w14:paraId="79EAD72F">
      <w:pPr>
        <w:keepNext w:val="0"/>
        <w:keepLines w:val="0"/>
        <w:pageBreakBefore w:val="0"/>
        <w:widowControl w:val="0"/>
        <w:kinsoku/>
        <w:wordWrap/>
        <w:overflowPunct/>
        <w:topLinePunct w:val="0"/>
        <w:autoSpaceDE/>
        <w:autoSpaceDN/>
        <w:bidi w:val="0"/>
        <w:adjustRightInd/>
        <w:snapToGrid/>
        <w:spacing w:line="480" w:lineRule="exact"/>
        <w:ind w:right="-67" w:rightChars="-24"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采购需求：</w:t>
      </w:r>
    </w:p>
    <w:tbl>
      <w:tblPr>
        <w:tblStyle w:val="27"/>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686"/>
        <w:gridCol w:w="810"/>
        <w:gridCol w:w="832"/>
        <w:gridCol w:w="3556"/>
        <w:gridCol w:w="878"/>
      </w:tblGrid>
      <w:tr w14:paraId="6E54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316FB2C4">
            <w:pPr>
              <w:keepNext w:val="0"/>
              <w:keepLines w:val="0"/>
              <w:pageBreakBefore w:val="0"/>
              <w:widowControl/>
              <w:kinsoku/>
              <w:wordWrap/>
              <w:overflowPunct/>
              <w:topLinePunct w:val="0"/>
              <w:autoSpaceDE/>
              <w:autoSpaceDN/>
              <w:bidi w:val="0"/>
              <w:snapToGrid w:val="0"/>
              <w:spacing w:line="48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686" w:type="dxa"/>
            <w:tcBorders>
              <w:top w:val="single" w:color="auto" w:sz="4" w:space="0"/>
              <w:left w:val="single" w:color="auto" w:sz="4" w:space="0"/>
              <w:bottom w:val="single" w:color="auto" w:sz="4" w:space="0"/>
              <w:right w:val="single" w:color="auto" w:sz="4" w:space="0"/>
            </w:tcBorders>
            <w:vAlign w:val="center"/>
          </w:tcPr>
          <w:p w14:paraId="44835248">
            <w:pPr>
              <w:keepNext w:val="0"/>
              <w:keepLines w:val="0"/>
              <w:pageBreakBefore w:val="0"/>
              <w:widowControl/>
              <w:kinsoku/>
              <w:wordWrap/>
              <w:overflowPunct/>
              <w:topLinePunct w:val="0"/>
              <w:autoSpaceDE/>
              <w:autoSpaceDN/>
              <w:bidi w:val="0"/>
              <w:snapToGrid w:val="0"/>
              <w:spacing w:line="48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标项内容</w:t>
            </w:r>
          </w:p>
        </w:tc>
        <w:tc>
          <w:tcPr>
            <w:tcW w:w="810" w:type="dxa"/>
            <w:tcBorders>
              <w:top w:val="single" w:color="auto" w:sz="4" w:space="0"/>
              <w:left w:val="single" w:color="auto" w:sz="4" w:space="0"/>
              <w:bottom w:val="single" w:color="auto" w:sz="4" w:space="0"/>
              <w:right w:val="single" w:color="auto" w:sz="4" w:space="0"/>
            </w:tcBorders>
            <w:vAlign w:val="center"/>
          </w:tcPr>
          <w:p w14:paraId="6E1C8292">
            <w:pPr>
              <w:keepNext w:val="0"/>
              <w:keepLines w:val="0"/>
              <w:pageBreakBefore w:val="0"/>
              <w:widowControl/>
              <w:kinsoku/>
              <w:wordWrap/>
              <w:overflowPunct/>
              <w:topLinePunct w:val="0"/>
              <w:autoSpaceDE/>
              <w:autoSpaceDN/>
              <w:bidi w:val="0"/>
              <w:snapToGrid w:val="0"/>
              <w:spacing w:line="48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832" w:type="dxa"/>
            <w:tcBorders>
              <w:top w:val="single" w:color="auto" w:sz="4" w:space="0"/>
              <w:left w:val="single" w:color="auto" w:sz="4" w:space="0"/>
              <w:bottom w:val="single" w:color="auto" w:sz="4" w:space="0"/>
              <w:right w:val="single" w:color="auto" w:sz="4" w:space="0"/>
            </w:tcBorders>
            <w:vAlign w:val="center"/>
          </w:tcPr>
          <w:p w14:paraId="6AAAA0A8">
            <w:pPr>
              <w:keepNext w:val="0"/>
              <w:keepLines w:val="0"/>
              <w:pageBreakBefore w:val="0"/>
              <w:widowControl/>
              <w:kinsoku/>
              <w:wordWrap/>
              <w:overflowPunct/>
              <w:topLinePunct w:val="0"/>
              <w:autoSpaceDE/>
              <w:autoSpaceDN/>
              <w:bidi w:val="0"/>
              <w:snapToGrid w:val="0"/>
              <w:spacing w:line="48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3556" w:type="dxa"/>
            <w:tcBorders>
              <w:top w:val="single" w:color="auto" w:sz="4" w:space="0"/>
              <w:left w:val="single" w:color="auto" w:sz="4" w:space="0"/>
              <w:bottom w:val="single" w:color="auto" w:sz="4" w:space="0"/>
              <w:right w:val="single" w:color="auto" w:sz="4" w:space="0"/>
            </w:tcBorders>
            <w:vAlign w:val="center"/>
          </w:tcPr>
          <w:p w14:paraId="0DD89CC8">
            <w:pPr>
              <w:keepNext w:val="0"/>
              <w:keepLines w:val="0"/>
              <w:pageBreakBefore w:val="0"/>
              <w:widowControl/>
              <w:kinsoku/>
              <w:wordWrap/>
              <w:overflowPunct/>
              <w:topLinePunct w:val="0"/>
              <w:autoSpaceDE/>
              <w:autoSpaceDN/>
              <w:bidi w:val="0"/>
              <w:snapToGrid w:val="0"/>
              <w:spacing w:line="48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简要技术要求、用途</w:t>
            </w:r>
          </w:p>
        </w:tc>
        <w:tc>
          <w:tcPr>
            <w:tcW w:w="878" w:type="dxa"/>
            <w:tcBorders>
              <w:top w:val="single" w:color="auto" w:sz="4" w:space="0"/>
              <w:left w:val="single" w:color="auto" w:sz="4" w:space="0"/>
              <w:bottom w:val="single" w:color="auto" w:sz="4" w:space="0"/>
              <w:right w:val="single" w:color="auto" w:sz="4" w:space="0"/>
            </w:tcBorders>
            <w:vAlign w:val="center"/>
          </w:tcPr>
          <w:p w14:paraId="27440DDE">
            <w:pPr>
              <w:keepNext w:val="0"/>
              <w:keepLines w:val="0"/>
              <w:pageBreakBefore w:val="0"/>
              <w:widowControl/>
              <w:kinsoku/>
              <w:wordWrap/>
              <w:overflowPunct/>
              <w:topLinePunct w:val="0"/>
              <w:autoSpaceDE/>
              <w:autoSpaceDN/>
              <w:bidi w:val="0"/>
              <w:snapToGrid w:val="0"/>
              <w:spacing w:line="48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备注</w:t>
            </w:r>
          </w:p>
        </w:tc>
      </w:tr>
      <w:tr w14:paraId="67E6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E246E89">
            <w:pPr>
              <w:keepNext w:val="0"/>
              <w:keepLines w:val="0"/>
              <w:pageBreakBefore w:val="0"/>
              <w:kinsoku/>
              <w:wordWrap/>
              <w:overflowPunct/>
              <w:topLinePunct w:val="0"/>
              <w:autoSpaceDE/>
              <w:autoSpaceDN/>
              <w:bidi w:val="0"/>
              <w:snapToGrid w:val="0"/>
              <w:spacing w:line="48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2686" w:type="dxa"/>
            <w:tcBorders>
              <w:top w:val="single" w:color="auto" w:sz="4" w:space="0"/>
              <w:left w:val="single" w:color="auto" w:sz="4" w:space="0"/>
              <w:bottom w:val="single" w:color="auto" w:sz="4" w:space="0"/>
              <w:right w:val="single" w:color="auto" w:sz="4" w:space="0"/>
            </w:tcBorders>
            <w:vAlign w:val="center"/>
          </w:tcPr>
          <w:p w14:paraId="35F2E39B">
            <w:pPr>
              <w:keepNext w:val="0"/>
              <w:keepLines w:val="0"/>
              <w:pageBreakBefore w:val="0"/>
              <w:widowControl/>
              <w:kinsoku/>
              <w:wordWrap/>
              <w:overflowPunct/>
              <w:topLinePunct w:val="0"/>
              <w:autoSpaceDE/>
              <w:autoSpaceDN/>
              <w:bidi w:val="0"/>
              <w:snapToGrid w:val="0"/>
              <w:spacing w:line="48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lang w:eastAsia="zh-CN"/>
              </w:rPr>
              <w:t>柯城区城区区域安防设备补盲一期租赁服务</w:t>
            </w:r>
          </w:p>
        </w:tc>
        <w:tc>
          <w:tcPr>
            <w:tcW w:w="810" w:type="dxa"/>
            <w:tcBorders>
              <w:top w:val="single" w:color="auto" w:sz="4" w:space="0"/>
              <w:left w:val="single" w:color="auto" w:sz="4" w:space="0"/>
              <w:bottom w:val="single" w:color="auto" w:sz="4" w:space="0"/>
              <w:right w:val="single" w:color="auto" w:sz="4" w:space="0"/>
            </w:tcBorders>
            <w:vAlign w:val="center"/>
          </w:tcPr>
          <w:p w14:paraId="3005C200">
            <w:pPr>
              <w:keepNext w:val="0"/>
              <w:keepLines w:val="0"/>
              <w:pageBreakBefore w:val="0"/>
              <w:widowControl/>
              <w:kinsoku/>
              <w:wordWrap/>
              <w:overflowPunct/>
              <w:topLinePunct w:val="0"/>
              <w:autoSpaceDE/>
              <w:autoSpaceDN/>
              <w:bidi w:val="0"/>
              <w:snapToGrid w:val="0"/>
              <w:spacing w:line="48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832" w:type="dxa"/>
            <w:tcBorders>
              <w:top w:val="single" w:color="auto" w:sz="4" w:space="0"/>
              <w:left w:val="single" w:color="auto" w:sz="4" w:space="0"/>
              <w:bottom w:val="single" w:color="auto" w:sz="4" w:space="0"/>
              <w:right w:val="single" w:color="auto" w:sz="4" w:space="0"/>
            </w:tcBorders>
            <w:vAlign w:val="center"/>
          </w:tcPr>
          <w:p w14:paraId="05F1792D">
            <w:pPr>
              <w:keepNext w:val="0"/>
              <w:keepLines w:val="0"/>
              <w:pageBreakBefore w:val="0"/>
              <w:widowControl/>
              <w:kinsoku/>
              <w:wordWrap/>
              <w:overflowPunct/>
              <w:topLinePunct w:val="0"/>
              <w:autoSpaceDE/>
              <w:autoSpaceDN/>
              <w:bidi w:val="0"/>
              <w:snapToGrid w:val="0"/>
              <w:spacing w:line="48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项</w:t>
            </w:r>
          </w:p>
        </w:tc>
        <w:tc>
          <w:tcPr>
            <w:tcW w:w="3556" w:type="dxa"/>
            <w:tcBorders>
              <w:top w:val="single" w:color="auto" w:sz="4" w:space="0"/>
              <w:left w:val="single" w:color="auto" w:sz="4" w:space="0"/>
              <w:bottom w:val="single" w:color="auto" w:sz="4" w:space="0"/>
              <w:right w:val="single" w:color="auto" w:sz="4" w:space="0"/>
            </w:tcBorders>
            <w:vAlign w:val="center"/>
          </w:tcPr>
          <w:p w14:paraId="432BF80C">
            <w:pPr>
              <w:keepNext w:val="0"/>
              <w:keepLines w:val="0"/>
              <w:pageBreakBefore w:val="0"/>
              <w:widowControl/>
              <w:kinsoku/>
              <w:wordWrap/>
              <w:overflowPunct/>
              <w:topLinePunct w:val="0"/>
              <w:autoSpaceDE/>
              <w:autoSpaceDN/>
              <w:bidi w:val="0"/>
              <w:snapToGrid w:val="0"/>
              <w:spacing w:line="48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eastAsia="zh-CN"/>
              </w:rPr>
              <w:t>项目具体采购内容和要求详见采购文件第三章《采购需求》</w:t>
            </w:r>
          </w:p>
        </w:tc>
        <w:tc>
          <w:tcPr>
            <w:tcW w:w="878" w:type="dxa"/>
            <w:vAlign w:val="center"/>
          </w:tcPr>
          <w:p w14:paraId="7E7E167C">
            <w:pPr>
              <w:keepNext w:val="0"/>
              <w:keepLines w:val="0"/>
              <w:pageBreakBefore w:val="0"/>
              <w:widowControl/>
              <w:kinsoku/>
              <w:wordWrap/>
              <w:overflowPunct/>
              <w:topLinePunct w:val="0"/>
              <w:autoSpaceDE/>
              <w:autoSpaceDN/>
              <w:bidi w:val="0"/>
              <w:spacing w:line="480" w:lineRule="exact"/>
              <w:jc w:val="left"/>
              <w:textAlignment w:val="auto"/>
              <w:rPr>
                <w:rFonts w:hint="default" w:ascii="宋体" w:hAnsi="宋体" w:eastAsia="宋体" w:cs="宋体"/>
                <w:color w:val="auto"/>
                <w:kern w:val="0"/>
                <w:sz w:val="24"/>
                <w:highlight w:val="none"/>
                <w:lang w:val="en-US" w:eastAsia="zh-CN"/>
              </w:rPr>
            </w:pPr>
          </w:p>
        </w:tc>
      </w:tr>
    </w:tbl>
    <w:p w14:paraId="6EC0F6C8">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注：具体采购内容和要求详见招标文件第三章《采购需求》。</w:t>
      </w:r>
    </w:p>
    <w:p w14:paraId="5D550B09">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合同履行期限：自合同签订之日起至履约完毕为止。</w:t>
      </w:r>
    </w:p>
    <w:p w14:paraId="5E0EEFA3">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本项目（否）接受联合体投标。</w:t>
      </w:r>
    </w:p>
    <w:p w14:paraId="0F1CDBE9">
      <w:pPr>
        <w:keepNext w:val="0"/>
        <w:keepLines w:val="0"/>
        <w:pageBreakBefore w:val="0"/>
        <w:kinsoku/>
        <w:wordWrap/>
        <w:overflowPunct/>
        <w:topLinePunct w:val="0"/>
        <w:autoSpaceDE/>
        <w:autoSpaceDN/>
        <w:bidi w:val="0"/>
        <w:spacing w:line="480" w:lineRule="exact"/>
        <w:ind w:right="-372" w:rightChars="-133" w:firstLine="562" w:firstLineChars="200"/>
        <w:textAlignment w:val="auto"/>
        <w:rPr>
          <w:rFonts w:ascii="宋体" w:hAnsi="宋体" w:cs="宋体"/>
          <w:b/>
          <w:bCs/>
          <w:color w:val="auto"/>
          <w:kern w:val="0"/>
          <w:szCs w:val="28"/>
          <w:highlight w:val="none"/>
        </w:rPr>
      </w:pPr>
      <w:bookmarkStart w:id="0" w:name="_Toc35393622"/>
      <w:bookmarkStart w:id="1" w:name="_Toc28359080"/>
      <w:bookmarkStart w:id="2" w:name="_Toc28359003"/>
      <w:bookmarkStart w:id="3" w:name="_Toc35393791"/>
      <w:r>
        <w:rPr>
          <w:rFonts w:hint="eastAsia" w:ascii="宋体" w:hAnsi="宋体" w:cs="宋体"/>
          <w:b/>
          <w:bCs/>
          <w:color w:val="auto"/>
          <w:kern w:val="0"/>
          <w:szCs w:val="28"/>
          <w:highlight w:val="none"/>
        </w:rPr>
        <w:t>二、申请人的资格要求：</w:t>
      </w:r>
      <w:bookmarkEnd w:id="0"/>
      <w:bookmarkEnd w:id="1"/>
      <w:bookmarkEnd w:id="2"/>
      <w:bookmarkEnd w:id="3"/>
    </w:p>
    <w:p w14:paraId="2A9DCA45">
      <w:pPr>
        <w:keepNext w:val="0"/>
        <w:keepLines w:val="0"/>
        <w:pageBreakBefore w:val="0"/>
        <w:kinsoku/>
        <w:wordWrap/>
        <w:overflowPunct/>
        <w:topLinePunct w:val="0"/>
        <w:autoSpaceDE/>
        <w:autoSpaceDN/>
        <w:bidi w:val="0"/>
        <w:snapToGrid w:val="0"/>
        <w:spacing w:line="480" w:lineRule="exact"/>
        <w:ind w:left="560" w:leftChars="200" w:right="-372" w:rightChars="-133"/>
        <w:textAlignment w:val="auto"/>
        <w:rPr>
          <w:rFonts w:ascii="宋体" w:hAnsi="宋体" w:cs="宋体"/>
          <w:b/>
          <w:bCs/>
          <w:color w:val="auto"/>
          <w:sz w:val="24"/>
          <w:highlight w:val="none"/>
          <w:lang w:val="zh-CN"/>
        </w:rPr>
      </w:pP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符合《中华人民共和国政府采购法》第二十二条要求：</w:t>
      </w:r>
    </w:p>
    <w:p w14:paraId="7A777482">
      <w:pPr>
        <w:keepNext w:val="0"/>
        <w:keepLines w:val="0"/>
        <w:pageBreakBefore w:val="0"/>
        <w:kinsoku/>
        <w:wordWrap/>
        <w:overflowPunct/>
        <w:topLinePunct w:val="0"/>
        <w:autoSpaceDE/>
        <w:autoSpaceDN/>
        <w:bidi w:val="0"/>
        <w:snapToGrid w:val="0"/>
        <w:spacing w:line="480" w:lineRule="exact"/>
        <w:ind w:left="560" w:leftChars="200" w:right="-372" w:rightChars="-133"/>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（1）具有独立承担民事责任的能力；</w:t>
      </w:r>
    </w:p>
    <w:p w14:paraId="6E4E7AD1">
      <w:pPr>
        <w:keepNext w:val="0"/>
        <w:keepLines w:val="0"/>
        <w:pageBreakBefore w:val="0"/>
        <w:kinsoku/>
        <w:wordWrap/>
        <w:overflowPunct/>
        <w:topLinePunct w:val="0"/>
        <w:autoSpaceDE/>
        <w:autoSpaceDN/>
        <w:bidi w:val="0"/>
        <w:snapToGrid w:val="0"/>
        <w:spacing w:line="480" w:lineRule="exact"/>
        <w:ind w:left="560" w:leftChars="200" w:right="-372" w:rightChars="-133"/>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（2）具有良好的商业信誉和健全的财务会计制度；</w:t>
      </w:r>
    </w:p>
    <w:p w14:paraId="13A3B33D">
      <w:pPr>
        <w:keepNext w:val="0"/>
        <w:keepLines w:val="0"/>
        <w:pageBreakBefore w:val="0"/>
        <w:kinsoku/>
        <w:wordWrap/>
        <w:overflowPunct/>
        <w:topLinePunct w:val="0"/>
        <w:autoSpaceDE/>
        <w:autoSpaceDN/>
        <w:bidi w:val="0"/>
        <w:snapToGrid w:val="0"/>
        <w:spacing w:line="480" w:lineRule="exact"/>
        <w:ind w:left="560" w:leftChars="200" w:right="-372" w:rightChars="-133"/>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（3）具有履行合同所必需的设备和专业技术能力；</w:t>
      </w:r>
    </w:p>
    <w:p w14:paraId="05C792D9">
      <w:pPr>
        <w:keepNext w:val="0"/>
        <w:keepLines w:val="0"/>
        <w:pageBreakBefore w:val="0"/>
        <w:kinsoku/>
        <w:wordWrap/>
        <w:overflowPunct/>
        <w:topLinePunct w:val="0"/>
        <w:autoSpaceDE/>
        <w:autoSpaceDN/>
        <w:bidi w:val="0"/>
        <w:snapToGrid w:val="0"/>
        <w:spacing w:line="480" w:lineRule="exact"/>
        <w:ind w:left="560" w:leftChars="200" w:right="-372" w:rightChars="-133"/>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（4）有依法缴纳税收和社会保障资金的良好记录；</w:t>
      </w:r>
    </w:p>
    <w:p w14:paraId="3EA35F6A">
      <w:pPr>
        <w:keepNext w:val="0"/>
        <w:keepLines w:val="0"/>
        <w:pageBreakBefore w:val="0"/>
        <w:kinsoku/>
        <w:wordWrap/>
        <w:overflowPunct/>
        <w:topLinePunct w:val="0"/>
        <w:autoSpaceDE/>
        <w:autoSpaceDN/>
        <w:bidi w:val="0"/>
        <w:snapToGrid w:val="0"/>
        <w:spacing w:line="480" w:lineRule="exact"/>
        <w:ind w:left="560" w:leftChars="200" w:right="-372" w:rightChars="-133"/>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（5）参加政府采购活动前三年内，在经营活动中没有重大违法记录；</w:t>
      </w:r>
    </w:p>
    <w:p w14:paraId="4FF7C258">
      <w:pPr>
        <w:keepNext w:val="0"/>
        <w:keepLines w:val="0"/>
        <w:pageBreakBefore w:val="0"/>
        <w:kinsoku/>
        <w:wordWrap/>
        <w:overflowPunct/>
        <w:topLinePunct w:val="0"/>
        <w:autoSpaceDE/>
        <w:autoSpaceDN/>
        <w:bidi w:val="0"/>
        <w:snapToGrid w:val="0"/>
        <w:spacing w:line="480" w:lineRule="exact"/>
        <w:ind w:left="560" w:leftChars="200" w:right="-372" w:rightChars="-133"/>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（6）法律、行政法规规定的其他条件。</w:t>
      </w:r>
    </w:p>
    <w:p w14:paraId="27195CFC">
      <w:pPr>
        <w:keepNext w:val="0"/>
        <w:keepLines w:val="0"/>
        <w:pageBreakBefore w:val="0"/>
        <w:tabs>
          <w:tab w:val="left" w:pos="284"/>
          <w:tab w:val="left" w:pos="851"/>
        </w:tabs>
        <w:kinsoku/>
        <w:wordWrap/>
        <w:overflowPunct/>
        <w:topLinePunct w:val="0"/>
        <w:autoSpaceDE/>
        <w:autoSpaceDN/>
        <w:bidi w:val="0"/>
        <w:spacing w:line="480" w:lineRule="exact"/>
        <w:ind w:right="-372" w:rightChars="-133" w:firstLine="564" w:firstLineChars="235"/>
        <w:textAlignment w:val="auto"/>
        <w:rPr>
          <w:rFonts w:ascii="宋体" w:hAnsi="宋体" w:cs="宋体"/>
          <w:color w:val="auto"/>
          <w:kern w:val="0"/>
          <w:sz w:val="24"/>
          <w:highlight w:val="none"/>
          <w:shd w:val="clear" w:color="auto" w:fill="FFFFFF"/>
        </w:rPr>
      </w:pPr>
      <w:r>
        <w:rPr>
          <w:rFonts w:hint="eastAsia" w:ascii="宋体" w:hAnsi="宋体" w:cs="宋体"/>
          <w:color w:val="auto"/>
          <w:sz w:val="24"/>
          <w:highlight w:val="none"/>
        </w:rPr>
        <w:t>2.</w:t>
      </w:r>
      <w:r>
        <w:rPr>
          <w:rFonts w:hint="eastAsia" w:ascii="宋体" w:hAnsi="宋体" w:cs="宋体"/>
          <w:color w:val="auto"/>
          <w:kern w:val="0"/>
          <w:sz w:val="24"/>
          <w:highlight w:val="none"/>
          <w:shd w:val="clear" w:color="auto" w:fill="FFFFFF"/>
        </w:rPr>
        <w:t>截至投标文件递交截止日前，供应商未被“信用中国”网（www.creditchina.gov.cn）、中国政府采购网（www.ccgp.gov.cn）列入失信被执行人、重大税收违法案件当事人名单、政府采购严重违法失信行为记录名单且尚处于禁止参加政府采购活动期内；</w:t>
      </w:r>
    </w:p>
    <w:p w14:paraId="61A18640">
      <w:pPr>
        <w:keepNext w:val="0"/>
        <w:keepLines w:val="0"/>
        <w:pageBreakBefore w:val="0"/>
        <w:tabs>
          <w:tab w:val="left" w:pos="284"/>
          <w:tab w:val="left" w:pos="851"/>
        </w:tabs>
        <w:kinsoku/>
        <w:wordWrap/>
        <w:overflowPunct/>
        <w:topLinePunct w:val="0"/>
        <w:autoSpaceDE/>
        <w:autoSpaceDN/>
        <w:bidi w:val="0"/>
        <w:spacing w:line="480" w:lineRule="exact"/>
        <w:ind w:firstLine="480" w:firstLineChars="200"/>
        <w:textAlignment w:val="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3.特定的资格要求：</w:t>
      </w:r>
    </w:p>
    <w:p w14:paraId="0777ACAB">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w:t>
      </w:r>
      <w:r>
        <w:rPr>
          <w:rFonts w:hint="eastAsia" w:ascii="宋体" w:hAnsi="宋体" w:cs="宋体"/>
          <w:color w:val="auto"/>
          <w:kern w:val="0"/>
          <w:sz w:val="24"/>
          <w:highlight w:val="none"/>
          <w:shd w:val="clear" w:color="auto" w:fill="FFFFFF"/>
          <w:lang w:val="en-US" w:eastAsia="zh-CN"/>
        </w:rPr>
        <w:t>1</w:t>
      </w:r>
      <w:r>
        <w:rPr>
          <w:rFonts w:hint="eastAsia" w:ascii="宋体" w:hAnsi="宋体" w:cs="宋体"/>
          <w:color w:val="auto"/>
          <w:kern w:val="0"/>
          <w:sz w:val="24"/>
          <w:highlight w:val="none"/>
          <w:shd w:val="clear" w:color="auto" w:fill="FFFFFF"/>
        </w:rPr>
        <w:t>）单位负责人为同一人或者存在直接控股、管理关系的不同投标人，不得参加同一合同项下的政府采购活动。</w:t>
      </w:r>
    </w:p>
    <w:p w14:paraId="4D7D43E6">
      <w:pPr>
        <w:keepNext w:val="0"/>
        <w:keepLines w:val="0"/>
        <w:pageBreakBefore w:val="0"/>
        <w:tabs>
          <w:tab w:val="left" w:pos="284"/>
          <w:tab w:val="left" w:pos="851"/>
        </w:tabs>
        <w:kinsoku/>
        <w:wordWrap/>
        <w:overflowPunct/>
        <w:topLinePunct w:val="0"/>
        <w:autoSpaceDE/>
        <w:autoSpaceDN/>
        <w:bidi w:val="0"/>
        <w:spacing w:line="480" w:lineRule="exact"/>
        <w:ind w:right="-372" w:rightChars="-133" w:firstLine="564" w:firstLineChars="235"/>
        <w:textAlignment w:val="auto"/>
        <w:rPr>
          <w:rFonts w:hint="default" w:ascii="宋体" w:hAnsi="宋体" w:cs="宋体"/>
          <w:color w:val="auto"/>
          <w:kern w:val="0"/>
          <w:sz w:val="24"/>
          <w:highlight w:val="none"/>
          <w:shd w:val="clear" w:color="auto" w:fill="FFFFFF"/>
          <w:lang w:val="en-US" w:eastAsia="zh-CN"/>
        </w:rPr>
      </w:pPr>
      <w:r>
        <w:rPr>
          <w:rFonts w:hint="eastAsia" w:ascii="宋体" w:hAnsi="宋体" w:cs="宋体"/>
          <w:color w:val="auto"/>
          <w:kern w:val="0"/>
          <w:sz w:val="24"/>
          <w:highlight w:val="none"/>
          <w:shd w:val="clear" w:color="auto" w:fill="FFFFFF"/>
          <w:lang w:eastAsia="zh-CN"/>
        </w:rPr>
        <w:t>（</w:t>
      </w:r>
      <w:r>
        <w:rPr>
          <w:rFonts w:hint="eastAsia" w:ascii="宋体" w:hAnsi="宋体" w:cs="宋体"/>
          <w:color w:val="auto"/>
          <w:kern w:val="0"/>
          <w:sz w:val="24"/>
          <w:highlight w:val="none"/>
          <w:shd w:val="clear" w:color="auto" w:fill="FFFFFF"/>
          <w:lang w:val="en-US" w:eastAsia="zh-CN"/>
        </w:rPr>
        <w:t>2</w:t>
      </w:r>
      <w:r>
        <w:rPr>
          <w:rFonts w:hint="eastAsia" w:ascii="宋体" w:hAnsi="宋体" w:cs="宋体"/>
          <w:color w:val="auto"/>
          <w:kern w:val="0"/>
          <w:sz w:val="24"/>
          <w:highlight w:val="none"/>
          <w:shd w:val="clear" w:color="auto" w:fill="FFFFFF"/>
          <w:lang w:eastAsia="zh-CN"/>
        </w:rPr>
        <w:t>）</w:t>
      </w:r>
      <w:r>
        <w:rPr>
          <w:rFonts w:hint="eastAsia" w:ascii="宋体" w:hAnsi="宋体" w:cs="宋体"/>
          <w:color w:val="auto"/>
          <w:kern w:val="0"/>
          <w:sz w:val="24"/>
          <w:highlight w:val="none"/>
          <w:shd w:val="clear" w:color="auto" w:fill="FFFFFF"/>
        </w:rPr>
        <w:t>落实政府采购政策需满足的资格要求:</w:t>
      </w:r>
      <w:r>
        <w:rPr>
          <w:rFonts w:hint="eastAsia" w:ascii="宋体" w:hAnsi="宋体" w:cs="宋体"/>
          <w:color w:val="auto"/>
          <w:kern w:val="0"/>
          <w:sz w:val="24"/>
          <w:highlight w:val="none"/>
          <w:shd w:val="clear" w:color="auto" w:fill="FFFFFF"/>
          <w:lang w:eastAsia="zh-CN"/>
        </w:rPr>
        <w:t>无。</w:t>
      </w:r>
    </w:p>
    <w:p w14:paraId="433B3693">
      <w:pPr>
        <w:keepNext w:val="0"/>
        <w:keepLines w:val="0"/>
        <w:pageBreakBefore w:val="0"/>
        <w:kinsoku/>
        <w:wordWrap/>
        <w:overflowPunct/>
        <w:topLinePunct w:val="0"/>
        <w:autoSpaceDE/>
        <w:autoSpaceDN/>
        <w:bidi w:val="0"/>
        <w:spacing w:line="480" w:lineRule="exact"/>
        <w:ind w:right="-372" w:rightChars="-133" w:firstLine="562" w:firstLineChars="200"/>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w:t>
      </w:r>
    </w:p>
    <w:p w14:paraId="2E18732F">
      <w:pPr>
        <w:keepNext w:val="0"/>
        <w:keepLines w:val="0"/>
        <w:pageBreakBefore w:val="0"/>
        <w:kinsoku/>
        <w:wordWrap/>
        <w:overflowPunct/>
        <w:topLinePunct w:val="0"/>
        <w:autoSpaceDE/>
        <w:autoSpaceDN/>
        <w:bidi w:val="0"/>
        <w:spacing w:line="480" w:lineRule="exact"/>
        <w:ind w:firstLine="420"/>
        <w:textAlignment w:val="auto"/>
        <w:rPr>
          <w:rFonts w:ascii="宋体" w:hAnsi="宋体" w:cs="宋体"/>
          <w:color w:val="000000"/>
          <w:sz w:val="24"/>
          <w:szCs w:val="24"/>
          <w:highlight w:val="none"/>
        </w:rPr>
      </w:pPr>
      <w:bookmarkStart w:id="4" w:name="_Toc28359005"/>
      <w:bookmarkStart w:id="5" w:name="_Toc28359082"/>
      <w:bookmarkStart w:id="6" w:name="_Toc35393624"/>
      <w:bookmarkStart w:id="7" w:name="_Toc35393793"/>
      <w:r>
        <w:rPr>
          <w:rFonts w:hint="eastAsia" w:ascii="宋体" w:hAnsi="宋体" w:cs="宋体"/>
          <w:color w:val="auto"/>
          <w:sz w:val="24"/>
          <w:highlight w:val="none"/>
        </w:rPr>
        <w:t>1.</w:t>
      </w:r>
      <w:r>
        <w:rPr>
          <w:rFonts w:ascii="宋体" w:hAnsi="宋体" w:cs="宋体"/>
          <w:color w:val="000000"/>
          <w:sz w:val="24"/>
          <w:szCs w:val="24"/>
          <w:highlight w:val="none"/>
        </w:rPr>
        <w:t>时间：/至202</w:t>
      </w:r>
      <w:r>
        <w:rPr>
          <w:rFonts w:hint="eastAsia" w:ascii="宋体" w:hAnsi="宋体" w:cs="宋体"/>
          <w:color w:val="000000"/>
          <w:sz w:val="24"/>
          <w:szCs w:val="24"/>
          <w:highlight w:val="none"/>
          <w:lang w:val="en-US" w:eastAsia="zh-CN"/>
        </w:rPr>
        <w:t>5</w:t>
      </w:r>
      <w:r>
        <w:rPr>
          <w:rFonts w:ascii="宋体" w:hAnsi="宋体" w:cs="宋体"/>
          <w:color w:val="000000"/>
          <w:sz w:val="24"/>
          <w:szCs w:val="24"/>
          <w:highlight w:val="none"/>
        </w:rPr>
        <w:t>年</w:t>
      </w:r>
      <w:r>
        <w:rPr>
          <w:rFonts w:hint="eastAsia" w:ascii="宋体" w:hAnsi="宋体" w:cs="宋体"/>
          <w:color w:val="000000"/>
          <w:sz w:val="24"/>
          <w:szCs w:val="24"/>
          <w:highlight w:val="none"/>
          <w:lang w:val="en-US" w:eastAsia="zh-CN"/>
        </w:rPr>
        <w:t xml:space="preserve">07月   </w:t>
      </w:r>
      <w:r>
        <w:rPr>
          <w:rFonts w:ascii="宋体" w:hAnsi="宋体" w:cs="宋体"/>
          <w:color w:val="000000"/>
          <w:sz w:val="24"/>
          <w:szCs w:val="24"/>
          <w:highlight w:val="none"/>
        </w:rPr>
        <w:t>日，每天上午00:00至12:00，下午12:00至23:59（北京时间，线上获取法定节假日均可，线下获取文件法定节假日除外）</w:t>
      </w:r>
    </w:p>
    <w:p w14:paraId="3B5B86FE">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ascii="宋体" w:hAnsi="宋体" w:cs="宋体"/>
          <w:color w:val="auto"/>
          <w:kern w:val="0"/>
          <w:szCs w:val="21"/>
          <w:highlight w:val="none"/>
        </w:rPr>
      </w:pPr>
      <w:r>
        <w:rPr>
          <w:rFonts w:hint="eastAsia" w:ascii="宋体" w:hAnsi="宋体"/>
          <w:color w:val="000000"/>
          <w:sz w:val="24"/>
          <w:highlight w:val="none"/>
          <w:lang w:val="en-US" w:eastAsia="zh-CN"/>
        </w:rPr>
        <w:t>2.</w:t>
      </w:r>
      <w:r>
        <w:rPr>
          <w:rFonts w:ascii="宋体" w:hAnsi="宋体"/>
          <w:color w:val="000000"/>
          <w:sz w:val="24"/>
          <w:highlight w:val="none"/>
        </w:rPr>
        <w:t>地点（网址）：</w:t>
      </w:r>
      <w:r>
        <w:rPr>
          <w:rFonts w:ascii="宋体" w:hAnsi="宋体" w:cs="宋体"/>
          <w:color w:val="000000"/>
          <w:sz w:val="24"/>
          <w:szCs w:val="24"/>
          <w:highlight w:val="none"/>
        </w:rPr>
        <w:t>浙江政府采购网</w:t>
      </w:r>
      <w:r>
        <w:rPr>
          <w:rFonts w:hint="eastAsia" w:ascii="宋体" w:hAnsi="宋体" w:cs="宋体"/>
          <w:color w:val="auto"/>
          <w:kern w:val="0"/>
          <w:sz w:val="24"/>
          <w:szCs w:val="20"/>
          <w:highlight w:val="none"/>
        </w:rPr>
        <w:t>（https://zfcg.czt.zj.gov.cn/）</w:t>
      </w:r>
    </w:p>
    <w:p w14:paraId="509ABE08">
      <w:pPr>
        <w:keepNext w:val="0"/>
        <w:keepLines w:val="0"/>
        <w:pageBreakBefore w:val="0"/>
        <w:kinsoku/>
        <w:wordWrap/>
        <w:overflowPunct/>
        <w:topLinePunct w:val="0"/>
        <w:autoSpaceDE/>
        <w:autoSpaceDN/>
        <w:bidi w:val="0"/>
        <w:spacing w:line="480" w:lineRule="exact"/>
        <w:ind w:right="-372" w:rightChars="-133"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本项目招标文件实行“政采云平台”在线获取，不提供招标文件纸质版。供应商获取招标文件前应先完成“政采云平台”的账号注册（正式供应商或临时供应商均可）。</w:t>
      </w:r>
    </w:p>
    <w:p w14:paraId="05FCA333">
      <w:pPr>
        <w:keepNext w:val="0"/>
        <w:keepLines w:val="0"/>
        <w:pageBreakBefore w:val="0"/>
        <w:kinsoku/>
        <w:wordWrap/>
        <w:overflowPunct/>
        <w:topLinePunct w:val="0"/>
        <w:autoSpaceDE/>
        <w:autoSpaceDN/>
        <w:bidi w:val="0"/>
        <w:spacing w:line="480" w:lineRule="exact"/>
        <w:ind w:right="-372" w:rightChars="-133"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3.获取网址：政府采购云平台（www.zcygov.cn），网上报名操作指南：“浙江政府采购网-办事指南-省采中心-网上报名”（https://zfcg.czt.zj.gov.cn/bs_other/2018-03-30/12002.html）。</w:t>
      </w:r>
    </w:p>
    <w:p w14:paraId="49398D65">
      <w:pPr>
        <w:keepNext w:val="0"/>
        <w:keepLines w:val="0"/>
        <w:pageBreakBefore w:val="0"/>
        <w:kinsoku/>
        <w:wordWrap/>
        <w:overflowPunct/>
        <w:topLinePunct w:val="0"/>
        <w:autoSpaceDE/>
        <w:autoSpaceDN/>
        <w:bidi w:val="0"/>
        <w:spacing w:line="480" w:lineRule="exact"/>
        <w:ind w:right="-372" w:rightChars="-133"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4.方式：潜在供应商登陆政采云平台，进入“项目采购”应用在“项目文件获取”菜单中选择项目，在线获取招标文件。</w:t>
      </w:r>
    </w:p>
    <w:p w14:paraId="77BC3E3C">
      <w:pPr>
        <w:keepNext w:val="0"/>
        <w:keepLines w:val="0"/>
        <w:pageBreakBefore w:val="0"/>
        <w:kinsoku/>
        <w:wordWrap/>
        <w:overflowPunct/>
        <w:topLinePunct w:val="0"/>
        <w:autoSpaceDE/>
        <w:autoSpaceDN/>
        <w:bidi w:val="0"/>
        <w:spacing w:line="480" w:lineRule="exact"/>
        <w:ind w:right="-372" w:rightChars="-133" w:firstLine="482" w:firstLineChars="200"/>
        <w:jc w:val="left"/>
        <w:textAlignment w:val="auto"/>
        <w:rPr>
          <w:rFonts w:ascii="宋体" w:hAnsi="宋体" w:cs="宋体"/>
          <w:b/>
          <w:bCs/>
          <w:color w:val="auto"/>
          <w:sz w:val="24"/>
          <w:szCs w:val="20"/>
          <w:highlight w:val="none"/>
        </w:rPr>
      </w:pPr>
      <w:r>
        <w:rPr>
          <w:rFonts w:hint="eastAsia" w:ascii="宋体" w:hAnsi="宋体" w:cs="宋体"/>
          <w:b/>
          <w:bCs/>
          <w:color w:val="auto"/>
          <w:sz w:val="24"/>
          <w:szCs w:val="20"/>
          <w:highlight w:val="none"/>
        </w:rPr>
        <w:t>售价：免费</w:t>
      </w:r>
    </w:p>
    <w:p w14:paraId="0C82D3E7">
      <w:pPr>
        <w:keepNext w:val="0"/>
        <w:keepLines w:val="0"/>
        <w:pageBreakBefore w:val="0"/>
        <w:kinsoku/>
        <w:wordWrap/>
        <w:overflowPunct/>
        <w:topLinePunct w:val="0"/>
        <w:autoSpaceDE/>
        <w:autoSpaceDN/>
        <w:bidi w:val="0"/>
        <w:spacing w:line="480" w:lineRule="exact"/>
        <w:ind w:right="-372" w:rightChars="-133" w:firstLine="482" w:firstLineChars="200"/>
        <w:jc w:val="left"/>
        <w:textAlignment w:val="auto"/>
        <w:rPr>
          <w:rFonts w:ascii="宋体" w:hAnsi="宋体" w:cs="宋体"/>
          <w:color w:val="auto"/>
          <w:highlight w:val="none"/>
        </w:rPr>
      </w:pPr>
      <w:r>
        <w:rPr>
          <w:rFonts w:hint="eastAsia" w:ascii="宋体" w:hAnsi="宋体" w:cs="宋体"/>
          <w:b/>
          <w:bCs/>
          <w:color w:val="auto"/>
          <w:sz w:val="24"/>
          <w:highlight w:val="none"/>
        </w:rPr>
        <w:t>注：投标人如对招标文件有异议应按招标文件规定的时间提出，逾期提出的不予受理、答复。</w:t>
      </w:r>
    </w:p>
    <w:p w14:paraId="1F95FBE7">
      <w:pPr>
        <w:keepNext w:val="0"/>
        <w:keepLines w:val="0"/>
        <w:pageBreakBefore w:val="0"/>
        <w:kinsoku/>
        <w:wordWrap/>
        <w:overflowPunct/>
        <w:topLinePunct w:val="0"/>
        <w:autoSpaceDE/>
        <w:autoSpaceDN/>
        <w:bidi w:val="0"/>
        <w:spacing w:line="480" w:lineRule="exact"/>
        <w:ind w:right="-372" w:rightChars="-133" w:firstLine="562" w:firstLineChars="200"/>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w:t>
      </w:r>
      <w:bookmarkEnd w:id="4"/>
      <w:bookmarkEnd w:id="5"/>
      <w:r>
        <w:rPr>
          <w:rFonts w:hint="eastAsia" w:ascii="宋体" w:hAnsi="宋体" w:cs="宋体"/>
          <w:b/>
          <w:bCs/>
          <w:color w:val="auto"/>
          <w:kern w:val="0"/>
          <w:szCs w:val="21"/>
          <w:highlight w:val="none"/>
        </w:rPr>
        <w:t>截止时间、开标时间和地点</w:t>
      </w:r>
      <w:bookmarkEnd w:id="6"/>
      <w:bookmarkEnd w:id="7"/>
      <w:r>
        <w:rPr>
          <w:rFonts w:hint="eastAsia" w:ascii="宋体" w:hAnsi="宋体" w:cs="宋体"/>
          <w:b/>
          <w:bCs/>
          <w:color w:val="auto"/>
          <w:kern w:val="0"/>
          <w:szCs w:val="21"/>
          <w:highlight w:val="none"/>
        </w:rPr>
        <w:t>:</w:t>
      </w:r>
    </w:p>
    <w:p w14:paraId="33647D10">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    日</w:t>
      </w:r>
      <w:r>
        <w:rPr>
          <w:rFonts w:hint="eastAsia" w:ascii="宋体" w:hAnsi="宋体" w:cs="宋体"/>
          <w:color w:val="auto"/>
          <w:sz w:val="24"/>
          <w:highlight w:val="none"/>
          <w:u w:val="single"/>
          <w:lang w:val="en-US" w:eastAsia="zh-CN"/>
        </w:rPr>
        <w:t>09点30分</w:t>
      </w:r>
      <w:r>
        <w:rPr>
          <w:rFonts w:hint="eastAsia" w:ascii="宋体" w:hAnsi="宋体" w:cs="宋体"/>
          <w:color w:val="auto"/>
          <w:kern w:val="0"/>
          <w:sz w:val="24"/>
          <w:highlight w:val="none"/>
          <w:shd w:val="clear" w:color="auto" w:fill="FFFFFF"/>
        </w:rPr>
        <w:t>（北京时间）</w:t>
      </w:r>
      <w:r>
        <w:rPr>
          <w:rFonts w:hint="eastAsia" w:ascii="宋体" w:hAnsi="宋体" w:cs="宋体"/>
          <w:color w:val="auto"/>
          <w:kern w:val="0"/>
          <w:sz w:val="24"/>
          <w:highlight w:val="none"/>
        </w:rPr>
        <w:t>（自招标文件开始发出之日起至投标人提交投标文件截止之日止，不得少于20日）。</w:t>
      </w:r>
    </w:p>
    <w:p w14:paraId="660FDA6F">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hint="eastAsia" w:ascii="宋体" w:hAnsi="宋体" w:cs="宋体"/>
          <w:color w:val="auto"/>
          <w:kern w:val="0"/>
          <w:sz w:val="24"/>
          <w:highlight w:val="none"/>
        </w:rPr>
      </w:pPr>
      <w:r>
        <w:rPr>
          <w:rFonts w:ascii="宋体" w:hAnsi="宋体" w:cs="宋体"/>
          <w:color w:val="000000"/>
          <w:kern w:val="0"/>
          <w:sz w:val="24"/>
          <w:szCs w:val="22"/>
          <w:highlight w:val="none"/>
        </w:rPr>
        <w:t>投标地点（网址）：政府采购云平台（www.zcygov.cn）</w:t>
      </w:r>
    </w:p>
    <w:p w14:paraId="53C4CFD7">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投标人应在开标时间在线参加开标并按时解密电子加密投标文件。</w:t>
      </w:r>
    </w:p>
    <w:p w14:paraId="511595AF">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ascii="宋体" w:hAnsi="宋体" w:cs="宋体"/>
          <w:color w:val="auto"/>
          <w:kern w:val="0"/>
          <w:sz w:val="24"/>
          <w:highlight w:val="none"/>
        </w:rPr>
      </w:pPr>
      <w:bookmarkStart w:id="8" w:name="_Toc35393625"/>
      <w:bookmarkStart w:id="9" w:name="_Toc28359084"/>
      <w:bookmarkStart w:id="10" w:name="_Toc35393794"/>
      <w:bookmarkStart w:id="11" w:name="_Toc28359007"/>
      <w:r>
        <w:rPr>
          <w:rFonts w:hint="eastAsia" w:ascii="宋体" w:hAnsi="宋体" w:cs="宋体"/>
          <w:color w:val="auto"/>
          <w:sz w:val="24"/>
          <w:highlight w:val="none"/>
          <w:lang w:val="zh-CN"/>
        </w:rPr>
        <w:t>地点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柯城区公共资源交易中心（柯城区荷三路229号）/</w:t>
      </w:r>
      <w:r>
        <w:rPr>
          <w:rFonts w:hint="eastAsia" w:ascii="宋体" w:hAnsi="宋体" w:cs="宋体"/>
          <w:color w:val="auto"/>
          <w:sz w:val="24"/>
          <w:highlight w:val="none"/>
        </w:rPr>
        <w:t>政府采购云平台（www.zcygov.cn）</w:t>
      </w:r>
      <w:r>
        <w:rPr>
          <w:rFonts w:hint="eastAsia" w:ascii="宋体" w:hAnsi="宋体" w:cs="宋体"/>
          <w:color w:val="auto"/>
          <w:kern w:val="0"/>
          <w:sz w:val="24"/>
          <w:highlight w:val="none"/>
        </w:rPr>
        <w:t>。</w:t>
      </w:r>
    </w:p>
    <w:p w14:paraId="586EE2AF">
      <w:pPr>
        <w:keepNext w:val="0"/>
        <w:keepLines w:val="0"/>
        <w:pageBreakBefore w:val="0"/>
        <w:kinsoku/>
        <w:wordWrap/>
        <w:overflowPunct/>
        <w:topLinePunct w:val="0"/>
        <w:autoSpaceDE/>
        <w:autoSpaceDN/>
        <w:bidi w:val="0"/>
        <w:spacing w:line="480" w:lineRule="exact"/>
        <w:ind w:right="-372" w:rightChars="-133" w:firstLine="562" w:firstLineChars="200"/>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w:t>
      </w:r>
      <w:bookmarkEnd w:id="8"/>
      <w:bookmarkEnd w:id="9"/>
      <w:bookmarkEnd w:id="10"/>
      <w:bookmarkEnd w:id="11"/>
      <w:r>
        <w:rPr>
          <w:rFonts w:hint="eastAsia" w:ascii="宋体" w:hAnsi="宋体" w:cs="宋体"/>
          <w:b/>
          <w:bCs/>
          <w:color w:val="auto"/>
          <w:kern w:val="0"/>
          <w:szCs w:val="21"/>
          <w:highlight w:val="none"/>
        </w:rPr>
        <w:t>:</w:t>
      </w:r>
    </w:p>
    <w:p w14:paraId="79694271">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自本公告发布之日起5个工作日。</w:t>
      </w:r>
    </w:p>
    <w:p w14:paraId="029A2DCB">
      <w:pPr>
        <w:keepNext w:val="0"/>
        <w:keepLines w:val="0"/>
        <w:pageBreakBefore w:val="0"/>
        <w:kinsoku/>
        <w:wordWrap/>
        <w:overflowPunct/>
        <w:topLinePunct w:val="0"/>
        <w:autoSpaceDE/>
        <w:autoSpaceDN/>
        <w:bidi w:val="0"/>
        <w:spacing w:line="480" w:lineRule="exact"/>
        <w:ind w:right="-372" w:rightChars="-133" w:firstLine="562" w:firstLineChars="200"/>
        <w:textAlignment w:val="auto"/>
        <w:rPr>
          <w:rFonts w:hint="eastAsia" w:ascii="宋体" w:hAnsi="宋体" w:eastAsia="宋体" w:cs="宋体"/>
          <w:b/>
          <w:bCs/>
          <w:color w:val="auto"/>
          <w:kern w:val="0"/>
          <w:szCs w:val="21"/>
          <w:highlight w:val="none"/>
          <w:lang w:eastAsia="zh-CN"/>
        </w:rPr>
      </w:pPr>
      <w:bookmarkStart w:id="12" w:name="_Toc35393795"/>
      <w:bookmarkStart w:id="13" w:name="_Toc35393626"/>
      <w:r>
        <w:rPr>
          <w:rFonts w:hint="eastAsia" w:ascii="宋体" w:hAnsi="宋体" w:cs="宋体"/>
          <w:b/>
          <w:bCs/>
          <w:color w:val="auto"/>
          <w:kern w:val="0"/>
          <w:szCs w:val="21"/>
          <w:highlight w:val="none"/>
          <w:lang w:val="en-US" w:eastAsia="zh-CN"/>
        </w:rPr>
        <w:t>六、</w:t>
      </w:r>
      <w:r>
        <w:rPr>
          <w:rFonts w:hint="eastAsia" w:ascii="宋体" w:hAnsi="宋体" w:cs="宋体"/>
          <w:b/>
          <w:bCs/>
          <w:color w:val="auto"/>
          <w:kern w:val="0"/>
          <w:szCs w:val="21"/>
          <w:highlight w:val="none"/>
        </w:rPr>
        <w:t>采购意向公开链接</w:t>
      </w:r>
      <w:r>
        <w:rPr>
          <w:rFonts w:hint="eastAsia" w:ascii="宋体" w:hAnsi="宋体" w:cs="宋体"/>
          <w:b/>
          <w:bCs/>
          <w:color w:val="auto"/>
          <w:kern w:val="0"/>
          <w:szCs w:val="21"/>
          <w:highlight w:val="none"/>
          <w:lang w:eastAsia="zh-CN"/>
        </w:rPr>
        <w:t>：</w:t>
      </w:r>
    </w:p>
    <w:p w14:paraId="6F77901B">
      <w:pPr>
        <w:keepNext w:val="0"/>
        <w:keepLines w:val="0"/>
        <w:pageBreakBefore w:val="0"/>
        <w:kinsoku/>
        <w:wordWrap/>
        <w:overflowPunct/>
        <w:topLinePunct w:val="0"/>
        <w:autoSpaceDE/>
        <w:autoSpaceDN/>
        <w:bidi w:val="0"/>
        <w:spacing w:line="480" w:lineRule="exact"/>
        <w:ind w:right="-372" w:rightChars="-133" w:firstLine="480" w:firstLineChars="20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https://zfcg.czt.zj.gov.cn/site/detail?parentId=600007&amp;articleId=sV2CRQXx%2BRTqPEAHe4LIUQ%3D%3D</w:t>
      </w:r>
    </w:p>
    <w:p w14:paraId="697B15A7">
      <w:pPr>
        <w:keepNext w:val="0"/>
        <w:keepLines w:val="0"/>
        <w:pageBreakBefore w:val="0"/>
        <w:kinsoku/>
        <w:wordWrap/>
        <w:overflowPunct/>
        <w:topLinePunct w:val="0"/>
        <w:autoSpaceDE/>
        <w:autoSpaceDN/>
        <w:bidi w:val="0"/>
        <w:spacing w:line="480" w:lineRule="exact"/>
        <w:ind w:right="-372" w:rightChars="-133" w:firstLine="562" w:firstLineChars="200"/>
        <w:jc w:val="left"/>
        <w:textAlignment w:val="auto"/>
        <w:rPr>
          <w:rFonts w:ascii="宋体" w:hAnsi="宋体" w:cs="宋体"/>
          <w:b/>
          <w:color w:val="auto"/>
          <w:szCs w:val="21"/>
          <w:highlight w:val="none"/>
        </w:rPr>
      </w:pPr>
      <w:r>
        <w:rPr>
          <w:rFonts w:hint="eastAsia" w:ascii="宋体" w:hAnsi="宋体" w:cs="宋体"/>
          <w:b/>
          <w:bCs/>
          <w:color w:val="auto"/>
          <w:kern w:val="0"/>
          <w:szCs w:val="21"/>
          <w:highlight w:val="none"/>
          <w:lang w:val="en-US" w:eastAsia="zh-CN"/>
        </w:rPr>
        <w:t>七</w:t>
      </w:r>
      <w:r>
        <w:rPr>
          <w:rFonts w:hint="eastAsia" w:ascii="宋体" w:hAnsi="宋体" w:cs="宋体"/>
          <w:b/>
          <w:bCs/>
          <w:color w:val="auto"/>
          <w:kern w:val="0"/>
          <w:szCs w:val="21"/>
          <w:highlight w:val="none"/>
        </w:rPr>
        <w:t>、</w:t>
      </w:r>
      <w:bookmarkEnd w:id="12"/>
      <w:bookmarkEnd w:id="13"/>
      <w:r>
        <w:rPr>
          <w:rFonts w:hint="eastAsia" w:ascii="宋体" w:hAnsi="宋体" w:cs="宋体"/>
          <w:b/>
          <w:color w:val="auto"/>
          <w:szCs w:val="21"/>
          <w:highlight w:val="none"/>
        </w:rPr>
        <w:t>其他事项：</w:t>
      </w:r>
    </w:p>
    <w:p w14:paraId="285631C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宋体" w:hAnsi="宋体" w:cs="宋体"/>
          <w:color w:val="000000"/>
          <w:kern w:val="0"/>
          <w:sz w:val="24"/>
          <w:szCs w:val="22"/>
          <w:highlight w:val="none"/>
        </w:rPr>
      </w:pPr>
      <w:r>
        <w:rPr>
          <w:rFonts w:ascii="宋体" w:hAnsi="宋体" w:cs="宋体"/>
          <w:color w:val="000000"/>
          <w:kern w:val="0"/>
          <w:sz w:val="24"/>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F279B2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宋体" w:hAnsi="宋体" w:cs="宋体"/>
          <w:color w:val="000000"/>
          <w:kern w:val="0"/>
          <w:sz w:val="24"/>
          <w:szCs w:val="22"/>
          <w:highlight w:val="none"/>
        </w:rPr>
      </w:pPr>
      <w:r>
        <w:rPr>
          <w:rFonts w:ascii="宋体" w:hAnsi="宋体" w:cs="宋体"/>
          <w:color w:val="000000"/>
          <w:kern w:val="0"/>
          <w:sz w:val="24"/>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E5DC7B">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宋体" w:hAnsi="宋体" w:cs="宋体"/>
          <w:color w:val="000000"/>
          <w:kern w:val="0"/>
          <w:sz w:val="24"/>
          <w:szCs w:val="22"/>
          <w:highlight w:val="none"/>
        </w:rPr>
      </w:pPr>
      <w:r>
        <w:rPr>
          <w:rFonts w:ascii="宋体" w:hAnsi="宋体" w:cs="宋体"/>
          <w:color w:val="000000"/>
          <w:kern w:val="0"/>
          <w:sz w:val="24"/>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招标人提出质疑，对其他内容的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14:paraId="4CA05101">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cs="宋体"/>
          <w:color w:val="000000"/>
          <w:kern w:val="0"/>
          <w:sz w:val="24"/>
          <w:szCs w:val="22"/>
          <w:highlight w:val="none"/>
        </w:rPr>
      </w:pPr>
      <w:r>
        <w:rPr>
          <w:rFonts w:ascii="宋体" w:hAnsi="宋体" w:cs="宋体"/>
          <w:color w:val="000000"/>
          <w:kern w:val="0"/>
          <w:sz w:val="24"/>
          <w:szCs w:val="22"/>
          <w:highlight w:val="none"/>
        </w:rPr>
        <w:t>4、其他事项：</w:t>
      </w:r>
    </w:p>
    <w:p w14:paraId="729CFE35">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cs="宋体"/>
          <w:color w:val="auto"/>
          <w:sz w:val="24"/>
          <w:highlight w:val="none"/>
        </w:rPr>
      </w:pPr>
      <w:bookmarkStart w:id="14" w:name="OLE_LINK7"/>
      <w:r>
        <w:rPr>
          <w:rFonts w:hint="eastAsia" w:ascii="宋体" w:hAnsi="宋体" w:cs="宋体"/>
          <w:color w:val="auto"/>
          <w:sz w:val="24"/>
          <w:highlight w:val="none"/>
        </w:rPr>
        <w:t>（1）需要落实的政府采购政策：包括节约资源、保护环境、支持创新、促进中小企业发展等。</w:t>
      </w:r>
    </w:p>
    <w:p w14:paraId="4CA2238C">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984D28E">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cs="宋体"/>
          <w:color w:val="000000"/>
          <w:kern w:val="0"/>
          <w:sz w:val="24"/>
          <w:szCs w:val="22"/>
          <w:highlight w:val="none"/>
        </w:rPr>
      </w:pPr>
      <w:r>
        <w:rPr>
          <w:rFonts w:hint="eastAsia" w:ascii="宋体" w:hAnsi="宋体" w:cs="宋体"/>
          <w:color w:val="auto"/>
          <w:sz w:val="24"/>
          <w:highlight w:val="none"/>
        </w:rPr>
        <w:t>（3）招标文件公告期限与招标公告的公告期限一致。</w:t>
      </w:r>
    </w:p>
    <w:p w14:paraId="1430514D">
      <w:pPr>
        <w:keepNext w:val="0"/>
        <w:keepLines w:val="0"/>
        <w:pageBreakBefore w:val="0"/>
        <w:widowControl/>
        <w:kinsoku/>
        <w:wordWrap/>
        <w:overflowPunct/>
        <w:topLinePunct w:val="0"/>
        <w:autoSpaceDE/>
        <w:autoSpaceDN/>
        <w:bidi w:val="0"/>
        <w:snapToGrid w:val="0"/>
        <w:spacing w:line="480" w:lineRule="exact"/>
        <w:ind w:firstLine="480" w:firstLineChars="200"/>
        <w:jc w:val="left"/>
        <w:textAlignment w:val="auto"/>
        <w:rPr>
          <w:rFonts w:ascii="宋体" w:hAnsi="宋体" w:cs="宋体"/>
          <w:color w:val="000000"/>
          <w:kern w:val="0"/>
          <w:sz w:val="24"/>
          <w:szCs w:val="22"/>
          <w:highlight w:val="none"/>
        </w:rPr>
      </w:pPr>
      <w:r>
        <w:rPr>
          <w:rFonts w:hint="eastAsia" w:ascii="宋体" w:hAnsi="宋体" w:cs="宋体"/>
          <w:color w:val="000000"/>
          <w:kern w:val="0"/>
          <w:sz w:val="24"/>
          <w:szCs w:val="22"/>
          <w:highlight w:val="none"/>
          <w:lang w:val="en-US" w:eastAsia="zh-CN"/>
        </w:rPr>
        <w:t>（4）</w:t>
      </w:r>
      <w:r>
        <w:rPr>
          <w:rFonts w:ascii="宋体" w:hAnsi="宋体" w:cs="宋体"/>
          <w:color w:val="000000"/>
          <w:kern w:val="0"/>
          <w:sz w:val="24"/>
          <w:szCs w:val="22"/>
          <w:highlight w:val="none"/>
        </w:rPr>
        <w:t>融资政策，企业质押融资：取得政府采购合同的供应商，均可通过浙江政府采购网（https://zfcg.czt.zj.gov.cn/）首页的“浙江政采贷”模块进入申请贷款或通过政府采购云平台（</w:t>
      </w:r>
      <w:r>
        <w:rPr>
          <w:rFonts w:ascii="宋体" w:hAnsi="宋体" w:cs="宋体"/>
          <w:color w:val="000000"/>
          <w:kern w:val="0"/>
          <w:sz w:val="24"/>
          <w:szCs w:val="22"/>
          <w:highlight w:val="none"/>
        </w:rPr>
        <w:fldChar w:fldCharType="begin"/>
      </w:r>
      <w:r>
        <w:rPr>
          <w:rFonts w:ascii="宋体" w:hAnsi="宋体" w:cs="宋体"/>
          <w:color w:val="000000"/>
          <w:kern w:val="0"/>
          <w:sz w:val="24"/>
          <w:szCs w:val="22"/>
          <w:highlight w:val="none"/>
        </w:rPr>
        <w:instrText xml:space="preserve"> HYPERLINK "https://www.zcygov.cn/%EF%BC%89%E9%A6%96%E9%A1%B5%E7%9A%84%E2%80%9C%E9%87%91%E8%9E%8D%E6%9C%8D%E5%8A%A1%E2%80%9D%E6%A8%A1%E5%9D%97%E8%BF%9B%E5%85%A5%E7%94%B3%E8%AF%B7" \t "_blank" </w:instrText>
      </w:r>
      <w:r>
        <w:rPr>
          <w:rFonts w:ascii="宋体" w:hAnsi="宋体" w:cs="宋体"/>
          <w:color w:val="000000"/>
          <w:kern w:val="0"/>
          <w:sz w:val="24"/>
          <w:szCs w:val="22"/>
          <w:highlight w:val="none"/>
        </w:rPr>
        <w:fldChar w:fldCharType="separate"/>
      </w:r>
      <w:r>
        <w:rPr>
          <w:rFonts w:ascii="宋体" w:hAnsi="宋体" w:cs="宋体"/>
          <w:color w:val="000000"/>
          <w:kern w:val="0"/>
          <w:sz w:val="24"/>
          <w:szCs w:val="22"/>
          <w:highlight w:val="none"/>
        </w:rPr>
        <w:t>https://www.zcygov.cn/）首页的“金融服务”模块进入申请</w:t>
      </w:r>
      <w:r>
        <w:rPr>
          <w:rFonts w:ascii="宋体" w:hAnsi="宋体" w:cs="宋体"/>
          <w:color w:val="000000"/>
          <w:kern w:val="0"/>
          <w:sz w:val="24"/>
          <w:szCs w:val="22"/>
          <w:highlight w:val="none"/>
        </w:rPr>
        <w:fldChar w:fldCharType="end"/>
      </w:r>
      <w:r>
        <w:rPr>
          <w:rFonts w:ascii="宋体" w:hAnsi="宋体" w:cs="宋体"/>
          <w:color w:val="000000"/>
          <w:kern w:val="0"/>
          <w:sz w:val="24"/>
          <w:szCs w:val="22"/>
          <w:highlight w:val="none"/>
        </w:rPr>
        <w:t>贷款。也可通过“浙江政务网”登录到“衢融通”平台，发起政府采购质押融资申请。</w:t>
      </w:r>
    </w:p>
    <w:bookmarkEnd w:id="14"/>
    <w:p w14:paraId="6438800D">
      <w:pPr>
        <w:pStyle w:val="16"/>
        <w:keepNext w:val="0"/>
        <w:keepLines w:val="0"/>
        <w:pageBreakBefore w:val="0"/>
        <w:kinsoku/>
        <w:wordWrap/>
        <w:overflowPunct/>
        <w:topLinePunct w:val="0"/>
        <w:autoSpaceDE/>
        <w:autoSpaceDN/>
        <w:bidi w:val="0"/>
        <w:spacing w:beforeLines="0" w:afterLines="0" w:line="480" w:lineRule="exact"/>
        <w:ind w:right="-372" w:rightChars="-133" w:firstLine="480"/>
        <w:textAlignment w:val="auto"/>
        <w:outlineLvl w:val="0"/>
        <w:rPr>
          <w:rFonts w:hAnsi="宋体" w:cs="宋体"/>
          <w:b/>
          <w:color w:val="auto"/>
          <w:spacing w:val="-6"/>
          <w:highlight w:val="none"/>
        </w:rPr>
      </w:pPr>
      <w:r>
        <w:rPr>
          <w:rFonts w:hint="eastAsia" w:hAnsi="宋体" w:cs="宋体"/>
          <w:b/>
          <w:bCs/>
          <w:color w:val="auto"/>
          <w:sz w:val="28"/>
          <w:szCs w:val="28"/>
          <w:highlight w:val="none"/>
        </w:rPr>
        <w:t>八、对本次招标提出询问、质疑、投诉，请按以下方式联系</w:t>
      </w:r>
      <w:r>
        <w:rPr>
          <w:rFonts w:hint="eastAsia" w:hAnsi="宋体" w:cs="宋体"/>
          <w:b/>
          <w:bCs/>
          <w:color w:val="auto"/>
          <w:highlight w:val="none"/>
        </w:rPr>
        <w:t>:</w:t>
      </w:r>
    </w:p>
    <w:p w14:paraId="767573A4">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14:paraId="464FC496">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名  称：</w:t>
      </w:r>
      <w:r>
        <w:rPr>
          <w:rFonts w:hint="eastAsia" w:ascii="宋体" w:hAnsi="宋体" w:cs="宋体"/>
          <w:color w:val="auto"/>
          <w:sz w:val="24"/>
          <w:szCs w:val="20"/>
          <w:highlight w:val="none"/>
          <w:lang w:eastAsia="zh-CN"/>
        </w:rPr>
        <w:t>衢州市公安局柯城分局</w:t>
      </w:r>
    </w:p>
    <w:p w14:paraId="7687164A">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地址：衢州市柯城区亭川东路398号</w:t>
      </w:r>
    </w:p>
    <w:p w14:paraId="03B4024A">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联系人：</w:t>
      </w:r>
      <w:r>
        <w:rPr>
          <w:rFonts w:hint="eastAsia" w:ascii="宋体" w:hAnsi="宋体" w:cs="宋体"/>
          <w:color w:val="auto"/>
          <w:kern w:val="0"/>
          <w:sz w:val="24"/>
          <w:highlight w:val="none"/>
          <w:lang w:val="en-US" w:eastAsia="zh-CN"/>
        </w:rPr>
        <w:t>范</w:t>
      </w:r>
      <w:r>
        <w:rPr>
          <w:rFonts w:hint="default" w:ascii="宋体" w:hAnsi="宋体" w:cs="宋体"/>
          <w:color w:val="auto"/>
          <w:kern w:val="0"/>
          <w:sz w:val="24"/>
          <w:highlight w:val="none"/>
          <w:lang w:val="en-US" w:eastAsia="zh-CN"/>
        </w:rPr>
        <w:t>先生            联系方式：0570-8017327</w:t>
      </w:r>
    </w:p>
    <w:p w14:paraId="3A6EA1F7">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质疑联系人：</w:t>
      </w:r>
      <w:r>
        <w:rPr>
          <w:rFonts w:hint="eastAsia" w:ascii="宋体" w:hAnsi="宋体" w:cs="宋体"/>
          <w:color w:val="auto"/>
          <w:kern w:val="0"/>
          <w:sz w:val="24"/>
          <w:highlight w:val="none"/>
          <w:lang w:val="en-US" w:eastAsia="zh-CN"/>
        </w:rPr>
        <w:t>胡</w:t>
      </w:r>
      <w:r>
        <w:rPr>
          <w:rFonts w:hint="default" w:ascii="宋体" w:hAnsi="宋体" w:cs="宋体"/>
          <w:color w:val="auto"/>
          <w:kern w:val="0"/>
          <w:sz w:val="24"/>
          <w:highlight w:val="none"/>
          <w:lang w:val="en-US" w:eastAsia="zh-CN"/>
        </w:rPr>
        <w:t>先生        质疑联系方式：0570-</w:t>
      </w:r>
      <w:r>
        <w:rPr>
          <w:rFonts w:hint="eastAsia" w:ascii="宋体" w:hAnsi="宋体" w:cs="宋体"/>
          <w:color w:val="auto"/>
          <w:kern w:val="0"/>
          <w:sz w:val="24"/>
          <w:highlight w:val="none"/>
          <w:lang w:val="en-US" w:eastAsia="zh-CN"/>
        </w:rPr>
        <w:t>8017319</w:t>
      </w:r>
    </w:p>
    <w:p w14:paraId="0FED05E0">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2.采购代理机构信息</w:t>
      </w:r>
    </w:p>
    <w:p w14:paraId="00A770BA">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名  称：</w:t>
      </w:r>
      <w:r>
        <w:rPr>
          <w:rFonts w:hint="eastAsia" w:ascii="宋体" w:hAnsi="宋体" w:cs="宋体"/>
          <w:color w:val="auto"/>
          <w:kern w:val="0"/>
          <w:sz w:val="24"/>
          <w:highlight w:val="none"/>
          <w:lang w:eastAsia="zh-CN"/>
        </w:rPr>
        <w:t>衢州胜友如云工程咨询有限公司</w:t>
      </w:r>
    </w:p>
    <w:p w14:paraId="613C0926">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地  址：衢州市柯城区信安街道斗潭路22号</w:t>
      </w:r>
    </w:p>
    <w:p w14:paraId="767DEFCD">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项目联系人：吴先生        项目联系电话：</w:t>
      </w:r>
      <w:r>
        <w:rPr>
          <w:rFonts w:hint="eastAsia" w:ascii="宋体" w:hAnsi="宋体" w:cs="宋体"/>
          <w:color w:val="auto"/>
          <w:kern w:val="0"/>
          <w:sz w:val="24"/>
          <w:highlight w:val="none"/>
          <w:lang w:val="en-US" w:eastAsia="zh-CN"/>
        </w:rPr>
        <w:t>15067007622</w:t>
      </w:r>
    </w:p>
    <w:p w14:paraId="50EABDEF">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质疑联系人：</w:t>
      </w:r>
      <w:r>
        <w:rPr>
          <w:rFonts w:hint="eastAsia" w:ascii="宋体" w:hAnsi="宋体" w:cs="宋体"/>
          <w:color w:val="auto"/>
          <w:kern w:val="0"/>
          <w:sz w:val="24"/>
          <w:highlight w:val="none"/>
          <w:lang w:val="en-US" w:eastAsia="zh-CN"/>
        </w:rPr>
        <w:t>郑先生</w:t>
      </w:r>
      <w:r>
        <w:rPr>
          <w:rFonts w:hint="eastAsia" w:ascii="宋体" w:hAnsi="宋体" w:cs="宋体"/>
          <w:color w:val="auto"/>
          <w:kern w:val="0"/>
          <w:sz w:val="24"/>
          <w:highlight w:val="none"/>
          <w:lang w:eastAsia="zh-CN"/>
        </w:rPr>
        <w:t xml:space="preserve">        质疑联系电话：</w:t>
      </w:r>
      <w:r>
        <w:rPr>
          <w:rFonts w:hint="eastAsia" w:ascii="宋体" w:hAnsi="宋体" w:cs="宋体"/>
          <w:color w:val="auto"/>
          <w:kern w:val="0"/>
          <w:sz w:val="24"/>
          <w:highlight w:val="none"/>
          <w:lang w:val="en-US" w:eastAsia="zh-CN"/>
        </w:rPr>
        <w:t>0570-8856578</w:t>
      </w:r>
    </w:p>
    <w:p w14:paraId="30A9DBA8">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3.同级政府采购监督管理部门</w:t>
      </w:r>
    </w:p>
    <w:p w14:paraId="7A1622C3">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名 称：衢州市柯城区政府采购管理办公室</w:t>
      </w:r>
    </w:p>
    <w:p w14:paraId="66464A9C">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地 址：衢州市柯城区荷三路行政中心9号楼308办公室</w:t>
      </w:r>
    </w:p>
    <w:p w14:paraId="015DCF59">
      <w:pPr>
        <w:keepNext w:val="0"/>
        <w:keepLines w:val="0"/>
        <w:pageBreakBefore w:val="0"/>
        <w:widowControl/>
        <w:kinsoku/>
        <w:wordWrap/>
        <w:overflowPunct/>
        <w:topLinePunct w:val="0"/>
        <w:autoSpaceDE/>
        <w:autoSpaceDN/>
        <w:bidi w:val="0"/>
        <w:adjustRightInd w:val="0"/>
        <w:snapToGrid w:val="0"/>
        <w:spacing w:line="480" w:lineRule="exact"/>
        <w:ind w:right="-372" w:rightChars="-133"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联系人：蒋先生</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监督投诉电话：0570-3020829</w:t>
      </w:r>
    </w:p>
    <w:p w14:paraId="4154C022">
      <w:pPr>
        <w:spacing w:line="360" w:lineRule="auto"/>
        <w:jc w:val="center"/>
        <w:rPr>
          <w:rFonts w:ascii="宋体" w:cs="宋体"/>
          <w:b/>
          <w:color w:val="auto"/>
          <w:sz w:val="32"/>
          <w:szCs w:val="32"/>
          <w:highlight w:val="none"/>
        </w:rPr>
      </w:pPr>
      <w:r>
        <w:rPr>
          <w:rFonts w:ascii="宋体" w:cs="宋体"/>
          <w:color w:val="auto"/>
          <w:sz w:val="21"/>
          <w:szCs w:val="21"/>
          <w:highlight w:val="none"/>
        </w:rPr>
        <w:br w:type="page"/>
      </w:r>
      <w:r>
        <w:rPr>
          <w:rFonts w:hint="eastAsia" w:ascii="宋体" w:hAnsi="宋体" w:eastAsia="宋体" w:cs="宋体"/>
          <w:b/>
          <w:bCs/>
          <w:color w:val="auto"/>
          <w:kern w:val="2"/>
          <w:sz w:val="32"/>
          <w:szCs w:val="32"/>
          <w:highlight w:val="none"/>
          <w:lang w:val="en-US" w:eastAsia="zh-Hans" w:bidi="en-US"/>
        </w:rPr>
        <w:t>第二章  投标人须知</w:t>
      </w:r>
    </w:p>
    <w:p w14:paraId="286BD701">
      <w:pPr>
        <w:spacing w:line="288" w:lineRule="auto"/>
        <w:outlineLvl w:val="0"/>
        <w:rPr>
          <w:rFonts w:ascii="宋体" w:cs="宋体"/>
          <w:b/>
          <w:color w:val="auto"/>
          <w:sz w:val="24"/>
          <w:highlight w:val="none"/>
        </w:rPr>
      </w:pPr>
      <w:r>
        <w:rPr>
          <w:rFonts w:hint="eastAsia" w:ascii="宋体" w:hAnsi="宋体" w:cs="宋体"/>
          <w:b/>
          <w:color w:val="auto"/>
          <w:sz w:val="24"/>
          <w:highlight w:val="none"/>
        </w:rPr>
        <w:t>投标人须知前附表</w:t>
      </w:r>
    </w:p>
    <w:tbl>
      <w:tblPr>
        <w:tblStyle w:val="27"/>
        <w:tblW w:w="10119"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2657"/>
        <w:gridCol w:w="6741"/>
      </w:tblGrid>
      <w:tr w14:paraId="1FE15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21" w:type="dxa"/>
            <w:tcBorders>
              <w:top w:val="single" w:color="auto" w:sz="4" w:space="0"/>
              <w:bottom w:val="single" w:color="auto" w:sz="4" w:space="0"/>
              <w:right w:val="single" w:color="auto" w:sz="4" w:space="0"/>
            </w:tcBorders>
            <w:vAlign w:val="center"/>
          </w:tcPr>
          <w:p w14:paraId="14080540">
            <w:pPr>
              <w:jc w:val="center"/>
              <w:rPr>
                <w:rFonts w:ascii="宋体" w:cs="宋体"/>
                <w:color w:val="auto"/>
                <w:sz w:val="21"/>
                <w:szCs w:val="21"/>
                <w:highlight w:val="none"/>
              </w:rPr>
            </w:pPr>
            <w:r>
              <w:rPr>
                <w:rFonts w:hint="eastAsia" w:ascii="宋体" w:hAnsi="宋体" w:cs="宋体"/>
                <w:bCs/>
                <w:color w:val="auto"/>
                <w:sz w:val="24"/>
                <w:highlight w:val="none"/>
              </w:rPr>
              <w:t>序号</w:t>
            </w:r>
          </w:p>
        </w:tc>
        <w:tc>
          <w:tcPr>
            <w:tcW w:w="2657" w:type="dxa"/>
            <w:tcBorders>
              <w:top w:val="single" w:color="auto" w:sz="4" w:space="0"/>
              <w:left w:val="single" w:color="auto" w:sz="4" w:space="0"/>
              <w:bottom w:val="single" w:color="auto" w:sz="4" w:space="0"/>
              <w:right w:val="single" w:color="auto" w:sz="4" w:space="0"/>
            </w:tcBorders>
            <w:vAlign w:val="center"/>
          </w:tcPr>
          <w:p w14:paraId="0B7003AF">
            <w:pPr>
              <w:jc w:val="center"/>
              <w:rPr>
                <w:rFonts w:ascii="宋体" w:cs="宋体"/>
                <w:b/>
                <w:bCs/>
                <w:color w:val="auto"/>
                <w:sz w:val="21"/>
                <w:szCs w:val="21"/>
                <w:highlight w:val="none"/>
              </w:rPr>
            </w:pPr>
            <w:r>
              <w:rPr>
                <w:rFonts w:hint="eastAsia" w:ascii="宋体" w:hAnsi="宋体" w:cs="宋体"/>
                <w:bCs/>
                <w:color w:val="auto"/>
                <w:sz w:val="24"/>
                <w:highlight w:val="none"/>
              </w:rPr>
              <w:t>内容</w:t>
            </w:r>
          </w:p>
        </w:tc>
        <w:tc>
          <w:tcPr>
            <w:tcW w:w="6741" w:type="dxa"/>
            <w:tcBorders>
              <w:top w:val="single" w:color="auto" w:sz="4" w:space="0"/>
              <w:left w:val="single" w:color="auto" w:sz="4" w:space="0"/>
              <w:bottom w:val="single" w:color="auto" w:sz="4" w:space="0"/>
            </w:tcBorders>
            <w:vAlign w:val="center"/>
          </w:tcPr>
          <w:p w14:paraId="6F253152">
            <w:pPr>
              <w:pStyle w:val="16"/>
              <w:keepNext w:val="0"/>
              <w:keepLines w:val="0"/>
              <w:pageBreakBefore w:val="0"/>
              <w:widowControl w:val="0"/>
              <w:kinsoku/>
              <w:overflowPunct/>
              <w:topLinePunct w:val="0"/>
              <w:autoSpaceDE/>
              <w:autoSpaceDN/>
              <w:bidi w:val="0"/>
              <w:adjustRightInd w:val="0"/>
              <w:snapToGrid w:val="0"/>
              <w:spacing w:before="120" w:after="120" w:line="400" w:lineRule="exact"/>
              <w:jc w:val="center"/>
              <w:textAlignment w:val="auto"/>
              <w:rPr>
                <w:rFonts w:hint="eastAsia" w:hAnsi="宋体" w:cs="宋体"/>
                <w:bCs/>
                <w:color w:val="auto"/>
                <w:highlight w:val="none"/>
                <w:lang w:eastAsia="zh-CN"/>
              </w:rPr>
            </w:pPr>
            <w:r>
              <w:rPr>
                <w:rFonts w:hint="eastAsia" w:hAnsi="宋体" w:cs="宋体"/>
                <w:bCs/>
                <w:color w:val="auto"/>
                <w:highlight w:val="none"/>
                <w:lang w:eastAsia="zh-CN"/>
              </w:rPr>
              <w:t>说明与要求</w:t>
            </w:r>
          </w:p>
        </w:tc>
      </w:tr>
      <w:tr w14:paraId="6302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1" w:type="dxa"/>
            <w:tcBorders>
              <w:top w:val="single" w:color="auto" w:sz="4" w:space="0"/>
              <w:bottom w:val="single" w:color="auto" w:sz="4" w:space="0"/>
              <w:right w:val="single" w:color="auto" w:sz="4" w:space="0"/>
            </w:tcBorders>
            <w:vAlign w:val="center"/>
          </w:tcPr>
          <w:p w14:paraId="28962158">
            <w:pPr>
              <w:jc w:val="center"/>
              <w:rPr>
                <w:rFonts w:ascii="宋体" w:cs="宋体"/>
                <w:color w:val="auto"/>
                <w:sz w:val="21"/>
                <w:szCs w:val="21"/>
                <w:highlight w:val="none"/>
              </w:rPr>
            </w:pPr>
            <w:r>
              <w:rPr>
                <w:rFonts w:ascii="宋体" w:hAnsi="宋体" w:cs="宋体"/>
                <w:color w:val="auto"/>
                <w:sz w:val="21"/>
                <w:szCs w:val="21"/>
                <w:highlight w:val="none"/>
              </w:rPr>
              <w:t>1</w:t>
            </w:r>
          </w:p>
        </w:tc>
        <w:tc>
          <w:tcPr>
            <w:tcW w:w="2657" w:type="dxa"/>
            <w:tcBorders>
              <w:top w:val="single" w:color="auto" w:sz="4" w:space="0"/>
              <w:left w:val="single" w:color="auto" w:sz="4" w:space="0"/>
              <w:bottom w:val="single" w:color="auto" w:sz="4" w:space="0"/>
              <w:right w:val="single" w:color="auto" w:sz="4" w:space="0"/>
            </w:tcBorders>
            <w:vAlign w:val="center"/>
          </w:tcPr>
          <w:p w14:paraId="463F7018">
            <w:pPr>
              <w:pStyle w:val="16"/>
              <w:spacing w:before="120" w:after="120" w:line="380" w:lineRule="exact"/>
              <w:jc w:val="center"/>
              <w:rPr>
                <w:rFonts w:hAnsi="宋体" w:cs="宋体"/>
                <w:color w:val="auto"/>
                <w:highlight w:val="none"/>
              </w:rPr>
            </w:pPr>
            <w:r>
              <w:rPr>
                <w:rFonts w:hint="eastAsia" w:hAnsi="宋体" w:cs="宋体"/>
                <w:bCs/>
                <w:color w:val="auto"/>
                <w:highlight w:val="none"/>
              </w:rPr>
              <w:t>采购人</w:t>
            </w:r>
          </w:p>
        </w:tc>
        <w:tc>
          <w:tcPr>
            <w:tcW w:w="6741" w:type="dxa"/>
            <w:tcBorders>
              <w:top w:val="single" w:color="auto" w:sz="4" w:space="0"/>
              <w:left w:val="single" w:color="auto" w:sz="4" w:space="0"/>
              <w:bottom w:val="single" w:color="auto" w:sz="4" w:space="0"/>
            </w:tcBorders>
            <w:vAlign w:val="center"/>
          </w:tcPr>
          <w:p w14:paraId="4605D0EB">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lang w:eastAsia="zh-CN"/>
              </w:rPr>
            </w:pPr>
            <w:r>
              <w:rPr>
                <w:rFonts w:hint="eastAsia" w:hAnsi="宋体" w:cs="宋体"/>
                <w:bCs/>
                <w:color w:val="auto"/>
                <w:highlight w:val="none"/>
                <w:lang w:eastAsia="zh-CN"/>
              </w:rPr>
              <w:t>衢州市公安局柯城分局</w:t>
            </w:r>
          </w:p>
        </w:tc>
      </w:tr>
      <w:tr w14:paraId="08CDC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21" w:type="dxa"/>
            <w:tcBorders>
              <w:top w:val="single" w:color="auto" w:sz="4" w:space="0"/>
              <w:bottom w:val="single" w:color="auto" w:sz="4" w:space="0"/>
              <w:right w:val="single" w:color="auto" w:sz="4" w:space="0"/>
            </w:tcBorders>
            <w:vAlign w:val="center"/>
          </w:tcPr>
          <w:p w14:paraId="06ED4C0E">
            <w:pPr>
              <w:jc w:val="center"/>
              <w:rPr>
                <w:rFonts w:ascii="宋体" w:cs="宋体"/>
                <w:color w:val="auto"/>
                <w:sz w:val="21"/>
                <w:szCs w:val="21"/>
                <w:highlight w:val="none"/>
              </w:rPr>
            </w:pPr>
            <w:r>
              <w:rPr>
                <w:rFonts w:ascii="宋体" w:hAnsi="宋体" w:cs="宋体"/>
                <w:color w:val="auto"/>
                <w:sz w:val="21"/>
                <w:szCs w:val="21"/>
                <w:highlight w:val="none"/>
              </w:rPr>
              <w:t>2</w:t>
            </w:r>
          </w:p>
        </w:tc>
        <w:tc>
          <w:tcPr>
            <w:tcW w:w="2657" w:type="dxa"/>
            <w:tcBorders>
              <w:top w:val="single" w:color="auto" w:sz="4" w:space="0"/>
              <w:left w:val="single" w:color="auto" w:sz="4" w:space="0"/>
              <w:bottom w:val="single" w:color="auto" w:sz="4" w:space="0"/>
              <w:right w:val="single" w:color="auto" w:sz="4" w:space="0"/>
            </w:tcBorders>
            <w:vAlign w:val="center"/>
          </w:tcPr>
          <w:p w14:paraId="04CA6A05">
            <w:pPr>
              <w:pStyle w:val="16"/>
              <w:spacing w:before="120" w:after="120" w:line="380" w:lineRule="exact"/>
              <w:jc w:val="center"/>
              <w:rPr>
                <w:rFonts w:hAnsi="宋体" w:cs="宋体"/>
                <w:b/>
                <w:bCs/>
                <w:color w:val="auto"/>
                <w:highlight w:val="none"/>
              </w:rPr>
            </w:pPr>
            <w:r>
              <w:rPr>
                <w:rFonts w:hint="eastAsia" w:hAnsi="宋体" w:cs="宋体"/>
                <w:bCs/>
                <w:color w:val="auto"/>
                <w:highlight w:val="none"/>
              </w:rPr>
              <w:t>项目名称</w:t>
            </w:r>
          </w:p>
        </w:tc>
        <w:tc>
          <w:tcPr>
            <w:tcW w:w="6741" w:type="dxa"/>
            <w:tcBorders>
              <w:top w:val="single" w:color="auto" w:sz="4" w:space="0"/>
              <w:left w:val="single" w:color="auto" w:sz="4" w:space="0"/>
              <w:bottom w:val="single" w:color="auto" w:sz="4" w:space="0"/>
            </w:tcBorders>
            <w:vAlign w:val="center"/>
          </w:tcPr>
          <w:p w14:paraId="69C78453">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lang w:eastAsia="zh-CN"/>
              </w:rPr>
            </w:pPr>
            <w:r>
              <w:rPr>
                <w:rFonts w:hint="eastAsia" w:hAnsi="宋体" w:cs="宋体"/>
                <w:bCs/>
                <w:color w:val="auto"/>
                <w:highlight w:val="none"/>
                <w:lang w:eastAsia="zh-CN"/>
              </w:rPr>
              <w:t>柯城区城区区域安防设备补盲一期租赁服务项目</w:t>
            </w:r>
          </w:p>
        </w:tc>
      </w:tr>
      <w:tr w14:paraId="24EB6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21" w:type="dxa"/>
            <w:tcBorders>
              <w:top w:val="single" w:color="auto" w:sz="4" w:space="0"/>
              <w:bottom w:val="single" w:color="auto" w:sz="4" w:space="0"/>
              <w:right w:val="single" w:color="auto" w:sz="4" w:space="0"/>
            </w:tcBorders>
            <w:vAlign w:val="center"/>
          </w:tcPr>
          <w:p w14:paraId="4D0C054D">
            <w:pPr>
              <w:jc w:val="center"/>
              <w:rPr>
                <w:rFonts w:ascii="宋体" w:cs="宋体"/>
                <w:color w:val="auto"/>
                <w:sz w:val="21"/>
                <w:szCs w:val="21"/>
                <w:highlight w:val="none"/>
              </w:rPr>
            </w:pPr>
            <w:r>
              <w:rPr>
                <w:rFonts w:ascii="宋体" w:hAnsi="宋体" w:cs="宋体"/>
                <w:color w:val="auto"/>
                <w:sz w:val="21"/>
                <w:szCs w:val="21"/>
                <w:highlight w:val="none"/>
              </w:rPr>
              <w:t>3</w:t>
            </w:r>
          </w:p>
        </w:tc>
        <w:tc>
          <w:tcPr>
            <w:tcW w:w="2657" w:type="dxa"/>
            <w:tcBorders>
              <w:top w:val="single" w:color="auto" w:sz="4" w:space="0"/>
              <w:left w:val="single" w:color="auto" w:sz="4" w:space="0"/>
              <w:bottom w:val="single" w:color="auto" w:sz="4" w:space="0"/>
              <w:right w:val="single" w:color="auto" w:sz="4" w:space="0"/>
            </w:tcBorders>
            <w:vAlign w:val="center"/>
          </w:tcPr>
          <w:p w14:paraId="46D6ECB5">
            <w:pPr>
              <w:pStyle w:val="16"/>
              <w:spacing w:before="120" w:after="120" w:line="380" w:lineRule="exact"/>
              <w:jc w:val="center"/>
              <w:rPr>
                <w:rFonts w:hint="eastAsia" w:hAnsi="宋体" w:cs="宋体"/>
                <w:color w:val="auto"/>
                <w:highlight w:val="none"/>
                <w:lang w:eastAsia="zh-CN"/>
              </w:rPr>
            </w:pPr>
            <w:r>
              <w:rPr>
                <w:rFonts w:hint="eastAsia" w:hAnsi="宋体" w:cs="宋体"/>
                <w:color w:val="auto"/>
                <w:highlight w:val="none"/>
                <w:lang w:eastAsia="zh-CN"/>
              </w:rPr>
              <w:t>采购预算</w:t>
            </w:r>
          </w:p>
        </w:tc>
        <w:tc>
          <w:tcPr>
            <w:tcW w:w="6741" w:type="dxa"/>
            <w:tcBorders>
              <w:top w:val="single" w:color="auto" w:sz="4" w:space="0"/>
              <w:left w:val="single" w:color="auto" w:sz="4" w:space="0"/>
              <w:bottom w:val="single" w:color="auto" w:sz="4" w:space="0"/>
            </w:tcBorders>
            <w:vAlign w:val="center"/>
          </w:tcPr>
          <w:p w14:paraId="1C6FACCB">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lang w:eastAsia="zh-CN"/>
              </w:rPr>
            </w:pPr>
            <w:r>
              <w:rPr>
                <w:rFonts w:hint="eastAsia" w:hAnsi="宋体" w:cs="宋体"/>
                <w:bCs/>
                <w:color w:val="auto"/>
                <w:highlight w:val="none"/>
                <w:lang w:eastAsia="zh-CN"/>
              </w:rPr>
              <w:t>预算金额：</w:t>
            </w:r>
            <w:r>
              <w:rPr>
                <w:rFonts w:hint="eastAsia" w:hAnsi="宋体" w:cs="宋体"/>
                <w:bCs/>
                <w:color w:val="auto"/>
                <w:highlight w:val="none"/>
                <w:lang w:val="en-US" w:eastAsia="zh-CN"/>
              </w:rPr>
              <w:t>12000000</w:t>
            </w:r>
            <w:r>
              <w:rPr>
                <w:rFonts w:hint="eastAsia" w:hAnsi="宋体" w:cs="宋体"/>
                <w:bCs/>
                <w:color w:val="auto"/>
                <w:highlight w:val="none"/>
                <w:lang w:eastAsia="zh-CN"/>
              </w:rPr>
              <w:t>元</w:t>
            </w:r>
            <w:r>
              <w:rPr>
                <w:rFonts w:hint="eastAsia" w:hAnsi="宋体" w:cs="宋体"/>
                <w:bCs/>
                <w:color w:val="auto"/>
                <w:highlight w:val="none"/>
                <w:lang w:val="en-US" w:eastAsia="zh-CN"/>
              </w:rPr>
              <w:t>/</w:t>
            </w:r>
            <w:r>
              <w:rPr>
                <w:rFonts w:hint="eastAsia" w:hAnsi="宋体" w:cs="宋体"/>
                <w:bCs/>
                <w:color w:val="auto"/>
                <w:highlight w:val="none"/>
                <w:lang w:eastAsia="zh-CN"/>
              </w:rPr>
              <w:t>最高限价：10738459</w:t>
            </w:r>
            <w:r>
              <w:rPr>
                <w:rFonts w:hint="eastAsia" w:hAnsi="宋体" w:cs="宋体"/>
                <w:bCs/>
                <w:color w:val="auto"/>
                <w:highlight w:val="none"/>
                <w:lang w:val="en-US" w:eastAsia="zh-CN"/>
              </w:rPr>
              <w:t>元</w:t>
            </w:r>
          </w:p>
        </w:tc>
      </w:tr>
      <w:tr w14:paraId="0B3B6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21" w:type="dxa"/>
            <w:tcBorders>
              <w:top w:val="single" w:color="auto" w:sz="4" w:space="0"/>
              <w:bottom w:val="single" w:color="auto" w:sz="4" w:space="0"/>
              <w:right w:val="single" w:color="auto" w:sz="4" w:space="0"/>
            </w:tcBorders>
            <w:vAlign w:val="center"/>
          </w:tcPr>
          <w:p w14:paraId="5A8D5442">
            <w:pPr>
              <w:jc w:val="center"/>
              <w:rPr>
                <w:rFonts w:ascii="宋体" w:cs="宋体"/>
                <w:color w:val="auto"/>
                <w:sz w:val="21"/>
                <w:szCs w:val="21"/>
                <w:highlight w:val="none"/>
              </w:rPr>
            </w:pPr>
            <w:r>
              <w:rPr>
                <w:rFonts w:ascii="宋体" w:hAnsi="宋体" w:cs="宋体"/>
                <w:color w:val="auto"/>
                <w:sz w:val="21"/>
                <w:szCs w:val="21"/>
                <w:highlight w:val="none"/>
              </w:rPr>
              <w:t>4</w:t>
            </w:r>
          </w:p>
        </w:tc>
        <w:tc>
          <w:tcPr>
            <w:tcW w:w="2657" w:type="dxa"/>
            <w:tcBorders>
              <w:top w:val="single" w:color="auto" w:sz="4" w:space="0"/>
              <w:left w:val="single" w:color="auto" w:sz="4" w:space="0"/>
              <w:bottom w:val="single" w:color="auto" w:sz="4" w:space="0"/>
              <w:right w:val="single" w:color="auto" w:sz="4" w:space="0"/>
            </w:tcBorders>
            <w:vAlign w:val="center"/>
          </w:tcPr>
          <w:p w14:paraId="6489E371">
            <w:pPr>
              <w:jc w:val="center"/>
              <w:rPr>
                <w:rFonts w:ascii="宋体" w:cs="宋体"/>
                <w:b/>
                <w:bCs/>
                <w:color w:val="auto"/>
                <w:sz w:val="24"/>
                <w:highlight w:val="none"/>
              </w:rPr>
            </w:pPr>
            <w:r>
              <w:rPr>
                <w:rFonts w:hint="eastAsia" w:ascii="宋体" w:hAnsi="宋体" w:cs="宋体"/>
                <w:color w:val="auto"/>
                <w:sz w:val="24"/>
                <w:highlight w:val="none"/>
              </w:rPr>
              <w:t>电子加密投标文件</w:t>
            </w:r>
          </w:p>
        </w:tc>
        <w:tc>
          <w:tcPr>
            <w:tcW w:w="6741" w:type="dxa"/>
            <w:tcBorders>
              <w:top w:val="single" w:color="auto" w:sz="4" w:space="0"/>
              <w:left w:val="single" w:color="auto" w:sz="4" w:space="0"/>
              <w:bottom w:val="single" w:color="auto" w:sz="4" w:space="0"/>
            </w:tcBorders>
            <w:vAlign w:val="center"/>
          </w:tcPr>
          <w:p w14:paraId="7715EF5B">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rPr>
            </w:pPr>
            <w:r>
              <w:rPr>
                <w:rFonts w:hint="eastAsia" w:hAnsi="宋体" w:cs="宋体"/>
                <w:bCs/>
                <w:color w:val="auto"/>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14:paraId="4B87C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21" w:type="dxa"/>
            <w:tcBorders>
              <w:top w:val="single" w:color="auto" w:sz="4" w:space="0"/>
              <w:bottom w:val="single" w:color="auto" w:sz="4" w:space="0"/>
              <w:right w:val="single" w:color="auto" w:sz="4" w:space="0"/>
            </w:tcBorders>
            <w:vAlign w:val="center"/>
          </w:tcPr>
          <w:p w14:paraId="14772AC6">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657" w:type="dxa"/>
            <w:tcBorders>
              <w:top w:val="single" w:color="auto" w:sz="4" w:space="0"/>
              <w:left w:val="single" w:color="auto" w:sz="4" w:space="0"/>
              <w:bottom w:val="single" w:color="auto" w:sz="4" w:space="0"/>
              <w:right w:val="single" w:color="auto" w:sz="4" w:space="0"/>
            </w:tcBorders>
            <w:vAlign w:val="center"/>
          </w:tcPr>
          <w:p w14:paraId="774D9708">
            <w:pPr>
              <w:jc w:val="center"/>
              <w:rPr>
                <w:rFonts w:ascii="宋体" w:hAnsi="宋体" w:cs="宋体"/>
                <w:b/>
                <w:bCs/>
                <w:color w:val="auto"/>
                <w:sz w:val="24"/>
                <w:highlight w:val="none"/>
              </w:rPr>
            </w:pPr>
            <w:r>
              <w:rPr>
                <w:rFonts w:hint="eastAsia" w:ascii="宋体" w:hAnsi="宋体" w:cs="宋体"/>
                <w:color w:val="auto"/>
                <w:sz w:val="24"/>
                <w:highlight w:val="none"/>
              </w:rPr>
              <w:t>投标文件的签章</w:t>
            </w:r>
          </w:p>
        </w:tc>
        <w:tc>
          <w:tcPr>
            <w:tcW w:w="6741" w:type="dxa"/>
            <w:tcBorders>
              <w:top w:val="single" w:color="auto" w:sz="4" w:space="0"/>
              <w:left w:val="single" w:color="auto" w:sz="4" w:space="0"/>
              <w:bottom w:val="single" w:color="auto" w:sz="4" w:space="0"/>
            </w:tcBorders>
            <w:vAlign w:val="center"/>
          </w:tcPr>
          <w:p w14:paraId="4F7D9524">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rPr>
            </w:pPr>
            <w:r>
              <w:rPr>
                <w:rFonts w:hint="eastAsia" w:hAnsi="宋体" w:cs="宋体"/>
                <w:bCs/>
                <w:color w:val="auto"/>
                <w:highlight w:val="none"/>
              </w:rPr>
              <w:t>“公章”除特殊说明外系指政采云电子交易客户端（政采云投标客户端）中投标人的电子签章。</w:t>
            </w:r>
          </w:p>
        </w:tc>
      </w:tr>
      <w:tr w14:paraId="5A1B7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4" w:hRule="atLeast"/>
        </w:trPr>
        <w:tc>
          <w:tcPr>
            <w:tcW w:w="721" w:type="dxa"/>
            <w:tcBorders>
              <w:top w:val="single" w:color="auto" w:sz="4" w:space="0"/>
              <w:bottom w:val="single" w:color="auto" w:sz="4" w:space="0"/>
              <w:right w:val="single" w:color="auto" w:sz="4" w:space="0"/>
            </w:tcBorders>
            <w:vAlign w:val="center"/>
          </w:tcPr>
          <w:p w14:paraId="700253D9">
            <w:pPr>
              <w:jc w:val="center"/>
              <w:rPr>
                <w:rFonts w:ascii="宋体" w:cs="宋体"/>
                <w:color w:val="auto"/>
                <w:sz w:val="21"/>
                <w:szCs w:val="21"/>
                <w:highlight w:val="none"/>
              </w:rPr>
            </w:pPr>
            <w:r>
              <w:rPr>
                <w:rFonts w:ascii="宋体" w:hAnsi="宋体" w:cs="宋体"/>
                <w:color w:val="auto"/>
                <w:sz w:val="21"/>
                <w:szCs w:val="21"/>
                <w:highlight w:val="none"/>
              </w:rPr>
              <w:t>6</w:t>
            </w:r>
          </w:p>
        </w:tc>
        <w:tc>
          <w:tcPr>
            <w:tcW w:w="2657" w:type="dxa"/>
            <w:tcBorders>
              <w:top w:val="single" w:color="auto" w:sz="4" w:space="0"/>
              <w:left w:val="single" w:color="auto" w:sz="4" w:space="0"/>
              <w:bottom w:val="single" w:color="auto" w:sz="4" w:space="0"/>
              <w:right w:val="single" w:color="auto" w:sz="4" w:space="0"/>
            </w:tcBorders>
            <w:vAlign w:val="center"/>
          </w:tcPr>
          <w:p w14:paraId="43787A4A">
            <w:pPr>
              <w:jc w:val="center"/>
              <w:rPr>
                <w:rFonts w:ascii="宋体" w:cs="宋体"/>
                <w:color w:val="auto"/>
                <w:sz w:val="24"/>
                <w:highlight w:val="none"/>
              </w:rPr>
            </w:pPr>
            <w:r>
              <w:rPr>
                <w:rFonts w:hint="eastAsia" w:ascii="宋体" w:hAnsi="宋体" w:cs="宋体"/>
                <w:color w:val="auto"/>
                <w:kern w:val="0"/>
                <w:sz w:val="24"/>
                <w:highlight w:val="none"/>
              </w:rPr>
              <w:t>投标费用</w:t>
            </w:r>
          </w:p>
        </w:tc>
        <w:tc>
          <w:tcPr>
            <w:tcW w:w="6741" w:type="dxa"/>
            <w:tcBorders>
              <w:top w:val="single" w:color="auto" w:sz="4" w:space="0"/>
              <w:left w:val="single" w:color="auto" w:sz="4" w:space="0"/>
              <w:bottom w:val="single" w:color="auto" w:sz="4" w:space="0"/>
            </w:tcBorders>
            <w:vAlign w:val="center"/>
          </w:tcPr>
          <w:p w14:paraId="7C9382DA">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lang w:val="en-US" w:eastAsia="zh-CN"/>
              </w:rPr>
            </w:pPr>
            <w:r>
              <w:rPr>
                <w:rFonts w:hint="eastAsia" w:hAnsi="宋体" w:cs="宋体"/>
                <w:bCs/>
                <w:color w:val="auto"/>
                <w:highlight w:val="none"/>
                <w:lang w:val="en-US" w:eastAsia="zh-CN"/>
              </w:rPr>
              <w:t>1.不论投标结果如何，供应商均应自行承担所有与投标有关的全部费用。</w:t>
            </w:r>
          </w:p>
          <w:p w14:paraId="2A4A0EF3">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lang w:val="en-US" w:eastAsia="zh-CN"/>
              </w:rPr>
            </w:pPr>
            <w:r>
              <w:rPr>
                <w:rFonts w:hint="eastAsia" w:hAnsi="宋体" w:cs="宋体"/>
                <w:bCs/>
                <w:color w:val="auto"/>
                <w:highlight w:val="none"/>
                <w:lang w:val="en-US" w:eastAsia="zh-CN"/>
              </w:rPr>
              <w:t>2.本次采购代理服务费按人民币陆万元包干计取。</w:t>
            </w:r>
          </w:p>
          <w:p w14:paraId="6330716C">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lang w:val="en-US" w:eastAsia="zh-CN"/>
              </w:rPr>
            </w:pPr>
            <w:r>
              <w:rPr>
                <w:rFonts w:hint="eastAsia" w:hAnsi="宋体" w:cs="宋体"/>
                <w:bCs/>
                <w:color w:val="auto"/>
                <w:highlight w:val="none"/>
                <w:lang w:val="en-US" w:eastAsia="zh-CN"/>
              </w:rPr>
              <w:t>3.以上费用不在报价中单列，请各供应商在报价时考虑。</w:t>
            </w:r>
          </w:p>
          <w:p w14:paraId="35F8A553">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lang w:eastAsia="zh-CN"/>
              </w:rPr>
            </w:pPr>
            <w:r>
              <w:rPr>
                <w:rFonts w:hint="eastAsia" w:hAnsi="宋体" w:cs="宋体"/>
                <w:bCs/>
                <w:color w:val="auto"/>
                <w:highlight w:val="none"/>
                <w:lang w:val="en-US" w:eastAsia="zh-CN"/>
              </w:rPr>
              <w:t>4.评委费由采购人支付。</w:t>
            </w:r>
          </w:p>
        </w:tc>
      </w:tr>
      <w:tr w14:paraId="41261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6" w:hRule="atLeast"/>
        </w:trPr>
        <w:tc>
          <w:tcPr>
            <w:tcW w:w="721" w:type="dxa"/>
            <w:tcBorders>
              <w:top w:val="single" w:color="auto" w:sz="4" w:space="0"/>
              <w:bottom w:val="single" w:color="auto" w:sz="4" w:space="0"/>
              <w:right w:val="single" w:color="auto" w:sz="4" w:space="0"/>
            </w:tcBorders>
            <w:vAlign w:val="center"/>
          </w:tcPr>
          <w:p w14:paraId="1CB64A90">
            <w:pPr>
              <w:jc w:val="center"/>
              <w:rPr>
                <w:rFonts w:ascii="宋体" w:cs="宋体"/>
                <w:b/>
                <w:bCs/>
                <w:color w:val="auto"/>
                <w:sz w:val="21"/>
                <w:szCs w:val="21"/>
                <w:highlight w:val="none"/>
              </w:rPr>
            </w:pPr>
            <w:r>
              <w:rPr>
                <w:rFonts w:ascii="宋体" w:hAnsi="宋体" w:cs="宋体"/>
                <w:color w:val="auto"/>
                <w:sz w:val="21"/>
                <w:szCs w:val="21"/>
                <w:highlight w:val="none"/>
              </w:rPr>
              <w:t>7</w:t>
            </w:r>
          </w:p>
        </w:tc>
        <w:tc>
          <w:tcPr>
            <w:tcW w:w="2657" w:type="dxa"/>
            <w:tcBorders>
              <w:top w:val="single" w:color="auto" w:sz="4" w:space="0"/>
              <w:left w:val="single" w:color="auto" w:sz="4" w:space="0"/>
              <w:bottom w:val="single" w:color="auto" w:sz="4" w:space="0"/>
              <w:right w:val="single" w:color="auto" w:sz="4" w:space="0"/>
            </w:tcBorders>
            <w:vAlign w:val="center"/>
          </w:tcPr>
          <w:p w14:paraId="0B5275FA">
            <w:pPr>
              <w:pStyle w:val="16"/>
              <w:snapToGrid w:val="0"/>
              <w:spacing w:before="120" w:after="120" w:line="520" w:lineRule="exact"/>
              <w:jc w:val="center"/>
              <w:rPr>
                <w:rFonts w:hAnsi="宋体" w:cs="宋体"/>
                <w:b/>
                <w:bCs/>
                <w:color w:val="auto"/>
                <w:highlight w:val="none"/>
              </w:rPr>
            </w:pPr>
            <w:r>
              <w:rPr>
                <w:rFonts w:hint="eastAsia" w:hAnsi="宋体" w:cs="宋体"/>
                <w:b/>
                <w:bCs/>
                <w:color w:val="auto"/>
                <w:highlight w:val="none"/>
              </w:rPr>
              <w:t>电子投标文件的传输递交</w:t>
            </w:r>
          </w:p>
        </w:tc>
        <w:tc>
          <w:tcPr>
            <w:tcW w:w="6741" w:type="dxa"/>
            <w:tcBorders>
              <w:top w:val="single" w:color="auto" w:sz="4" w:space="0"/>
              <w:left w:val="single" w:color="auto" w:sz="4" w:space="0"/>
              <w:bottom w:val="single" w:color="auto" w:sz="4" w:space="0"/>
            </w:tcBorders>
            <w:vAlign w:val="center"/>
          </w:tcPr>
          <w:p w14:paraId="0BFEDF3D">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Ansi="宋体" w:cs="宋体"/>
                <w:b/>
                <w:bCs/>
                <w:color w:val="auto"/>
                <w:highlight w:val="none"/>
              </w:rPr>
            </w:pPr>
            <w:r>
              <w:rPr>
                <w:rFonts w:hint="eastAsia" w:hAnsi="宋体" w:cs="宋体"/>
                <w:bCs/>
                <w:color w:val="auto"/>
                <w:highlight w:val="none"/>
              </w:rPr>
              <w:t>投标人</w:t>
            </w:r>
            <w:r>
              <w:rPr>
                <w:rFonts w:hint="eastAsia" w:hAnsi="宋体" w:cs="宋体"/>
                <w:color w:val="auto"/>
                <w:highlight w:val="none"/>
              </w:rPr>
              <w:t>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投标截止时间后传输递交的响应文件，将被拒收。</w:t>
            </w:r>
          </w:p>
        </w:tc>
      </w:tr>
      <w:tr w14:paraId="18A85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21" w:type="dxa"/>
            <w:tcBorders>
              <w:top w:val="single" w:color="auto" w:sz="4" w:space="0"/>
              <w:bottom w:val="single" w:color="auto" w:sz="4" w:space="0"/>
              <w:right w:val="single" w:color="auto" w:sz="4" w:space="0"/>
            </w:tcBorders>
            <w:vAlign w:val="center"/>
          </w:tcPr>
          <w:p w14:paraId="3EC7D511">
            <w:pPr>
              <w:jc w:val="center"/>
              <w:rPr>
                <w:rFonts w:ascii="宋体" w:cs="宋体"/>
                <w:b/>
                <w:bCs/>
                <w:color w:val="auto"/>
                <w:sz w:val="21"/>
                <w:szCs w:val="21"/>
                <w:highlight w:val="none"/>
              </w:rPr>
            </w:pPr>
            <w:r>
              <w:rPr>
                <w:rFonts w:ascii="宋体" w:hAnsi="宋体" w:cs="宋体"/>
                <w:color w:val="auto"/>
                <w:sz w:val="21"/>
                <w:szCs w:val="21"/>
                <w:highlight w:val="none"/>
              </w:rPr>
              <w:t>8</w:t>
            </w:r>
          </w:p>
        </w:tc>
        <w:tc>
          <w:tcPr>
            <w:tcW w:w="2657" w:type="dxa"/>
            <w:tcBorders>
              <w:top w:val="single" w:color="auto" w:sz="4" w:space="0"/>
              <w:left w:val="single" w:color="auto" w:sz="4" w:space="0"/>
              <w:bottom w:val="single" w:color="auto" w:sz="4" w:space="0"/>
              <w:right w:val="single" w:color="auto" w:sz="4" w:space="0"/>
            </w:tcBorders>
            <w:vAlign w:val="center"/>
          </w:tcPr>
          <w:p w14:paraId="5B67238E">
            <w:pPr>
              <w:jc w:val="center"/>
              <w:rPr>
                <w:rFonts w:ascii="宋体" w:cs="宋体"/>
                <w:color w:val="auto"/>
                <w:sz w:val="24"/>
                <w:highlight w:val="none"/>
              </w:rPr>
            </w:pPr>
            <w:r>
              <w:rPr>
                <w:rFonts w:hint="eastAsia" w:ascii="宋体" w:hAnsi="宋体" w:cs="宋体"/>
                <w:color w:val="auto"/>
                <w:sz w:val="24"/>
                <w:highlight w:val="none"/>
              </w:rPr>
              <w:t>投标文件份数</w:t>
            </w:r>
          </w:p>
        </w:tc>
        <w:tc>
          <w:tcPr>
            <w:tcW w:w="6741" w:type="dxa"/>
            <w:tcBorders>
              <w:top w:val="single" w:color="auto" w:sz="4" w:space="0"/>
              <w:left w:val="single" w:color="auto" w:sz="4" w:space="0"/>
              <w:bottom w:val="single" w:color="auto" w:sz="4" w:space="0"/>
            </w:tcBorders>
            <w:vAlign w:val="center"/>
          </w:tcPr>
          <w:p w14:paraId="596A2F29">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rPr>
            </w:pPr>
            <w:r>
              <w:rPr>
                <w:rFonts w:hint="eastAsia" w:hAnsi="宋体" w:cs="宋体"/>
                <w:bCs/>
                <w:color w:val="auto"/>
                <w:highlight w:val="none"/>
              </w:rPr>
              <w:t>电子加密投标文件：政府采购云平台在线上传一份；</w:t>
            </w:r>
          </w:p>
          <w:p w14:paraId="008282B7">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rPr>
            </w:pPr>
            <w:r>
              <w:rPr>
                <w:rFonts w:hint="eastAsia" w:hAnsi="宋体" w:cs="宋体"/>
                <w:bCs/>
                <w:color w:val="auto"/>
                <w:highlight w:val="none"/>
              </w:rPr>
              <w:t>备份投标文件：请以压缩保密存储数据电文形式发送一份（接收邮箱：</w:t>
            </w:r>
            <w:r>
              <w:rPr>
                <w:rFonts w:hint="eastAsia" w:hAnsi="宋体" w:cs="宋体"/>
                <w:bCs/>
                <w:color w:val="auto"/>
                <w:highlight w:val="none"/>
                <w:lang w:eastAsia="zh-CN"/>
              </w:rPr>
              <w:t>646289109</w:t>
            </w:r>
            <w:r>
              <w:rPr>
                <w:rFonts w:hint="eastAsia" w:hAnsi="宋体" w:cs="宋体"/>
                <w:bCs/>
                <w:color w:val="auto"/>
                <w:highlight w:val="none"/>
              </w:rPr>
              <w:t>@qq.com）。</w:t>
            </w:r>
          </w:p>
        </w:tc>
      </w:tr>
      <w:tr w14:paraId="5A577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1" w:hRule="atLeast"/>
        </w:trPr>
        <w:tc>
          <w:tcPr>
            <w:tcW w:w="721" w:type="dxa"/>
            <w:tcBorders>
              <w:top w:val="single" w:color="auto" w:sz="4" w:space="0"/>
              <w:bottom w:val="single" w:color="auto" w:sz="4" w:space="0"/>
              <w:right w:val="single" w:color="auto" w:sz="4" w:space="0"/>
            </w:tcBorders>
            <w:vAlign w:val="center"/>
          </w:tcPr>
          <w:p w14:paraId="77B7883A">
            <w:pPr>
              <w:jc w:val="center"/>
              <w:rPr>
                <w:rFonts w:ascii="宋体" w:cs="宋体"/>
                <w:color w:val="auto"/>
                <w:sz w:val="21"/>
                <w:szCs w:val="21"/>
                <w:highlight w:val="none"/>
              </w:rPr>
            </w:pPr>
            <w:r>
              <w:rPr>
                <w:rFonts w:ascii="宋体" w:hAnsi="宋体" w:cs="宋体"/>
                <w:color w:val="auto"/>
                <w:sz w:val="21"/>
                <w:szCs w:val="21"/>
                <w:highlight w:val="none"/>
              </w:rPr>
              <w:t>9</w:t>
            </w:r>
          </w:p>
        </w:tc>
        <w:tc>
          <w:tcPr>
            <w:tcW w:w="2657" w:type="dxa"/>
            <w:tcBorders>
              <w:top w:val="single" w:color="auto" w:sz="4" w:space="0"/>
              <w:left w:val="single" w:color="auto" w:sz="4" w:space="0"/>
              <w:bottom w:val="single" w:color="auto" w:sz="4" w:space="0"/>
              <w:right w:val="single" w:color="auto" w:sz="4" w:space="0"/>
            </w:tcBorders>
            <w:vAlign w:val="center"/>
          </w:tcPr>
          <w:p w14:paraId="574BBD8F">
            <w:pPr>
              <w:pStyle w:val="16"/>
              <w:snapToGrid w:val="0"/>
              <w:spacing w:before="120" w:after="120" w:line="520" w:lineRule="exact"/>
              <w:jc w:val="center"/>
              <w:rPr>
                <w:rFonts w:hAnsi="宋体" w:cs="宋体"/>
                <w:b/>
                <w:bCs/>
                <w:color w:val="auto"/>
                <w:highlight w:val="none"/>
              </w:rPr>
            </w:pPr>
            <w:r>
              <w:rPr>
                <w:rFonts w:hint="eastAsia" w:hAnsi="宋体" w:cs="宋体"/>
                <w:b/>
                <w:bCs/>
                <w:color w:val="auto"/>
                <w:highlight w:val="none"/>
              </w:rPr>
              <w:t>投标文件形式、制作及组成</w:t>
            </w:r>
          </w:p>
        </w:tc>
        <w:tc>
          <w:tcPr>
            <w:tcW w:w="6741" w:type="dxa"/>
            <w:tcBorders>
              <w:top w:val="single" w:color="auto" w:sz="4" w:space="0"/>
              <w:left w:val="single" w:color="auto" w:sz="4" w:space="0"/>
              <w:bottom w:val="single" w:color="auto" w:sz="4" w:space="0"/>
            </w:tcBorders>
            <w:vAlign w:val="center"/>
          </w:tcPr>
          <w:p w14:paraId="6E81A5A5">
            <w:pPr>
              <w:keepNext w:val="0"/>
              <w:keepLines w:val="0"/>
              <w:pageBreakBefore w:val="0"/>
              <w:widowControl w:val="0"/>
              <w:kinsoku/>
              <w:wordWrap w:val="0"/>
              <w:overflowPunct/>
              <w:topLinePunct w:val="0"/>
              <w:autoSpaceDE/>
              <w:autoSpaceDN/>
              <w:bidi w:val="0"/>
              <w:spacing w:line="4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（1）电子投标文件，按政采云平台供应商项目采购-电子招投标操作指南（网址：https://help.zcygov.cn/web/site_2/2018/12-28/2573.html）及本招标文件要求递交。</w:t>
            </w:r>
          </w:p>
          <w:p w14:paraId="0D39AFB6">
            <w:pPr>
              <w:keepNext w:val="0"/>
              <w:keepLines w:val="0"/>
              <w:pageBreakBefore w:val="0"/>
              <w:widowControl w:val="0"/>
              <w:kinsoku/>
              <w:wordWrap w:val="0"/>
              <w:overflowPunct/>
              <w:topLinePunct w:val="0"/>
              <w:autoSpaceDE/>
              <w:autoSpaceDN/>
              <w:bidi w:val="0"/>
              <w:spacing w:line="4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（2）投标文件由资格文件、商务技术文件、报价文件组成。</w:t>
            </w:r>
          </w:p>
        </w:tc>
      </w:tr>
      <w:tr w14:paraId="76A7E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21" w:type="dxa"/>
            <w:tcBorders>
              <w:top w:val="single" w:color="auto" w:sz="4" w:space="0"/>
              <w:bottom w:val="single" w:color="auto" w:sz="4" w:space="0"/>
              <w:right w:val="single" w:color="auto" w:sz="4" w:space="0"/>
            </w:tcBorders>
            <w:vAlign w:val="center"/>
          </w:tcPr>
          <w:p w14:paraId="68E1A04C">
            <w:pPr>
              <w:jc w:val="center"/>
              <w:rPr>
                <w:rFonts w:ascii="宋体" w:cs="宋体"/>
                <w:color w:val="auto"/>
                <w:sz w:val="21"/>
                <w:szCs w:val="21"/>
                <w:highlight w:val="none"/>
              </w:rPr>
            </w:pPr>
            <w:r>
              <w:rPr>
                <w:rFonts w:ascii="宋体" w:hAnsi="宋体" w:cs="宋体"/>
                <w:color w:val="auto"/>
                <w:sz w:val="21"/>
                <w:szCs w:val="21"/>
                <w:highlight w:val="none"/>
              </w:rPr>
              <w:t>10</w:t>
            </w:r>
          </w:p>
        </w:tc>
        <w:tc>
          <w:tcPr>
            <w:tcW w:w="2657" w:type="dxa"/>
            <w:tcBorders>
              <w:top w:val="single" w:color="auto" w:sz="4" w:space="0"/>
              <w:left w:val="single" w:color="auto" w:sz="4" w:space="0"/>
              <w:bottom w:val="single" w:color="auto" w:sz="4" w:space="0"/>
              <w:right w:val="single" w:color="auto" w:sz="4" w:space="0"/>
            </w:tcBorders>
            <w:vAlign w:val="center"/>
          </w:tcPr>
          <w:p w14:paraId="4C89629E">
            <w:pPr>
              <w:pStyle w:val="16"/>
              <w:spacing w:before="120" w:after="120" w:line="380" w:lineRule="exact"/>
              <w:jc w:val="center"/>
              <w:rPr>
                <w:rFonts w:hAnsi="宋体" w:cs="宋体"/>
                <w:color w:val="auto"/>
                <w:highlight w:val="none"/>
              </w:rPr>
            </w:pPr>
            <w:r>
              <w:rPr>
                <w:rFonts w:hint="eastAsia" w:hAnsi="宋体" w:cs="宋体"/>
                <w:bCs/>
                <w:color w:val="auto"/>
                <w:highlight w:val="none"/>
              </w:rPr>
              <w:t>联合体投标</w:t>
            </w:r>
          </w:p>
        </w:tc>
        <w:tc>
          <w:tcPr>
            <w:tcW w:w="6741" w:type="dxa"/>
            <w:tcBorders>
              <w:top w:val="single" w:color="auto" w:sz="4" w:space="0"/>
              <w:left w:val="single" w:color="auto" w:sz="4" w:space="0"/>
              <w:bottom w:val="single" w:color="auto" w:sz="4" w:space="0"/>
            </w:tcBorders>
            <w:vAlign w:val="center"/>
          </w:tcPr>
          <w:p w14:paraId="7DEF1926">
            <w:pPr>
              <w:pStyle w:val="16"/>
              <w:keepNext w:val="0"/>
              <w:keepLines w:val="0"/>
              <w:pageBreakBefore w:val="0"/>
              <w:widowControl w:val="0"/>
              <w:kinsoku/>
              <w:overflowPunct/>
              <w:topLinePunct w:val="0"/>
              <w:autoSpaceDE/>
              <w:autoSpaceDN/>
              <w:bidi w:val="0"/>
              <w:spacing w:before="120" w:after="120" w:line="400" w:lineRule="exact"/>
              <w:textAlignment w:val="auto"/>
              <w:rPr>
                <w:rFonts w:hAnsi="宋体" w:cs="宋体"/>
                <w:color w:val="auto"/>
                <w:highlight w:val="none"/>
              </w:rPr>
            </w:pPr>
            <w:r>
              <w:rPr>
                <w:rFonts w:hint="eastAsia" w:hAnsi="宋体" w:cs="宋体"/>
                <w:bCs/>
                <w:color w:val="auto"/>
                <w:highlight w:val="none"/>
              </w:rPr>
              <w:t>本项目谢绝联合体投标</w:t>
            </w:r>
          </w:p>
        </w:tc>
      </w:tr>
      <w:tr w14:paraId="41272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7" w:hRule="atLeast"/>
        </w:trPr>
        <w:tc>
          <w:tcPr>
            <w:tcW w:w="721" w:type="dxa"/>
            <w:tcBorders>
              <w:top w:val="single" w:color="auto" w:sz="4" w:space="0"/>
              <w:bottom w:val="single" w:color="auto" w:sz="4" w:space="0"/>
              <w:right w:val="single" w:color="auto" w:sz="4" w:space="0"/>
            </w:tcBorders>
            <w:vAlign w:val="center"/>
          </w:tcPr>
          <w:p w14:paraId="3FE30826">
            <w:pPr>
              <w:jc w:val="center"/>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11</w:t>
            </w:r>
          </w:p>
        </w:tc>
        <w:tc>
          <w:tcPr>
            <w:tcW w:w="2657" w:type="dxa"/>
            <w:tcBorders>
              <w:top w:val="single" w:color="auto" w:sz="4" w:space="0"/>
              <w:left w:val="single" w:color="auto" w:sz="4" w:space="0"/>
              <w:bottom w:val="single" w:color="auto" w:sz="4" w:space="0"/>
              <w:right w:val="single" w:color="auto" w:sz="4" w:space="0"/>
            </w:tcBorders>
            <w:vAlign w:val="center"/>
          </w:tcPr>
          <w:p w14:paraId="6B8F63EB">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bCs/>
                <w:color w:val="auto"/>
                <w:spacing w:val="0"/>
                <w:kern w:val="2"/>
                <w:sz w:val="22"/>
                <w:szCs w:val="22"/>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落实政府采购支持中小企业、监狱企业及残疾人福利性单位发展政策</w:t>
            </w:r>
          </w:p>
        </w:tc>
        <w:tc>
          <w:tcPr>
            <w:tcW w:w="6741" w:type="dxa"/>
            <w:tcBorders>
              <w:top w:val="single" w:color="auto" w:sz="4" w:space="0"/>
              <w:left w:val="single" w:color="auto" w:sz="4" w:space="0"/>
              <w:bottom w:val="single" w:color="auto" w:sz="4" w:space="0"/>
            </w:tcBorders>
            <w:vAlign w:val="center"/>
          </w:tcPr>
          <w:p w14:paraId="7D1760FE">
            <w:pPr>
              <w:keepNext w:val="0"/>
              <w:keepLines w:val="0"/>
              <w:pageBreakBefore w:val="0"/>
              <w:widowControl w:val="0"/>
              <w:kinsoku/>
              <w:overflowPunct/>
              <w:topLinePunct w:val="0"/>
              <w:autoSpaceDE/>
              <w:autoSpaceDN/>
              <w:bidi w:val="0"/>
              <w:spacing w:line="40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 xml:space="preserve"> 专门面向中小企业采购项目</w:t>
            </w:r>
          </w:p>
          <w:p w14:paraId="6412A0ED">
            <w:pPr>
              <w:keepNext w:val="0"/>
              <w:keepLines w:val="0"/>
              <w:pageBreakBefore w:val="0"/>
              <w:widowControl w:val="0"/>
              <w:kinsoku/>
              <w:overflowPunct/>
              <w:topLinePunct w:val="0"/>
              <w:autoSpaceDE/>
              <w:autoSpaceDN/>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eq \o\ac(□</w:instrText>
            </w:r>
            <w:r>
              <w:rPr>
                <w:rFonts w:hint="eastAsia" w:ascii="宋体" w:hAnsi="宋体" w:eastAsia="宋体" w:cs="宋体"/>
                <w:b/>
                <w:bCs/>
                <w:color w:val="auto"/>
                <w:sz w:val="24"/>
                <w:highlight w:val="none"/>
                <w:lang w:eastAsia="zh-CN"/>
              </w:rPr>
              <w:instrText xml:space="preserve">,√</w:instrText>
            </w:r>
            <w:r>
              <w:rPr>
                <w:rFonts w:hint="eastAsia" w:ascii="宋体" w:hAnsi="宋体" w:eastAsia="宋体" w:cs="宋体"/>
                <w:b/>
                <w:bCs/>
                <w:color w:val="auto"/>
                <w:sz w:val="24"/>
                <w:highlight w:val="none"/>
              </w:rPr>
              <w:instrText xml:space="preserve">)</w:instrTex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 xml:space="preserve"> 非专门面向中小企业采购项目。</w:t>
            </w:r>
          </w:p>
          <w:p w14:paraId="476CA880">
            <w:pPr>
              <w:keepNext w:val="0"/>
              <w:keepLines w:val="0"/>
              <w:pageBreakBefore w:val="0"/>
              <w:widowControl w:val="0"/>
              <w:kinsoku/>
              <w:overflowPunct/>
              <w:topLinePunct w:val="0"/>
              <w:autoSpaceDE/>
              <w:autoSpaceDN/>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中小微企业划分标准依据《关于印发中小企业划型标准规定的通知》（工信部联企业[2011]300号）、国家统计局关于印发《统计上大中小微型企业划分办法（2017）》的通知（国统字〔2017〕213号）规定。</w:t>
            </w:r>
          </w:p>
          <w:p w14:paraId="42366141">
            <w:pPr>
              <w:keepNext w:val="0"/>
              <w:keepLines w:val="0"/>
              <w:pageBreakBefore w:val="0"/>
              <w:widowControl w:val="0"/>
              <w:kinsoku/>
              <w:overflowPunct/>
              <w:topLinePunct w:val="0"/>
              <w:autoSpaceDE/>
              <w:autoSpaceDN/>
              <w:bidi w:val="0"/>
              <w:spacing w:line="400" w:lineRule="exact"/>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4"/>
                <w:highlight w:val="none"/>
                <w:lang w:eastAsia="zh-Hans"/>
              </w:rPr>
              <w:t>根据工信部联企业[2011]300号文</w:t>
            </w:r>
            <w:r>
              <w:rPr>
                <w:rFonts w:hint="eastAsia" w:ascii="宋体" w:hAnsi="宋体" w:cs="宋体"/>
                <w:color w:val="auto"/>
                <w:sz w:val="24"/>
                <w:highlight w:val="none"/>
                <w:lang w:val="en-US" w:eastAsia="zh-CN"/>
              </w:rPr>
              <w:t>和本项目属性</w:t>
            </w:r>
            <w:r>
              <w:rPr>
                <w:rFonts w:hint="eastAsia" w:ascii="宋体" w:hAnsi="宋体" w:eastAsia="宋体" w:cs="宋体"/>
                <w:color w:val="auto"/>
                <w:sz w:val="24"/>
                <w:highlight w:val="none"/>
                <w:lang w:eastAsia="zh-Hans"/>
              </w:rPr>
              <w:t>，本项目为</w:t>
            </w:r>
            <w:r>
              <w:rPr>
                <w:rFonts w:hint="eastAsia" w:ascii="宋体" w:hAnsi="宋体" w:eastAsia="宋体" w:cs="宋体"/>
                <w:b/>
                <w:bCs/>
                <w:color w:val="auto"/>
                <w:sz w:val="24"/>
                <w:highlight w:val="none"/>
                <w:u w:val="single"/>
                <w:lang w:val="en-US" w:eastAsia="zh-Hans"/>
              </w:rPr>
              <w:t>租赁和商务服务业</w:t>
            </w:r>
            <w:r>
              <w:rPr>
                <w:rFonts w:hint="eastAsia" w:ascii="宋体" w:hAnsi="宋体" w:eastAsia="宋体" w:cs="宋体"/>
                <w:b/>
                <w:bCs/>
                <w:color w:val="auto"/>
                <w:sz w:val="24"/>
                <w:highlight w:val="none"/>
                <w:lang w:eastAsia="zh-CN"/>
              </w:rPr>
              <w:t>。</w:t>
            </w:r>
          </w:p>
        </w:tc>
      </w:tr>
      <w:tr w14:paraId="3730D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721" w:type="dxa"/>
            <w:tcBorders>
              <w:top w:val="single" w:color="auto" w:sz="4" w:space="0"/>
              <w:bottom w:val="single" w:color="auto" w:sz="4" w:space="0"/>
              <w:right w:val="single" w:color="auto" w:sz="4" w:space="0"/>
            </w:tcBorders>
            <w:vAlign w:val="center"/>
          </w:tcPr>
          <w:p w14:paraId="0B36F224">
            <w:pPr>
              <w:jc w:val="center"/>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12</w:t>
            </w:r>
          </w:p>
        </w:tc>
        <w:tc>
          <w:tcPr>
            <w:tcW w:w="2657" w:type="dxa"/>
            <w:tcBorders>
              <w:top w:val="single" w:color="auto" w:sz="4" w:space="0"/>
              <w:left w:val="single" w:color="auto" w:sz="4" w:space="0"/>
              <w:bottom w:val="single" w:color="auto" w:sz="4" w:space="0"/>
              <w:right w:val="single" w:color="auto" w:sz="4" w:space="0"/>
            </w:tcBorders>
            <w:vAlign w:val="center"/>
          </w:tcPr>
          <w:p w14:paraId="7A5BC6B0">
            <w:pPr>
              <w:pStyle w:val="16"/>
              <w:spacing w:before="120" w:after="120" w:line="288" w:lineRule="auto"/>
              <w:jc w:val="center"/>
              <w:rPr>
                <w:rFonts w:hint="eastAsia" w:ascii="宋体" w:hAnsi="宋体" w:eastAsia="宋体" w:cs="宋体"/>
                <w:b/>
                <w:bCs/>
                <w:color w:val="auto"/>
                <w:kern w:val="2"/>
                <w:sz w:val="22"/>
                <w:szCs w:val="22"/>
                <w:highlight w:val="none"/>
                <w:lang w:val="en-US" w:eastAsia="zh-CN" w:bidi="ar"/>
              </w:rPr>
            </w:pPr>
            <w:r>
              <w:rPr>
                <w:rFonts w:hint="eastAsia" w:hAnsi="宋体" w:cs="宋体"/>
                <w:bCs/>
                <w:color w:val="auto"/>
                <w:highlight w:val="none"/>
              </w:rPr>
              <w:t>联合体投标</w:t>
            </w:r>
          </w:p>
        </w:tc>
        <w:tc>
          <w:tcPr>
            <w:tcW w:w="6741" w:type="dxa"/>
            <w:tcBorders>
              <w:top w:val="single" w:color="auto" w:sz="4" w:space="0"/>
              <w:left w:val="single" w:color="auto" w:sz="4" w:space="0"/>
              <w:bottom w:val="single" w:color="auto" w:sz="4" w:space="0"/>
            </w:tcBorders>
            <w:vAlign w:val="center"/>
          </w:tcPr>
          <w:p w14:paraId="53C8B1AC">
            <w:pPr>
              <w:pStyle w:val="16"/>
              <w:keepNext w:val="0"/>
              <w:keepLines w:val="0"/>
              <w:pageBreakBefore w:val="0"/>
              <w:widowControl w:val="0"/>
              <w:kinsoku/>
              <w:overflowPunct/>
              <w:topLinePunct w:val="0"/>
              <w:autoSpaceDE/>
              <w:autoSpaceDN/>
              <w:bidi w:val="0"/>
              <w:spacing w:before="120" w:after="120" w:line="400" w:lineRule="exact"/>
              <w:textAlignment w:val="auto"/>
              <w:rPr>
                <w:rFonts w:hint="eastAsia" w:ascii="宋体" w:hAnsi="宋体" w:eastAsia="宋体" w:cs="宋体"/>
                <w:b/>
                <w:bCs/>
                <w:color w:val="auto"/>
                <w:kern w:val="2"/>
                <w:sz w:val="22"/>
                <w:szCs w:val="22"/>
                <w:highlight w:val="none"/>
                <w:lang w:val="en-US" w:eastAsia="zh-CN" w:bidi="ar-SA"/>
              </w:rPr>
            </w:pPr>
            <w:r>
              <w:rPr>
                <w:rFonts w:hint="eastAsia" w:hAnsi="宋体" w:cs="宋体"/>
                <w:bCs/>
                <w:color w:val="auto"/>
                <w:highlight w:val="none"/>
              </w:rPr>
              <w:t>本项目谢绝联合体投标</w:t>
            </w:r>
          </w:p>
        </w:tc>
      </w:tr>
      <w:tr w14:paraId="3B80A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21" w:type="dxa"/>
            <w:tcBorders>
              <w:top w:val="single" w:color="auto" w:sz="4" w:space="0"/>
              <w:bottom w:val="single" w:color="auto" w:sz="4" w:space="0"/>
              <w:right w:val="single" w:color="auto" w:sz="4" w:space="0"/>
            </w:tcBorders>
            <w:vAlign w:val="center"/>
          </w:tcPr>
          <w:p w14:paraId="69BBD718">
            <w:pPr>
              <w:jc w:val="center"/>
              <w:rPr>
                <w:rFonts w:hint="eastAsia" w:ascii="宋体" w:hAnsi="Calibri" w:eastAsia="宋体" w:cs="宋体"/>
                <w:color w:val="auto"/>
                <w:kern w:val="2"/>
                <w:sz w:val="21"/>
                <w:szCs w:val="21"/>
                <w:highlight w:val="none"/>
                <w:lang w:val="en-US" w:eastAsia="zh-CN" w:bidi="ar-SA"/>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2657" w:type="dxa"/>
            <w:tcBorders>
              <w:top w:val="single" w:color="auto" w:sz="4" w:space="0"/>
              <w:left w:val="single" w:color="auto" w:sz="4" w:space="0"/>
              <w:bottom w:val="single" w:color="auto" w:sz="4" w:space="0"/>
              <w:right w:val="single" w:color="auto" w:sz="4" w:space="0"/>
            </w:tcBorders>
            <w:vAlign w:val="center"/>
          </w:tcPr>
          <w:p w14:paraId="218B703B">
            <w:pPr>
              <w:jc w:val="center"/>
              <w:rPr>
                <w:rFonts w:ascii="宋体" w:hAnsi="Calibri"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w:t>
            </w:r>
          </w:p>
        </w:tc>
        <w:tc>
          <w:tcPr>
            <w:tcW w:w="6741" w:type="dxa"/>
            <w:tcBorders>
              <w:top w:val="single" w:color="auto" w:sz="4" w:space="0"/>
              <w:left w:val="single" w:color="auto" w:sz="4" w:space="0"/>
              <w:bottom w:val="single" w:color="auto" w:sz="4" w:space="0"/>
            </w:tcBorders>
            <w:vAlign w:val="center"/>
          </w:tcPr>
          <w:p w14:paraId="5D9633E0">
            <w:pPr>
              <w:keepNext w:val="0"/>
              <w:keepLines w:val="0"/>
              <w:pageBreakBefore w:val="0"/>
              <w:widowControl w:val="0"/>
              <w:kinsoku/>
              <w:overflowPunct/>
              <w:topLinePunct w:val="0"/>
              <w:autoSpaceDE/>
              <w:autoSpaceDN/>
              <w:bidi w:val="0"/>
              <w:spacing w:line="400" w:lineRule="exact"/>
              <w:textAlignment w:val="auto"/>
              <w:rPr>
                <w:rFonts w:ascii="宋体" w:hAnsi="Calibri" w:eastAsia="宋体" w:cs="宋体"/>
                <w:color w:val="auto"/>
                <w:kern w:val="2"/>
                <w:sz w:val="24"/>
                <w:szCs w:val="24"/>
                <w:highlight w:val="none"/>
                <w:lang w:val="en-US" w:eastAsia="zh-CN" w:bidi="ar-SA"/>
              </w:rPr>
            </w:pPr>
            <w:r>
              <w:rPr>
                <w:rFonts w:hint="eastAsia" w:ascii="宋体" w:hAnsi="宋体" w:cs="宋体"/>
                <w:color w:val="auto"/>
                <w:sz w:val="24"/>
                <w:highlight w:val="none"/>
              </w:rPr>
              <w:t>从提交投标文件的截止之日起</w:t>
            </w:r>
            <w:r>
              <w:rPr>
                <w:rFonts w:ascii="宋体" w:hAnsi="宋体" w:cs="宋体"/>
                <w:color w:val="auto"/>
                <w:sz w:val="24"/>
                <w:highlight w:val="none"/>
              </w:rPr>
              <w:t>90</w:t>
            </w:r>
            <w:r>
              <w:rPr>
                <w:rFonts w:hint="eastAsia" w:ascii="宋体" w:hAnsi="宋体" w:cs="宋体"/>
                <w:color w:val="auto"/>
                <w:sz w:val="24"/>
                <w:highlight w:val="none"/>
              </w:rPr>
              <w:t>天。</w:t>
            </w:r>
          </w:p>
        </w:tc>
      </w:tr>
      <w:tr w14:paraId="36D76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21" w:type="dxa"/>
            <w:tcBorders>
              <w:top w:val="single" w:color="auto" w:sz="4" w:space="0"/>
              <w:bottom w:val="single" w:color="auto" w:sz="4" w:space="0"/>
              <w:right w:val="single" w:color="auto" w:sz="4" w:space="0"/>
            </w:tcBorders>
            <w:vAlign w:val="center"/>
          </w:tcPr>
          <w:p w14:paraId="0C54DC66">
            <w:pPr>
              <w:jc w:val="center"/>
              <w:rPr>
                <w:rFonts w:hint="eastAsia" w:ascii="宋体" w:hAnsi="Calibri" w:eastAsia="宋体" w:cs="宋体"/>
                <w:color w:val="auto"/>
                <w:kern w:val="2"/>
                <w:sz w:val="21"/>
                <w:szCs w:val="21"/>
                <w:highlight w:val="none"/>
                <w:lang w:val="en-US" w:eastAsia="zh-CN" w:bidi="ar-SA"/>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p>
        </w:tc>
        <w:tc>
          <w:tcPr>
            <w:tcW w:w="2657" w:type="dxa"/>
            <w:tcBorders>
              <w:top w:val="single" w:color="auto" w:sz="4" w:space="0"/>
              <w:left w:val="single" w:color="auto" w:sz="4" w:space="0"/>
              <w:bottom w:val="single" w:color="auto" w:sz="4" w:space="0"/>
              <w:right w:val="single" w:color="auto" w:sz="4" w:space="0"/>
            </w:tcBorders>
            <w:vAlign w:val="center"/>
          </w:tcPr>
          <w:p w14:paraId="4AAE06AC">
            <w:pPr>
              <w:jc w:val="center"/>
              <w:rPr>
                <w:rFonts w:ascii="宋体" w:hAnsi="Calibri" w:eastAsia="宋体" w:cs="宋体"/>
                <w:color w:val="auto"/>
                <w:kern w:val="2"/>
                <w:sz w:val="24"/>
                <w:szCs w:val="24"/>
                <w:highlight w:val="none"/>
                <w:lang w:val="en-US" w:eastAsia="zh-CN" w:bidi="ar-SA"/>
              </w:rPr>
            </w:pPr>
            <w:r>
              <w:rPr>
                <w:rFonts w:hint="eastAsia" w:ascii="宋体" w:hAnsi="宋体" w:cs="宋体"/>
                <w:color w:val="auto"/>
                <w:sz w:val="24"/>
                <w:highlight w:val="none"/>
              </w:rPr>
              <w:t>评标办法及评分标准</w:t>
            </w:r>
          </w:p>
        </w:tc>
        <w:tc>
          <w:tcPr>
            <w:tcW w:w="6741" w:type="dxa"/>
            <w:tcBorders>
              <w:top w:val="single" w:color="auto" w:sz="4" w:space="0"/>
              <w:left w:val="single" w:color="auto" w:sz="4" w:space="0"/>
              <w:bottom w:val="single" w:color="auto" w:sz="4" w:space="0"/>
            </w:tcBorders>
            <w:vAlign w:val="center"/>
          </w:tcPr>
          <w:p w14:paraId="248D336A">
            <w:pPr>
              <w:keepNext w:val="0"/>
              <w:keepLines w:val="0"/>
              <w:pageBreakBefore w:val="0"/>
              <w:widowControl w:val="0"/>
              <w:kinsoku/>
              <w:overflowPunct/>
              <w:topLinePunct w:val="0"/>
              <w:autoSpaceDE/>
              <w:autoSpaceDN/>
              <w:bidi w:val="0"/>
              <w:spacing w:line="400" w:lineRule="exact"/>
              <w:textAlignment w:val="auto"/>
              <w:rPr>
                <w:rFonts w:ascii="宋体" w:hAnsi="Calibri" w:eastAsia="宋体" w:cs="宋体"/>
                <w:color w:val="auto"/>
                <w:kern w:val="2"/>
                <w:sz w:val="24"/>
                <w:szCs w:val="24"/>
                <w:highlight w:val="none"/>
                <w:lang w:val="en-US" w:eastAsia="zh-CN" w:bidi="ar-SA"/>
              </w:rPr>
            </w:pPr>
            <w:r>
              <w:rPr>
                <w:rFonts w:hint="eastAsia" w:ascii="宋体" w:hAnsi="宋体" w:cs="宋体"/>
                <w:color w:val="auto"/>
                <w:sz w:val="24"/>
                <w:highlight w:val="none"/>
              </w:rPr>
              <w:t>详见第五章《评标办法及评分标准》。</w:t>
            </w:r>
          </w:p>
        </w:tc>
      </w:tr>
      <w:tr w14:paraId="55FE9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721" w:type="dxa"/>
            <w:tcBorders>
              <w:top w:val="single" w:color="auto" w:sz="4" w:space="0"/>
              <w:bottom w:val="single" w:color="auto" w:sz="4" w:space="0"/>
              <w:right w:val="single" w:color="auto" w:sz="4" w:space="0"/>
            </w:tcBorders>
            <w:vAlign w:val="center"/>
          </w:tcPr>
          <w:p w14:paraId="2F6A78B1">
            <w:pPr>
              <w:jc w:val="center"/>
              <w:rPr>
                <w:rFonts w:hint="eastAsia" w:ascii="宋体" w:hAnsi="Calibri" w:eastAsia="宋体" w:cs="宋体"/>
                <w:color w:val="auto"/>
                <w:kern w:val="2"/>
                <w:sz w:val="21"/>
                <w:szCs w:val="21"/>
                <w:highlight w:val="none"/>
                <w:lang w:val="en-US" w:eastAsia="zh-CN" w:bidi="ar-SA"/>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p>
        </w:tc>
        <w:tc>
          <w:tcPr>
            <w:tcW w:w="2657" w:type="dxa"/>
            <w:tcBorders>
              <w:top w:val="single" w:color="auto" w:sz="4" w:space="0"/>
              <w:left w:val="single" w:color="auto" w:sz="4" w:space="0"/>
              <w:bottom w:val="single" w:color="auto" w:sz="4" w:space="0"/>
              <w:right w:val="single" w:color="auto" w:sz="4" w:space="0"/>
            </w:tcBorders>
            <w:vAlign w:val="center"/>
          </w:tcPr>
          <w:p w14:paraId="50AA1C2F">
            <w:pPr>
              <w:pStyle w:val="16"/>
              <w:spacing w:before="120" w:after="120" w:line="380" w:lineRule="exact"/>
              <w:jc w:val="center"/>
              <w:rPr>
                <w:rFonts w:ascii="宋体" w:hAnsi="宋体" w:eastAsia="宋体" w:cs="宋体"/>
                <w:color w:val="auto"/>
                <w:kern w:val="2"/>
                <w:sz w:val="24"/>
                <w:szCs w:val="24"/>
                <w:highlight w:val="none"/>
                <w:lang w:val="en-US" w:eastAsia="zh-CN" w:bidi="ar-SA"/>
              </w:rPr>
            </w:pPr>
            <w:r>
              <w:rPr>
                <w:rFonts w:hint="eastAsia" w:hAnsi="宋体" w:cs="宋体"/>
                <w:bCs/>
                <w:color w:val="auto"/>
                <w:highlight w:val="none"/>
              </w:rPr>
              <w:t>采购公告，更正公告，中标公示发布网址</w:t>
            </w:r>
          </w:p>
        </w:tc>
        <w:tc>
          <w:tcPr>
            <w:tcW w:w="6741" w:type="dxa"/>
            <w:tcBorders>
              <w:top w:val="single" w:color="auto" w:sz="4" w:space="0"/>
              <w:left w:val="single" w:color="auto" w:sz="4" w:space="0"/>
              <w:bottom w:val="single" w:color="auto" w:sz="4" w:space="0"/>
            </w:tcBorders>
            <w:vAlign w:val="center"/>
          </w:tcPr>
          <w:p w14:paraId="6A6BC513">
            <w:pPr>
              <w:pStyle w:val="16"/>
              <w:keepNext w:val="0"/>
              <w:keepLines w:val="0"/>
              <w:pageBreakBefore w:val="0"/>
              <w:widowControl w:val="0"/>
              <w:kinsoku/>
              <w:overflowPunct/>
              <w:topLinePunct w:val="0"/>
              <w:autoSpaceDE/>
              <w:autoSpaceDN/>
              <w:bidi w:val="0"/>
              <w:spacing w:before="120" w:after="120" w:line="400" w:lineRule="exact"/>
              <w:textAlignment w:val="auto"/>
              <w:rPr>
                <w:rFonts w:ascii="宋体" w:hAnsi="宋体" w:eastAsia="宋体" w:cs="宋体"/>
                <w:color w:val="auto"/>
                <w:kern w:val="2"/>
                <w:sz w:val="24"/>
                <w:szCs w:val="24"/>
                <w:highlight w:val="none"/>
                <w:lang w:val="en-US" w:eastAsia="zh-CN" w:bidi="ar-SA"/>
              </w:rPr>
            </w:pPr>
            <w:r>
              <w:rPr>
                <w:rFonts w:hint="eastAsia"/>
                <w:color w:val="auto"/>
                <w:highlight w:val="none"/>
              </w:rPr>
              <w:t>https://zfcg.czt.zj.gov.cn/</w:t>
            </w:r>
            <w:r>
              <w:rPr>
                <w:rFonts w:hint="eastAsia" w:hAnsi="宋体" w:cs="宋体"/>
                <w:color w:val="auto"/>
                <w:highlight w:val="none"/>
              </w:rPr>
              <w:t>（浙江政府采购网）。</w:t>
            </w:r>
          </w:p>
        </w:tc>
      </w:tr>
      <w:tr w14:paraId="2DF48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721" w:type="dxa"/>
            <w:tcBorders>
              <w:top w:val="single" w:color="auto" w:sz="4" w:space="0"/>
              <w:bottom w:val="single" w:color="auto" w:sz="4" w:space="0"/>
              <w:right w:val="single" w:color="auto" w:sz="4" w:space="0"/>
            </w:tcBorders>
            <w:vAlign w:val="center"/>
          </w:tcPr>
          <w:p w14:paraId="4D7087D8">
            <w:pPr>
              <w:jc w:val="center"/>
              <w:rPr>
                <w:rFonts w:hint="eastAsia" w:ascii="宋体" w:hAnsi="Calibri" w:eastAsia="宋体" w:cs="宋体"/>
                <w:color w:val="auto"/>
                <w:kern w:val="2"/>
                <w:sz w:val="21"/>
                <w:szCs w:val="21"/>
                <w:highlight w:val="none"/>
                <w:lang w:val="en-US" w:eastAsia="zh-CN" w:bidi="ar-SA"/>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p>
        </w:tc>
        <w:tc>
          <w:tcPr>
            <w:tcW w:w="2657" w:type="dxa"/>
            <w:tcBorders>
              <w:top w:val="single" w:color="auto" w:sz="4" w:space="0"/>
              <w:left w:val="single" w:color="auto" w:sz="4" w:space="0"/>
              <w:bottom w:val="single" w:color="auto" w:sz="4" w:space="0"/>
              <w:right w:val="single" w:color="auto" w:sz="4" w:space="0"/>
            </w:tcBorders>
            <w:vAlign w:val="center"/>
          </w:tcPr>
          <w:p w14:paraId="503925EC">
            <w:pPr>
              <w:jc w:val="center"/>
              <w:rPr>
                <w:rFonts w:ascii="宋体" w:hAnsi="Calibri" w:eastAsia="宋体" w:cs="宋体"/>
                <w:color w:val="auto"/>
                <w:kern w:val="2"/>
                <w:sz w:val="24"/>
                <w:szCs w:val="24"/>
                <w:highlight w:val="none"/>
                <w:lang w:val="en-US" w:eastAsia="zh-CN" w:bidi="ar-SA"/>
              </w:rPr>
            </w:pPr>
            <w:r>
              <w:rPr>
                <w:rFonts w:hint="eastAsia" w:ascii="宋体" w:hAnsi="宋体" w:cs="宋体"/>
                <w:color w:val="auto"/>
                <w:sz w:val="24"/>
                <w:highlight w:val="none"/>
              </w:rPr>
              <w:t>合同签订</w:t>
            </w:r>
          </w:p>
        </w:tc>
        <w:tc>
          <w:tcPr>
            <w:tcW w:w="6741" w:type="dxa"/>
            <w:tcBorders>
              <w:top w:val="single" w:color="auto" w:sz="4" w:space="0"/>
              <w:left w:val="single" w:color="auto" w:sz="4" w:space="0"/>
              <w:bottom w:val="single" w:color="auto" w:sz="4" w:space="0"/>
            </w:tcBorders>
            <w:vAlign w:val="center"/>
          </w:tcPr>
          <w:p w14:paraId="43CA82B3">
            <w:pPr>
              <w:keepNext w:val="0"/>
              <w:keepLines w:val="0"/>
              <w:pageBreakBefore w:val="0"/>
              <w:widowControl w:val="0"/>
              <w:kinsoku/>
              <w:overflowPunct/>
              <w:topLinePunct w:val="0"/>
              <w:autoSpaceDE/>
              <w:autoSpaceDN/>
              <w:bidi w:val="0"/>
              <w:spacing w:line="400" w:lineRule="exact"/>
              <w:textAlignment w:val="auto"/>
              <w:rPr>
                <w:rFonts w:ascii="宋体" w:hAnsi="Calibri" w:eastAsia="宋体" w:cs="宋体"/>
                <w:color w:val="auto"/>
                <w:kern w:val="2"/>
                <w:sz w:val="24"/>
                <w:szCs w:val="24"/>
                <w:highlight w:val="none"/>
                <w:lang w:val="en-US" w:eastAsia="zh-CN" w:bidi="ar-SA"/>
              </w:rPr>
            </w:pPr>
            <w:r>
              <w:rPr>
                <w:rFonts w:hint="eastAsia" w:ascii="宋体" w:hAnsi="宋体" w:cs="宋体"/>
                <w:color w:val="auto"/>
                <w:sz w:val="24"/>
                <w:highlight w:val="none"/>
              </w:rPr>
              <w:t>中标通知书发出后</w:t>
            </w:r>
            <w:r>
              <w:rPr>
                <w:rFonts w:ascii="宋体" w:hAnsi="宋体" w:cs="宋体"/>
                <w:color w:val="auto"/>
                <w:sz w:val="24"/>
                <w:highlight w:val="none"/>
              </w:rPr>
              <w:t>30</w:t>
            </w:r>
            <w:r>
              <w:rPr>
                <w:rFonts w:hint="eastAsia" w:ascii="宋体" w:hAnsi="宋体" w:cs="宋体"/>
                <w:color w:val="auto"/>
                <w:sz w:val="24"/>
                <w:highlight w:val="none"/>
              </w:rPr>
              <w:t>日内。</w:t>
            </w:r>
          </w:p>
        </w:tc>
      </w:tr>
      <w:tr w14:paraId="52BC7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21" w:type="dxa"/>
            <w:tcBorders>
              <w:top w:val="single" w:color="auto" w:sz="4" w:space="0"/>
              <w:bottom w:val="single" w:color="auto" w:sz="4" w:space="0"/>
              <w:right w:val="single" w:color="auto" w:sz="4" w:space="0"/>
            </w:tcBorders>
            <w:vAlign w:val="center"/>
          </w:tcPr>
          <w:p w14:paraId="684534FA">
            <w:pPr>
              <w:jc w:val="center"/>
              <w:rPr>
                <w:rFonts w:hint="eastAsia" w:ascii="宋体" w:hAnsi="Calibri" w:eastAsia="宋体" w:cs="宋体"/>
                <w:color w:val="auto"/>
                <w:kern w:val="2"/>
                <w:sz w:val="21"/>
                <w:szCs w:val="21"/>
                <w:highlight w:val="none"/>
                <w:lang w:val="en-US" w:eastAsia="zh-CN" w:bidi="ar-SA"/>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p>
        </w:tc>
        <w:tc>
          <w:tcPr>
            <w:tcW w:w="2657" w:type="dxa"/>
            <w:tcBorders>
              <w:top w:val="single" w:color="auto" w:sz="4" w:space="0"/>
              <w:left w:val="single" w:color="auto" w:sz="4" w:space="0"/>
              <w:bottom w:val="single" w:color="auto" w:sz="4" w:space="0"/>
              <w:right w:val="single" w:color="auto" w:sz="4" w:space="0"/>
            </w:tcBorders>
            <w:vAlign w:val="center"/>
          </w:tcPr>
          <w:p w14:paraId="3F188421">
            <w:pPr>
              <w:pStyle w:val="16"/>
              <w:spacing w:before="120" w:after="120" w:line="380" w:lineRule="exact"/>
              <w:jc w:val="center"/>
              <w:rPr>
                <w:rFonts w:hint="eastAsia" w:ascii="宋体" w:hAnsi="宋体" w:eastAsia="宋体" w:cs="宋体"/>
                <w:color w:val="auto"/>
                <w:kern w:val="2"/>
                <w:sz w:val="24"/>
                <w:szCs w:val="24"/>
                <w:highlight w:val="none"/>
                <w:lang w:val="en-US" w:eastAsia="zh-CN" w:bidi="ar-SA"/>
              </w:rPr>
            </w:pPr>
            <w:r>
              <w:rPr>
                <w:rFonts w:hint="eastAsia" w:hAnsi="宋体" w:cs="宋体"/>
                <w:bCs/>
                <w:color w:val="auto"/>
                <w:highlight w:val="none"/>
              </w:rPr>
              <w:t>解释权</w:t>
            </w:r>
          </w:p>
        </w:tc>
        <w:tc>
          <w:tcPr>
            <w:tcW w:w="6741" w:type="dxa"/>
            <w:tcBorders>
              <w:top w:val="single" w:color="auto" w:sz="4" w:space="0"/>
              <w:left w:val="single" w:color="auto" w:sz="4" w:space="0"/>
              <w:bottom w:val="single" w:color="auto" w:sz="4" w:space="0"/>
            </w:tcBorders>
            <w:vAlign w:val="center"/>
          </w:tcPr>
          <w:p w14:paraId="24C03CF9">
            <w:pPr>
              <w:pStyle w:val="16"/>
              <w:keepNext w:val="0"/>
              <w:keepLines w:val="0"/>
              <w:pageBreakBefore w:val="0"/>
              <w:widowControl w:val="0"/>
              <w:kinsoku/>
              <w:overflowPunct/>
              <w:topLinePunct w:val="0"/>
              <w:autoSpaceDE/>
              <w:autoSpaceDN/>
              <w:bidi w:val="0"/>
              <w:spacing w:before="120" w:after="120"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hAnsi="宋体" w:cs="宋体"/>
                <w:bCs/>
                <w:color w:val="auto"/>
                <w:highlight w:val="none"/>
              </w:rPr>
              <w:t>本项目招标文件最终解释权归采购人享有。</w:t>
            </w:r>
          </w:p>
        </w:tc>
      </w:tr>
      <w:tr w14:paraId="601DA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721" w:type="dxa"/>
            <w:tcBorders>
              <w:top w:val="single" w:color="auto" w:sz="4" w:space="0"/>
              <w:bottom w:val="single" w:color="auto" w:sz="4" w:space="0"/>
              <w:right w:val="single" w:color="auto" w:sz="4" w:space="0"/>
            </w:tcBorders>
            <w:vAlign w:val="center"/>
          </w:tcPr>
          <w:p w14:paraId="2E0F396D">
            <w:pPr>
              <w:pStyle w:val="16"/>
              <w:spacing w:before="120" w:after="120" w:line="380" w:lineRule="exact"/>
              <w:jc w:val="center"/>
              <w:rPr>
                <w:rFonts w:hint="eastAsia" w:ascii="宋体" w:hAnsi="宋体" w:eastAsia="宋体" w:cs="宋体"/>
                <w:bCs/>
                <w:color w:val="auto"/>
                <w:kern w:val="2"/>
                <w:sz w:val="24"/>
                <w:szCs w:val="24"/>
                <w:highlight w:val="none"/>
                <w:lang w:val="en-US" w:eastAsia="zh-CN" w:bidi="ar-SA"/>
              </w:rPr>
            </w:pPr>
            <w:r>
              <w:rPr>
                <w:rFonts w:hint="eastAsia" w:hAnsi="宋体" w:cs="宋体"/>
                <w:bCs/>
                <w:color w:val="auto"/>
                <w:highlight w:val="none"/>
              </w:rPr>
              <w:t>1</w:t>
            </w:r>
            <w:r>
              <w:rPr>
                <w:rFonts w:hint="eastAsia" w:hAnsi="宋体" w:cs="宋体"/>
                <w:bCs/>
                <w:color w:val="auto"/>
                <w:highlight w:val="none"/>
                <w:lang w:val="en-US" w:eastAsia="zh-CN"/>
              </w:rPr>
              <w:t>8</w:t>
            </w:r>
          </w:p>
        </w:tc>
        <w:tc>
          <w:tcPr>
            <w:tcW w:w="2657" w:type="dxa"/>
            <w:tcBorders>
              <w:top w:val="single" w:color="auto" w:sz="4" w:space="0"/>
              <w:left w:val="single" w:color="auto" w:sz="4" w:space="0"/>
              <w:bottom w:val="single" w:color="auto" w:sz="4" w:space="0"/>
              <w:right w:val="single" w:color="auto" w:sz="4" w:space="0"/>
            </w:tcBorders>
            <w:vAlign w:val="center"/>
          </w:tcPr>
          <w:p w14:paraId="02213821">
            <w:pPr>
              <w:pStyle w:val="16"/>
              <w:spacing w:before="120" w:after="120" w:line="288" w:lineRule="auto"/>
              <w:jc w:val="center"/>
              <w:rPr>
                <w:rFonts w:hint="eastAsia" w:ascii="宋体" w:hAnsi="宋体" w:eastAsia="宋体" w:cs="宋体"/>
                <w:bCs/>
                <w:color w:val="auto"/>
                <w:kern w:val="2"/>
                <w:sz w:val="24"/>
                <w:szCs w:val="24"/>
                <w:highlight w:val="none"/>
                <w:lang w:val="en-US" w:eastAsia="zh-CN" w:bidi="ar-SA"/>
              </w:rPr>
            </w:pPr>
            <w:r>
              <w:rPr>
                <w:rFonts w:hint="eastAsia" w:hAnsi="宋体" w:cs="宋体"/>
                <w:bCs/>
                <w:color w:val="auto"/>
                <w:highlight w:val="none"/>
              </w:rPr>
              <w:t>其他</w:t>
            </w:r>
          </w:p>
        </w:tc>
        <w:tc>
          <w:tcPr>
            <w:tcW w:w="6741" w:type="dxa"/>
            <w:tcBorders>
              <w:top w:val="single" w:color="auto" w:sz="4" w:space="0"/>
              <w:left w:val="single" w:color="auto" w:sz="4" w:space="0"/>
              <w:bottom w:val="single" w:color="auto" w:sz="4" w:space="0"/>
            </w:tcBorders>
            <w:vAlign w:val="center"/>
          </w:tcPr>
          <w:p w14:paraId="6C1573F1">
            <w:pPr>
              <w:pStyle w:val="16"/>
              <w:keepNext w:val="0"/>
              <w:keepLines w:val="0"/>
              <w:pageBreakBefore w:val="0"/>
              <w:widowControl w:val="0"/>
              <w:kinsoku/>
              <w:overflowPunct/>
              <w:topLinePunct w:val="0"/>
              <w:autoSpaceDE/>
              <w:autoSpaceDN/>
              <w:bidi w:val="0"/>
              <w:spacing w:before="120" w:after="120" w:line="400" w:lineRule="exact"/>
              <w:textAlignment w:val="auto"/>
              <w:rPr>
                <w:rFonts w:hint="eastAsia" w:ascii="宋体" w:hAnsi="宋体" w:eastAsia="宋体" w:cs="宋体"/>
                <w:bCs/>
                <w:color w:val="auto"/>
                <w:kern w:val="2"/>
                <w:sz w:val="24"/>
                <w:szCs w:val="24"/>
                <w:highlight w:val="none"/>
                <w:lang w:val="en-US" w:eastAsia="zh-CN" w:bidi="ar-SA"/>
              </w:rPr>
            </w:pPr>
            <w:r>
              <w:rPr>
                <w:rFonts w:hint="eastAsia" w:hAnsi="宋体" w:cs="宋体"/>
                <w:bCs/>
                <w:color w:val="auto"/>
                <w:highlight w:val="none"/>
              </w:rPr>
              <w:t>预中标候选人放弃中标资格或因质疑、投诉被取消预中标资格或不能履行合同的，采购人可以按照评标委员会提出的中标候选人名单排序依次确定其他中标候选人为中标候选人,也可以重新采购。</w:t>
            </w:r>
          </w:p>
        </w:tc>
      </w:tr>
      <w:tr w14:paraId="5119A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21" w:type="dxa"/>
            <w:tcBorders>
              <w:top w:val="single" w:color="auto" w:sz="4" w:space="0"/>
              <w:bottom w:val="single" w:color="auto" w:sz="4" w:space="0"/>
              <w:right w:val="single" w:color="auto" w:sz="4" w:space="0"/>
            </w:tcBorders>
            <w:vAlign w:val="center"/>
          </w:tcPr>
          <w:p w14:paraId="558CA082">
            <w:pPr>
              <w:pStyle w:val="16"/>
              <w:spacing w:before="120" w:after="120" w:line="380" w:lineRule="exact"/>
              <w:jc w:val="center"/>
              <w:rPr>
                <w:rFonts w:hint="default" w:hAnsi="宋体" w:eastAsia="宋体" w:cs="宋体"/>
                <w:bCs/>
                <w:color w:val="auto"/>
                <w:highlight w:val="none"/>
                <w:lang w:val="en-US" w:eastAsia="zh-CN"/>
              </w:rPr>
            </w:pPr>
            <w:r>
              <w:rPr>
                <w:rFonts w:hint="eastAsia" w:hAnsi="宋体" w:cs="宋体"/>
                <w:bCs/>
                <w:color w:val="auto"/>
                <w:highlight w:val="none"/>
                <w:lang w:val="en-US" w:eastAsia="zh-CN"/>
              </w:rPr>
              <w:t>19</w:t>
            </w:r>
          </w:p>
        </w:tc>
        <w:tc>
          <w:tcPr>
            <w:tcW w:w="2657" w:type="dxa"/>
            <w:tcBorders>
              <w:top w:val="single" w:color="auto" w:sz="4" w:space="0"/>
              <w:left w:val="single" w:color="auto" w:sz="4" w:space="0"/>
              <w:bottom w:val="single" w:color="auto" w:sz="4" w:space="0"/>
              <w:right w:val="single" w:color="auto" w:sz="4" w:space="0"/>
            </w:tcBorders>
            <w:vAlign w:val="center"/>
          </w:tcPr>
          <w:p w14:paraId="1718A540">
            <w:pPr>
              <w:pStyle w:val="16"/>
              <w:spacing w:before="120" w:after="120" w:line="288" w:lineRule="auto"/>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履约保证金的收取及退还</w:t>
            </w:r>
          </w:p>
        </w:tc>
        <w:tc>
          <w:tcPr>
            <w:tcW w:w="6741" w:type="dxa"/>
            <w:tcBorders>
              <w:top w:val="single" w:color="auto" w:sz="4" w:space="0"/>
              <w:left w:val="single" w:color="auto" w:sz="4" w:space="0"/>
              <w:bottom w:val="single" w:color="auto" w:sz="4" w:space="0"/>
            </w:tcBorders>
            <w:vAlign w:val="center"/>
          </w:tcPr>
          <w:p w14:paraId="56156942">
            <w:pPr>
              <w:pStyle w:val="16"/>
              <w:keepNext w:val="0"/>
              <w:keepLines w:val="0"/>
              <w:pageBreakBefore w:val="0"/>
              <w:widowControl w:val="0"/>
              <w:kinsoku/>
              <w:overflowPunct/>
              <w:topLinePunct w:val="0"/>
              <w:autoSpaceDE/>
              <w:autoSpaceDN/>
              <w:bidi w:val="0"/>
              <w:adjustRightInd w:val="0"/>
              <w:snapToGrid w:val="0"/>
              <w:spacing w:before="120" w:after="120" w:line="400" w:lineRule="exact"/>
              <w:textAlignment w:val="auto"/>
              <w:rPr>
                <w:rFonts w:hint="eastAsia" w:hAnsi="宋体" w:cs="宋体"/>
                <w:bCs/>
                <w:color w:val="auto"/>
                <w:highlight w:val="none"/>
                <w:lang w:val="en-US" w:eastAsia="zh-CN"/>
              </w:rPr>
            </w:pPr>
            <w:r>
              <w:rPr>
                <w:rFonts w:hint="eastAsia" w:hAnsi="宋体" w:cs="宋体"/>
                <w:bCs/>
                <w:color w:val="auto"/>
                <w:highlight w:val="none"/>
              </w:rPr>
              <w:t>政府采购货物和服务项目鼓励采购单位免收履约保证金，确需收取履约保证金的，采购人收取不超过政府采购合同总金额1%作为履约保证金。履约期（验收合格）结束后5个工作日内，采购人无息退付履约保证金</w:t>
            </w:r>
            <w:r>
              <w:rPr>
                <w:rFonts w:hint="eastAsia" w:hAnsi="宋体" w:cs="宋体"/>
                <w:bCs/>
                <w:color w:val="auto"/>
                <w:highlight w:val="none"/>
                <w:lang w:val="en-US" w:eastAsia="zh-CN"/>
              </w:rPr>
              <w:t xml:space="preserve"> </w:t>
            </w:r>
            <w:r>
              <w:rPr>
                <w:rFonts w:hint="eastAsia" w:hAnsi="宋体" w:cs="宋体"/>
                <w:bCs/>
                <w:color w:val="auto"/>
                <w:highlight w:val="none"/>
              </w:rPr>
              <w:t>。</w:t>
            </w:r>
          </w:p>
        </w:tc>
      </w:tr>
    </w:tbl>
    <w:p w14:paraId="15ABF3A8">
      <w:pPr>
        <w:spacing w:line="360" w:lineRule="auto"/>
        <w:jc w:val="center"/>
        <w:rPr>
          <w:rFonts w:hAnsi="宋体" w:cs="宋体"/>
          <w:b/>
          <w:color w:val="auto"/>
          <w:spacing w:val="-6"/>
          <w:sz w:val="32"/>
          <w:szCs w:val="32"/>
          <w:highlight w:val="none"/>
        </w:rPr>
      </w:pPr>
      <w:r>
        <w:rPr>
          <w:rFonts w:hAnsi="宋体" w:cs="宋体"/>
          <w:b/>
          <w:color w:val="auto"/>
          <w:spacing w:val="-6"/>
          <w:sz w:val="21"/>
          <w:szCs w:val="21"/>
          <w:highlight w:val="none"/>
        </w:rPr>
        <w:br w:type="page"/>
      </w:r>
      <w:r>
        <w:rPr>
          <w:rFonts w:hint="eastAsia" w:ascii="宋体" w:hAnsi="宋体" w:eastAsia="宋体" w:cs="宋体"/>
          <w:b/>
          <w:bCs/>
          <w:color w:val="auto"/>
          <w:kern w:val="2"/>
          <w:sz w:val="32"/>
          <w:szCs w:val="32"/>
          <w:highlight w:val="none"/>
          <w:lang w:val="en-US" w:eastAsia="zh-Hans" w:bidi="en-US"/>
        </w:rPr>
        <w:t>一、总则</w:t>
      </w:r>
    </w:p>
    <w:p w14:paraId="191CE3D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（一）适用范围</w:t>
      </w:r>
    </w:p>
    <w:p w14:paraId="231895F3">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本招标文件适用于</w:t>
      </w:r>
      <w:r>
        <w:rPr>
          <w:rFonts w:hint="eastAsia" w:ascii="宋体" w:hAnsi="宋体" w:cs="宋体"/>
          <w:color w:val="auto"/>
          <w:sz w:val="24"/>
          <w:highlight w:val="none"/>
          <w:lang w:eastAsia="zh-CN"/>
        </w:rPr>
        <w:t>柯城区城区区域安防设备补盲一期租赁服务项目</w:t>
      </w:r>
      <w:r>
        <w:rPr>
          <w:rFonts w:hint="eastAsia" w:ascii="宋体" w:hAnsi="宋体" w:cs="宋体"/>
          <w:color w:val="auto"/>
          <w:spacing w:val="-6"/>
          <w:sz w:val="24"/>
          <w:highlight w:val="none"/>
        </w:rPr>
        <w:t>的招标、评标、定标、验收、合同履约、付款等（法律、法规另有规定的，从其规定）。</w:t>
      </w:r>
    </w:p>
    <w:p w14:paraId="222E3AC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（二）定义</w:t>
      </w:r>
    </w:p>
    <w:p w14:paraId="3826D6C9">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“采购人”系指</w:t>
      </w:r>
      <w:r>
        <w:rPr>
          <w:rFonts w:hint="eastAsia" w:ascii="宋体" w:hAnsi="宋体" w:cs="宋体"/>
          <w:color w:val="auto"/>
          <w:spacing w:val="-6"/>
          <w:sz w:val="24"/>
          <w:highlight w:val="none"/>
          <w:lang w:eastAsia="zh-CN"/>
        </w:rPr>
        <w:t>衢州市公安局柯城分局</w:t>
      </w:r>
      <w:r>
        <w:rPr>
          <w:rFonts w:hint="eastAsia" w:ascii="宋体" w:hAnsi="宋体" w:cs="宋体"/>
          <w:color w:val="auto"/>
          <w:spacing w:val="-6"/>
          <w:sz w:val="24"/>
          <w:highlight w:val="none"/>
        </w:rPr>
        <w:t>；</w:t>
      </w:r>
    </w:p>
    <w:p w14:paraId="7A16F56D">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2.</w:t>
      </w:r>
      <w:r>
        <w:rPr>
          <w:rFonts w:hint="eastAsia" w:ascii="宋体" w:hAnsi="宋体" w:cs="宋体"/>
          <w:color w:val="auto"/>
          <w:spacing w:val="-6"/>
          <w:sz w:val="24"/>
          <w:highlight w:val="none"/>
        </w:rPr>
        <w:t>“采购代理机构”系指组织本次招标的</w:t>
      </w:r>
      <w:r>
        <w:rPr>
          <w:rFonts w:hint="eastAsia" w:ascii="宋体" w:hAnsi="宋体" w:cs="宋体"/>
          <w:color w:val="auto"/>
          <w:spacing w:val="-6"/>
          <w:sz w:val="24"/>
          <w:highlight w:val="none"/>
          <w:lang w:eastAsia="zh-CN"/>
        </w:rPr>
        <w:t>衢州胜友如云工程咨询有限公司</w:t>
      </w:r>
      <w:r>
        <w:rPr>
          <w:rFonts w:hint="eastAsia" w:ascii="宋体" w:hAnsi="宋体" w:cs="宋体"/>
          <w:color w:val="auto"/>
          <w:spacing w:val="-6"/>
          <w:sz w:val="24"/>
          <w:highlight w:val="none"/>
        </w:rPr>
        <w:t>；</w:t>
      </w:r>
    </w:p>
    <w:p w14:paraId="146A994E">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3.</w:t>
      </w:r>
      <w:r>
        <w:rPr>
          <w:rFonts w:hint="eastAsia" w:ascii="宋体" w:hAnsi="宋体" w:cs="宋体"/>
          <w:color w:val="auto"/>
          <w:spacing w:val="-6"/>
          <w:sz w:val="24"/>
          <w:highlight w:val="none"/>
        </w:rPr>
        <w:t>“投标人”系指响应招标、参加投标竞争的法人、其他组织或</w:t>
      </w:r>
      <w:r>
        <w:rPr>
          <w:rFonts w:hint="eastAsia" w:ascii="宋体" w:hAnsi="宋体" w:cs="宋体"/>
          <w:color w:val="auto"/>
          <w:spacing w:val="-6"/>
          <w:sz w:val="24"/>
          <w:highlight w:val="none"/>
          <w:lang w:eastAsia="zh-CN"/>
        </w:rPr>
        <w:t>者</w:t>
      </w:r>
      <w:r>
        <w:rPr>
          <w:rFonts w:hint="eastAsia" w:ascii="宋体" w:hAnsi="宋体" w:cs="宋体"/>
          <w:color w:val="auto"/>
          <w:spacing w:val="-6"/>
          <w:sz w:val="24"/>
          <w:highlight w:val="none"/>
        </w:rPr>
        <w:t>自然人；</w:t>
      </w:r>
    </w:p>
    <w:p w14:paraId="2D67002A">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4.</w:t>
      </w:r>
      <w:r>
        <w:rPr>
          <w:rFonts w:hint="eastAsia" w:ascii="宋体" w:hAnsi="宋体" w:cs="宋体"/>
          <w:color w:val="auto"/>
          <w:spacing w:val="-6"/>
          <w:sz w:val="24"/>
          <w:highlight w:val="none"/>
        </w:rPr>
        <w:t>“书面形式”包括信函、传真、电子邮件等；</w:t>
      </w:r>
    </w:p>
    <w:p w14:paraId="05A46447">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5.</w:t>
      </w:r>
      <w:r>
        <w:rPr>
          <w:rFonts w:hint="eastAsia" w:ascii="宋体" w:hAnsi="宋体" w:cs="宋体"/>
          <w:color w:val="auto"/>
          <w:spacing w:val="-6"/>
          <w:sz w:val="24"/>
          <w:highlight w:val="none"/>
        </w:rPr>
        <w:t>“电子加密投标文件”系指通过政采云电子交易客户端（政采云投标客户端）完成投标文件编制后生成并加密的数据电文形式的投标文件（文件扩展名为</w:t>
      </w:r>
      <w:r>
        <w:rPr>
          <w:rFonts w:ascii="宋体" w:hAnsi="宋体" w:cs="宋体"/>
          <w:color w:val="auto"/>
          <w:spacing w:val="-6"/>
          <w:sz w:val="24"/>
          <w:highlight w:val="none"/>
        </w:rPr>
        <w:t>.jmbs</w:t>
      </w:r>
      <w:r>
        <w:rPr>
          <w:rFonts w:hint="eastAsia" w:ascii="宋体" w:hAnsi="宋体" w:cs="宋体"/>
          <w:color w:val="auto"/>
          <w:spacing w:val="-6"/>
          <w:sz w:val="24"/>
          <w:highlight w:val="none"/>
        </w:rPr>
        <w:t>），“备份投标文件”系指与“电子加密投标文件”同时生成的数据电文形式的电子文件（文件扩展名为</w:t>
      </w:r>
      <w:r>
        <w:rPr>
          <w:rFonts w:ascii="宋体" w:hAnsi="宋体" w:cs="宋体"/>
          <w:color w:val="auto"/>
          <w:spacing w:val="-6"/>
          <w:sz w:val="24"/>
          <w:highlight w:val="none"/>
        </w:rPr>
        <w:t>.bfbs</w:t>
      </w:r>
      <w:r>
        <w:rPr>
          <w:rFonts w:hint="eastAsia" w:ascii="宋体" w:hAnsi="宋体" w:cs="宋体"/>
          <w:color w:val="auto"/>
          <w:spacing w:val="-6"/>
          <w:sz w:val="24"/>
          <w:highlight w:val="none"/>
        </w:rPr>
        <w:t>）；</w:t>
      </w:r>
    </w:p>
    <w:p w14:paraId="284D5D9F">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6.</w:t>
      </w:r>
      <w:r>
        <w:rPr>
          <w:rFonts w:hint="eastAsia" w:ascii="宋体" w:hAnsi="宋体" w:cs="宋体"/>
          <w:color w:val="auto"/>
          <w:spacing w:val="-6"/>
          <w:sz w:val="24"/>
          <w:highlight w:val="none"/>
        </w:rPr>
        <w:t>“公章”除特殊说明外系指政采云电子交易客户端（政采云投标客户端）中投标人的电子签章；</w:t>
      </w:r>
    </w:p>
    <w:p w14:paraId="3BAC9CA1">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7.</w:t>
      </w:r>
      <w:r>
        <w:rPr>
          <w:rFonts w:hint="eastAsia" w:ascii="宋体" w:hAnsi="宋体" w:cs="宋体"/>
          <w:color w:val="auto"/>
          <w:spacing w:val="-6"/>
          <w:sz w:val="24"/>
          <w:highlight w:val="none"/>
        </w:rPr>
        <w:t>“▲”系指实质性要求条款，投标人应当做出明确性响应。</w:t>
      </w:r>
    </w:p>
    <w:p w14:paraId="160380F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（三）招标方式</w:t>
      </w:r>
    </w:p>
    <w:p w14:paraId="2CB8DEB8">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本次招标采用公开招标（线上电子招投标）方式进行。</w:t>
      </w:r>
    </w:p>
    <w:p w14:paraId="0A16AD0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（四）投标委托</w:t>
      </w:r>
    </w:p>
    <w:p w14:paraId="23CFC3F6">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如投标人代表不是法定代表人，须有附有法定代表人资格证明书及法定代表人授权委托书（格式详见招标文件第六章），投标人因未在线参加开标而导致电子加密投标文件无法按时解密等一切后果由投标人自行承担。</w:t>
      </w:r>
    </w:p>
    <w:p w14:paraId="1A286C1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（五）投标费用</w:t>
      </w:r>
    </w:p>
    <w:p w14:paraId="7AF4969E">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1.不论投标结果如何，供应商均应自行承担所有与投标有关的全部费用。</w:t>
      </w:r>
    </w:p>
    <w:p w14:paraId="071AF0D4">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2.本次采购代理服务费按人民币陆万元包干计取。</w:t>
      </w:r>
    </w:p>
    <w:p w14:paraId="5283E830">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3.以上费用不在报价中单列，请各供应商在报价时考虑。</w:t>
      </w:r>
    </w:p>
    <w:p w14:paraId="6DEC6A6A">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4.评委费由采购人支付。</w:t>
      </w:r>
    </w:p>
    <w:p w14:paraId="044BB933">
      <w:pPr>
        <w:keepNext w:val="0"/>
        <w:keepLines w:val="0"/>
        <w:pageBreakBefore w:val="0"/>
        <w:widowControl w:val="0"/>
        <w:kinsoku/>
        <w:wordWrap/>
        <w:overflowPunct/>
        <w:topLinePunct w:val="0"/>
        <w:autoSpaceDE/>
        <w:autoSpaceDN/>
        <w:bidi w:val="0"/>
        <w:adjustRightInd/>
        <w:snapToGrid/>
        <w:spacing w:line="360" w:lineRule="auto"/>
        <w:ind w:firstLine="229" w:firstLineChars="100"/>
        <w:jc w:val="left"/>
        <w:textAlignment w:val="auto"/>
        <w:rPr>
          <w:rFonts w:ascii="宋体" w:cs="宋体"/>
          <w:b/>
          <w:color w:val="auto"/>
          <w:spacing w:val="-6"/>
          <w:sz w:val="24"/>
          <w:highlight w:val="none"/>
        </w:rPr>
      </w:pPr>
      <w:r>
        <w:rPr>
          <w:rFonts w:hint="eastAsia" w:ascii="宋体" w:hAnsi="宋体" w:cs="宋体"/>
          <w:b/>
          <w:color w:val="auto"/>
          <w:spacing w:val="-6"/>
          <w:sz w:val="24"/>
          <w:highlight w:val="none"/>
        </w:rPr>
        <w:t>（六）联合体投标</w:t>
      </w:r>
    </w:p>
    <w:p w14:paraId="19B9F55E">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本项目不接受联合体投标。</w:t>
      </w:r>
    </w:p>
    <w:p w14:paraId="4013F2B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（七）转包与分包</w:t>
      </w:r>
    </w:p>
    <w:p w14:paraId="4D6546BC">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本项目不允许转包。</w:t>
      </w:r>
    </w:p>
    <w:p w14:paraId="7D2DF80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（八）特别说明</w:t>
      </w:r>
    </w:p>
    <w:p w14:paraId="36AC71F5">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1.</w:t>
      </w:r>
      <w:r>
        <w:rPr>
          <w:rFonts w:hint="eastAsia" w:hAnsi="宋体" w:cs="宋体"/>
          <w:color w:val="auto"/>
          <w:spacing w:val="-6"/>
          <w:sz w:val="24"/>
          <w:szCs w:val="24"/>
          <w:highlight w:val="none"/>
        </w:rPr>
        <w:t>投标人应仔细阅读招标文件的所有内容，按照招标文件的要求提交投标文件，并对所提供的全部资料的真实性承担法律责任。</w:t>
      </w:r>
    </w:p>
    <w:p w14:paraId="18CF4503">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w:t>
      </w:r>
      <w:r>
        <w:rPr>
          <w:rFonts w:hAnsi="宋体" w:cs="宋体"/>
          <w:color w:val="auto"/>
          <w:spacing w:val="-6"/>
          <w:sz w:val="24"/>
          <w:szCs w:val="24"/>
          <w:highlight w:val="none"/>
        </w:rPr>
        <w:t>2.</w:t>
      </w:r>
      <w:r>
        <w:rPr>
          <w:rFonts w:hint="eastAsia" w:hAnsi="宋体" w:cs="宋体"/>
          <w:color w:val="auto"/>
          <w:spacing w:val="-6"/>
          <w:sz w:val="24"/>
          <w:szCs w:val="24"/>
          <w:highlight w:val="none"/>
        </w:rPr>
        <w:t>单位负责人为同一人或者存在直接控股、管理关系的不同投标人，不得参加同一合同项下的政府采购活动。</w:t>
      </w:r>
    </w:p>
    <w:p w14:paraId="0874A9D6">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w:t>
      </w:r>
      <w:r>
        <w:rPr>
          <w:rFonts w:hAnsi="宋体" w:cs="宋体"/>
          <w:color w:val="auto"/>
          <w:spacing w:val="-6"/>
          <w:sz w:val="24"/>
          <w:szCs w:val="24"/>
          <w:highlight w:val="none"/>
        </w:rPr>
        <w:t>3.</w:t>
      </w:r>
      <w:r>
        <w:rPr>
          <w:rFonts w:hint="eastAsia" w:hAnsi="宋体" w:cs="宋体"/>
          <w:color w:val="auto"/>
          <w:spacing w:val="-6"/>
          <w:sz w:val="24"/>
          <w:szCs w:val="24"/>
          <w:highlight w:val="none"/>
        </w:rPr>
        <w:t>为采购项目提供整体设计、规范编制或者项目管理、监理、检测等服务的投标人，不得再参加该采购项目的其他采购活动。</w:t>
      </w:r>
    </w:p>
    <w:p w14:paraId="419B3946">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w:t>
      </w:r>
      <w:r>
        <w:rPr>
          <w:rFonts w:hAnsi="宋体" w:cs="宋体"/>
          <w:color w:val="auto"/>
          <w:spacing w:val="-6"/>
          <w:sz w:val="24"/>
          <w:szCs w:val="24"/>
          <w:highlight w:val="none"/>
        </w:rPr>
        <w:t>4.</w:t>
      </w:r>
      <w:r>
        <w:rPr>
          <w:rFonts w:hint="eastAsia" w:hAnsi="宋体" w:cs="宋体"/>
          <w:color w:val="auto"/>
          <w:spacing w:val="-6"/>
          <w:sz w:val="24"/>
          <w:szCs w:val="24"/>
          <w:highlight w:val="none"/>
        </w:rPr>
        <w:t>投标人授权代表必须为投标人本单位在职职工，并提供</w:t>
      </w:r>
      <w:r>
        <w:rPr>
          <w:rFonts w:hint="eastAsia" w:hAnsi="宋体" w:cs="宋体"/>
          <w:color w:val="auto"/>
          <w:spacing w:val="-6"/>
          <w:sz w:val="24"/>
          <w:szCs w:val="24"/>
          <w:highlight w:val="none"/>
          <w:lang w:eastAsia="zh-CN"/>
        </w:rPr>
        <w:t>20</w:t>
      </w:r>
      <w:r>
        <w:rPr>
          <w:rFonts w:hint="eastAsia" w:hAnsi="宋体" w:cs="宋体"/>
          <w:color w:val="auto"/>
          <w:spacing w:val="-6"/>
          <w:sz w:val="24"/>
          <w:szCs w:val="24"/>
          <w:highlight w:val="none"/>
          <w:lang w:val="en-US" w:eastAsia="zh-CN"/>
        </w:rPr>
        <w:t>25</w:t>
      </w:r>
      <w:r>
        <w:rPr>
          <w:rFonts w:hint="eastAsia" w:hAnsi="宋体" w:cs="宋体"/>
          <w:color w:val="auto"/>
          <w:spacing w:val="-6"/>
          <w:sz w:val="24"/>
          <w:szCs w:val="24"/>
          <w:highlight w:val="none"/>
          <w:lang w:eastAsia="zh-CN"/>
        </w:rPr>
        <w:t>年</w:t>
      </w:r>
      <w:r>
        <w:rPr>
          <w:rFonts w:hint="eastAsia" w:hAnsi="宋体" w:cs="宋体"/>
          <w:color w:val="auto"/>
          <w:spacing w:val="-6"/>
          <w:sz w:val="24"/>
          <w:szCs w:val="24"/>
          <w:highlight w:val="none"/>
          <w:lang w:val="en-US" w:eastAsia="zh-CN"/>
        </w:rPr>
        <w:t>1</w:t>
      </w:r>
      <w:r>
        <w:rPr>
          <w:rFonts w:hint="eastAsia" w:hAnsi="宋体" w:cs="宋体"/>
          <w:color w:val="auto"/>
          <w:spacing w:val="-6"/>
          <w:sz w:val="24"/>
          <w:szCs w:val="24"/>
          <w:highlight w:val="none"/>
          <w:lang w:eastAsia="zh-CN"/>
        </w:rPr>
        <w:t>月</w:t>
      </w:r>
      <w:r>
        <w:rPr>
          <w:rFonts w:hint="eastAsia" w:hAnsi="宋体" w:cs="宋体"/>
          <w:color w:val="auto"/>
          <w:spacing w:val="-6"/>
          <w:sz w:val="24"/>
          <w:szCs w:val="24"/>
          <w:highlight w:val="none"/>
        </w:rPr>
        <w:t>至今任意一月社保缴纳证明（授权代表为法定代表人可不提供）。</w:t>
      </w:r>
    </w:p>
    <w:p w14:paraId="2C3234F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（九）质疑和投诉</w:t>
      </w:r>
    </w:p>
    <w:p w14:paraId="26CDA9CA">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1.</w:t>
      </w:r>
      <w:r>
        <w:rPr>
          <w:rFonts w:hint="eastAsia" w:hAnsi="宋体" w:cs="宋体"/>
          <w:color w:val="auto"/>
          <w:spacing w:val="-6"/>
          <w:sz w:val="24"/>
          <w:szCs w:val="24"/>
          <w:highlight w:val="none"/>
        </w:rPr>
        <w:t>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作出答复的，可以在答复期满后十五个工作日内向同级政府采购监督管理部门投诉。</w:t>
      </w:r>
    </w:p>
    <w:p w14:paraId="534F350D">
      <w:pPr>
        <w:pStyle w:val="9"/>
        <w:keepNext w:val="0"/>
        <w:keepLines w:val="0"/>
        <w:pageBreakBefore w:val="0"/>
        <w:widowControl w:val="0"/>
        <w:kinsoku/>
        <w:wordWrap/>
        <w:overflowPunct/>
        <w:topLinePunct w:val="0"/>
        <w:autoSpaceDE/>
        <w:autoSpaceDN/>
        <w:bidi w:val="0"/>
        <w:adjustRightInd/>
        <w:snapToGrid/>
        <w:spacing w:line="360" w:lineRule="auto"/>
        <w:ind w:firstLine="458" w:firstLineChars="200"/>
        <w:jc w:val="left"/>
        <w:textAlignment w:val="auto"/>
        <w:rPr>
          <w:rFonts w:hAnsi="宋体" w:cs="宋体"/>
          <w:b/>
          <w:bCs/>
          <w:color w:val="auto"/>
          <w:spacing w:val="-6"/>
          <w:sz w:val="24"/>
          <w:szCs w:val="24"/>
          <w:highlight w:val="none"/>
        </w:rPr>
      </w:pPr>
      <w:r>
        <w:rPr>
          <w:rFonts w:hAnsi="宋体" w:cs="宋体"/>
          <w:b/>
          <w:bCs/>
          <w:color w:val="auto"/>
          <w:spacing w:val="-6"/>
          <w:sz w:val="24"/>
          <w:szCs w:val="24"/>
          <w:highlight w:val="none"/>
        </w:rPr>
        <w:t>2.</w:t>
      </w:r>
      <w:r>
        <w:rPr>
          <w:rFonts w:hint="eastAsia" w:hAnsi="宋体" w:cs="宋体"/>
          <w:b/>
          <w:bCs/>
          <w:color w:val="auto"/>
          <w:spacing w:val="-6"/>
          <w:sz w:val="24"/>
          <w:szCs w:val="24"/>
          <w:highlight w:val="none"/>
        </w:rPr>
        <w:t>投标人提出质疑应当提交质疑函和必要的证明材料，质疑函范本请到“浙江政府采购网下载专区”下载，质疑函应当包括下列内容：</w:t>
      </w:r>
    </w:p>
    <w:p w14:paraId="127B04B0">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（一）供应商的姓名或者名称、地址、邮编、联系人及联系电话；</w:t>
      </w:r>
    </w:p>
    <w:p w14:paraId="06E6E324">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（二）质疑项目的名称、编号；</w:t>
      </w:r>
    </w:p>
    <w:p w14:paraId="0EC54AC0">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（三）具体、明确的质疑事项和与质疑事项相关的请求；</w:t>
      </w:r>
    </w:p>
    <w:p w14:paraId="384B8555">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（四）事实依据；</w:t>
      </w:r>
    </w:p>
    <w:p w14:paraId="0FDADFD8">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（五）必要的法律依据；</w:t>
      </w:r>
    </w:p>
    <w:p w14:paraId="68BC9D14">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（六）提出质疑的日期。</w:t>
      </w:r>
    </w:p>
    <w:p w14:paraId="5BA66F0E">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投标人为自然人的，应当由本人签字；投标人为法人或者其他组织的，应当由法定代表人、主要负责人，或者其授权代表签字或者盖章，并加盖公章。</w:t>
      </w:r>
    </w:p>
    <w:p w14:paraId="0F75CB4A">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3.</w:t>
      </w:r>
      <w:r>
        <w:rPr>
          <w:rFonts w:hint="eastAsia" w:hAnsi="宋体" w:cs="宋体"/>
          <w:color w:val="auto"/>
          <w:spacing w:val="-6"/>
          <w:sz w:val="24"/>
          <w:szCs w:val="24"/>
          <w:highlight w:val="none"/>
        </w:rPr>
        <w:t>提出质疑的供应商应当是参与本项目招标活动的投标人。</w:t>
      </w:r>
      <w:r>
        <w:rPr>
          <w:rFonts w:hint="eastAsia" w:hAnsi="宋体" w:cs="宋体"/>
          <w:b/>
          <w:color w:val="auto"/>
          <w:spacing w:val="-6"/>
          <w:sz w:val="24"/>
          <w:szCs w:val="24"/>
          <w:highlight w:val="none"/>
        </w:rPr>
        <w:t>投标人在法定质疑期内应一次性提出针对同一采购程序环节的质疑。</w:t>
      </w:r>
    </w:p>
    <w:p w14:paraId="395DBE87">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4.</w:t>
      </w:r>
      <w:r>
        <w:rPr>
          <w:rFonts w:hint="eastAsia" w:hAnsi="宋体" w:cs="宋体"/>
          <w:color w:val="auto"/>
          <w:spacing w:val="-6"/>
          <w:sz w:val="24"/>
          <w:szCs w:val="24"/>
          <w:highlight w:val="none"/>
        </w:rPr>
        <w:t>根据《政府采购质疑和投诉办法》第三十七条的规定，投诉人在全国范围</w:t>
      </w:r>
      <w:r>
        <w:rPr>
          <w:rFonts w:hAnsi="宋体" w:cs="宋体"/>
          <w:color w:val="auto"/>
          <w:spacing w:val="-6"/>
          <w:sz w:val="24"/>
          <w:szCs w:val="24"/>
          <w:highlight w:val="none"/>
        </w:rPr>
        <w:t>12</w:t>
      </w:r>
      <w:r>
        <w:rPr>
          <w:rFonts w:hint="eastAsia" w:hAnsi="宋体" w:cs="宋体"/>
          <w:color w:val="auto"/>
          <w:spacing w:val="-6"/>
          <w:sz w:val="24"/>
          <w:szCs w:val="24"/>
          <w:highlight w:val="none"/>
        </w:rPr>
        <w:t>个月内三次以上投诉查无实据的，由财政部门列入不良行为记录名单。</w:t>
      </w:r>
    </w:p>
    <w:p w14:paraId="63066DAF">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投诉人有下列行为之一的，属于虚假、恶意投诉，由财政部门列入不良行为记录名单，禁止其</w:t>
      </w:r>
      <w:r>
        <w:rPr>
          <w:rFonts w:hAnsi="宋体" w:cs="宋体"/>
          <w:color w:val="auto"/>
          <w:spacing w:val="-6"/>
          <w:sz w:val="24"/>
          <w:szCs w:val="24"/>
          <w:highlight w:val="none"/>
        </w:rPr>
        <w:t>1</w:t>
      </w:r>
      <w:r>
        <w:rPr>
          <w:rFonts w:hint="eastAsia" w:hAnsi="宋体" w:cs="宋体"/>
          <w:color w:val="auto"/>
          <w:spacing w:val="-6"/>
          <w:sz w:val="24"/>
          <w:szCs w:val="24"/>
          <w:highlight w:val="none"/>
        </w:rPr>
        <w:t>至</w:t>
      </w:r>
      <w:r>
        <w:rPr>
          <w:rFonts w:hAnsi="宋体" w:cs="宋体"/>
          <w:color w:val="auto"/>
          <w:spacing w:val="-6"/>
          <w:sz w:val="24"/>
          <w:szCs w:val="24"/>
          <w:highlight w:val="none"/>
        </w:rPr>
        <w:t>3</w:t>
      </w:r>
      <w:r>
        <w:rPr>
          <w:rFonts w:hint="eastAsia" w:hAnsi="宋体" w:cs="宋体"/>
          <w:color w:val="auto"/>
          <w:spacing w:val="-6"/>
          <w:sz w:val="24"/>
          <w:szCs w:val="24"/>
          <w:highlight w:val="none"/>
        </w:rPr>
        <w:t>年内参加政府采购活动：</w:t>
      </w:r>
    </w:p>
    <w:p w14:paraId="71BFE88E">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（一）捏造事实；</w:t>
      </w:r>
    </w:p>
    <w:p w14:paraId="4B5678E8">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（二）提供虚假材料；</w:t>
      </w:r>
    </w:p>
    <w:p w14:paraId="48780177">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（三）以非法手段取得证明材料。证据来源的合法性存在明显疑问，投诉人无法证明其取得方式合法的，视为以非法手段取得证明材料。</w:t>
      </w:r>
    </w:p>
    <w:p w14:paraId="63C381E0">
      <w:pPr>
        <w:spacing w:line="360" w:lineRule="auto"/>
        <w:jc w:val="center"/>
        <w:rPr>
          <w:rFonts w:hAnsi="宋体" w:cs="宋体"/>
          <w:b/>
          <w:color w:val="auto"/>
          <w:spacing w:val="-6"/>
          <w:sz w:val="32"/>
          <w:szCs w:val="32"/>
          <w:highlight w:val="none"/>
        </w:rPr>
      </w:pPr>
      <w:r>
        <w:rPr>
          <w:rFonts w:hAnsi="宋体" w:cs="宋体"/>
          <w:b/>
          <w:color w:val="auto"/>
          <w:spacing w:val="-6"/>
          <w:sz w:val="32"/>
          <w:szCs w:val="32"/>
          <w:highlight w:val="none"/>
        </w:rPr>
        <w:br w:type="page"/>
      </w:r>
      <w:r>
        <w:rPr>
          <w:rFonts w:hint="eastAsia" w:ascii="宋体" w:hAnsi="宋体" w:eastAsia="宋体" w:cs="宋体"/>
          <w:b/>
          <w:bCs/>
          <w:color w:val="auto"/>
          <w:kern w:val="2"/>
          <w:sz w:val="32"/>
          <w:szCs w:val="32"/>
          <w:highlight w:val="none"/>
          <w:lang w:val="en-US" w:eastAsia="zh-Hans" w:bidi="en-US"/>
        </w:rPr>
        <w:t>二、招标文件</w:t>
      </w:r>
    </w:p>
    <w:p w14:paraId="4C45F7B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（一）招标文件的构成</w:t>
      </w:r>
    </w:p>
    <w:p w14:paraId="57360290">
      <w:pPr>
        <w:pStyle w:val="9"/>
        <w:keepNext w:val="0"/>
        <w:keepLines w:val="0"/>
        <w:pageBreakBefore w:val="0"/>
        <w:widowControl w:val="0"/>
        <w:kinsoku/>
        <w:wordWrap/>
        <w:overflowPunct/>
        <w:topLinePunct w:val="0"/>
        <w:autoSpaceDE/>
        <w:autoSpaceDN/>
        <w:bidi w:val="0"/>
        <w:adjustRightInd/>
        <w:snapToGrid/>
        <w:spacing w:line="360" w:lineRule="auto"/>
        <w:ind w:firstLine="458" w:firstLineChars="200"/>
        <w:jc w:val="left"/>
        <w:textAlignment w:val="auto"/>
        <w:rPr>
          <w:rFonts w:hAnsi="宋体" w:cs="宋体"/>
          <w:b/>
          <w:color w:val="auto"/>
          <w:spacing w:val="-6"/>
          <w:sz w:val="24"/>
          <w:szCs w:val="24"/>
          <w:highlight w:val="none"/>
        </w:rPr>
      </w:pPr>
      <w:r>
        <w:rPr>
          <w:rFonts w:hint="eastAsia" w:hAnsi="宋体" w:cs="宋体"/>
          <w:b/>
          <w:color w:val="auto"/>
          <w:spacing w:val="-6"/>
          <w:sz w:val="24"/>
          <w:szCs w:val="24"/>
          <w:highlight w:val="none"/>
        </w:rPr>
        <w:t>本招标文件由以下部份组成：</w:t>
      </w:r>
    </w:p>
    <w:p w14:paraId="46604C03">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1.</w:t>
      </w:r>
      <w:r>
        <w:rPr>
          <w:rFonts w:hint="eastAsia" w:hAnsi="宋体" w:cs="宋体"/>
          <w:color w:val="auto"/>
          <w:spacing w:val="-6"/>
          <w:sz w:val="24"/>
          <w:szCs w:val="24"/>
          <w:highlight w:val="none"/>
        </w:rPr>
        <w:t>招标公告</w:t>
      </w:r>
    </w:p>
    <w:p w14:paraId="2619E805">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2.</w:t>
      </w:r>
      <w:r>
        <w:rPr>
          <w:rFonts w:hint="eastAsia" w:hAnsi="宋体" w:cs="宋体"/>
          <w:color w:val="auto"/>
          <w:spacing w:val="-6"/>
          <w:sz w:val="24"/>
          <w:szCs w:val="24"/>
          <w:highlight w:val="none"/>
        </w:rPr>
        <w:t>投标人须知</w:t>
      </w:r>
    </w:p>
    <w:p w14:paraId="0C0C57E9">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3.</w:t>
      </w:r>
      <w:r>
        <w:rPr>
          <w:rFonts w:hint="eastAsia" w:hAnsi="宋体" w:cs="宋体"/>
          <w:color w:val="auto"/>
          <w:spacing w:val="-6"/>
          <w:sz w:val="24"/>
          <w:szCs w:val="24"/>
          <w:highlight w:val="none"/>
        </w:rPr>
        <w:t>采购需求</w:t>
      </w:r>
    </w:p>
    <w:p w14:paraId="5796FE3B">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4.</w:t>
      </w:r>
      <w:r>
        <w:rPr>
          <w:rFonts w:hint="eastAsia" w:hAnsi="宋体" w:cs="宋体"/>
          <w:color w:val="auto"/>
          <w:spacing w:val="-6"/>
          <w:sz w:val="24"/>
          <w:szCs w:val="24"/>
          <w:highlight w:val="none"/>
        </w:rPr>
        <w:t>合同主要条款</w:t>
      </w:r>
    </w:p>
    <w:p w14:paraId="447433D0">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5.</w:t>
      </w:r>
      <w:r>
        <w:rPr>
          <w:rFonts w:hint="eastAsia" w:hAnsi="宋体" w:cs="宋体"/>
          <w:color w:val="auto"/>
          <w:spacing w:val="-6"/>
          <w:sz w:val="24"/>
          <w:szCs w:val="24"/>
          <w:highlight w:val="none"/>
        </w:rPr>
        <w:t>评标办法及评分标准</w:t>
      </w:r>
    </w:p>
    <w:p w14:paraId="550FF836">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6.</w:t>
      </w:r>
      <w:r>
        <w:rPr>
          <w:rFonts w:hint="eastAsia" w:hAnsi="宋体" w:cs="宋体"/>
          <w:color w:val="auto"/>
          <w:spacing w:val="-6"/>
          <w:sz w:val="24"/>
          <w:szCs w:val="24"/>
          <w:highlight w:val="none"/>
        </w:rPr>
        <w:t>投标文件格式</w:t>
      </w:r>
    </w:p>
    <w:p w14:paraId="624D2976">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7.</w:t>
      </w:r>
      <w:r>
        <w:rPr>
          <w:rFonts w:hint="eastAsia" w:hAnsi="宋体" w:cs="宋体"/>
          <w:color w:val="auto"/>
          <w:spacing w:val="-6"/>
          <w:sz w:val="24"/>
          <w:szCs w:val="24"/>
          <w:highlight w:val="none"/>
        </w:rPr>
        <w:t>本项目招标文件的澄清、答复、修改、补充的内容</w:t>
      </w:r>
    </w:p>
    <w:p w14:paraId="727D139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（二）投标人的风险</w:t>
      </w:r>
    </w:p>
    <w:p w14:paraId="577BD862">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投标人没有按照招标文件要求提供全部资料，或者投标人没有对招标文件在各方面作出实质性响应是投标人的风险，并可能导致其投标被拒绝。</w:t>
      </w:r>
    </w:p>
    <w:p w14:paraId="336B18F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（三）招标文件的澄清与修改</w:t>
      </w:r>
    </w:p>
    <w:p w14:paraId="439DF926">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1.</w:t>
      </w:r>
      <w:r>
        <w:rPr>
          <w:rFonts w:hint="eastAsia" w:hAnsi="宋体" w:cs="宋体"/>
          <w:color w:val="auto"/>
          <w:spacing w:val="-6"/>
          <w:sz w:val="24"/>
          <w:szCs w:val="24"/>
          <w:highlight w:val="none"/>
        </w:rPr>
        <w:t>采购人或者采购代理机构可以对已发出的招标文件进行必要的澄清或者修改，澄清或者修改会在原公告发布媒体上发布澄清公告，澄清或者修改的内容为招标文件的组成部分。</w:t>
      </w:r>
    </w:p>
    <w:p w14:paraId="2A9ACED8">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澄清或者修改的内容可能影响投标文件编制的，采购人或者采购代理机构会在投标截止时间至少</w:t>
      </w:r>
      <w:r>
        <w:rPr>
          <w:rFonts w:hAnsi="宋体" w:cs="宋体"/>
          <w:color w:val="auto"/>
          <w:spacing w:val="-6"/>
          <w:sz w:val="24"/>
          <w:szCs w:val="24"/>
          <w:highlight w:val="none"/>
        </w:rPr>
        <w:t>15</w:t>
      </w:r>
      <w:r>
        <w:rPr>
          <w:rFonts w:hint="eastAsia" w:hAnsi="宋体" w:cs="宋体"/>
          <w:color w:val="auto"/>
          <w:spacing w:val="-6"/>
          <w:sz w:val="24"/>
          <w:szCs w:val="24"/>
          <w:highlight w:val="none"/>
        </w:rPr>
        <w:t>日前，以书面形式通知所有获取招标文件的潜在投标人；不足</w:t>
      </w:r>
      <w:r>
        <w:rPr>
          <w:rFonts w:hAnsi="宋体" w:cs="宋体"/>
          <w:color w:val="auto"/>
          <w:spacing w:val="-6"/>
          <w:sz w:val="24"/>
          <w:szCs w:val="24"/>
          <w:highlight w:val="none"/>
        </w:rPr>
        <w:t>15</w:t>
      </w:r>
      <w:r>
        <w:rPr>
          <w:rFonts w:hint="eastAsia" w:hAnsi="宋体" w:cs="宋体"/>
          <w:color w:val="auto"/>
          <w:spacing w:val="-6"/>
          <w:sz w:val="24"/>
          <w:szCs w:val="24"/>
          <w:highlight w:val="none"/>
        </w:rPr>
        <w:t>日的，采购人或者采购代理机构会顺延提交投标文件的截止时间。</w:t>
      </w:r>
    </w:p>
    <w:p w14:paraId="70E28862">
      <w:pPr>
        <w:pStyle w:val="9"/>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2.</w:t>
      </w:r>
      <w:r>
        <w:rPr>
          <w:rFonts w:hint="eastAsia" w:hAnsi="宋体" w:cs="宋体"/>
          <w:color w:val="auto"/>
          <w:spacing w:val="-6"/>
          <w:sz w:val="24"/>
          <w:szCs w:val="24"/>
          <w:highlight w:val="none"/>
        </w:rPr>
        <w:t>招标文件的修改将以书面等形式通知所有获取招标文件的投标人，并对其具有约束力。投标人在收到上述通知后，应立即向采购代理机构回函确认。若无书面回函确认，视同投标人已收到招标文件修改的通知，并受其约束。</w:t>
      </w:r>
    </w:p>
    <w:p w14:paraId="043E6864">
      <w:pPr>
        <w:pStyle w:val="16"/>
        <w:spacing w:beforeLines="0" w:afterLines="0" w:line="288" w:lineRule="auto"/>
        <w:jc w:val="center"/>
        <w:outlineLvl w:val="1"/>
        <w:rPr>
          <w:rFonts w:hAnsi="宋体" w:cs="宋体"/>
          <w:color w:val="auto"/>
          <w:spacing w:val="-6"/>
          <w:sz w:val="21"/>
          <w:szCs w:val="21"/>
          <w:highlight w:val="none"/>
        </w:rPr>
      </w:pPr>
    </w:p>
    <w:p w14:paraId="187280AA">
      <w:pPr>
        <w:spacing w:line="360" w:lineRule="auto"/>
        <w:jc w:val="center"/>
        <w:rPr>
          <w:rFonts w:hAnsi="宋体" w:cs="宋体"/>
          <w:color w:val="auto"/>
          <w:spacing w:val="-6"/>
          <w:sz w:val="21"/>
          <w:szCs w:val="21"/>
          <w:highlight w:val="none"/>
        </w:rPr>
      </w:pPr>
      <w:r>
        <w:rPr>
          <w:rFonts w:hAnsi="宋体" w:cs="宋体"/>
          <w:color w:val="auto"/>
          <w:spacing w:val="-6"/>
          <w:sz w:val="21"/>
          <w:szCs w:val="21"/>
          <w:highlight w:val="none"/>
        </w:rPr>
        <w:br w:type="page"/>
      </w:r>
      <w:r>
        <w:rPr>
          <w:rFonts w:hint="eastAsia" w:ascii="宋体" w:hAnsi="宋体" w:eastAsia="宋体" w:cs="宋体"/>
          <w:b/>
          <w:bCs/>
          <w:color w:val="auto"/>
          <w:kern w:val="2"/>
          <w:sz w:val="32"/>
          <w:szCs w:val="32"/>
          <w:highlight w:val="none"/>
          <w:lang w:val="en-US" w:eastAsia="zh-Hans" w:bidi="en-US"/>
        </w:rPr>
        <w:t>三、投标文件的编制</w:t>
      </w:r>
    </w:p>
    <w:p w14:paraId="49AAC3CB">
      <w:pPr>
        <w:keepNext w:val="0"/>
        <w:keepLines w:val="0"/>
        <w:pageBreakBefore w:val="0"/>
        <w:kinsoku/>
        <w:wordWrap/>
        <w:overflowPunct/>
        <w:topLinePunct w:val="0"/>
        <w:bidi w:val="0"/>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（一）投标文件的组成</w:t>
      </w:r>
    </w:p>
    <w:p w14:paraId="6008D463">
      <w:pPr>
        <w:pStyle w:val="9"/>
        <w:keepNext w:val="0"/>
        <w:keepLines w:val="0"/>
        <w:pageBreakBefore w:val="0"/>
        <w:kinsoku/>
        <w:wordWrap/>
        <w:overflowPunct/>
        <w:topLinePunct w:val="0"/>
        <w:bidi w:val="0"/>
        <w:spacing w:line="360" w:lineRule="auto"/>
        <w:ind w:firstLine="456" w:firstLineChars="200"/>
        <w:jc w:val="left"/>
        <w:textAlignment w:val="auto"/>
        <w:rPr>
          <w:rFonts w:hAnsi="宋体" w:cs="宋体"/>
          <w:color w:val="auto"/>
          <w:spacing w:val="-6"/>
          <w:sz w:val="24"/>
          <w:szCs w:val="24"/>
          <w:highlight w:val="none"/>
        </w:rPr>
      </w:pPr>
      <w:r>
        <w:rPr>
          <w:rFonts w:hint="eastAsia" w:hAnsi="宋体" w:cs="宋体"/>
          <w:color w:val="auto"/>
          <w:spacing w:val="-6"/>
          <w:sz w:val="24"/>
          <w:szCs w:val="24"/>
          <w:highlight w:val="none"/>
        </w:rPr>
        <w:t>投标文件由</w:t>
      </w:r>
      <w:r>
        <w:rPr>
          <w:rFonts w:hint="eastAsia" w:hAnsi="宋体" w:cs="宋体"/>
          <w:b/>
          <w:color w:val="auto"/>
          <w:spacing w:val="-6"/>
          <w:sz w:val="24"/>
          <w:szCs w:val="24"/>
          <w:highlight w:val="none"/>
        </w:rPr>
        <w:t>资格文件、报价文件、商务技术文件</w:t>
      </w:r>
      <w:r>
        <w:rPr>
          <w:rFonts w:hint="eastAsia" w:hAnsi="宋体" w:cs="宋体"/>
          <w:bCs/>
          <w:color w:val="auto"/>
          <w:spacing w:val="-6"/>
          <w:sz w:val="24"/>
          <w:szCs w:val="24"/>
          <w:highlight w:val="none"/>
        </w:rPr>
        <w:t>三部分组成（格式详见招标文件第六章）。</w:t>
      </w:r>
    </w:p>
    <w:p w14:paraId="26948875">
      <w:pPr>
        <w:pStyle w:val="9"/>
        <w:keepNext w:val="0"/>
        <w:keepLines w:val="0"/>
        <w:pageBreakBefore w:val="0"/>
        <w:kinsoku/>
        <w:wordWrap/>
        <w:overflowPunct/>
        <w:topLinePunct w:val="0"/>
        <w:bidi w:val="0"/>
        <w:spacing w:line="360" w:lineRule="auto"/>
        <w:ind w:firstLine="458" w:firstLineChars="200"/>
        <w:jc w:val="left"/>
        <w:textAlignment w:val="auto"/>
        <w:rPr>
          <w:rFonts w:hint="eastAsia" w:hAnsi="宋体" w:cs="宋体"/>
          <w:b/>
          <w:color w:val="auto"/>
          <w:spacing w:val="-6"/>
          <w:sz w:val="24"/>
          <w:szCs w:val="24"/>
          <w:highlight w:val="none"/>
        </w:rPr>
      </w:pPr>
      <w:r>
        <w:rPr>
          <w:rFonts w:hint="eastAsia" w:hAnsi="宋体" w:cs="宋体"/>
          <w:b/>
          <w:color w:val="auto"/>
          <w:spacing w:val="-6"/>
          <w:sz w:val="24"/>
          <w:szCs w:val="24"/>
          <w:highlight w:val="none"/>
        </w:rPr>
        <w:t>1.资格文件</w:t>
      </w:r>
    </w:p>
    <w:p w14:paraId="2720E118">
      <w:pPr>
        <w:pStyle w:val="9"/>
        <w:keepNext w:val="0"/>
        <w:keepLines w:val="0"/>
        <w:pageBreakBefore w:val="0"/>
        <w:kinsoku/>
        <w:wordWrap/>
        <w:overflowPunct/>
        <w:topLinePunct w:val="0"/>
        <w:bidi w:val="0"/>
        <w:spacing w:line="360" w:lineRule="auto"/>
        <w:ind w:firstLine="458" w:firstLineChars="200"/>
        <w:jc w:val="left"/>
        <w:textAlignment w:val="auto"/>
        <w:rPr>
          <w:rFonts w:hint="eastAsia" w:hAnsi="宋体" w:cs="宋体"/>
          <w:b/>
          <w:color w:val="auto"/>
          <w:spacing w:val="-6"/>
          <w:sz w:val="24"/>
          <w:szCs w:val="24"/>
          <w:highlight w:val="none"/>
        </w:rPr>
      </w:pPr>
      <w:r>
        <w:rPr>
          <w:rFonts w:hint="eastAsia" w:hAnsi="宋体" w:cs="宋体"/>
          <w:b/>
          <w:color w:val="auto"/>
          <w:spacing w:val="-6"/>
          <w:sz w:val="24"/>
          <w:szCs w:val="24"/>
          <w:highlight w:val="none"/>
        </w:rPr>
        <w:t>资格审查要求的资格证明材料(均需加盖公章)：</w:t>
      </w:r>
    </w:p>
    <w:p w14:paraId="549F8EA6">
      <w:pPr>
        <w:pStyle w:val="9"/>
        <w:keepNext w:val="0"/>
        <w:keepLines w:val="0"/>
        <w:pageBreakBefore w:val="0"/>
        <w:kinsoku/>
        <w:wordWrap/>
        <w:overflowPunct/>
        <w:topLinePunct w:val="0"/>
        <w:bidi w:val="0"/>
        <w:spacing w:line="360" w:lineRule="auto"/>
        <w:ind w:firstLine="458" w:firstLineChars="200"/>
        <w:jc w:val="left"/>
        <w:textAlignment w:val="auto"/>
        <w:rPr>
          <w:rFonts w:hint="eastAsia" w:hAnsi="宋体" w:cs="宋体"/>
          <w:b/>
          <w:color w:val="auto"/>
          <w:spacing w:val="-6"/>
          <w:sz w:val="24"/>
          <w:szCs w:val="24"/>
          <w:highlight w:val="none"/>
        </w:rPr>
      </w:pPr>
      <w:r>
        <w:rPr>
          <w:rFonts w:hint="eastAsia" w:hAnsi="宋体" w:cs="宋体"/>
          <w:b/>
          <w:color w:val="auto"/>
          <w:spacing w:val="-6"/>
          <w:sz w:val="24"/>
          <w:szCs w:val="24"/>
          <w:highlight w:val="none"/>
        </w:rPr>
        <w:t>1）有效的法人或者其他组织的营业执照等证明文件；</w:t>
      </w:r>
    </w:p>
    <w:p w14:paraId="79E01FA7">
      <w:pPr>
        <w:pStyle w:val="9"/>
        <w:keepNext w:val="0"/>
        <w:keepLines w:val="0"/>
        <w:pageBreakBefore w:val="0"/>
        <w:kinsoku/>
        <w:wordWrap/>
        <w:overflowPunct/>
        <w:topLinePunct w:val="0"/>
        <w:bidi w:val="0"/>
        <w:spacing w:line="360" w:lineRule="auto"/>
        <w:ind w:firstLine="458" w:firstLineChars="200"/>
        <w:jc w:val="left"/>
        <w:textAlignment w:val="auto"/>
        <w:rPr>
          <w:rFonts w:hint="eastAsia" w:hAnsi="宋体" w:cs="宋体"/>
          <w:b/>
          <w:color w:val="auto"/>
          <w:spacing w:val="-6"/>
          <w:sz w:val="24"/>
          <w:szCs w:val="24"/>
          <w:highlight w:val="none"/>
        </w:rPr>
      </w:pPr>
      <w:r>
        <w:rPr>
          <w:rFonts w:hint="eastAsia" w:hAnsi="宋体" w:cs="宋体"/>
          <w:b/>
          <w:color w:val="auto"/>
          <w:spacing w:val="-6"/>
          <w:sz w:val="24"/>
          <w:szCs w:val="24"/>
          <w:highlight w:val="none"/>
        </w:rPr>
        <w:t>2）法定代表人资格证明书或法定代表人授权委托书；</w:t>
      </w:r>
    </w:p>
    <w:p w14:paraId="2D41CB83">
      <w:pPr>
        <w:pStyle w:val="9"/>
        <w:keepNext w:val="0"/>
        <w:keepLines w:val="0"/>
        <w:pageBreakBefore w:val="0"/>
        <w:kinsoku/>
        <w:wordWrap/>
        <w:overflowPunct/>
        <w:topLinePunct w:val="0"/>
        <w:bidi w:val="0"/>
        <w:spacing w:line="360" w:lineRule="auto"/>
        <w:ind w:firstLine="458" w:firstLineChars="200"/>
        <w:jc w:val="left"/>
        <w:textAlignment w:val="auto"/>
        <w:rPr>
          <w:rFonts w:hint="eastAsia" w:hAnsi="宋体" w:cs="宋体"/>
          <w:b/>
          <w:color w:val="auto"/>
          <w:spacing w:val="-6"/>
          <w:sz w:val="24"/>
          <w:szCs w:val="24"/>
          <w:highlight w:val="none"/>
        </w:rPr>
      </w:pPr>
      <w:bookmarkStart w:id="15" w:name="_Toc27643"/>
      <w:bookmarkStart w:id="16" w:name="_Toc31081"/>
      <w:bookmarkStart w:id="17" w:name="_Toc28434"/>
      <w:bookmarkStart w:id="18" w:name="_Toc13693"/>
      <w:bookmarkStart w:id="19" w:name="_Toc31823"/>
      <w:bookmarkStart w:id="20" w:name="_Toc28450"/>
      <w:bookmarkStart w:id="21" w:name="_Toc24347"/>
      <w:bookmarkStart w:id="22" w:name="_Toc26874"/>
      <w:r>
        <w:rPr>
          <w:rFonts w:hint="eastAsia" w:hAnsi="宋体" w:cs="宋体"/>
          <w:b/>
          <w:color w:val="auto"/>
          <w:spacing w:val="-6"/>
          <w:sz w:val="24"/>
          <w:szCs w:val="24"/>
          <w:highlight w:val="none"/>
        </w:rPr>
        <w:t>3）具有良好的商业信誉和健全的财务会计制度</w:t>
      </w:r>
      <w:bookmarkEnd w:id="15"/>
      <w:bookmarkEnd w:id="16"/>
      <w:bookmarkEnd w:id="17"/>
      <w:bookmarkEnd w:id="18"/>
      <w:bookmarkEnd w:id="19"/>
      <w:bookmarkEnd w:id="20"/>
      <w:bookmarkEnd w:id="21"/>
      <w:bookmarkEnd w:id="22"/>
      <w:r>
        <w:rPr>
          <w:rFonts w:hint="eastAsia" w:hAnsi="宋体" w:cs="宋体"/>
          <w:b/>
          <w:color w:val="auto"/>
          <w:spacing w:val="-6"/>
          <w:sz w:val="24"/>
          <w:szCs w:val="24"/>
          <w:highlight w:val="none"/>
        </w:rPr>
        <w:t>承诺函；</w:t>
      </w:r>
    </w:p>
    <w:p w14:paraId="7DD03FA3">
      <w:pPr>
        <w:pStyle w:val="9"/>
        <w:keepNext w:val="0"/>
        <w:keepLines w:val="0"/>
        <w:pageBreakBefore w:val="0"/>
        <w:kinsoku/>
        <w:wordWrap/>
        <w:overflowPunct/>
        <w:topLinePunct w:val="0"/>
        <w:bidi w:val="0"/>
        <w:spacing w:line="360" w:lineRule="auto"/>
        <w:ind w:firstLine="458" w:firstLineChars="200"/>
        <w:jc w:val="left"/>
        <w:textAlignment w:val="auto"/>
        <w:rPr>
          <w:rFonts w:hint="eastAsia" w:hAnsi="宋体" w:cs="宋体"/>
          <w:b/>
          <w:color w:val="auto"/>
          <w:spacing w:val="-6"/>
          <w:sz w:val="24"/>
          <w:szCs w:val="24"/>
          <w:highlight w:val="none"/>
        </w:rPr>
      </w:pPr>
      <w:bookmarkStart w:id="23" w:name="_Toc5821"/>
      <w:bookmarkStart w:id="24" w:name="_Toc13179"/>
      <w:bookmarkStart w:id="25" w:name="_Toc28044"/>
      <w:bookmarkStart w:id="26" w:name="_Toc14804"/>
      <w:bookmarkStart w:id="27" w:name="_Toc19984"/>
      <w:bookmarkStart w:id="28" w:name="_Toc28138"/>
      <w:bookmarkStart w:id="29" w:name="_Toc29415"/>
      <w:bookmarkStart w:id="30" w:name="_Toc19516"/>
      <w:r>
        <w:rPr>
          <w:rFonts w:hint="eastAsia" w:hAnsi="宋体" w:cs="宋体"/>
          <w:b/>
          <w:color w:val="auto"/>
          <w:spacing w:val="-6"/>
          <w:sz w:val="24"/>
          <w:szCs w:val="24"/>
          <w:highlight w:val="none"/>
        </w:rPr>
        <w:t>4）具有依法缴纳税收和社会保障资金的良好记录</w:t>
      </w:r>
      <w:bookmarkEnd w:id="23"/>
      <w:bookmarkEnd w:id="24"/>
      <w:bookmarkEnd w:id="25"/>
      <w:bookmarkEnd w:id="26"/>
      <w:bookmarkEnd w:id="27"/>
      <w:bookmarkEnd w:id="28"/>
      <w:bookmarkEnd w:id="29"/>
      <w:bookmarkEnd w:id="30"/>
      <w:r>
        <w:rPr>
          <w:rFonts w:hint="eastAsia" w:hAnsi="宋体" w:cs="宋体"/>
          <w:b/>
          <w:color w:val="auto"/>
          <w:spacing w:val="-6"/>
          <w:sz w:val="24"/>
          <w:szCs w:val="24"/>
          <w:highlight w:val="none"/>
        </w:rPr>
        <w:t>承诺函；</w:t>
      </w:r>
    </w:p>
    <w:p w14:paraId="00996978">
      <w:pPr>
        <w:pStyle w:val="9"/>
        <w:keepNext w:val="0"/>
        <w:keepLines w:val="0"/>
        <w:pageBreakBefore w:val="0"/>
        <w:kinsoku/>
        <w:wordWrap/>
        <w:overflowPunct/>
        <w:topLinePunct w:val="0"/>
        <w:bidi w:val="0"/>
        <w:spacing w:line="360" w:lineRule="auto"/>
        <w:ind w:firstLine="458" w:firstLineChars="200"/>
        <w:jc w:val="left"/>
        <w:textAlignment w:val="auto"/>
        <w:rPr>
          <w:rFonts w:hint="eastAsia" w:hAnsi="宋体" w:cs="宋体"/>
          <w:b/>
          <w:color w:val="auto"/>
          <w:spacing w:val="-6"/>
          <w:sz w:val="24"/>
          <w:szCs w:val="24"/>
          <w:highlight w:val="none"/>
        </w:rPr>
      </w:pPr>
      <w:r>
        <w:rPr>
          <w:rFonts w:hint="eastAsia" w:hAnsi="宋体" w:cs="宋体"/>
          <w:b/>
          <w:color w:val="auto"/>
          <w:spacing w:val="-6"/>
          <w:sz w:val="24"/>
          <w:szCs w:val="24"/>
          <w:highlight w:val="none"/>
        </w:rPr>
        <w:t>5）具有履行合同所必需的设备和专业技术能力的承诺函；</w:t>
      </w:r>
    </w:p>
    <w:p w14:paraId="659A3C0C">
      <w:pPr>
        <w:pStyle w:val="9"/>
        <w:keepNext w:val="0"/>
        <w:keepLines w:val="0"/>
        <w:pageBreakBefore w:val="0"/>
        <w:kinsoku/>
        <w:wordWrap/>
        <w:overflowPunct/>
        <w:topLinePunct w:val="0"/>
        <w:bidi w:val="0"/>
        <w:spacing w:line="360" w:lineRule="auto"/>
        <w:ind w:firstLine="458" w:firstLineChars="200"/>
        <w:jc w:val="left"/>
        <w:textAlignment w:val="auto"/>
        <w:rPr>
          <w:rFonts w:hint="eastAsia" w:hAnsi="宋体" w:cs="宋体"/>
          <w:b/>
          <w:color w:val="auto"/>
          <w:spacing w:val="-6"/>
          <w:sz w:val="24"/>
          <w:szCs w:val="24"/>
          <w:highlight w:val="none"/>
        </w:rPr>
      </w:pPr>
      <w:r>
        <w:rPr>
          <w:rFonts w:hint="eastAsia" w:hAnsi="宋体" w:cs="宋体"/>
          <w:b/>
          <w:color w:val="auto"/>
          <w:spacing w:val="-6"/>
          <w:sz w:val="24"/>
          <w:szCs w:val="24"/>
          <w:highlight w:val="none"/>
        </w:rPr>
        <w:t>6）参加政府采购活动前3年内在经营活动中没有重大违法记录的书面声明。</w:t>
      </w:r>
    </w:p>
    <w:p w14:paraId="6189800E">
      <w:pPr>
        <w:keepNext w:val="0"/>
        <w:keepLines w:val="0"/>
        <w:pageBreakBefore w:val="0"/>
        <w:kinsoku/>
        <w:wordWrap/>
        <w:overflowPunct/>
        <w:topLinePunct w:val="0"/>
        <w:bidi w:val="0"/>
        <w:spacing w:line="360" w:lineRule="auto"/>
        <w:ind w:firstLine="458" w:firstLineChars="200"/>
        <w:jc w:val="left"/>
        <w:textAlignment w:val="auto"/>
        <w:rPr>
          <w:rFonts w:ascii="宋体" w:cs="宋体"/>
          <w:b/>
          <w:color w:val="auto"/>
          <w:spacing w:val="-6"/>
          <w:sz w:val="24"/>
          <w:highlight w:val="none"/>
        </w:rPr>
      </w:pPr>
      <w:r>
        <w:rPr>
          <w:rFonts w:ascii="宋体" w:hAnsi="宋体" w:cs="宋体"/>
          <w:b/>
          <w:color w:val="auto"/>
          <w:spacing w:val="-6"/>
          <w:sz w:val="24"/>
          <w:highlight w:val="none"/>
        </w:rPr>
        <w:t>2.</w:t>
      </w:r>
      <w:r>
        <w:rPr>
          <w:rFonts w:hint="eastAsia" w:ascii="宋体" w:hAnsi="宋体" w:cs="宋体"/>
          <w:b/>
          <w:color w:val="auto"/>
          <w:spacing w:val="-6"/>
          <w:sz w:val="24"/>
          <w:highlight w:val="none"/>
        </w:rPr>
        <w:t>报价文件</w:t>
      </w:r>
    </w:p>
    <w:p w14:paraId="346FCE66">
      <w:pPr>
        <w:pStyle w:val="9"/>
        <w:keepNext w:val="0"/>
        <w:keepLines w:val="0"/>
        <w:pageBreakBefore w:val="0"/>
        <w:kinsoku/>
        <w:wordWrap/>
        <w:overflowPunct/>
        <w:topLinePunct w:val="0"/>
        <w:bidi w:val="0"/>
        <w:spacing w:line="360" w:lineRule="auto"/>
        <w:ind w:firstLine="456" w:firstLineChars="200"/>
        <w:jc w:val="left"/>
        <w:textAlignment w:val="auto"/>
        <w:rPr>
          <w:rFonts w:hAnsi="宋体" w:cs="宋体"/>
          <w:color w:val="auto"/>
          <w:spacing w:val="-6"/>
          <w:sz w:val="24"/>
          <w:szCs w:val="24"/>
          <w:highlight w:val="none"/>
        </w:rPr>
      </w:pPr>
      <w:r>
        <w:rPr>
          <w:rFonts w:hAnsi="宋体" w:cs="宋体"/>
          <w:color w:val="auto"/>
          <w:spacing w:val="-6"/>
          <w:sz w:val="24"/>
          <w:szCs w:val="24"/>
          <w:highlight w:val="none"/>
        </w:rPr>
        <w:t>1</w:t>
      </w:r>
      <w:r>
        <w:rPr>
          <w:rFonts w:hint="eastAsia" w:hAnsi="宋体" w:cs="宋体"/>
          <w:color w:val="auto"/>
          <w:spacing w:val="-6"/>
          <w:sz w:val="24"/>
          <w:szCs w:val="24"/>
          <w:highlight w:val="none"/>
        </w:rPr>
        <w:t>）开标一览表；</w:t>
      </w:r>
    </w:p>
    <w:p w14:paraId="3F8A5114">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eastAsia="宋体" w:cs="宋体"/>
          <w:color w:val="auto"/>
          <w:spacing w:val="-6"/>
          <w:sz w:val="24"/>
          <w:szCs w:val="24"/>
          <w:highlight w:val="none"/>
          <w:lang w:eastAsia="zh-CN"/>
        </w:rPr>
      </w:pPr>
      <w:r>
        <w:rPr>
          <w:rFonts w:hint="eastAsia" w:hAnsi="宋体" w:cs="宋体"/>
          <w:color w:val="auto"/>
          <w:spacing w:val="-6"/>
          <w:sz w:val="24"/>
          <w:szCs w:val="24"/>
          <w:highlight w:val="none"/>
          <w:lang w:val="en-US" w:eastAsia="zh-CN"/>
        </w:rPr>
        <w:t>2</w:t>
      </w:r>
      <w:r>
        <w:rPr>
          <w:rFonts w:hint="eastAsia" w:hAnsi="宋体" w:cs="宋体"/>
          <w:color w:val="auto"/>
          <w:spacing w:val="-6"/>
          <w:sz w:val="24"/>
          <w:szCs w:val="24"/>
          <w:highlight w:val="none"/>
        </w:rPr>
        <w:t>）报价明细表</w:t>
      </w:r>
      <w:r>
        <w:rPr>
          <w:rFonts w:hint="eastAsia" w:hAnsi="宋体" w:cs="宋体"/>
          <w:color w:val="auto"/>
          <w:spacing w:val="-6"/>
          <w:sz w:val="24"/>
          <w:szCs w:val="24"/>
          <w:highlight w:val="none"/>
          <w:lang w:eastAsia="zh-CN"/>
        </w:rPr>
        <w:t>；</w:t>
      </w:r>
    </w:p>
    <w:p w14:paraId="68C23789">
      <w:pPr>
        <w:keepNext w:val="0"/>
        <w:keepLines w:val="0"/>
        <w:pageBreakBefore w:val="0"/>
        <w:kinsoku/>
        <w:wordWrap/>
        <w:overflowPunct/>
        <w:topLinePunct w:val="0"/>
        <w:bidi w:val="0"/>
        <w:spacing w:line="360" w:lineRule="auto"/>
        <w:ind w:firstLine="456" w:firstLineChars="200"/>
        <w:jc w:val="left"/>
        <w:textAlignment w:val="auto"/>
        <w:rPr>
          <w:rFonts w:hint="eastAsia" w:ascii="宋体" w:hAnsi="宋体" w:eastAsia="宋体" w:cs="宋体"/>
          <w:b w:val="0"/>
          <w:bCs/>
          <w:color w:val="auto"/>
          <w:spacing w:val="-6"/>
          <w:sz w:val="24"/>
          <w:highlight w:val="none"/>
          <w:lang w:val="en-US" w:eastAsia="zh-CN"/>
        </w:rPr>
      </w:pPr>
      <w:r>
        <w:rPr>
          <w:rFonts w:hint="eastAsia" w:ascii="宋体" w:hAnsi="宋体" w:cs="宋体"/>
          <w:b w:val="0"/>
          <w:bCs/>
          <w:color w:val="auto"/>
          <w:spacing w:val="-6"/>
          <w:sz w:val="24"/>
          <w:highlight w:val="none"/>
          <w:lang w:val="en-US" w:eastAsia="zh-CN"/>
        </w:rPr>
        <w:t>3）</w:t>
      </w:r>
      <w:r>
        <w:rPr>
          <w:rFonts w:hint="eastAsia" w:hAnsi="宋体" w:cs="宋体"/>
          <w:b w:val="0"/>
          <w:bCs/>
          <w:color w:val="auto"/>
          <w:spacing w:val="-6"/>
          <w:sz w:val="24"/>
          <w:szCs w:val="24"/>
          <w:highlight w:val="none"/>
        </w:rPr>
        <w:t>中小企业声明函或监狱企业声明函及其相关的充分的证明材料或残疾人福利性单位声明函。</w:t>
      </w:r>
    </w:p>
    <w:p w14:paraId="66D5B62F">
      <w:pPr>
        <w:keepNext w:val="0"/>
        <w:keepLines w:val="0"/>
        <w:pageBreakBefore w:val="0"/>
        <w:kinsoku/>
        <w:wordWrap/>
        <w:overflowPunct/>
        <w:topLinePunct w:val="0"/>
        <w:bidi w:val="0"/>
        <w:spacing w:line="360" w:lineRule="auto"/>
        <w:ind w:firstLine="458" w:firstLineChars="200"/>
        <w:jc w:val="left"/>
        <w:textAlignment w:val="auto"/>
        <w:rPr>
          <w:rFonts w:ascii="宋体" w:cs="宋体"/>
          <w:b/>
          <w:color w:val="auto"/>
          <w:spacing w:val="-6"/>
          <w:sz w:val="24"/>
          <w:highlight w:val="none"/>
        </w:rPr>
      </w:pPr>
      <w:r>
        <w:rPr>
          <w:rFonts w:ascii="宋体" w:hAnsi="宋体" w:cs="宋体"/>
          <w:b/>
          <w:color w:val="auto"/>
          <w:spacing w:val="-6"/>
          <w:sz w:val="24"/>
          <w:highlight w:val="none"/>
        </w:rPr>
        <w:t>3.</w:t>
      </w:r>
      <w:r>
        <w:rPr>
          <w:rFonts w:hint="eastAsia" w:ascii="宋体" w:hAnsi="宋体" w:cs="宋体"/>
          <w:b/>
          <w:color w:val="auto"/>
          <w:spacing w:val="-6"/>
          <w:sz w:val="24"/>
          <w:highlight w:val="none"/>
        </w:rPr>
        <w:t>商务技术文件</w:t>
      </w:r>
    </w:p>
    <w:p w14:paraId="0DB2005E">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rPr>
      </w:pPr>
      <w:r>
        <w:rPr>
          <w:rFonts w:hint="eastAsia" w:hAnsi="宋体" w:cs="宋体"/>
          <w:color w:val="auto"/>
          <w:spacing w:val="-6"/>
          <w:sz w:val="24"/>
          <w:szCs w:val="24"/>
          <w:highlight w:val="none"/>
        </w:rPr>
        <w:t>1）评分索引表；</w:t>
      </w:r>
    </w:p>
    <w:p w14:paraId="6A39BB56">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rPr>
      </w:pPr>
      <w:r>
        <w:rPr>
          <w:rFonts w:hint="eastAsia" w:hAnsi="宋体" w:cs="宋体"/>
          <w:color w:val="auto"/>
          <w:spacing w:val="-6"/>
          <w:sz w:val="24"/>
          <w:szCs w:val="24"/>
          <w:highlight w:val="none"/>
        </w:rPr>
        <w:t>2）投标函(</w:t>
      </w:r>
      <w:r>
        <w:rPr>
          <w:rFonts w:hint="eastAsia" w:hAnsi="宋体" w:cs="宋体"/>
          <w:color w:val="auto"/>
          <w:spacing w:val="-6"/>
          <w:sz w:val="24"/>
          <w:szCs w:val="24"/>
          <w:highlight w:val="none"/>
          <w:lang w:val="zh-CN"/>
        </w:rPr>
        <w:t>见附件）</w:t>
      </w:r>
      <w:r>
        <w:rPr>
          <w:rFonts w:hint="eastAsia" w:hAnsi="宋体" w:cs="宋体"/>
          <w:color w:val="auto"/>
          <w:spacing w:val="-6"/>
          <w:sz w:val="24"/>
          <w:szCs w:val="24"/>
          <w:highlight w:val="none"/>
        </w:rPr>
        <w:t>；</w:t>
      </w:r>
    </w:p>
    <w:p w14:paraId="27332A64">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rPr>
      </w:pPr>
      <w:r>
        <w:rPr>
          <w:rFonts w:hint="eastAsia" w:hAnsi="宋体" w:cs="宋体"/>
          <w:color w:val="auto"/>
          <w:spacing w:val="-6"/>
          <w:sz w:val="24"/>
          <w:szCs w:val="24"/>
          <w:highlight w:val="none"/>
        </w:rPr>
        <w:t>3）</w:t>
      </w:r>
      <w:r>
        <w:rPr>
          <w:rFonts w:hint="eastAsia" w:hAnsi="宋体" w:cs="宋体"/>
          <w:color w:val="auto"/>
          <w:spacing w:val="-6"/>
          <w:sz w:val="24"/>
          <w:szCs w:val="24"/>
          <w:highlight w:val="none"/>
          <w:lang w:eastAsia="zh-CN"/>
        </w:rPr>
        <w:t>202</w:t>
      </w:r>
      <w:r>
        <w:rPr>
          <w:rFonts w:hint="eastAsia" w:hAnsi="宋体" w:cs="宋体"/>
          <w:color w:val="auto"/>
          <w:spacing w:val="-6"/>
          <w:sz w:val="24"/>
          <w:szCs w:val="24"/>
          <w:highlight w:val="none"/>
          <w:lang w:val="en-US" w:eastAsia="zh-CN"/>
        </w:rPr>
        <w:t>5</w:t>
      </w:r>
      <w:r>
        <w:rPr>
          <w:rFonts w:hint="eastAsia" w:hAnsi="宋体" w:cs="宋体"/>
          <w:color w:val="auto"/>
          <w:spacing w:val="-6"/>
          <w:sz w:val="24"/>
          <w:szCs w:val="24"/>
          <w:highlight w:val="none"/>
          <w:lang w:eastAsia="zh-CN"/>
        </w:rPr>
        <w:t>年1月</w:t>
      </w:r>
      <w:r>
        <w:rPr>
          <w:rFonts w:hint="eastAsia" w:hAnsi="宋体" w:cs="宋体"/>
          <w:color w:val="auto"/>
          <w:spacing w:val="-6"/>
          <w:sz w:val="24"/>
          <w:szCs w:val="24"/>
          <w:highlight w:val="none"/>
        </w:rPr>
        <w:t>至今任意一月投标授权代表社保缴纳证明；</w:t>
      </w:r>
    </w:p>
    <w:p w14:paraId="43E34FFA">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rPr>
      </w:pPr>
      <w:r>
        <w:rPr>
          <w:rFonts w:hint="eastAsia" w:hAnsi="宋体" w:cs="宋体"/>
          <w:color w:val="auto"/>
          <w:spacing w:val="-6"/>
          <w:sz w:val="24"/>
          <w:szCs w:val="24"/>
          <w:highlight w:val="none"/>
        </w:rPr>
        <w:t>4）投标声明书(</w:t>
      </w:r>
      <w:r>
        <w:rPr>
          <w:rFonts w:hint="eastAsia" w:hAnsi="宋体" w:cs="宋体"/>
          <w:color w:val="auto"/>
          <w:spacing w:val="-6"/>
          <w:sz w:val="24"/>
          <w:szCs w:val="24"/>
          <w:highlight w:val="none"/>
          <w:lang w:val="zh-CN"/>
        </w:rPr>
        <w:t>见附件）</w:t>
      </w:r>
      <w:r>
        <w:rPr>
          <w:rFonts w:hint="eastAsia" w:hAnsi="宋体" w:cs="宋体"/>
          <w:color w:val="auto"/>
          <w:spacing w:val="-6"/>
          <w:sz w:val="24"/>
          <w:szCs w:val="24"/>
          <w:highlight w:val="none"/>
        </w:rPr>
        <w:t>；</w:t>
      </w:r>
    </w:p>
    <w:p w14:paraId="2903959A">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rPr>
      </w:pPr>
      <w:r>
        <w:rPr>
          <w:rFonts w:hint="eastAsia" w:hAnsi="宋体" w:cs="宋体"/>
          <w:color w:val="auto"/>
          <w:spacing w:val="-6"/>
          <w:sz w:val="24"/>
          <w:szCs w:val="24"/>
          <w:highlight w:val="none"/>
        </w:rPr>
        <w:t>5）</w:t>
      </w:r>
      <w:r>
        <w:rPr>
          <w:rFonts w:hint="eastAsia" w:hAnsi="宋体" w:cs="宋体"/>
          <w:color w:val="auto"/>
          <w:spacing w:val="-6"/>
          <w:sz w:val="24"/>
          <w:szCs w:val="24"/>
          <w:highlight w:val="none"/>
          <w:lang w:val="zh-CN"/>
        </w:rPr>
        <w:t>供应商基本情况表（见附件）；</w:t>
      </w:r>
    </w:p>
    <w:p w14:paraId="0DC227EA">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lang w:val="zh-CN"/>
        </w:rPr>
      </w:pPr>
      <w:r>
        <w:rPr>
          <w:rFonts w:hint="eastAsia" w:hAnsi="宋体" w:cs="宋体"/>
          <w:color w:val="auto"/>
          <w:spacing w:val="-6"/>
          <w:sz w:val="24"/>
          <w:szCs w:val="24"/>
          <w:highlight w:val="none"/>
        </w:rPr>
        <w:t>6）</w:t>
      </w:r>
      <w:r>
        <w:rPr>
          <w:rFonts w:hint="eastAsia" w:hAnsi="宋体" w:cs="宋体"/>
          <w:color w:val="auto"/>
          <w:spacing w:val="-6"/>
          <w:sz w:val="24"/>
          <w:szCs w:val="24"/>
          <w:highlight w:val="none"/>
          <w:lang w:eastAsia="zh-CN"/>
        </w:rPr>
        <w:t>投标人资质</w:t>
      </w:r>
      <w:r>
        <w:rPr>
          <w:rFonts w:hint="eastAsia" w:hAnsi="宋体" w:cs="宋体"/>
          <w:color w:val="auto"/>
          <w:spacing w:val="-6"/>
          <w:sz w:val="24"/>
          <w:szCs w:val="24"/>
          <w:highlight w:val="none"/>
        </w:rPr>
        <w:t>；</w:t>
      </w:r>
    </w:p>
    <w:p w14:paraId="5AAF1956">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lang w:val="zh-CN"/>
        </w:rPr>
      </w:pPr>
      <w:r>
        <w:rPr>
          <w:rFonts w:hint="eastAsia" w:hAnsi="宋体" w:cs="宋体"/>
          <w:color w:val="auto"/>
          <w:spacing w:val="-6"/>
          <w:sz w:val="24"/>
          <w:szCs w:val="24"/>
          <w:highlight w:val="none"/>
        </w:rPr>
        <w:t>7）</w:t>
      </w:r>
      <w:r>
        <w:rPr>
          <w:rFonts w:hint="eastAsia" w:hAnsi="宋体" w:cs="宋体"/>
          <w:color w:val="auto"/>
          <w:spacing w:val="-6"/>
          <w:sz w:val="24"/>
          <w:szCs w:val="24"/>
          <w:highlight w:val="none"/>
          <w:lang w:eastAsia="zh-CN"/>
        </w:rPr>
        <w:t>类似项目业绩</w:t>
      </w:r>
      <w:r>
        <w:rPr>
          <w:rFonts w:hint="eastAsia" w:hAnsi="宋体" w:cs="宋体"/>
          <w:color w:val="auto"/>
          <w:spacing w:val="-6"/>
          <w:sz w:val="24"/>
          <w:szCs w:val="24"/>
          <w:highlight w:val="none"/>
          <w:lang w:val="zh-CN"/>
        </w:rPr>
        <w:t>；</w:t>
      </w:r>
    </w:p>
    <w:p w14:paraId="4D1E2CA6">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rPr>
      </w:pPr>
      <w:r>
        <w:rPr>
          <w:rFonts w:hint="eastAsia" w:hAnsi="宋体" w:cs="宋体"/>
          <w:color w:val="auto"/>
          <w:spacing w:val="-6"/>
          <w:sz w:val="24"/>
          <w:szCs w:val="24"/>
          <w:highlight w:val="none"/>
        </w:rPr>
        <w:t>8）</w:t>
      </w:r>
      <w:r>
        <w:rPr>
          <w:rFonts w:hint="eastAsia" w:hAnsi="宋体" w:cs="宋体"/>
          <w:color w:val="auto"/>
          <w:spacing w:val="-6"/>
          <w:sz w:val="24"/>
          <w:szCs w:val="24"/>
          <w:highlight w:val="none"/>
          <w:lang w:val="en-US" w:eastAsia="zh-CN"/>
        </w:rPr>
        <w:t>服务团队人员</w:t>
      </w:r>
      <w:r>
        <w:rPr>
          <w:rFonts w:hint="eastAsia" w:hAnsi="宋体" w:cs="宋体"/>
          <w:color w:val="auto"/>
          <w:spacing w:val="-6"/>
          <w:sz w:val="24"/>
          <w:szCs w:val="24"/>
          <w:highlight w:val="none"/>
          <w:lang w:val="zh-CN"/>
        </w:rPr>
        <w:t>；</w:t>
      </w:r>
    </w:p>
    <w:p w14:paraId="1FE5CA3F">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lang w:val="zh-CN"/>
        </w:rPr>
      </w:pPr>
      <w:r>
        <w:rPr>
          <w:rFonts w:hint="eastAsia" w:hAnsi="宋体" w:cs="宋体"/>
          <w:color w:val="auto"/>
          <w:spacing w:val="-6"/>
          <w:sz w:val="24"/>
          <w:szCs w:val="24"/>
          <w:highlight w:val="none"/>
        </w:rPr>
        <w:t>9）</w:t>
      </w:r>
      <w:r>
        <w:rPr>
          <w:rFonts w:hint="eastAsia" w:hAnsi="宋体" w:cs="宋体"/>
          <w:color w:val="auto"/>
          <w:spacing w:val="-6"/>
          <w:sz w:val="24"/>
          <w:szCs w:val="24"/>
          <w:highlight w:val="none"/>
          <w:lang w:val="en-US" w:eastAsia="zh-CN"/>
        </w:rPr>
        <w:t>服务响应程度</w:t>
      </w:r>
      <w:r>
        <w:rPr>
          <w:rFonts w:hint="eastAsia" w:hAnsi="宋体" w:cs="宋体"/>
          <w:color w:val="auto"/>
          <w:spacing w:val="-6"/>
          <w:sz w:val="24"/>
          <w:szCs w:val="24"/>
          <w:highlight w:val="none"/>
          <w:lang w:val="zh-CN"/>
        </w:rPr>
        <w:t>；</w:t>
      </w:r>
    </w:p>
    <w:p w14:paraId="5F6A1D21">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lang w:val="en-US" w:eastAsia="zh-CN"/>
        </w:rPr>
      </w:pPr>
      <w:r>
        <w:rPr>
          <w:rFonts w:hint="eastAsia" w:hAnsi="宋体" w:cs="宋体"/>
          <w:color w:val="auto"/>
          <w:spacing w:val="-6"/>
          <w:sz w:val="24"/>
          <w:szCs w:val="24"/>
          <w:highlight w:val="none"/>
        </w:rPr>
        <w:t>10）</w:t>
      </w:r>
      <w:r>
        <w:rPr>
          <w:rFonts w:hint="eastAsia" w:hAnsi="宋体" w:cs="宋体"/>
          <w:color w:val="auto"/>
          <w:spacing w:val="-6"/>
          <w:sz w:val="24"/>
          <w:szCs w:val="24"/>
          <w:highlight w:val="none"/>
          <w:lang w:val="en-US" w:eastAsia="zh-CN"/>
        </w:rPr>
        <w:t>项目理解分析</w:t>
      </w:r>
      <w:r>
        <w:rPr>
          <w:rFonts w:hint="eastAsia" w:hAnsi="宋体" w:cs="宋体"/>
          <w:color w:val="auto"/>
          <w:spacing w:val="-6"/>
          <w:sz w:val="24"/>
          <w:szCs w:val="24"/>
          <w:highlight w:val="none"/>
          <w:lang w:eastAsia="zh-CN"/>
        </w:rPr>
        <w:t>；</w:t>
      </w:r>
    </w:p>
    <w:p w14:paraId="40C7B915">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lang w:val="en-US" w:eastAsia="zh-CN"/>
        </w:rPr>
      </w:pPr>
      <w:r>
        <w:rPr>
          <w:rFonts w:hint="eastAsia" w:hAnsi="宋体" w:cs="宋体"/>
          <w:color w:val="auto"/>
          <w:spacing w:val="-6"/>
          <w:sz w:val="24"/>
          <w:szCs w:val="24"/>
          <w:highlight w:val="none"/>
          <w:lang w:val="en-US" w:eastAsia="zh-CN"/>
        </w:rPr>
        <w:t>11）实施进度安排；</w:t>
      </w:r>
    </w:p>
    <w:p w14:paraId="2D6AD0B7">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lang w:val="en-US" w:eastAsia="zh-CN"/>
        </w:rPr>
      </w:pPr>
      <w:r>
        <w:rPr>
          <w:rFonts w:hint="eastAsia" w:hAnsi="宋体" w:cs="宋体"/>
          <w:color w:val="auto"/>
          <w:spacing w:val="-6"/>
          <w:sz w:val="24"/>
          <w:szCs w:val="24"/>
          <w:highlight w:val="none"/>
          <w:lang w:val="en-US" w:eastAsia="zh-CN"/>
        </w:rPr>
        <w:t>12）售后服务、应急响应方案；</w:t>
      </w:r>
    </w:p>
    <w:p w14:paraId="11469933">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lang w:val="en-US" w:eastAsia="zh-CN"/>
        </w:rPr>
      </w:pPr>
      <w:r>
        <w:rPr>
          <w:rFonts w:hint="eastAsia" w:hAnsi="宋体" w:cs="宋体"/>
          <w:color w:val="auto"/>
          <w:spacing w:val="-6"/>
          <w:sz w:val="24"/>
          <w:szCs w:val="24"/>
          <w:highlight w:val="none"/>
          <w:lang w:val="en-US" w:eastAsia="zh-CN"/>
        </w:rPr>
        <w:t>13) 维保方案；</w:t>
      </w:r>
    </w:p>
    <w:p w14:paraId="341C5D97">
      <w:pPr>
        <w:pStyle w:val="9"/>
        <w:keepNext w:val="0"/>
        <w:keepLines w:val="0"/>
        <w:pageBreakBefore w:val="0"/>
        <w:kinsoku/>
        <w:wordWrap/>
        <w:overflowPunct/>
        <w:topLinePunct w:val="0"/>
        <w:bidi w:val="0"/>
        <w:spacing w:line="360" w:lineRule="auto"/>
        <w:ind w:firstLine="456" w:firstLineChars="200"/>
        <w:jc w:val="left"/>
        <w:textAlignment w:val="auto"/>
        <w:rPr>
          <w:rFonts w:hint="default" w:hAnsi="宋体" w:cs="宋体"/>
          <w:color w:val="auto"/>
          <w:spacing w:val="-6"/>
          <w:sz w:val="24"/>
          <w:szCs w:val="24"/>
          <w:highlight w:val="none"/>
          <w:lang w:val="en-US" w:eastAsia="zh-CN"/>
        </w:rPr>
      </w:pPr>
      <w:r>
        <w:rPr>
          <w:rFonts w:hint="eastAsia" w:hAnsi="宋体" w:cs="宋体"/>
          <w:color w:val="auto"/>
          <w:spacing w:val="-6"/>
          <w:sz w:val="24"/>
          <w:szCs w:val="24"/>
          <w:highlight w:val="none"/>
          <w:lang w:val="en-US" w:eastAsia="zh-CN"/>
        </w:rPr>
        <w:t>14）技术培训方案；</w:t>
      </w:r>
    </w:p>
    <w:p w14:paraId="10EB696B">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lang w:val="en-US" w:eastAsia="zh-CN"/>
        </w:rPr>
      </w:pPr>
      <w:r>
        <w:rPr>
          <w:rFonts w:hint="eastAsia" w:hAnsi="宋体" w:cs="宋体"/>
          <w:color w:val="auto"/>
          <w:spacing w:val="-6"/>
          <w:sz w:val="24"/>
          <w:szCs w:val="24"/>
          <w:highlight w:val="none"/>
          <w:lang w:val="en-US" w:eastAsia="zh-CN"/>
        </w:rPr>
        <w:t>15) 合理化建议、增值服务；</w:t>
      </w:r>
    </w:p>
    <w:p w14:paraId="3F22E662">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lang w:val="zh-CN"/>
        </w:rPr>
      </w:pPr>
      <w:r>
        <w:rPr>
          <w:rFonts w:hint="eastAsia" w:hAnsi="宋体" w:cs="宋体"/>
          <w:color w:val="auto"/>
          <w:spacing w:val="-6"/>
          <w:sz w:val="24"/>
          <w:szCs w:val="24"/>
          <w:highlight w:val="none"/>
          <w:lang w:val="en-US" w:eastAsia="zh-CN"/>
        </w:rPr>
        <w:t>16) 供应商资料真实性承诺书等（见</w:t>
      </w:r>
      <w:r>
        <w:rPr>
          <w:rFonts w:hint="eastAsia" w:hAnsi="宋体" w:cs="宋体"/>
          <w:color w:val="auto"/>
          <w:spacing w:val="-6"/>
          <w:sz w:val="24"/>
          <w:szCs w:val="24"/>
          <w:highlight w:val="none"/>
        </w:rPr>
        <w:t>附件）；</w:t>
      </w:r>
    </w:p>
    <w:p w14:paraId="451C2FDD">
      <w:pPr>
        <w:pStyle w:val="9"/>
        <w:keepNext w:val="0"/>
        <w:keepLines w:val="0"/>
        <w:pageBreakBefore w:val="0"/>
        <w:kinsoku/>
        <w:wordWrap/>
        <w:overflowPunct/>
        <w:topLinePunct w:val="0"/>
        <w:bidi w:val="0"/>
        <w:spacing w:line="360" w:lineRule="auto"/>
        <w:ind w:firstLine="456" w:firstLineChars="200"/>
        <w:jc w:val="left"/>
        <w:textAlignment w:val="auto"/>
        <w:rPr>
          <w:rFonts w:hint="eastAsia" w:hAnsi="宋体" w:cs="宋体"/>
          <w:color w:val="auto"/>
          <w:spacing w:val="-6"/>
          <w:sz w:val="24"/>
          <w:szCs w:val="24"/>
          <w:highlight w:val="none"/>
          <w:lang w:val="en-US" w:eastAsia="zh-CN"/>
        </w:rPr>
      </w:pPr>
      <w:r>
        <w:rPr>
          <w:rFonts w:hint="eastAsia" w:hAnsi="宋体" w:cs="宋体"/>
          <w:color w:val="auto"/>
          <w:spacing w:val="-6"/>
          <w:sz w:val="24"/>
          <w:szCs w:val="24"/>
          <w:highlight w:val="none"/>
          <w:lang w:val="en-US" w:eastAsia="zh-CN"/>
        </w:rPr>
        <w:t xml:space="preserve">17) </w:t>
      </w:r>
      <w:r>
        <w:rPr>
          <w:rFonts w:hint="eastAsia" w:hAnsi="宋体" w:cs="宋体"/>
          <w:color w:val="auto"/>
          <w:spacing w:val="-6"/>
          <w:sz w:val="24"/>
          <w:szCs w:val="24"/>
          <w:highlight w:val="none"/>
        </w:rPr>
        <w:t>供应商需要说明的其他文件和材料</w:t>
      </w:r>
      <w:r>
        <w:rPr>
          <w:rFonts w:hint="eastAsia" w:hAnsi="宋体" w:cs="宋体"/>
          <w:color w:val="auto"/>
          <w:spacing w:val="-6"/>
          <w:sz w:val="24"/>
          <w:szCs w:val="24"/>
          <w:highlight w:val="none"/>
          <w:lang w:eastAsia="zh-CN"/>
        </w:rPr>
        <w:t>（根据评分细则）</w:t>
      </w:r>
      <w:r>
        <w:rPr>
          <w:rFonts w:hint="eastAsia" w:hAnsi="宋体" w:cs="宋体"/>
          <w:color w:val="auto"/>
          <w:spacing w:val="-6"/>
          <w:sz w:val="24"/>
          <w:szCs w:val="24"/>
          <w:highlight w:val="none"/>
        </w:rPr>
        <w:t>。</w:t>
      </w:r>
    </w:p>
    <w:p w14:paraId="366AABE2">
      <w:pPr>
        <w:keepNext w:val="0"/>
        <w:keepLines w:val="0"/>
        <w:pageBreakBefore w:val="0"/>
        <w:kinsoku/>
        <w:wordWrap/>
        <w:overflowPunct/>
        <w:topLinePunct w:val="0"/>
        <w:bidi w:val="0"/>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（二）投标文件的签署和份数</w:t>
      </w:r>
    </w:p>
    <w:p w14:paraId="69E3A245">
      <w:pPr>
        <w:keepNext w:val="0"/>
        <w:keepLines w:val="0"/>
        <w:pageBreakBefore w:val="0"/>
        <w:kinsoku/>
        <w:wordWrap/>
        <w:overflowPunct/>
        <w:topLinePunct w:val="0"/>
        <w:bidi w:val="0"/>
        <w:spacing w:line="360" w:lineRule="auto"/>
        <w:ind w:firstLine="456" w:firstLineChars="200"/>
        <w:jc w:val="left"/>
        <w:textAlignment w:val="auto"/>
        <w:rPr>
          <w:rFonts w:ascii="宋体" w:cs="宋体"/>
          <w:b/>
          <w:bCs/>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所引</w:t>
      </w:r>
      <w:r>
        <w:rPr>
          <w:rFonts w:ascii="宋体" w:hAnsi="宋体" w:cs="宋体"/>
          <w:color w:val="auto"/>
          <w:spacing w:val="-6"/>
          <w:sz w:val="24"/>
          <w:highlight w:val="none"/>
        </w:rPr>
        <w:t>起的后果</w:t>
      </w:r>
      <w:r>
        <w:rPr>
          <w:rFonts w:hint="eastAsia" w:ascii="宋体" w:hAnsi="宋体" w:cs="宋体"/>
          <w:color w:val="auto"/>
          <w:spacing w:val="-6"/>
          <w:sz w:val="24"/>
          <w:highlight w:val="none"/>
        </w:rPr>
        <w:t>由投标人的负责。</w:t>
      </w:r>
      <w:r>
        <w:rPr>
          <w:rFonts w:hint="eastAsia" w:ascii="宋体" w:hAnsi="宋体" w:cs="宋体"/>
          <w:b/>
          <w:bCs/>
          <w:color w:val="auto"/>
          <w:spacing w:val="-6"/>
          <w:sz w:val="24"/>
          <w:highlight w:val="none"/>
        </w:rPr>
        <w:t>其中资格文件、商务技术文件中不得出现投标报价，如因投标人原因提前泄露投标报价所引</w:t>
      </w:r>
      <w:r>
        <w:rPr>
          <w:rFonts w:ascii="宋体" w:hAnsi="宋体" w:cs="宋体"/>
          <w:b/>
          <w:bCs/>
          <w:color w:val="auto"/>
          <w:spacing w:val="-6"/>
          <w:sz w:val="24"/>
          <w:highlight w:val="none"/>
        </w:rPr>
        <w:t>起的后果</w:t>
      </w:r>
      <w:r>
        <w:rPr>
          <w:rFonts w:hint="eastAsia" w:ascii="宋体" w:hAnsi="宋体" w:cs="宋体"/>
          <w:b/>
          <w:bCs/>
          <w:color w:val="auto"/>
          <w:spacing w:val="-6"/>
          <w:sz w:val="24"/>
          <w:highlight w:val="none"/>
        </w:rPr>
        <w:t>由投标人的负责。</w:t>
      </w:r>
    </w:p>
    <w:p w14:paraId="52F34247">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2.</w:t>
      </w:r>
      <w:r>
        <w:rPr>
          <w:rFonts w:hint="eastAsia" w:ascii="宋体" w:hAnsi="宋体" w:cs="宋体"/>
          <w:color w:val="auto"/>
          <w:spacing w:val="-6"/>
          <w:sz w:val="24"/>
          <w:highlight w:val="none"/>
        </w:rPr>
        <w:t>投标文件须由投标人在规定位置加盖公章并由投标人代表签署，投标人应写全称。</w:t>
      </w:r>
    </w:p>
    <w:p w14:paraId="20DD1C18">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3.</w:t>
      </w:r>
      <w:r>
        <w:rPr>
          <w:rFonts w:hint="eastAsia" w:ascii="宋体" w:hAnsi="宋体" w:cs="宋体"/>
          <w:color w:val="auto"/>
          <w:spacing w:val="-6"/>
          <w:sz w:val="24"/>
          <w:highlight w:val="none"/>
        </w:rPr>
        <w:t>投标文件不得涂改，若有修改错漏处，须由投标人代表签字并加盖公章。投标文件因字迹潦草或表达不清所引起的后果由投标人负责。</w:t>
      </w:r>
    </w:p>
    <w:p w14:paraId="397020C8">
      <w:pPr>
        <w:keepNext w:val="0"/>
        <w:keepLines w:val="0"/>
        <w:pageBreakBefore w:val="0"/>
        <w:kinsoku/>
        <w:wordWrap/>
        <w:overflowPunct/>
        <w:topLinePunct w:val="0"/>
        <w:bidi w:val="0"/>
        <w:spacing w:line="360" w:lineRule="auto"/>
        <w:ind w:firstLine="458" w:firstLineChars="200"/>
        <w:jc w:val="left"/>
        <w:textAlignment w:val="auto"/>
        <w:rPr>
          <w:rFonts w:ascii="宋体" w:cs="宋体"/>
          <w:b/>
          <w:bCs/>
          <w:color w:val="auto"/>
          <w:spacing w:val="-6"/>
          <w:sz w:val="24"/>
          <w:highlight w:val="none"/>
        </w:rPr>
      </w:pPr>
      <w:r>
        <w:rPr>
          <w:rFonts w:ascii="宋体" w:hAnsi="宋体" w:cs="宋体"/>
          <w:b/>
          <w:bCs/>
          <w:color w:val="auto"/>
          <w:spacing w:val="-6"/>
          <w:sz w:val="24"/>
          <w:highlight w:val="none"/>
        </w:rPr>
        <w:t>4.</w:t>
      </w:r>
      <w:r>
        <w:rPr>
          <w:rFonts w:hint="eastAsia" w:ascii="宋体" w:hAnsi="宋体" w:cs="宋体"/>
          <w:b/>
          <w:bCs/>
          <w:color w:val="auto"/>
          <w:spacing w:val="-6"/>
          <w:sz w:val="24"/>
          <w:highlight w:val="none"/>
        </w:rPr>
        <w:t>投标文件份数：</w:t>
      </w:r>
    </w:p>
    <w:p w14:paraId="19DB434E">
      <w:pPr>
        <w:keepNext w:val="0"/>
        <w:keepLines w:val="0"/>
        <w:pageBreakBefore w:val="0"/>
        <w:kinsoku/>
        <w:wordWrap/>
        <w:overflowPunct/>
        <w:topLinePunct w:val="0"/>
        <w:bidi w:val="0"/>
        <w:spacing w:line="360" w:lineRule="auto"/>
        <w:ind w:firstLine="458" w:firstLineChars="200"/>
        <w:jc w:val="left"/>
        <w:textAlignment w:val="auto"/>
        <w:rPr>
          <w:rFonts w:ascii="宋体" w:cs="宋体"/>
          <w:b/>
          <w:bCs/>
          <w:color w:val="auto"/>
          <w:spacing w:val="-6"/>
          <w:sz w:val="24"/>
          <w:highlight w:val="none"/>
        </w:rPr>
      </w:pPr>
      <w:r>
        <w:rPr>
          <w:rFonts w:hint="eastAsia" w:ascii="宋体" w:hAnsi="宋体" w:cs="宋体"/>
          <w:b/>
          <w:bCs/>
          <w:color w:val="auto"/>
          <w:spacing w:val="-6"/>
          <w:sz w:val="24"/>
          <w:highlight w:val="none"/>
        </w:rPr>
        <w:t>电子加密投标文件：政府采购云平台在线上传一份；备份投标文件：以压缩保密存储数据电文形式递交一份（接收邮箱为：</w:t>
      </w:r>
      <w:r>
        <w:rPr>
          <w:rFonts w:hint="eastAsia" w:ascii="宋体" w:hAnsi="宋体" w:cs="宋体"/>
          <w:b/>
          <w:bCs/>
          <w:color w:val="auto"/>
          <w:spacing w:val="-6"/>
          <w:sz w:val="24"/>
          <w:highlight w:val="none"/>
          <w:lang w:eastAsia="zh-CN"/>
        </w:rPr>
        <w:t>646289109</w:t>
      </w:r>
      <w:r>
        <w:rPr>
          <w:rFonts w:hint="eastAsia" w:ascii="宋体" w:hAnsi="宋体" w:cs="宋体"/>
          <w:b/>
          <w:bCs/>
          <w:color w:val="auto"/>
          <w:spacing w:val="-6"/>
          <w:sz w:val="24"/>
          <w:highlight w:val="none"/>
        </w:rPr>
        <w:t>@qq.com）。</w:t>
      </w:r>
    </w:p>
    <w:p w14:paraId="60633324">
      <w:pPr>
        <w:keepNext w:val="0"/>
        <w:keepLines w:val="0"/>
        <w:pageBreakBefore w:val="0"/>
        <w:kinsoku/>
        <w:wordWrap/>
        <w:overflowPunct/>
        <w:topLinePunct w:val="0"/>
        <w:bidi w:val="0"/>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（三）投标文件的上传、递交、修改和撤回</w:t>
      </w:r>
    </w:p>
    <w:p w14:paraId="4158FF70">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w:t>
      </w:r>
      <w:r>
        <w:rPr>
          <w:rFonts w:ascii="宋体" w:hAnsi="宋体" w:cs="宋体"/>
          <w:color w:val="auto"/>
          <w:spacing w:val="-6"/>
          <w:sz w:val="24"/>
          <w:highlight w:val="none"/>
        </w:rPr>
        <w:t>1</w:t>
      </w:r>
      <w:r>
        <w:rPr>
          <w:rFonts w:hint="eastAsia" w:ascii="宋体" w:hAnsi="宋体" w:cs="宋体"/>
          <w:color w:val="auto"/>
          <w:spacing w:val="-6"/>
          <w:sz w:val="24"/>
          <w:highlight w:val="none"/>
        </w:rPr>
        <w:t>）电子加密投标文件的上传：</w:t>
      </w:r>
    </w:p>
    <w:p w14:paraId="03D1DCD1">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▲投标人应在投标截止时间前将电子加密投标文件成功上传至政府采购云平台，否则投标无效。</w:t>
      </w:r>
    </w:p>
    <w:p w14:paraId="5451B8C0">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w:t>
      </w:r>
      <w:r>
        <w:rPr>
          <w:rFonts w:ascii="宋体" w:hAnsi="宋体" w:cs="宋体"/>
          <w:color w:val="auto"/>
          <w:spacing w:val="-6"/>
          <w:sz w:val="24"/>
          <w:highlight w:val="none"/>
        </w:rPr>
        <w:t>2</w:t>
      </w:r>
      <w:r>
        <w:rPr>
          <w:rFonts w:hint="eastAsia" w:ascii="宋体" w:hAnsi="宋体" w:cs="宋体"/>
          <w:color w:val="auto"/>
          <w:spacing w:val="-6"/>
          <w:sz w:val="24"/>
          <w:highlight w:val="none"/>
        </w:rPr>
        <w:t>）备份投标文件的递交：</w:t>
      </w:r>
    </w:p>
    <w:p w14:paraId="5B854AD1">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a.</w:t>
      </w:r>
      <w:r>
        <w:rPr>
          <w:rFonts w:hint="eastAsia" w:ascii="宋体" w:hAnsi="宋体" w:cs="宋体"/>
          <w:color w:val="auto"/>
          <w:spacing w:val="-6"/>
          <w:sz w:val="24"/>
          <w:highlight w:val="none"/>
        </w:rPr>
        <w:t>投标人在政府采购云平台完成电子加密投标文件的上传后，请以压缩保密存储数据电文形式在投标截止时间前递交备份</w:t>
      </w:r>
      <w:r>
        <w:rPr>
          <w:rFonts w:hint="eastAsia" w:ascii="宋体" w:hAnsi="宋体" w:cs="宋体"/>
          <w:color w:val="auto"/>
          <w:spacing w:val="-6"/>
          <w:sz w:val="24"/>
          <w:highlight w:val="none"/>
          <w:lang w:eastAsia="zh-CN"/>
        </w:rPr>
        <w:t>投标</w:t>
      </w:r>
      <w:r>
        <w:rPr>
          <w:rFonts w:hint="eastAsia" w:ascii="宋体" w:hAnsi="宋体" w:cs="宋体"/>
          <w:color w:val="auto"/>
          <w:spacing w:val="-6"/>
          <w:sz w:val="24"/>
          <w:highlight w:val="none"/>
        </w:rPr>
        <w:t>文件；</w:t>
      </w:r>
    </w:p>
    <w:p w14:paraId="203E182D">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b.</w:t>
      </w:r>
      <w:r>
        <w:rPr>
          <w:rFonts w:hint="eastAsia" w:ascii="宋体" w:hAnsi="宋体" w:cs="宋体"/>
          <w:color w:val="auto"/>
          <w:sz w:val="24"/>
          <w:highlight w:val="none"/>
        </w:rPr>
        <w:t>投标人逾期送达或者未密封包装的备份投标文件，采购代理机构将予以拒收；</w:t>
      </w:r>
    </w:p>
    <w:p w14:paraId="6B4FF2C7">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w:t>
      </w:r>
      <w:r>
        <w:rPr>
          <w:rFonts w:ascii="宋体" w:hAnsi="宋体" w:cs="宋体"/>
          <w:color w:val="auto"/>
          <w:spacing w:val="-6"/>
          <w:sz w:val="24"/>
          <w:highlight w:val="none"/>
        </w:rPr>
        <w:t>c.</w:t>
      </w:r>
      <w:r>
        <w:rPr>
          <w:rFonts w:hint="eastAsia" w:ascii="宋体" w:hAnsi="宋体" w:cs="宋体"/>
          <w:color w:val="auto"/>
          <w:spacing w:val="-6"/>
          <w:sz w:val="24"/>
          <w:highlight w:val="none"/>
        </w:rPr>
        <w:t>通过政府采购云平台成功上传的电子加密投标文件已按时解密的，备份投标文件自动失效。投标截止时间前，投标人仅递交备份投标文件而未将电子加密投标文件成功上传至政府采购云平台的，投标无效。</w:t>
      </w:r>
    </w:p>
    <w:p w14:paraId="375E7D6E">
      <w:pPr>
        <w:keepNext w:val="0"/>
        <w:keepLines w:val="0"/>
        <w:pageBreakBefore w:val="0"/>
        <w:kinsoku/>
        <w:wordWrap/>
        <w:overflowPunct/>
        <w:topLinePunct w:val="0"/>
        <w:autoSpaceDE w:val="0"/>
        <w:autoSpaceDN w:val="0"/>
        <w:bidi w:val="0"/>
        <w:adjustRightInd w:val="0"/>
        <w:snapToGrid w:val="0"/>
        <w:spacing w:line="360" w:lineRule="auto"/>
        <w:ind w:firstLine="444" w:firstLineChars="195"/>
        <w:textAlignment w:val="auto"/>
        <w:rPr>
          <w:rFonts w:ascii="宋体" w:hAnsi="宋体" w:cs="宋体"/>
          <w:b/>
          <w:color w:val="auto"/>
          <w:sz w:val="24"/>
          <w:highlight w:val="none"/>
        </w:rPr>
      </w:pPr>
      <w:r>
        <w:rPr>
          <w:rFonts w:ascii="宋体" w:hAnsi="宋体" w:cs="宋体"/>
          <w:color w:val="auto"/>
          <w:spacing w:val="-6"/>
          <w:sz w:val="24"/>
          <w:highlight w:val="none"/>
        </w:rPr>
        <w:t>2.</w:t>
      </w:r>
      <w:r>
        <w:rPr>
          <w:rFonts w:hint="eastAsia" w:ascii="宋体" w:hAnsi="宋体" w:cs="宋体"/>
          <w:color w:val="auto"/>
          <w:sz w:val="24"/>
          <w:highlight w:val="none"/>
        </w:rPr>
        <w:t>投标人应当在投标截止时间前完成电子投标文件的上传、递交，并可以补充、修改或者撤回电子投标文件。补充或者修改电子投标文件的，应当先行撤回原文件，补充、修改后重新上传、递交。投标截止时间前未完成上传、递交的，视为撤回投标文件。投标截止时间后上传、递交的投标文件，</w:t>
      </w:r>
      <w:r>
        <w:rPr>
          <w:rFonts w:hint="eastAsia" w:ascii="宋体" w:hAnsi="宋体" w:cs="宋体"/>
          <w:color w:val="auto"/>
          <w:spacing w:val="-6"/>
          <w:sz w:val="24"/>
          <w:highlight w:val="none"/>
        </w:rPr>
        <w:t>政府采购云平台、采购人及采购代理机构将予以</w:t>
      </w:r>
      <w:r>
        <w:rPr>
          <w:rFonts w:hint="eastAsia" w:ascii="宋体" w:hAnsi="宋体" w:cs="宋体"/>
          <w:color w:val="auto"/>
          <w:sz w:val="24"/>
          <w:highlight w:val="none"/>
        </w:rPr>
        <w:t>拒收。</w:t>
      </w:r>
    </w:p>
    <w:p w14:paraId="01D83A29">
      <w:pPr>
        <w:keepNext w:val="0"/>
        <w:keepLines w:val="0"/>
        <w:pageBreakBefore w:val="0"/>
        <w:kinsoku/>
        <w:wordWrap/>
        <w:overflowPunct/>
        <w:topLinePunct w:val="0"/>
        <w:bidi w:val="0"/>
        <w:spacing w:line="360" w:lineRule="auto"/>
        <w:ind w:firstLine="482" w:firstLineChars="200"/>
        <w:jc w:val="left"/>
        <w:textAlignment w:val="auto"/>
        <w:rPr>
          <w:rFonts w:ascii="宋体" w:cs="宋体"/>
          <w:b/>
          <w:bCs/>
          <w:color w:val="auto"/>
          <w:sz w:val="24"/>
          <w:highlight w:val="none"/>
        </w:rPr>
      </w:pPr>
      <w:r>
        <w:rPr>
          <w:rFonts w:hint="eastAsia" w:ascii="宋体" w:hAnsi="宋体" w:cs="宋体"/>
          <w:b/>
          <w:bCs/>
          <w:color w:val="auto"/>
          <w:sz w:val="24"/>
          <w:highlight w:val="none"/>
        </w:rPr>
        <w:t>备注：</w:t>
      </w:r>
    </w:p>
    <w:p w14:paraId="412EA62B">
      <w:pPr>
        <w:keepNext w:val="0"/>
        <w:keepLines w:val="0"/>
        <w:pageBreakBefore w:val="0"/>
        <w:kinsoku/>
        <w:wordWrap/>
        <w:overflowPunct/>
        <w:topLinePunct w:val="0"/>
        <w:bidi w:val="0"/>
        <w:spacing w:line="360" w:lineRule="auto"/>
        <w:ind w:firstLine="482" w:firstLineChars="200"/>
        <w:jc w:val="left"/>
        <w:textAlignment w:val="auto"/>
        <w:rPr>
          <w:rFonts w:ascii="宋体" w:cs="宋体"/>
          <w:b/>
          <w:color w:val="auto"/>
          <w:spacing w:val="-6"/>
          <w:sz w:val="24"/>
          <w:highlight w:val="none"/>
        </w:rPr>
      </w:pPr>
      <w:r>
        <w:rPr>
          <w:rFonts w:hint="eastAsia" w:ascii="宋体" w:hAnsi="宋体" w:cs="宋体"/>
          <w:b/>
          <w:bCs/>
          <w:color w:val="auto"/>
          <w:sz w:val="24"/>
          <w:highlight w:val="none"/>
        </w:rPr>
        <w:t>投标人可通过浙江省“电子交易</w:t>
      </w:r>
      <w:r>
        <w:rPr>
          <w:rFonts w:ascii="宋体" w:hAnsi="宋体" w:cs="宋体"/>
          <w:b/>
          <w:bCs/>
          <w:color w:val="auto"/>
          <w:sz w:val="24"/>
          <w:highlight w:val="none"/>
        </w:rPr>
        <w:t>/</w:t>
      </w:r>
      <w:r>
        <w:rPr>
          <w:rFonts w:hint="eastAsia" w:ascii="宋体" w:hAnsi="宋体" w:cs="宋体"/>
          <w:b/>
          <w:bCs/>
          <w:color w:val="auto"/>
          <w:sz w:val="24"/>
          <w:highlight w:val="none"/>
        </w:rPr>
        <w:t>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ascii="宋体" w:hAnsi="宋体" w:cs="宋体"/>
          <w:b/>
          <w:bCs/>
          <w:color w:val="auto"/>
          <w:sz w:val="24"/>
          <w:highlight w:val="none"/>
        </w:rPr>
        <w:t>https://edu.zcygov.cn/luban/e-biding</w:t>
      </w:r>
      <w:r>
        <w:rPr>
          <w:rFonts w:ascii="宋体" w:hAnsi="宋体" w:cs="宋体"/>
          <w:b/>
          <w:bCs/>
          <w:color w:val="auto"/>
          <w:sz w:val="24"/>
          <w:highlight w:val="none"/>
        </w:rPr>
        <w:fldChar w:fldCharType="end"/>
      </w:r>
      <w:r>
        <w:rPr>
          <w:rFonts w:hint="eastAsia" w:ascii="宋体" w:hAnsi="宋体" w:cs="宋体"/>
          <w:b/>
          <w:bCs/>
          <w:color w:val="auto"/>
          <w:sz w:val="24"/>
          <w:highlight w:val="none"/>
        </w:rPr>
        <w:t>）。</w:t>
      </w:r>
    </w:p>
    <w:p w14:paraId="56D273BE">
      <w:pPr>
        <w:keepNext w:val="0"/>
        <w:keepLines w:val="0"/>
        <w:pageBreakBefore w:val="0"/>
        <w:kinsoku/>
        <w:wordWrap/>
        <w:overflowPunct/>
        <w:topLinePunct w:val="0"/>
        <w:bidi w:val="0"/>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（四）投标文件的语言及计量</w:t>
      </w:r>
    </w:p>
    <w:p w14:paraId="0ABF753D">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D0E7641">
      <w:pPr>
        <w:keepNext w:val="0"/>
        <w:keepLines w:val="0"/>
        <w:pageBreakBefore w:val="0"/>
        <w:kinsoku/>
        <w:wordWrap/>
        <w:overflowPunct/>
        <w:topLinePunct w:val="0"/>
        <w:bidi w:val="0"/>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（五）投标报价</w:t>
      </w:r>
    </w:p>
    <w:p w14:paraId="5E0B3238">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、投标人应按照采购文件中提供的格式完整地填写开标一览表。</w:t>
      </w:r>
    </w:p>
    <w:p w14:paraId="6757457A">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2</w:t>
      </w:r>
      <w:r>
        <w:rPr>
          <w:rFonts w:hint="eastAsia" w:ascii="宋体" w:hAnsi="宋体" w:cs="宋体"/>
          <w:color w:val="auto"/>
          <w:spacing w:val="-6"/>
          <w:sz w:val="24"/>
          <w:highlight w:val="none"/>
        </w:rPr>
        <w:t>、投标人应在各自商务技术占优势的基础上并充分考虑项目的重要性，提供对采购人最优惠的投标报价。</w:t>
      </w:r>
    </w:p>
    <w:p w14:paraId="75CE1923">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3</w:t>
      </w:r>
      <w:r>
        <w:rPr>
          <w:rFonts w:hint="eastAsia" w:ascii="宋体" w:hAnsi="宋体" w:cs="宋体"/>
          <w:color w:val="auto"/>
          <w:spacing w:val="-6"/>
          <w:sz w:val="24"/>
          <w:highlight w:val="none"/>
        </w:rPr>
        <w:t>、开标一览表（报价表）上的价格应包括服务、保险、税金、培训、中标服务费等完成招标项目所需的所有费用的总和，应为履行合同的最终价格，其市场风险由投标人承担。</w:t>
      </w:r>
    </w:p>
    <w:p w14:paraId="3D2CB5EE">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采购人不接受任何选择报价，只允许一个报价。</w:t>
      </w:r>
    </w:p>
    <w:p w14:paraId="70615F7A">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2)</w:t>
      </w:r>
      <w:r>
        <w:rPr>
          <w:rFonts w:hint="eastAsia" w:ascii="宋体" w:hAnsi="宋体" w:cs="宋体"/>
          <w:color w:val="auto"/>
          <w:spacing w:val="-6"/>
          <w:sz w:val="24"/>
          <w:highlight w:val="none"/>
        </w:rPr>
        <w:t>采购人要求分类报价是为了方便评标，但在任何情况下不限制采购人以其认为最合适的条款、条件签订合同的权利。</w:t>
      </w:r>
    </w:p>
    <w:p w14:paraId="31861C8B">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3)</w:t>
      </w:r>
      <w:r>
        <w:rPr>
          <w:rFonts w:hint="eastAsia" w:ascii="宋体" w:hAnsi="宋体" w:cs="宋体"/>
          <w:color w:val="auto"/>
          <w:spacing w:val="-6"/>
          <w:sz w:val="24"/>
          <w:highlight w:val="none"/>
        </w:rPr>
        <w:t>投标人所报的投标价在合同执行过程中是固定不变的，不得以任何理由予以变更。合同续期任何包含价格调整的要求须符合采购文件对该内容的规定。</w:t>
      </w:r>
    </w:p>
    <w:p w14:paraId="1B85F476">
      <w:pPr>
        <w:keepNext w:val="0"/>
        <w:keepLines w:val="0"/>
        <w:pageBreakBefore w:val="0"/>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ascii="宋体" w:hAnsi="宋体" w:cs="宋体"/>
          <w:color w:val="auto"/>
          <w:spacing w:val="-6"/>
          <w:sz w:val="24"/>
          <w:highlight w:val="none"/>
        </w:rPr>
        <w:t>4)</w:t>
      </w:r>
      <w:r>
        <w:rPr>
          <w:rFonts w:hint="eastAsia" w:ascii="宋体" w:hAnsi="宋体" w:cs="宋体"/>
          <w:color w:val="auto"/>
          <w:spacing w:val="-6"/>
          <w:sz w:val="24"/>
          <w:highlight w:val="none"/>
        </w:rPr>
        <w:t>最低报价不能作为中标的唯一保证。</w:t>
      </w:r>
    </w:p>
    <w:p w14:paraId="6C39A63D">
      <w:pPr>
        <w:keepNext w:val="0"/>
        <w:keepLines w:val="0"/>
        <w:pageBreakBefore w:val="0"/>
        <w:kinsoku/>
        <w:wordWrap/>
        <w:overflowPunct/>
        <w:topLinePunct w:val="0"/>
        <w:bidi w:val="0"/>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（六）投标有效期</w:t>
      </w:r>
    </w:p>
    <w:p w14:paraId="2DCA7961">
      <w:pPr>
        <w:pStyle w:val="16"/>
        <w:keepNext w:val="0"/>
        <w:keepLines w:val="0"/>
        <w:pageBreakBefore w:val="0"/>
        <w:kinsoku/>
        <w:wordWrap/>
        <w:overflowPunct/>
        <w:topLinePunct w:val="0"/>
        <w:bidi w:val="0"/>
        <w:spacing w:beforeLines="0" w:afterLines="0" w:line="360" w:lineRule="auto"/>
        <w:ind w:firstLine="456" w:firstLineChars="200"/>
        <w:jc w:val="left"/>
        <w:textAlignment w:val="auto"/>
        <w:rPr>
          <w:rFonts w:hAnsi="宋体" w:cs="宋体"/>
          <w:color w:val="auto"/>
          <w:spacing w:val="-6"/>
          <w:highlight w:val="none"/>
        </w:rPr>
      </w:pPr>
      <w:r>
        <w:rPr>
          <w:rFonts w:hint="eastAsia" w:hAnsi="宋体" w:cs="宋体"/>
          <w:color w:val="auto"/>
          <w:spacing w:val="-6"/>
          <w:highlight w:val="none"/>
        </w:rPr>
        <w:t>▲</w:t>
      </w:r>
      <w:r>
        <w:rPr>
          <w:rFonts w:hAnsi="宋体" w:cs="宋体"/>
          <w:color w:val="auto"/>
          <w:spacing w:val="-6"/>
          <w:highlight w:val="none"/>
        </w:rPr>
        <w:t>1.</w:t>
      </w:r>
      <w:r>
        <w:rPr>
          <w:rFonts w:hint="eastAsia" w:hAnsi="宋体" w:cs="宋体"/>
          <w:color w:val="auto"/>
          <w:spacing w:val="-6"/>
          <w:highlight w:val="none"/>
        </w:rPr>
        <w:t>从提交投标文件的截止之日起</w:t>
      </w:r>
      <w:r>
        <w:rPr>
          <w:rFonts w:hAnsi="宋体" w:cs="宋体"/>
          <w:color w:val="auto"/>
          <w:spacing w:val="-6"/>
          <w:highlight w:val="none"/>
        </w:rPr>
        <w:t>90</w:t>
      </w:r>
      <w:r>
        <w:rPr>
          <w:rFonts w:hint="eastAsia" w:hAnsi="宋体" w:cs="宋体"/>
          <w:color w:val="auto"/>
          <w:spacing w:val="-6"/>
          <w:highlight w:val="none"/>
        </w:rPr>
        <w:t>天。</w:t>
      </w:r>
    </w:p>
    <w:p w14:paraId="2064194F">
      <w:pPr>
        <w:pStyle w:val="16"/>
        <w:keepNext w:val="0"/>
        <w:keepLines w:val="0"/>
        <w:pageBreakBefore w:val="0"/>
        <w:kinsoku/>
        <w:wordWrap/>
        <w:overflowPunct/>
        <w:topLinePunct w:val="0"/>
        <w:bidi w:val="0"/>
        <w:spacing w:beforeLines="0" w:afterLines="0" w:line="360" w:lineRule="auto"/>
        <w:ind w:firstLine="456" w:firstLineChars="200"/>
        <w:jc w:val="left"/>
        <w:textAlignment w:val="auto"/>
        <w:rPr>
          <w:rFonts w:hAnsi="宋体" w:cs="宋体"/>
          <w:color w:val="auto"/>
          <w:spacing w:val="-6"/>
          <w:highlight w:val="none"/>
        </w:rPr>
      </w:pPr>
      <w:r>
        <w:rPr>
          <w:rFonts w:hAnsi="宋体" w:cs="宋体"/>
          <w:color w:val="auto"/>
          <w:spacing w:val="-6"/>
          <w:highlight w:val="none"/>
        </w:rPr>
        <w:t>2.</w:t>
      </w:r>
      <w:r>
        <w:rPr>
          <w:rFonts w:hint="eastAsia" w:hAnsi="宋体" w:cs="宋体"/>
          <w:color w:val="auto"/>
          <w:spacing w:val="-6"/>
          <w:highlight w:val="none"/>
        </w:rPr>
        <w:t>在原投标有效期满之前，如果出现特殊情况，采购人或采购代理机构以书面形式通知投标人延长投标有效期。</w:t>
      </w:r>
    </w:p>
    <w:p w14:paraId="3F8A30CF">
      <w:pPr>
        <w:keepNext w:val="0"/>
        <w:keepLines w:val="0"/>
        <w:pageBreakBefore w:val="0"/>
        <w:kinsoku/>
        <w:wordWrap/>
        <w:overflowPunct/>
        <w:topLinePunct w:val="0"/>
        <w:bidi w:val="0"/>
        <w:spacing w:line="360" w:lineRule="auto"/>
        <w:jc w:val="left"/>
        <w:textAlignment w:val="auto"/>
        <w:outlineLvl w:val="2"/>
        <w:rPr>
          <w:rFonts w:ascii="宋体" w:cs="宋体"/>
          <w:b/>
          <w:color w:val="auto"/>
          <w:spacing w:val="-6"/>
          <w:sz w:val="24"/>
          <w:highlight w:val="none"/>
        </w:rPr>
      </w:pPr>
      <w:r>
        <w:rPr>
          <w:rFonts w:hint="eastAsia" w:ascii="宋体" w:hAnsi="宋体" w:cs="宋体"/>
          <w:b/>
          <w:color w:val="auto"/>
          <w:spacing w:val="-6"/>
          <w:sz w:val="24"/>
          <w:highlight w:val="none"/>
        </w:rPr>
        <w:t>（七）投标无效的情形</w:t>
      </w:r>
    </w:p>
    <w:p w14:paraId="200620B3">
      <w:pPr>
        <w:keepNext w:val="0"/>
        <w:keepLines w:val="0"/>
        <w:pageBreakBefore w:val="0"/>
        <w:widowControl w:val="0"/>
        <w:numPr>
          <w:ilvl w:val="1"/>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default" w:ascii="宋体" w:hAnsi="宋体" w:eastAsia="宋体" w:cs="宋体"/>
          <w:b w:val="0"/>
          <w:i w:val="0"/>
          <w:color w:val="auto"/>
          <w:kern w:val="2"/>
          <w:sz w:val="24"/>
          <w:szCs w:val="24"/>
          <w:highlight w:val="none"/>
          <w:lang w:val="en-US" w:eastAsia="zh-CN" w:bidi="ar-SA"/>
        </w:rPr>
        <w:t>1.</w:t>
      </w:r>
      <w:r>
        <w:rPr>
          <w:rFonts w:hint="eastAsia" w:ascii="宋体" w:hAnsi="宋体" w:eastAsia="宋体" w:cs="宋体"/>
          <w:color w:val="auto"/>
          <w:sz w:val="24"/>
          <w:szCs w:val="24"/>
          <w:highlight w:val="none"/>
        </w:rPr>
        <w:t>实质上没有响应招标文件要求的投标将被视为无效投标。投标人不得通过修正或撤消不合要求的偏离或保留从而使其投标成为实质上响应的投标。如发生下列情况之一的，其投标视为无效：</w:t>
      </w:r>
    </w:p>
    <w:p w14:paraId="7AE382BE">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1.1</w:t>
      </w:r>
      <w:r>
        <w:rPr>
          <w:rFonts w:hint="eastAsia" w:ascii="宋体" w:hAnsi="宋体" w:eastAsia="宋体" w:cs="宋体"/>
          <w:color w:val="auto"/>
          <w:sz w:val="24"/>
          <w:szCs w:val="24"/>
          <w:highlight w:val="none"/>
        </w:rPr>
        <w:t>不具备招标文件规定资格要求；</w:t>
      </w:r>
    </w:p>
    <w:p w14:paraId="4B0F35D5">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1.2</w:t>
      </w:r>
      <w:r>
        <w:rPr>
          <w:rFonts w:hint="eastAsia" w:ascii="宋体" w:hAnsi="宋体" w:eastAsia="宋体" w:cs="宋体"/>
          <w:color w:val="auto"/>
          <w:sz w:val="24"/>
          <w:szCs w:val="24"/>
          <w:highlight w:val="none"/>
        </w:rPr>
        <w:t>电子投标文件未按规定要求提供电子签章的；</w:t>
      </w:r>
    </w:p>
    <w:p w14:paraId="5A661151">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1.3</w:t>
      </w:r>
      <w:r>
        <w:rPr>
          <w:rFonts w:hint="eastAsia" w:ascii="宋体" w:hAnsi="宋体" w:eastAsia="宋体" w:cs="宋体"/>
          <w:color w:val="auto"/>
          <w:sz w:val="24"/>
          <w:szCs w:val="24"/>
          <w:highlight w:val="none"/>
        </w:rPr>
        <w:t>电子备份投标文件启用后，未按规定要求提供电子签章的；</w:t>
      </w:r>
    </w:p>
    <w:p w14:paraId="7CDF47D8">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1.4</w:t>
      </w:r>
      <w:r>
        <w:rPr>
          <w:rFonts w:hint="eastAsia" w:ascii="宋体" w:hAnsi="宋体" w:eastAsia="宋体" w:cs="宋体"/>
          <w:color w:val="auto"/>
          <w:sz w:val="24"/>
          <w:szCs w:val="24"/>
          <w:highlight w:val="none"/>
        </w:rPr>
        <w:t>投标文件未有效授权的；</w:t>
      </w:r>
    </w:p>
    <w:p w14:paraId="2DE306A2">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1.5</w:t>
      </w:r>
      <w:r>
        <w:rPr>
          <w:rFonts w:hint="eastAsia" w:ascii="宋体" w:hAnsi="宋体" w:eastAsia="宋体" w:cs="宋体"/>
          <w:color w:val="auto"/>
          <w:sz w:val="24"/>
          <w:szCs w:val="24"/>
          <w:highlight w:val="none"/>
        </w:rPr>
        <w:t>招标文件中有▲处条款投标人未作实质性响应的；</w:t>
      </w:r>
    </w:p>
    <w:p w14:paraId="21B36DBC">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1.6</w:t>
      </w:r>
      <w:r>
        <w:rPr>
          <w:rFonts w:hint="eastAsia" w:ascii="宋体" w:hAnsi="宋体" w:eastAsia="宋体" w:cs="宋体"/>
          <w:color w:val="auto"/>
          <w:sz w:val="24"/>
          <w:szCs w:val="24"/>
          <w:highlight w:val="none"/>
        </w:rPr>
        <w:t>投标文件出现不是唯一的、有选择性投标报价的；</w:t>
      </w:r>
    </w:p>
    <w:p w14:paraId="62B33B49">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1.7</w:t>
      </w:r>
      <w:r>
        <w:rPr>
          <w:rFonts w:hint="eastAsia" w:ascii="宋体" w:hAnsi="宋体" w:eastAsia="宋体" w:cs="宋体"/>
          <w:color w:val="auto"/>
          <w:sz w:val="24"/>
          <w:szCs w:val="24"/>
          <w:highlight w:val="none"/>
        </w:rPr>
        <w:t>投标人的报价明显低于其他通过符合性审查投标人的报价，投标人不能证明其报价合理性，并在评标现场合理的时间内提供书面说明与相关证明材料的；</w:t>
      </w:r>
    </w:p>
    <w:p w14:paraId="4D2721E4">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1.8</w:t>
      </w:r>
      <w:r>
        <w:rPr>
          <w:rFonts w:hint="eastAsia" w:ascii="宋体" w:hAnsi="宋体" w:eastAsia="宋体" w:cs="宋体"/>
          <w:color w:val="auto"/>
          <w:sz w:val="24"/>
          <w:szCs w:val="24"/>
          <w:highlight w:val="none"/>
        </w:rPr>
        <w:t>投标文件关键内容字迹模糊、无法辨认的；</w:t>
      </w:r>
    </w:p>
    <w:p w14:paraId="5E0EDCAB">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1.9</w:t>
      </w:r>
      <w:r>
        <w:rPr>
          <w:rFonts w:hint="eastAsia" w:ascii="宋体" w:hAnsi="宋体" w:eastAsia="宋体" w:cs="宋体"/>
          <w:color w:val="auto"/>
          <w:sz w:val="24"/>
          <w:szCs w:val="24"/>
          <w:highlight w:val="none"/>
        </w:rPr>
        <w:t>投标文件含有采购人不能接受的附带条件的；</w:t>
      </w:r>
    </w:p>
    <w:p w14:paraId="1185B95A">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1.10</w:t>
      </w:r>
      <w:r>
        <w:rPr>
          <w:rFonts w:hint="eastAsia" w:ascii="宋体" w:hAnsi="宋体" w:eastAsia="宋体" w:cs="宋体"/>
          <w:color w:val="auto"/>
          <w:sz w:val="24"/>
          <w:szCs w:val="24"/>
          <w:highlight w:val="none"/>
        </w:rPr>
        <w:t>报价超出招标文件中规定的预算金额或者最高限价的；</w:t>
      </w:r>
    </w:p>
    <w:p w14:paraId="66EAA929">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1.11</w:t>
      </w:r>
      <w:r>
        <w:rPr>
          <w:rFonts w:hint="eastAsia" w:ascii="宋体" w:hAnsi="宋体" w:eastAsia="宋体" w:cs="宋体"/>
          <w:color w:val="auto"/>
          <w:sz w:val="24"/>
          <w:szCs w:val="24"/>
          <w:highlight w:val="none"/>
        </w:rPr>
        <w:t>提供虚假材料谋取中标的；</w:t>
      </w:r>
    </w:p>
    <w:p w14:paraId="253B68B8">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1.12</w:t>
      </w:r>
      <w:r>
        <w:rPr>
          <w:rFonts w:hint="eastAsia" w:ascii="宋体" w:hAnsi="宋体" w:eastAsia="宋体" w:cs="宋体"/>
          <w:color w:val="auto"/>
          <w:sz w:val="24"/>
          <w:szCs w:val="24"/>
          <w:highlight w:val="none"/>
        </w:rPr>
        <w:t>投标人串通投标的；</w:t>
      </w:r>
    </w:p>
    <w:p w14:paraId="5AE24ACA">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1.13</w:t>
      </w:r>
      <w:r>
        <w:rPr>
          <w:rFonts w:hint="eastAsia" w:ascii="宋体" w:hAnsi="宋体" w:eastAsia="宋体" w:cs="宋体"/>
          <w:color w:val="auto"/>
          <w:sz w:val="24"/>
          <w:szCs w:val="24"/>
          <w:highlight w:val="none"/>
        </w:rPr>
        <w:t>仅提交“备份投标文件”的；</w:t>
      </w:r>
    </w:p>
    <w:p w14:paraId="6D407171">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1.14</w:t>
      </w:r>
      <w:r>
        <w:rPr>
          <w:rFonts w:hint="eastAsia" w:ascii="宋体" w:hAnsi="宋体" w:eastAsia="宋体"/>
          <w:b/>
          <w:color w:val="auto"/>
          <w:sz w:val="24"/>
          <w:szCs w:val="24"/>
          <w:highlight w:val="none"/>
        </w:rPr>
        <w:t>政采云系统显示</w:t>
      </w:r>
      <w:r>
        <w:rPr>
          <w:rFonts w:ascii="宋体" w:hAnsi="宋体" w:eastAsia="宋体"/>
          <w:b/>
          <w:color w:val="auto"/>
          <w:sz w:val="24"/>
          <w:szCs w:val="24"/>
          <w:highlight w:val="none"/>
        </w:rPr>
        <w:t>MAC地址相同、计算机硬盘序列号相同</w:t>
      </w:r>
      <w:r>
        <w:rPr>
          <w:rFonts w:hint="eastAsia" w:ascii="宋体" w:hAnsi="宋体" w:eastAsia="宋体"/>
          <w:b/>
          <w:color w:val="auto"/>
          <w:sz w:val="24"/>
          <w:szCs w:val="24"/>
          <w:highlight w:val="none"/>
        </w:rPr>
        <w:t>、IP地址相同</w:t>
      </w:r>
      <w:r>
        <w:rPr>
          <w:rFonts w:ascii="宋体" w:hAnsi="宋体" w:eastAsia="宋体"/>
          <w:b/>
          <w:color w:val="auto"/>
          <w:sz w:val="24"/>
          <w:szCs w:val="24"/>
          <w:highlight w:val="none"/>
        </w:rPr>
        <w:t>；投标文件细节错误一致且无合理解释的</w:t>
      </w:r>
      <w:r>
        <w:rPr>
          <w:rFonts w:hint="eastAsia" w:ascii="宋体" w:hAnsi="宋体" w:eastAsia="宋体" w:cs="宋体"/>
          <w:color w:val="auto"/>
          <w:sz w:val="24"/>
          <w:szCs w:val="24"/>
          <w:highlight w:val="none"/>
        </w:rPr>
        <w:t>；</w:t>
      </w:r>
    </w:p>
    <w:p w14:paraId="23310F9C">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1.15</w:t>
      </w:r>
      <w:r>
        <w:rPr>
          <w:rFonts w:hint="eastAsia" w:ascii="宋体" w:hAnsi="宋体" w:eastAsia="宋体"/>
          <w:b/>
          <w:color w:val="auto"/>
          <w:sz w:val="24"/>
          <w:szCs w:val="24"/>
          <w:highlight w:val="none"/>
        </w:rPr>
        <w:t>《技术商务评分汇总表》得分低于商务技术总分</w:t>
      </w:r>
      <w:r>
        <w:rPr>
          <w:rFonts w:ascii="宋体" w:hAnsi="宋体" w:eastAsia="宋体"/>
          <w:b/>
          <w:color w:val="auto"/>
          <w:sz w:val="24"/>
          <w:szCs w:val="24"/>
          <w:highlight w:val="none"/>
        </w:rPr>
        <w:t>60%</w:t>
      </w:r>
      <w:r>
        <w:rPr>
          <w:rFonts w:hint="eastAsia" w:ascii="宋体" w:hAnsi="宋体" w:eastAsia="宋体"/>
          <w:b/>
          <w:color w:val="auto"/>
          <w:sz w:val="24"/>
          <w:szCs w:val="24"/>
          <w:highlight w:val="none"/>
          <w:lang w:eastAsia="zh-CN"/>
        </w:rPr>
        <w:t>；</w:t>
      </w:r>
    </w:p>
    <w:p w14:paraId="7FC58FBE">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1.16</w:t>
      </w:r>
      <w:r>
        <w:rPr>
          <w:rFonts w:hint="eastAsia" w:ascii="宋体" w:hAnsi="宋体" w:eastAsia="宋体" w:cs="宋体"/>
          <w:color w:val="auto"/>
          <w:sz w:val="24"/>
          <w:szCs w:val="24"/>
          <w:highlight w:val="none"/>
        </w:rPr>
        <w:t>不符合法律、法规和招标文件规定的其他实质性要求的。</w:t>
      </w:r>
    </w:p>
    <w:p w14:paraId="74667BF6">
      <w:pPr>
        <w:keepNext w:val="0"/>
        <w:keepLines w:val="0"/>
        <w:pageBreakBefore w:val="0"/>
        <w:widowControl/>
        <w:kinsoku/>
        <w:wordWrap/>
        <w:overflowPunct/>
        <w:topLinePunct w:val="0"/>
        <w:bidi w:val="0"/>
        <w:spacing w:line="360" w:lineRule="auto"/>
        <w:ind w:firstLine="458" w:firstLineChars="200"/>
        <w:jc w:val="left"/>
        <w:textAlignment w:val="auto"/>
        <w:rPr>
          <w:rFonts w:ascii="宋体" w:cs="宋体"/>
          <w:b/>
          <w:color w:val="auto"/>
          <w:spacing w:val="-6"/>
          <w:sz w:val="24"/>
          <w:highlight w:val="none"/>
        </w:rPr>
      </w:pPr>
      <w:r>
        <w:rPr>
          <w:rFonts w:hint="eastAsia" w:ascii="宋体" w:hAnsi="宋体" w:cs="宋体"/>
          <w:b/>
          <w:color w:val="auto"/>
          <w:spacing w:val="-6"/>
          <w:sz w:val="24"/>
          <w:highlight w:val="none"/>
          <w:lang w:val="en-US" w:eastAsia="zh-CN"/>
        </w:rPr>
        <w:t>2</w:t>
      </w:r>
      <w:r>
        <w:rPr>
          <w:rFonts w:ascii="宋体" w:hAnsi="宋体" w:cs="宋体"/>
          <w:b/>
          <w:color w:val="auto"/>
          <w:spacing w:val="-6"/>
          <w:sz w:val="24"/>
          <w:highlight w:val="none"/>
        </w:rPr>
        <w:t>.</w:t>
      </w:r>
      <w:r>
        <w:rPr>
          <w:rFonts w:hint="eastAsia" w:ascii="宋体" w:hAnsi="宋体" w:cs="宋体"/>
          <w:b/>
          <w:color w:val="auto"/>
          <w:spacing w:val="-6"/>
          <w:sz w:val="24"/>
          <w:highlight w:val="none"/>
        </w:rPr>
        <w:t>有下列情形之一的，视为投标人串通投标，其投标无效，由采购人或采购代理机构上报政府采购监督管理部门，视情列入不良行为记录名单，在一至三年内禁止参加政府采购活动：</w:t>
      </w:r>
    </w:p>
    <w:p w14:paraId="5F48CC4D">
      <w:pPr>
        <w:keepNext w:val="0"/>
        <w:keepLines w:val="0"/>
        <w:pageBreakBefore w:val="0"/>
        <w:widowControl/>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w:t>
      </w:r>
      <w:r>
        <w:rPr>
          <w:rFonts w:ascii="宋体" w:hAnsi="宋体" w:cs="宋体"/>
          <w:color w:val="auto"/>
          <w:spacing w:val="-6"/>
          <w:sz w:val="24"/>
          <w:highlight w:val="none"/>
        </w:rPr>
        <w:t>1</w:t>
      </w:r>
      <w:r>
        <w:rPr>
          <w:rFonts w:hint="eastAsia" w:ascii="宋体" w:hAnsi="宋体" w:cs="宋体"/>
          <w:color w:val="auto"/>
          <w:spacing w:val="-6"/>
          <w:sz w:val="24"/>
          <w:highlight w:val="none"/>
        </w:rPr>
        <w:t>）不同投标人的投标文件由同一单位或者个人编制；</w:t>
      </w:r>
    </w:p>
    <w:p w14:paraId="5E3BF5EA">
      <w:pPr>
        <w:keepNext w:val="0"/>
        <w:keepLines w:val="0"/>
        <w:pageBreakBefore w:val="0"/>
        <w:widowControl/>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w:t>
      </w:r>
      <w:r>
        <w:rPr>
          <w:rFonts w:ascii="宋体" w:hAnsi="宋体" w:cs="宋体"/>
          <w:color w:val="auto"/>
          <w:spacing w:val="-6"/>
          <w:sz w:val="24"/>
          <w:highlight w:val="none"/>
        </w:rPr>
        <w:t>2</w:t>
      </w:r>
      <w:r>
        <w:rPr>
          <w:rFonts w:hint="eastAsia" w:ascii="宋体" w:hAnsi="宋体" w:cs="宋体"/>
          <w:color w:val="auto"/>
          <w:spacing w:val="-6"/>
          <w:sz w:val="24"/>
          <w:highlight w:val="none"/>
        </w:rPr>
        <w:t>）不同投标人委托同一单位或者个人办理投标事宜；</w:t>
      </w:r>
    </w:p>
    <w:p w14:paraId="4A44CC7C">
      <w:pPr>
        <w:keepNext w:val="0"/>
        <w:keepLines w:val="0"/>
        <w:pageBreakBefore w:val="0"/>
        <w:widowControl/>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w:t>
      </w:r>
      <w:r>
        <w:rPr>
          <w:rFonts w:ascii="宋体" w:hAnsi="宋体" w:cs="宋体"/>
          <w:color w:val="auto"/>
          <w:spacing w:val="-6"/>
          <w:sz w:val="24"/>
          <w:highlight w:val="none"/>
        </w:rPr>
        <w:t>3</w:t>
      </w:r>
      <w:r>
        <w:rPr>
          <w:rFonts w:hint="eastAsia" w:ascii="宋体" w:hAnsi="宋体" w:cs="宋体"/>
          <w:color w:val="auto"/>
          <w:spacing w:val="-6"/>
          <w:sz w:val="24"/>
          <w:highlight w:val="none"/>
        </w:rPr>
        <w:t>）不同投标人的投标文件载明的项目管理成员或者联系人员为同一人；</w:t>
      </w:r>
    </w:p>
    <w:p w14:paraId="2EFCA824">
      <w:pPr>
        <w:keepNext w:val="0"/>
        <w:keepLines w:val="0"/>
        <w:pageBreakBefore w:val="0"/>
        <w:widowControl/>
        <w:kinsoku/>
        <w:wordWrap/>
        <w:overflowPunct/>
        <w:topLinePunct w:val="0"/>
        <w:bidi w:val="0"/>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w:t>
      </w:r>
      <w:r>
        <w:rPr>
          <w:rFonts w:ascii="宋体" w:hAnsi="宋体" w:cs="宋体"/>
          <w:color w:val="auto"/>
          <w:spacing w:val="-6"/>
          <w:sz w:val="24"/>
          <w:highlight w:val="none"/>
        </w:rPr>
        <w:t>4</w:t>
      </w:r>
      <w:r>
        <w:rPr>
          <w:rFonts w:hint="eastAsia" w:ascii="宋体" w:hAnsi="宋体" w:cs="宋体"/>
          <w:color w:val="auto"/>
          <w:spacing w:val="-6"/>
          <w:sz w:val="24"/>
          <w:highlight w:val="none"/>
        </w:rPr>
        <w:t>）不同投标人的投标文件异常一致或者投标报价呈规律性差异；</w:t>
      </w:r>
    </w:p>
    <w:p w14:paraId="59394B67">
      <w:pPr>
        <w:keepNext w:val="0"/>
        <w:keepLines w:val="0"/>
        <w:pageBreakBefore w:val="0"/>
        <w:widowControl/>
        <w:kinsoku/>
        <w:wordWrap/>
        <w:overflowPunct/>
        <w:topLinePunct w:val="0"/>
        <w:bidi w:val="0"/>
        <w:spacing w:line="360" w:lineRule="auto"/>
        <w:ind w:firstLine="456" w:firstLineChars="200"/>
        <w:jc w:val="left"/>
        <w:textAlignment w:val="auto"/>
        <w:rPr>
          <w:rFonts w:hAnsi="宋体" w:cs="宋体"/>
          <w:b/>
          <w:color w:val="auto"/>
          <w:spacing w:val="-6"/>
          <w:sz w:val="21"/>
          <w:szCs w:val="21"/>
          <w:highlight w:val="none"/>
        </w:rPr>
      </w:pPr>
      <w:r>
        <w:rPr>
          <w:rFonts w:hint="eastAsia" w:ascii="宋体" w:hAnsi="宋体" w:cs="宋体"/>
          <w:color w:val="auto"/>
          <w:spacing w:val="-6"/>
          <w:sz w:val="24"/>
          <w:highlight w:val="none"/>
        </w:rPr>
        <w:t>（</w:t>
      </w:r>
      <w:r>
        <w:rPr>
          <w:rFonts w:ascii="宋体" w:hAnsi="宋体" w:cs="宋体"/>
          <w:color w:val="auto"/>
          <w:spacing w:val="-6"/>
          <w:sz w:val="24"/>
          <w:highlight w:val="none"/>
        </w:rPr>
        <w:t>5</w:t>
      </w:r>
      <w:r>
        <w:rPr>
          <w:rFonts w:hint="eastAsia" w:ascii="宋体" w:hAnsi="宋体" w:cs="宋体"/>
          <w:color w:val="auto"/>
          <w:spacing w:val="-6"/>
          <w:sz w:val="24"/>
          <w:highlight w:val="none"/>
        </w:rPr>
        <w:t>）不同投标人的投标文件相互混装。</w:t>
      </w:r>
    </w:p>
    <w:p w14:paraId="1703295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废标的情形</w:t>
      </w:r>
    </w:p>
    <w:p w14:paraId="7AA8E9D8">
      <w:pPr>
        <w:keepNext w:val="0"/>
        <w:keepLines w:val="0"/>
        <w:pageBreakBefore w:val="0"/>
        <w:widowControl w:val="0"/>
        <w:numPr>
          <w:ilvl w:val="1"/>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采购中，出现下列情形之一的，应予废标，废标后，采购人将废标理由通知所有投标人：</w:t>
      </w:r>
    </w:p>
    <w:p w14:paraId="6A6B00CA">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1.1</w:t>
      </w:r>
      <w:r>
        <w:rPr>
          <w:rFonts w:hint="eastAsia" w:ascii="宋体" w:hAnsi="宋体" w:eastAsia="宋体" w:cs="宋体"/>
          <w:color w:val="auto"/>
          <w:sz w:val="24"/>
          <w:szCs w:val="24"/>
          <w:highlight w:val="none"/>
        </w:rPr>
        <w:t>符合专业条件的投标人或对招标文件作实质性响应的投标人不足三家的；</w:t>
      </w:r>
    </w:p>
    <w:p w14:paraId="40FF695C">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1.2</w:t>
      </w:r>
      <w:r>
        <w:rPr>
          <w:rFonts w:hint="eastAsia" w:ascii="宋体" w:hAnsi="宋体" w:eastAsia="宋体" w:cs="宋体"/>
          <w:color w:val="auto"/>
          <w:sz w:val="24"/>
          <w:szCs w:val="24"/>
          <w:highlight w:val="none"/>
        </w:rPr>
        <w:t>出现影响采购</w:t>
      </w:r>
      <w:r>
        <w:rPr>
          <w:rFonts w:hint="eastAsia" w:ascii="宋体" w:hAnsi="宋体" w:eastAsia="宋体" w:cs="宋体"/>
          <w:color w:val="auto"/>
          <w:sz w:val="24"/>
          <w:szCs w:val="24"/>
          <w:highlight w:val="none"/>
          <w:lang w:val="en-US" w:eastAsia="zh-CN"/>
        </w:rPr>
        <w:t>公正</w:t>
      </w:r>
      <w:r>
        <w:rPr>
          <w:rFonts w:hint="eastAsia" w:ascii="宋体" w:hAnsi="宋体" w:eastAsia="宋体" w:cs="宋体"/>
          <w:color w:val="auto"/>
          <w:sz w:val="24"/>
          <w:szCs w:val="24"/>
          <w:highlight w:val="none"/>
        </w:rPr>
        <w:t>的违法、违规行为的；</w:t>
      </w:r>
    </w:p>
    <w:p w14:paraId="385BD8F8">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1.3</w:t>
      </w:r>
      <w:r>
        <w:rPr>
          <w:rFonts w:hint="eastAsia" w:ascii="宋体" w:hAnsi="宋体" w:eastAsia="宋体" w:cs="宋体"/>
          <w:color w:val="auto"/>
          <w:sz w:val="24"/>
          <w:szCs w:val="24"/>
          <w:highlight w:val="none"/>
        </w:rPr>
        <w:t>投标人的报价均超过了最高限价，采购人不能支付的；</w:t>
      </w:r>
    </w:p>
    <w:p w14:paraId="4E3473F8">
      <w:pPr>
        <w:keepNext w:val="0"/>
        <w:keepLines w:val="0"/>
        <w:pageBreakBefore w:val="0"/>
        <w:widowControl w:val="0"/>
        <w:numPr>
          <w:ilvl w:val="2"/>
          <w:numId w:val="0"/>
        </w:numPr>
        <w:kinsoku/>
        <w:wordWrap/>
        <w:overflowPunct/>
        <w:topLinePunct w:val="0"/>
        <w:autoSpaceDE/>
        <w:autoSpaceDN/>
        <w:bidi w:val="0"/>
        <w:adjustRightInd/>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1.4</w:t>
      </w:r>
      <w:r>
        <w:rPr>
          <w:rFonts w:hint="eastAsia" w:ascii="宋体" w:hAnsi="宋体" w:eastAsia="宋体" w:cs="宋体"/>
          <w:color w:val="auto"/>
          <w:sz w:val="24"/>
          <w:szCs w:val="24"/>
          <w:highlight w:val="none"/>
        </w:rPr>
        <w:t>因重大变故，采购任务取消的。</w:t>
      </w:r>
    </w:p>
    <w:p w14:paraId="73BE884F">
      <w:pPr>
        <w:spacing w:line="360" w:lineRule="auto"/>
        <w:jc w:val="center"/>
        <w:rPr>
          <w:rFonts w:hAnsi="宋体" w:cs="宋体"/>
          <w:color w:val="auto"/>
          <w:spacing w:val="-6"/>
          <w:highlight w:val="none"/>
        </w:rPr>
      </w:pPr>
      <w:r>
        <w:rPr>
          <w:rFonts w:hAnsi="宋体" w:cs="宋体"/>
          <w:b/>
          <w:color w:val="auto"/>
          <w:spacing w:val="-6"/>
          <w:sz w:val="21"/>
          <w:szCs w:val="21"/>
          <w:highlight w:val="none"/>
        </w:rPr>
        <w:br w:type="page"/>
      </w:r>
      <w:r>
        <w:rPr>
          <w:rFonts w:hint="eastAsia" w:ascii="宋体" w:hAnsi="宋体" w:eastAsia="宋体" w:cs="宋体"/>
          <w:b/>
          <w:bCs/>
          <w:color w:val="auto"/>
          <w:kern w:val="2"/>
          <w:sz w:val="32"/>
          <w:szCs w:val="32"/>
          <w:highlight w:val="none"/>
          <w:lang w:val="en-US" w:eastAsia="zh-Hans" w:bidi="en-US"/>
        </w:rPr>
        <w:t>四、开标</w:t>
      </w:r>
    </w:p>
    <w:p w14:paraId="53D71BB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hint="eastAsia" w:ascii="宋体" w:hAnsi="宋体" w:cs="宋体"/>
          <w:color w:val="auto"/>
          <w:spacing w:val="-6"/>
          <w:sz w:val="24"/>
          <w:highlight w:val="none"/>
        </w:rPr>
        <w:t>（一）开标形式</w:t>
      </w:r>
    </w:p>
    <w:p w14:paraId="7A7180E7">
      <w:pPr>
        <w:keepNext w:val="0"/>
        <w:keepLines w:val="0"/>
        <w:pageBreakBefore w:val="0"/>
        <w:widowControl/>
        <w:kinsoku/>
        <w:wordWrap/>
        <w:overflowPunct/>
        <w:topLinePunct w:val="0"/>
        <w:autoSpaceDE/>
        <w:autoSpaceDN/>
        <w:bidi w:val="0"/>
        <w:adjustRightInd/>
        <w:snapToGrid/>
        <w:spacing w:line="360" w:lineRule="auto"/>
        <w:ind w:firstLine="456" w:firstLineChars="200"/>
        <w:jc w:val="left"/>
        <w:textAlignment w:val="auto"/>
        <w:rPr>
          <w:rFonts w:ascii="宋体" w:cs="宋体"/>
          <w:color w:val="auto"/>
          <w:spacing w:val="-6"/>
          <w:sz w:val="24"/>
          <w:highlight w:val="none"/>
        </w:rPr>
      </w:pPr>
      <w:r>
        <w:rPr>
          <w:rFonts w:hint="eastAsia" w:ascii="宋体" w:hAnsi="宋体" w:cs="宋体"/>
          <w:color w:val="auto"/>
          <w:spacing w:val="-6"/>
          <w:sz w:val="24"/>
          <w:highlight w:val="none"/>
        </w:rPr>
        <w:t>采购组织机构将按照招标文件规定的时间通过“政府采购云平台”组织开标、开启投标文件，所有投标人均应当准时在线参加。</w:t>
      </w:r>
    </w:p>
    <w:p w14:paraId="42093B1F">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hint="eastAsia" w:ascii="宋体" w:hAnsi="宋体" w:cs="宋体"/>
          <w:color w:val="auto"/>
          <w:spacing w:val="-6"/>
          <w:sz w:val="24"/>
          <w:highlight w:val="none"/>
        </w:rPr>
        <w:t>（二）开标准备</w:t>
      </w:r>
    </w:p>
    <w:p w14:paraId="4257EC5A">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、开标的准备工作由采购组织机构负责落实；</w:t>
      </w:r>
    </w:p>
    <w:p w14:paraId="589CF6EE">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ascii="宋体" w:hAnsi="宋体" w:cs="宋体"/>
          <w:color w:val="auto"/>
          <w:spacing w:val="-6"/>
          <w:sz w:val="24"/>
          <w:highlight w:val="none"/>
        </w:rPr>
        <w:t>2</w:t>
      </w:r>
      <w:r>
        <w:rPr>
          <w:rFonts w:hint="eastAsia" w:ascii="宋体" w:hAnsi="宋体" w:cs="宋体"/>
          <w:color w:val="auto"/>
          <w:spacing w:val="-6"/>
          <w:sz w:val="24"/>
          <w:highlight w:val="none"/>
        </w:rPr>
        <w:t>、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07D6E82">
      <w:pPr>
        <w:pStyle w:val="9"/>
        <w:keepNext w:val="0"/>
        <w:keepLines w:val="0"/>
        <w:pageBreakBefore w:val="0"/>
        <w:kinsoku/>
        <w:wordWrap/>
        <w:overflowPunct/>
        <w:topLinePunct w:val="0"/>
        <w:autoSpaceDE/>
        <w:autoSpaceDN/>
        <w:bidi w:val="0"/>
        <w:adjustRightInd/>
        <w:snapToGrid/>
        <w:spacing w:line="360" w:lineRule="auto"/>
        <w:ind w:firstLine="229" w:firstLineChars="100"/>
        <w:textAlignment w:val="auto"/>
        <w:outlineLvl w:val="2"/>
        <w:rPr>
          <w:rFonts w:hAnsi="宋体" w:cs="宋体"/>
          <w:b/>
          <w:color w:val="auto"/>
          <w:spacing w:val="-6"/>
          <w:sz w:val="24"/>
          <w:szCs w:val="24"/>
          <w:highlight w:val="none"/>
        </w:rPr>
      </w:pPr>
      <w:r>
        <w:rPr>
          <w:rFonts w:hint="eastAsia" w:hAnsi="宋体" w:cs="宋体"/>
          <w:b/>
          <w:color w:val="auto"/>
          <w:spacing w:val="-6"/>
          <w:sz w:val="24"/>
          <w:szCs w:val="24"/>
          <w:highlight w:val="none"/>
        </w:rPr>
        <w:t>（三）</w:t>
      </w:r>
      <w:r>
        <w:rPr>
          <w:rFonts w:hint="eastAsia" w:hAnsi="宋体" w:cs="宋体"/>
          <w:b/>
          <w:bCs/>
          <w:color w:val="auto"/>
          <w:sz w:val="24"/>
          <w:szCs w:val="24"/>
          <w:highlight w:val="none"/>
        </w:rPr>
        <w:t>电子投标开标及评审程序</w:t>
      </w:r>
    </w:p>
    <w:p w14:paraId="3CB20C21">
      <w:pPr>
        <w:pStyle w:val="9"/>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ascii="仿宋_GB2312" w:hAnsi="仿宋" w:eastAsia="仿宋_GB2312"/>
          <w:b/>
          <w:bCs/>
          <w:color w:val="auto"/>
          <w:sz w:val="28"/>
          <w:szCs w:val="28"/>
          <w:highlight w:val="none"/>
        </w:rPr>
      </w:pPr>
      <w:r>
        <w:rPr>
          <w:rFonts w:hint="eastAsia" w:hAnsi="宋体" w:cs="宋体"/>
          <w:color w:val="auto"/>
          <w:spacing w:val="-6"/>
          <w:sz w:val="24"/>
          <w:szCs w:val="24"/>
          <w:highlight w:val="none"/>
        </w:rPr>
        <w:t>采购代理机构按照招标文件规定的时间、地点和程序组织开标，开标原则上将采取先开启资格文件、商务技术文件、后开启报价文件的顺序进行。具体按以下程序进行：</w:t>
      </w:r>
    </w:p>
    <w:p w14:paraId="12BC8E5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bCs/>
          <w:color w:val="auto"/>
          <w:sz w:val="24"/>
          <w:highlight w:val="none"/>
        </w:rPr>
        <w:t>（1）投标截止时间后，</w:t>
      </w:r>
      <w:r>
        <w:rPr>
          <w:rFonts w:hint="eastAsia" w:ascii="宋体" w:hAnsi="宋体" w:cs="宋体"/>
          <w:b/>
          <w:color w:val="auto"/>
          <w:sz w:val="24"/>
          <w:highlight w:val="none"/>
        </w:rPr>
        <w:t>投标人登录政采云平台，用“项目采购-开标评标”功能对电子投标文件进行在线解密。在线解密电子投标文件时间为开标时间起半个小时内；</w:t>
      </w:r>
    </w:p>
    <w:p w14:paraId="6B65D12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（2）由采购人或采购代理机构对资格文件进行评审，评标委员会对商务技术文件进行评审；</w:t>
      </w:r>
    </w:p>
    <w:p w14:paraId="6C7DADE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（3）在系统上公开资格审查和商务技术评审结果（系统会下发商务技术分数）；</w:t>
      </w:r>
    </w:p>
    <w:p w14:paraId="21EA739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（4）在系统上公开报价开标情况（投标人在线对投标报价用数字CA进行数字签字确认）；</w:t>
      </w:r>
    </w:p>
    <w:p w14:paraId="1FD214D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（5）评标委员会对报价情况进行评审；</w:t>
      </w:r>
    </w:p>
    <w:p w14:paraId="4722E2E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（6）在系统上公布评审结果。</w:t>
      </w:r>
    </w:p>
    <w:p w14:paraId="6D0BDC7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开标会结束。</w:t>
      </w:r>
    </w:p>
    <w:p w14:paraId="750BC77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特别说明：政采云公司如对电子化开标及评审程序有调整的，按调整后的程序操作。</w:t>
      </w:r>
    </w:p>
    <w:p w14:paraId="00934954">
      <w:pPr>
        <w:autoSpaceDE w:val="0"/>
        <w:autoSpaceDN w:val="0"/>
        <w:adjustRightInd w:val="0"/>
        <w:snapToGrid w:val="0"/>
        <w:spacing w:before="120" w:beforeLines="50" w:after="120" w:afterLines="50" w:line="480" w:lineRule="exact"/>
        <w:ind w:left="567"/>
        <w:rPr>
          <w:rFonts w:ascii="仿宋_GB2312" w:eastAsia="仿宋_GB2312"/>
          <w:color w:val="auto"/>
          <w:szCs w:val="28"/>
          <w:highlight w:val="none"/>
        </w:rPr>
      </w:pPr>
    </w:p>
    <w:p w14:paraId="3841DD3D">
      <w:pPr>
        <w:spacing w:line="360" w:lineRule="auto"/>
        <w:jc w:val="center"/>
        <w:rPr>
          <w:rFonts w:hAnsi="宋体" w:cs="宋体"/>
          <w:b/>
          <w:color w:val="auto"/>
          <w:spacing w:val="-6"/>
          <w:sz w:val="32"/>
          <w:szCs w:val="32"/>
          <w:highlight w:val="none"/>
        </w:rPr>
      </w:pPr>
      <w:r>
        <w:rPr>
          <w:rFonts w:hAnsi="宋体" w:cs="宋体"/>
          <w:b/>
          <w:color w:val="auto"/>
          <w:spacing w:val="-6"/>
          <w:sz w:val="21"/>
          <w:szCs w:val="21"/>
          <w:highlight w:val="none"/>
        </w:rPr>
        <w:br w:type="page"/>
      </w:r>
      <w:r>
        <w:rPr>
          <w:rFonts w:hint="eastAsia" w:ascii="宋体" w:hAnsi="宋体" w:eastAsia="宋体" w:cs="宋体"/>
          <w:b/>
          <w:bCs/>
          <w:color w:val="auto"/>
          <w:kern w:val="2"/>
          <w:sz w:val="32"/>
          <w:szCs w:val="32"/>
          <w:highlight w:val="none"/>
          <w:lang w:val="en-US" w:eastAsia="zh-Hans" w:bidi="en-US"/>
        </w:rPr>
        <w:t>五、评标</w:t>
      </w:r>
    </w:p>
    <w:p w14:paraId="1EB43FF9">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宋体" w:cs="宋体"/>
          <w:color w:val="auto"/>
          <w:sz w:val="24"/>
          <w:highlight w:val="none"/>
        </w:rPr>
      </w:pPr>
      <w:r>
        <w:rPr>
          <w:rFonts w:hint="eastAsia" w:ascii="宋体" w:hAnsi="宋体" w:cs="宋体"/>
          <w:bCs/>
          <w:color w:val="auto"/>
          <w:spacing w:val="-6"/>
          <w:sz w:val="24"/>
          <w:highlight w:val="none"/>
        </w:rPr>
        <w:t>（一）</w:t>
      </w:r>
      <w:r>
        <w:rPr>
          <w:rFonts w:hint="eastAsia" w:ascii="宋体" w:hAnsi="宋体" w:cs="宋体"/>
          <w:color w:val="auto"/>
          <w:sz w:val="24"/>
          <w:highlight w:val="none"/>
        </w:rPr>
        <w:t>评标组织</w:t>
      </w:r>
    </w:p>
    <w:p w14:paraId="001ED1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本项目评标委员会由</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人</w:t>
      </w:r>
      <w:r>
        <w:rPr>
          <w:rFonts w:ascii="宋体" w:hAnsi="宋体" w:cs="宋体"/>
          <w:color w:val="auto"/>
          <w:sz w:val="24"/>
          <w:highlight w:val="none"/>
        </w:rPr>
        <w:t>(</w:t>
      </w:r>
      <w:r>
        <w:rPr>
          <w:rFonts w:hint="eastAsia" w:ascii="宋体" w:hAnsi="宋体" w:cs="宋体"/>
          <w:color w:val="auto"/>
          <w:sz w:val="24"/>
          <w:highlight w:val="none"/>
        </w:rPr>
        <w:t>含</w:t>
      </w:r>
      <w:r>
        <w:rPr>
          <w:rFonts w:ascii="宋体" w:hAnsi="宋体" w:cs="宋体"/>
          <w:color w:val="auto"/>
          <w:sz w:val="24"/>
          <w:highlight w:val="none"/>
        </w:rPr>
        <w:t>)</w:t>
      </w:r>
      <w:r>
        <w:rPr>
          <w:rFonts w:hint="eastAsia" w:ascii="宋体" w:hAnsi="宋体" w:cs="宋体"/>
          <w:color w:val="auto"/>
          <w:sz w:val="24"/>
          <w:highlight w:val="none"/>
        </w:rPr>
        <w:t>以上单数的人员组成，负责对投标文件进行审查、质询、评审和比较等。评标委员会由采购人依法组建，其中采购咨询专家人数不少于成员总数的三分之二。评标委员会成员名单在评审结果（采购结果）公告前保密。</w:t>
      </w:r>
    </w:p>
    <w:p w14:paraId="1C6882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（二）评标纪律</w:t>
      </w:r>
    </w:p>
    <w:p w14:paraId="44545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评标委员会成员要严格遵守评标纪律、保密、回避等相关规定，依法独立履行评标职责，客观、公正、审慎参与评标工作；</w:t>
      </w:r>
    </w:p>
    <w:p w14:paraId="0FB83F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、严格遵守评标时间，因突发情况确实不能按时参加评标的，应事先告知招标组织机构；</w:t>
      </w:r>
    </w:p>
    <w:p w14:paraId="201753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、服从采购组织机构的现场管理，主动出示身份证明，进入评标区域后应主动寄存移动通讯工具，按要求佩戴工作牌；</w:t>
      </w:r>
    </w:p>
    <w:p w14:paraId="397A40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、与投标人或评标委员会其他成员存在利害关系的，要主动回避，自觉签订《政府采购评审人员廉洁自律承诺书》；</w:t>
      </w:r>
    </w:p>
    <w:p w14:paraId="18A038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4EFC1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、自觉遵守职业道德，尊重采购人代表和投标人代表，配合采购组织机构回答投标人代表提出的有关异议；</w:t>
      </w:r>
    </w:p>
    <w:p w14:paraId="50007B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、不得将评标过程、结果和投标人的商业秘密透露给任何单位和个人。未公告评标结果前不准泄露评标结果，不准将评标资料带出会场；</w:t>
      </w:r>
    </w:p>
    <w:p w14:paraId="1FE42D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、评标过程中，涉及到相关法律法规不清楚之处的，由采购人监管部门或请示权威部门作出法定解释，涉及到招标文件的由编制招标文件的机构和部门负责解释。</w:t>
      </w:r>
    </w:p>
    <w:p w14:paraId="74AC3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（三）评标程序</w:t>
      </w:r>
    </w:p>
    <w:p w14:paraId="26D108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、在评标专家中推选评标委员会组长，优先推选资深专家为组长；</w:t>
      </w:r>
    </w:p>
    <w:p w14:paraId="60BB7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评标委员会组长召集成员认真阅读招标文件以及相关补充、质疑、答复文件、项目书面说明等材料，熟悉招标项目的基本概况、要求、服务需求，合同主要条款，投标文件无效情形，评标方法、评标依据、评标标准等；</w:t>
      </w:r>
    </w:p>
    <w:p w14:paraId="350B7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、资格审查，经其书面授权的采购人代表按照招标文件要求对投标人逐一进行资格审查；</w:t>
      </w:r>
    </w:p>
    <w:p w14:paraId="299EDC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、商务技术文件的符合性审查，评标人员对通过资格审查的各投标文件商务、技术部分的有效性、完整性和响应程度等进行审查，确定是否对招标文件作出实质性响应；</w:t>
      </w:r>
    </w:p>
    <w:p w14:paraId="3B34ED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、商务技术评分，评标人员按招标文件规定的评标方法和评标标准，依法独立对投标文件商务、技术部分进行评估、比较，并给予评价或打分，不受任何单位和个人的干预；</w:t>
      </w:r>
    </w:p>
    <w:p w14:paraId="6650A4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评标人员对各投标文件非实质性内容有疑议或异议，或者审查发现明显的文字或计算错误等，及时向评标委员会组长提出。经评标委员会商议认为需要投标人作出必要澄清或说明的，应通知该投标人代表以书面（或通过“政府采购云平台”在线答复）形式作出澄清或说明，投标人的澄清、说明或者补正不得超出投标文件的范围或者改变投标文件的实质性内容；</w:t>
      </w:r>
    </w:p>
    <w:p w14:paraId="1F3C00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评标人员对商务、技术部分评审结果进行确认。如发现分项评分超出评分标准范围、客观评分不一致以及存在评分畸高、畸低情形的，应由相关人员当场改正或作出说明；拒不改正又不作说明的，如实记载并存入项目档案资料；</w:t>
      </w:r>
    </w:p>
    <w:p w14:paraId="78CF05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、报价文件的符合性审查，对开启的投标文件报价部分的进行有效性、完整性和响应程度等进行审查，确定是否对招标文件作出明确性响应。</w:t>
      </w:r>
    </w:p>
    <w:p w14:paraId="7BABB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（四）投标文件的鉴定</w:t>
      </w:r>
    </w:p>
    <w:p w14:paraId="4622D3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19EFC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、无效标情形</w:t>
      </w:r>
    </w:p>
    <w:p w14:paraId="453AC8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cs="宋体"/>
          <w:color w:val="auto"/>
          <w:sz w:val="24"/>
          <w:highlight w:val="none"/>
        </w:rPr>
      </w:pPr>
      <w:r>
        <w:rPr>
          <w:rFonts w:ascii="宋体" w:hAnsi="宋体" w:cs="宋体"/>
          <w:b/>
          <w:bCs/>
          <w:color w:val="auto"/>
          <w:sz w:val="24"/>
          <w:highlight w:val="none"/>
        </w:rPr>
        <w:t>A</w:t>
      </w:r>
      <w:r>
        <w:rPr>
          <w:rFonts w:hint="eastAsia" w:ascii="宋体" w:hAnsi="宋体" w:cs="宋体"/>
          <w:color w:val="auto"/>
          <w:sz w:val="24"/>
          <w:highlight w:val="none"/>
        </w:rPr>
        <w:t>商务、技术文件符合性审查中，存在下列情形之一的，经评标委员会按少数服从多数原则认定后作无效标处理：</w:t>
      </w:r>
    </w:p>
    <w:p w14:paraId="57208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）投标文件未有效授权，法定代表人授权委托书等填写不完整或有涂改的；</w:t>
      </w:r>
    </w:p>
    <w:p w14:paraId="7067F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）投标文件没有对本招标文件作出实质性响应的，或不满足（不响应）本招标文件中标注“▲”的实质性要求条款的，或存在招标文件中明确规定的其他无效标情形的；</w:t>
      </w:r>
    </w:p>
    <w:p w14:paraId="2B9854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）投标文件存在一个或一个以上备选（替代）投标方案的；</w:t>
      </w:r>
    </w:p>
    <w:p w14:paraId="7D8DB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）仅提交“备份投标文件”的；</w:t>
      </w:r>
    </w:p>
    <w:p w14:paraId="3EA1C9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）文件组成内容不齐全，本招标文件规定必须提供而未提供的（属于资格审查范围的除外）；</w:t>
      </w:r>
    </w:p>
    <w:p w14:paraId="1B23D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）投标文件标注的响应或偏离情况与事实不符，或提供了虚假材料的；</w:t>
      </w:r>
    </w:p>
    <w:p w14:paraId="3EE1C7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）不响应或擅自改变本招标文件要求或投标文件有采购人不能接受的附加条件的；</w:t>
      </w:r>
    </w:p>
    <w:p w14:paraId="34D66F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）参加同一合同项下政府采购活动的不同投标人之间存在利害关系并且存在影响政府采购公平竞争行为的；</w:t>
      </w:r>
    </w:p>
    <w:p w14:paraId="5CD5F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）违反国家或政府部门相关法律、法规、文件规定的。</w:t>
      </w:r>
    </w:p>
    <w:p w14:paraId="7E5B6E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cs="宋体"/>
          <w:color w:val="auto"/>
          <w:sz w:val="24"/>
          <w:highlight w:val="none"/>
        </w:rPr>
      </w:pPr>
      <w:r>
        <w:rPr>
          <w:rFonts w:ascii="宋体" w:hAnsi="宋体" w:cs="宋体"/>
          <w:b/>
          <w:bCs/>
          <w:color w:val="auto"/>
          <w:sz w:val="24"/>
          <w:highlight w:val="none"/>
        </w:rPr>
        <w:t>B</w:t>
      </w:r>
      <w:r>
        <w:rPr>
          <w:rFonts w:hint="eastAsia" w:ascii="宋体" w:hAnsi="宋体" w:cs="宋体"/>
          <w:color w:val="auto"/>
          <w:sz w:val="24"/>
          <w:highlight w:val="none"/>
        </w:rPr>
        <w:t>报价文件符合性审查中，存在下列情形之一的，经评标委员会认定后作无效标处理：</w:t>
      </w:r>
    </w:p>
    <w:p w14:paraId="3EACC2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）投标文件没有对本招标文件作出实质性响应的，或不满足（不响应）本招标文件中标注“▲”的实质性要求条款的，或存在招标文件中明确规定的其他无效标情形的；</w:t>
      </w:r>
    </w:p>
    <w:p w14:paraId="0A22C5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hint="eastAsia" w:ascii="宋体" w:hAnsi="宋体" w:cs="宋体"/>
          <w:b/>
          <w:bCs/>
          <w:color w:val="auto"/>
          <w:kern w:val="0"/>
          <w:sz w:val="24"/>
          <w:highlight w:val="none"/>
        </w:rPr>
        <w:t>商务技术得分低于商务技术总分的60%</w:t>
      </w:r>
      <w:r>
        <w:rPr>
          <w:rFonts w:hint="eastAsia" w:ascii="宋体" w:hAnsi="宋体" w:cs="宋体"/>
          <w:b/>
          <w:bCs/>
          <w:color w:val="auto"/>
          <w:kern w:val="0"/>
          <w:sz w:val="24"/>
          <w:highlight w:val="none"/>
          <w:lang w:eastAsia="zh-CN"/>
        </w:rPr>
        <w:t>的</w:t>
      </w:r>
      <w:r>
        <w:rPr>
          <w:rFonts w:hint="eastAsia" w:ascii="宋体" w:hAnsi="宋体" w:cs="宋体"/>
          <w:color w:val="auto"/>
          <w:kern w:val="0"/>
          <w:sz w:val="24"/>
          <w:highlight w:val="none"/>
          <w:lang w:eastAsia="zh-CN"/>
        </w:rPr>
        <w:t>；</w:t>
      </w:r>
    </w:p>
    <w:p w14:paraId="70F0E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）投标文件存在一个或一个以上备选（替代）投标方案的；</w:t>
      </w:r>
    </w:p>
    <w:p w14:paraId="730787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）未按照招标文件规定的报价方式报价的，或者投标报价涵盖的内容不符合招标文件要求的；</w:t>
      </w:r>
    </w:p>
    <w:p w14:paraId="49D5DA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）投标报价具有选择性；</w:t>
      </w:r>
    </w:p>
    <w:p w14:paraId="0E42AE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）投标报价超过采购预算（或最高限价）的；</w:t>
      </w:r>
    </w:p>
    <w:p w14:paraId="3E5EB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）仅提交“备份投标文件”的；</w:t>
      </w:r>
    </w:p>
    <w:p w14:paraId="68993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）投标文件组成内容不齐全，本招标文件规定必须提供而未提供的（属于资格审查范围的除外）；</w:t>
      </w:r>
    </w:p>
    <w:p w14:paraId="1902D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）投标文件标注的响应或偏离情况与事实不符，或提供了虚假材料的；</w:t>
      </w:r>
    </w:p>
    <w:p w14:paraId="0426A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）不响应或擅自改变本招标文件要求或投标文件有采购人不能接受的附加条件的；</w:t>
      </w:r>
    </w:p>
    <w:p w14:paraId="666D1C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委员会认为投标人报价明显低于其他合格投标人的报价，有可能影响服务质量或者不能诚信履约的，应当要求其在合理时间内提供书面说明，必要时提供相关证明材料；投标人不能证明其报价合理性的，评审委员会应当将其作为无效投标或者无效响应处理；</w:t>
      </w:r>
    </w:p>
    <w:p w14:paraId="594B4F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b/>
          <w:color w:val="auto"/>
          <w:spacing w:val="-6"/>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）违反国家或政府部门相关法律、法规、文件规定的。</w:t>
      </w:r>
    </w:p>
    <w:p w14:paraId="3849ED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宋体" w:cs="宋体"/>
          <w:color w:val="auto"/>
          <w:spacing w:val="-6"/>
          <w:sz w:val="24"/>
          <w:highlight w:val="none"/>
        </w:rPr>
      </w:pPr>
      <w:r>
        <w:rPr>
          <w:rFonts w:hint="eastAsia" w:ascii="宋体" w:hAnsi="宋体" w:cs="宋体"/>
          <w:color w:val="auto"/>
          <w:sz w:val="24"/>
          <w:highlight w:val="none"/>
        </w:rPr>
        <w:t>（五）</w:t>
      </w:r>
      <w:r>
        <w:rPr>
          <w:rFonts w:hint="eastAsia" w:ascii="宋体" w:hAnsi="宋体" w:cs="宋体"/>
          <w:color w:val="auto"/>
          <w:spacing w:val="-6"/>
          <w:sz w:val="24"/>
          <w:highlight w:val="none"/>
        </w:rPr>
        <w:t>澄清问题的形式</w:t>
      </w:r>
    </w:p>
    <w:p w14:paraId="5BF356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对于投标文件中含义不明确、同类问题表述不一致或者有明显文字和计算错误的内容，评标委员会应当以书面（或通过政府采购云平台在线询标）形式要求投标人作出必要的澄清、说明或者补正。</w:t>
      </w:r>
    </w:p>
    <w:p w14:paraId="49F05A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cs="宋体"/>
          <w:color w:val="auto"/>
          <w:sz w:val="24"/>
          <w:highlight w:val="none"/>
        </w:rPr>
      </w:pPr>
      <w:r>
        <w:rPr>
          <w:color w:val="auto"/>
          <w:highlight w:val="none"/>
        </w:rPr>
        <w:fldChar w:fldCharType="begin"/>
      </w:r>
      <w:r>
        <w:rPr>
          <w:color w:val="auto"/>
          <w:highlight w:val="none"/>
        </w:rPr>
        <w:instrText xml:space="preserve"> HYPERLINK "mailto: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采用书面形式的澄清、说明或者更正，投标人应在规定时间内（不得少于半小时）通过指定的电子邮箱（646289109@qq.com" </w:instrText>
      </w:r>
      <w:r>
        <w:rPr>
          <w:color w:val="auto"/>
          <w:highlight w:val="none"/>
        </w:rPr>
        <w:fldChar w:fldCharType="separate"/>
      </w:r>
      <w:r>
        <w:rPr>
          <w:rFonts w:hint="eastAsia" w:ascii="宋体" w:hAnsi="宋体" w:cs="宋体"/>
          <w:color w:val="auto"/>
          <w:sz w:val="24"/>
          <w:highlight w:val="none"/>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采用书面形式的澄清、说明或者更正，投标人应在规定时间内通过指定的电子邮箱（</w:t>
      </w:r>
      <w:r>
        <w:rPr>
          <w:rFonts w:hint="eastAsia" w:ascii="宋体" w:hAnsi="宋体" w:cs="宋体"/>
          <w:color w:val="auto"/>
          <w:sz w:val="24"/>
          <w:highlight w:val="none"/>
          <w:lang w:eastAsia="zh-CN"/>
        </w:rPr>
        <w:t>646289109</w:t>
      </w:r>
      <w:r>
        <w:rPr>
          <w:rFonts w:ascii="宋体" w:hAnsi="宋体" w:cs="宋体"/>
          <w:color w:val="auto"/>
          <w:sz w:val="24"/>
          <w:highlight w:val="none"/>
        </w:rPr>
        <w:t>@qq.com</w:t>
      </w:r>
      <w:r>
        <w:rPr>
          <w:rFonts w:ascii="宋体" w:hAnsi="宋体" w:cs="宋体"/>
          <w:color w:val="auto"/>
          <w:sz w:val="24"/>
          <w:highlight w:val="none"/>
        </w:rPr>
        <w:fldChar w:fldCharType="end"/>
      </w:r>
      <w:r>
        <w:rPr>
          <w:rFonts w:hint="eastAsia" w:ascii="宋体" w:hAnsi="宋体" w:cs="宋体"/>
          <w:color w:val="auto"/>
          <w:sz w:val="24"/>
          <w:highlight w:val="none"/>
        </w:rPr>
        <w:t>）提交。</w:t>
      </w:r>
    </w:p>
    <w:p w14:paraId="4FC5D0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（六）错误修正</w:t>
      </w:r>
    </w:p>
    <w:p w14:paraId="15707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67FDC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）投标文件中开标一览表内容与投标文件中相应内容不一致的，以开标一览表为准；</w:t>
      </w:r>
    </w:p>
    <w:p w14:paraId="7DDBBE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）大写金额和小写金额不一致的，以大写金额为准；</w:t>
      </w:r>
    </w:p>
    <w:p w14:paraId="24299C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）单价金额小数点或者百分比有明显错位的，以开标一览表的总价为准，并修改单价；</w:t>
      </w:r>
    </w:p>
    <w:p w14:paraId="305F01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）总价金额与按单价汇总金额不一致的，以单价金额计算结果为准。</w:t>
      </w:r>
    </w:p>
    <w:p w14:paraId="3E4B8B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同时出现两种以上不一致的，按照前款规定的顺序修正。修正后的报价按照（五）澄清问题的形式第二款的规定经投标人确认后产生约束力，投标人不确认的，其投标无效。</w:t>
      </w:r>
    </w:p>
    <w:p w14:paraId="750D1CE3">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2"/>
        <w:rPr>
          <w:rFonts w:ascii="宋体" w:cs="宋体"/>
          <w:bCs/>
          <w:color w:val="auto"/>
          <w:spacing w:val="-6"/>
          <w:sz w:val="24"/>
          <w:highlight w:val="none"/>
        </w:rPr>
      </w:pPr>
      <w:r>
        <w:rPr>
          <w:rFonts w:hint="eastAsia" w:ascii="宋体" w:hAnsi="宋体" w:cs="宋体"/>
          <w:bCs/>
          <w:color w:val="auto"/>
          <w:spacing w:val="-6"/>
          <w:sz w:val="24"/>
          <w:highlight w:val="none"/>
        </w:rPr>
        <w:t>（七）评标原则和评标办法</w:t>
      </w:r>
    </w:p>
    <w:p w14:paraId="75A85F13">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F629EB8">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ascii="宋体" w:hAnsi="宋体" w:cs="宋体"/>
          <w:color w:val="auto"/>
          <w:spacing w:val="-6"/>
          <w:sz w:val="24"/>
          <w:highlight w:val="none"/>
        </w:rPr>
        <w:t>2.</w:t>
      </w:r>
      <w:r>
        <w:rPr>
          <w:rFonts w:hint="eastAsia" w:ascii="宋体" w:hAnsi="宋体" w:cs="宋体"/>
          <w:color w:val="auto"/>
          <w:spacing w:val="-6"/>
          <w:sz w:val="24"/>
          <w:highlight w:val="none"/>
        </w:rPr>
        <w:t>评标中因评标委员会成员缺席、回避或者健康等特殊原因导致评标委员会组成不符合规定的，依法补足后继续评标。被更换的评标委员会成员所作出的评标意见无效。</w:t>
      </w:r>
    </w:p>
    <w:p w14:paraId="57B7792F">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ascii="宋体" w:hAnsi="宋体" w:cs="宋体"/>
          <w:color w:val="auto"/>
          <w:spacing w:val="-6"/>
          <w:sz w:val="24"/>
          <w:highlight w:val="none"/>
        </w:rPr>
        <w:t>3.</w:t>
      </w:r>
      <w:r>
        <w:rPr>
          <w:rFonts w:hint="eastAsia" w:ascii="宋体" w:hAnsi="宋体" w:cs="宋体"/>
          <w:color w:val="auto"/>
          <w:spacing w:val="-6"/>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8FAB2B4">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ascii="宋体" w:hAnsi="宋体" w:cs="宋体"/>
          <w:color w:val="auto"/>
          <w:spacing w:val="-6"/>
          <w:sz w:val="24"/>
          <w:highlight w:val="none"/>
        </w:rPr>
        <w:t>4.</w:t>
      </w:r>
      <w:r>
        <w:rPr>
          <w:rFonts w:hint="eastAsia" w:ascii="宋体" w:hAnsi="宋体" w:cs="宋体"/>
          <w:color w:val="auto"/>
          <w:spacing w:val="-6"/>
          <w:sz w:val="24"/>
          <w:highlight w:val="none"/>
        </w:rPr>
        <w:t>评标办法。本项目评标办法是综合评分法，具体评标内容及评分标准等详见《评标办法及评分标准》。</w:t>
      </w:r>
    </w:p>
    <w:p w14:paraId="19B9CBA0">
      <w:pPr>
        <w:spacing w:line="288" w:lineRule="auto"/>
        <w:jc w:val="center"/>
        <w:outlineLvl w:val="2"/>
        <w:rPr>
          <w:rFonts w:ascii="宋体" w:cs="宋体"/>
          <w:b/>
          <w:color w:val="auto"/>
          <w:spacing w:val="-6"/>
          <w:sz w:val="24"/>
          <w:highlight w:val="none"/>
        </w:rPr>
      </w:pPr>
    </w:p>
    <w:p w14:paraId="5C5AFE4A">
      <w:pPr>
        <w:spacing w:line="288" w:lineRule="auto"/>
        <w:jc w:val="center"/>
        <w:outlineLvl w:val="2"/>
        <w:rPr>
          <w:rFonts w:ascii="宋体" w:cs="宋体"/>
          <w:b/>
          <w:color w:val="auto"/>
          <w:spacing w:val="-6"/>
          <w:sz w:val="24"/>
          <w:highlight w:val="none"/>
        </w:rPr>
      </w:pPr>
    </w:p>
    <w:p w14:paraId="45333180">
      <w:pPr>
        <w:spacing w:line="288" w:lineRule="auto"/>
        <w:jc w:val="center"/>
        <w:outlineLvl w:val="2"/>
        <w:rPr>
          <w:rFonts w:ascii="宋体" w:cs="宋体"/>
          <w:b/>
          <w:color w:val="auto"/>
          <w:spacing w:val="-6"/>
          <w:sz w:val="24"/>
          <w:highlight w:val="none"/>
        </w:rPr>
      </w:pPr>
    </w:p>
    <w:p w14:paraId="3EBA17D4">
      <w:pPr>
        <w:spacing w:line="288" w:lineRule="auto"/>
        <w:jc w:val="center"/>
        <w:outlineLvl w:val="2"/>
        <w:rPr>
          <w:rFonts w:ascii="宋体" w:cs="宋体"/>
          <w:b/>
          <w:color w:val="auto"/>
          <w:spacing w:val="-6"/>
          <w:sz w:val="24"/>
          <w:highlight w:val="none"/>
        </w:rPr>
      </w:pPr>
    </w:p>
    <w:p w14:paraId="485C5F5F">
      <w:pPr>
        <w:spacing w:line="288" w:lineRule="auto"/>
        <w:jc w:val="center"/>
        <w:outlineLvl w:val="2"/>
        <w:rPr>
          <w:rFonts w:ascii="宋体" w:cs="宋体"/>
          <w:b/>
          <w:color w:val="auto"/>
          <w:spacing w:val="-6"/>
          <w:sz w:val="24"/>
          <w:highlight w:val="none"/>
        </w:rPr>
      </w:pPr>
    </w:p>
    <w:p w14:paraId="5E7BB041">
      <w:pPr>
        <w:spacing w:line="288" w:lineRule="auto"/>
        <w:jc w:val="center"/>
        <w:outlineLvl w:val="2"/>
        <w:rPr>
          <w:rFonts w:ascii="宋体" w:cs="宋体"/>
          <w:b/>
          <w:color w:val="auto"/>
          <w:spacing w:val="-6"/>
          <w:sz w:val="24"/>
          <w:highlight w:val="none"/>
        </w:rPr>
      </w:pPr>
    </w:p>
    <w:p w14:paraId="469E3539">
      <w:pPr>
        <w:spacing w:line="288" w:lineRule="auto"/>
        <w:jc w:val="center"/>
        <w:outlineLvl w:val="2"/>
        <w:rPr>
          <w:rFonts w:ascii="宋体" w:cs="宋体"/>
          <w:b/>
          <w:color w:val="auto"/>
          <w:spacing w:val="-6"/>
          <w:sz w:val="24"/>
          <w:highlight w:val="none"/>
        </w:rPr>
      </w:pPr>
    </w:p>
    <w:p w14:paraId="26CAB497">
      <w:pPr>
        <w:spacing w:line="288" w:lineRule="auto"/>
        <w:jc w:val="center"/>
        <w:outlineLvl w:val="2"/>
        <w:rPr>
          <w:rFonts w:ascii="宋体" w:cs="宋体"/>
          <w:b/>
          <w:color w:val="auto"/>
          <w:spacing w:val="-6"/>
          <w:sz w:val="24"/>
          <w:highlight w:val="none"/>
        </w:rPr>
      </w:pPr>
    </w:p>
    <w:p w14:paraId="3986563E">
      <w:pPr>
        <w:spacing w:line="288" w:lineRule="auto"/>
        <w:jc w:val="center"/>
        <w:outlineLvl w:val="2"/>
        <w:rPr>
          <w:rFonts w:ascii="宋体" w:cs="宋体"/>
          <w:b/>
          <w:color w:val="auto"/>
          <w:spacing w:val="-6"/>
          <w:sz w:val="24"/>
          <w:highlight w:val="none"/>
        </w:rPr>
      </w:pPr>
    </w:p>
    <w:p w14:paraId="20DF5FD7">
      <w:pPr>
        <w:spacing w:line="288" w:lineRule="auto"/>
        <w:jc w:val="center"/>
        <w:outlineLvl w:val="2"/>
        <w:rPr>
          <w:rFonts w:ascii="宋体" w:cs="宋体"/>
          <w:b/>
          <w:color w:val="auto"/>
          <w:spacing w:val="-6"/>
          <w:sz w:val="24"/>
          <w:highlight w:val="none"/>
        </w:rPr>
      </w:pPr>
    </w:p>
    <w:p w14:paraId="5BFE457B">
      <w:pPr>
        <w:spacing w:line="288" w:lineRule="auto"/>
        <w:jc w:val="center"/>
        <w:outlineLvl w:val="2"/>
        <w:rPr>
          <w:rFonts w:ascii="宋体" w:cs="宋体"/>
          <w:b/>
          <w:color w:val="auto"/>
          <w:spacing w:val="-6"/>
          <w:sz w:val="24"/>
          <w:highlight w:val="none"/>
        </w:rPr>
      </w:pPr>
    </w:p>
    <w:p w14:paraId="1678B436">
      <w:pPr>
        <w:spacing w:line="288" w:lineRule="auto"/>
        <w:jc w:val="center"/>
        <w:outlineLvl w:val="2"/>
        <w:rPr>
          <w:rFonts w:ascii="宋体" w:cs="宋体"/>
          <w:b/>
          <w:color w:val="auto"/>
          <w:spacing w:val="-6"/>
          <w:sz w:val="24"/>
          <w:highlight w:val="none"/>
        </w:rPr>
      </w:pPr>
    </w:p>
    <w:p w14:paraId="1642288B">
      <w:pPr>
        <w:rPr>
          <w:rFonts w:hint="eastAsia" w:ascii="宋体" w:hAnsi="宋体" w:eastAsia="宋体" w:cs="宋体"/>
          <w:b/>
          <w:bCs/>
          <w:color w:val="auto"/>
          <w:kern w:val="2"/>
          <w:sz w:val="32"/>
          <w:szCs w:val="32"/>
          <w:highlight w:val="none"/>
          <w:lang w:val="en-US" w:eastAsia="zh-Hans" w:bidi="en-US"/>
        </w:rPr>
      </w:pPr>
      <w:r>
        <w:rPr>
          <w:rFonts w:hint="eastAsia" w:ascii="宋体" w:hAnsi="宋体" w:eastAsia="宋体" w:cs="宋体"/>
          <w:b/>
          <w:bCs/>
          <w:color w:val="auto"/>
          <w:kern w:val="2"/>
          <w:sz w:val="32"/>
          <w:szCs w:val="32"/>
          <w:highlight w:val="none"/>
          <w:lang w:val="en-US" w:eastAsia="zh-Hans" w:bidi="en-US"/>
        </w:rPr>
        <w:br w:type="page"/>
      </w:r>
    </w:p>
    <w:p w14:paraId="318032D9">
      <w:pPr>
        <w:spacing w:line="360" w:lineRule="auto"/>
        <w:jc w:val="center"/>
        <w:rPr>
          <w:rFonts w:hint="eastAsia" w:ascii="宋体" w:hAnsi="宋体" w:eastAsia="宋体" w:cs="宋体"/>
          <w:b/>
          <w:bCs/>
          <w:color w:val="auto"/>
          <w:kern w:val="2"/>
          <w:sz w:val="32"/>
          <w:szCs w:val="32"/>
          <w:highlight w:val="none"/>
          <w:lang w:val="en-US" w:eastAsia="zh-Hans" w:bidi="en-US"/>
        </w:rPr>
      </w:pPr>
      <w:r>
        <w:rPr>
          <w:rFonts w:hint="eastAsia" w:ascii="宋体" w:hAnsi="宋体" w:eastAsia="宋体" w:cs="宋体"/>
          <w:b/>
          <w:bCs/>
          <w:color w:val="auto"/>
          <w:kern w:val="2"/>
          <w:sz w:val="32"/>
          <w:szCs w:val="32"/>
          <w:highlight w:val="none"/>
          <w:lang w:val="en-US" w:eastAsia="zh-Hans" w:bidi="en-US"/>
        </w:rPr>
        <w:t>六、定标</w:t>
      </w:r>
    </w:p>
    <w:p w14:paraId="7939C1A0">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采购代理机构自评标结束之日起</w:t>
      </w:r>
      <w:r>
        <w:rPr>
          <w:rFonts w:ascii="宋体" w:hAnsi="宋体" w:cs="宋体"/>
          <w:color w:val="auto"/>
          <w:spacing w:val="-6"/>
          <w:sz w:val="24"/>
          <w:highlight w:val="none"/>
        </w:rPr>
        <w:t>2</w:t>
      </w:r>
      <w:r>
        <w:rPr>
          <w:rFonts w:hint="eastAsia" w:ascii="宋体" w:hAnsi="宋体" w:cs="宋体"/>
          <w:color w:val="auto"/>
          <w:spacing w:val="-6"/>
          <w:sz w:val="24"/>
          <w:highlight w:val="none"/>
        </w:rPr>
        <w:t>个工作日内将评标报告送交采购人。采购人收到评标报告之日起</w:t>
      </w:r>
      <w:r>
        <w:rPr>
          <w:rFonts w:ascii="宋体" w:hAnsi="宋体" w:cs="宋体"/>
          <w:color w:val="auto"/>
          <w:spacing w:val="-6"/>
          <w:sz w:val="24"/>
          <w:highlight w:val="none"/>
        </w:rPr>
        <w:t>5</w:t>
      </w:r>
      <w:r>
        <w:rPr>
          <w:rFonts w:hint="eastAsia" w:ascii="宋体" w:hAnsi="宋体" w:cs="宋体"/>
          <w:color w:val="auto"/>
          <w:spacing w:val="-6"/>
          <w:sz w:val="24"/>
          <w:highlight w:val="none"/>
        </w:rPr>
        <w:t>个工作日内在评标报告推荐的中标候选人确定中标人。</w:t>
      </w:r>
    </w:p>
    <w:p w14:paraId="69010A7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ascii="宋体" w:hAnsi="宋体" w:cs="宋体"/>
          <w:color w:val="auto"/>
          <w:spacing w:val="-6"/>
          <w:sz w:val="24"/>
          <w:highlight w:val="none"/>
        </w:rPr>
        <w:t>2.</w:t>
      </w:r>
      <w:r>
        <w:rPr>
          <w:rFonts w:hint="eastAsia" w:ascii="宋体" w:hAnsi="宋体" w:cs="宋体"/>
          <w:color w:val="auto"/>
          <w:spacing w:val="-6"/>
          <w:sz w:val="24"/>
          <w:highlight w:val="none"/>
        </w:rPr>
        <w:t>采购代理机构自中标人确定之日起</w:t>
      </w:r>
      <w:r>
        <w:rPr>
          <w:rFonts w:hint="eastAsia" w:ascii="宋体" w:hAnsi="宋体" w:cs="宋体"/>
          <w:color w:val="auto"/>
          <w:spacing w:val="-6"/>
          <w:sz w:val="24"/>
          <w:highlight w:val="none"/>
          <w:lang w:val="en-US" w:eastAsia="zh-CN"/>
        </w:rPr>
        <w:t>1</w:t>
      </w:r>
      <w:r>
        <w:rPr>
          <w:rFonts w:hint="eastAsia" w:ascii="宋体" w:hAnsi="宋体" w:cs="宋体"/>
          <w:color w:val="auto"/>
          <w:spacing w:val="-6"/>
          <w:sz w:val="24"/>
          <w:highlight w:val="none"/>
        </w:rPr>
        <w:t>个工作日内，发出中标通知书，并在浙江政府采购网（https://zfcg.czt.zj.gov.cn/）等相关网站或媒体上公告中标结果。</w:t>
      </w:r>
    </w:p>
    <w:p w14:paraId="10FC5046">
      <w:pPr>
        <w:pStyle w:val="43"/>
        <w:ind w:firstLine="456"/>
        <w:rPr>
          <w:rFonts w:ascii="宋体" w:cs="宋体"/>
          <w:color w:val="auto"/>
          <w:spacing w:val="-6"/>
          <w:highlight w:val="none"/>
        </w:rPr>
      </w:pPr>
    </w:p>
    <w:p w14:paraId="49A06AB4">
      <w:pPr>
        <w:pStyle w:val="43"/>
        <w:ind w:firstLine="456"/>
        <w:rPr>
          <w:rFonts w:ascii="宋体" w:cs="宋体"/>
          <w:color w:val="auto"/>
          <w:spacing w:val="-6"/>
          <w:highlight w:val="none"/>
        </w:rPr>
      </w:pPr>
    </w:p>
    <w:p w14:paraId="4A0C09AA">
      <w:pPr>
        <w:pStyle w:val="43"/>
        <w:ind w:firstLine="456"/>
        <w:rPr>
          <w:rFonts w:ascii="宋体" w:cs="宋体"/>
          <w:color w:val="auto"/>
          <w:spacing w:val="-6"/>
          <w:highlight w:val="none"/>
        </w:rPr>
      </w:pPr>
    </w:p>
    <w:p w14:paraId="12FC5FE4">
      <w:pPr>
        <w:pStyle w:val="43"/>
        <w:ind w:firstLine="456"/>
        <w:rPr>
          <w:rFonts w:ascii="宋体" w:cs="宋体"/>
          <w:color w:val="auto"/>
          <w:spacing w:val="-6"/>
          <w:highlight w:val="none"/>
        </w:rPr>
      </w:pPr>
    </w:p>
    <w:p w14:paraId="7051B9DC">
      <w:pPr>
        <w:pStyle w:val="43"/>
        <w:ind w:firstLine="456"/>
        <w:rPr>
          <w:rFonts w:ascii="宋体" w:cs="宋体"/>
          <w:color w:val="auto"/>
          <w:spacing w:val="-6"/>
          <w:highlight w:val="none"/>
        </w:rPr>
      </w:pPr>
    </w:p>
    <w:p w14:paraId="7B0D2E57">
      <w:pPr>
        <w:pStyle w:val="43"/>
        <w:ind w:firstLine="456"/>
        <w:rPr>
          <w:rFonts w:ascii="宋体" w:cs="宋体"/>
          <w:color w:val="auto"/>
          <w:spacing w:val="-6"/>
          <w:highlight w:val="none"/>
        </w:rPr>
      </w:pPr>
    </w:p>
    <w:p w14:paraId="186E700D">
      <w:pPr>
        <w:pStyle w:val="43"/>
        <w:ind w:firstLine="456"/>
        <w:rPr>
          <w:rFonts w:ascii="宋体" w:cs="宋体"/>
          <w:color w:val="auto"/>
          <w:spacing w:val="-6"/>
          <w:highlight w:val="none"/>
        </w:rPr>
      </w:pPr>
    </w:p>
    <w:p w14:paraId="715CCE8B">
      <w:pPr>
        <w:pStyle w:val="43"/>
        <w:ind w:firstLine="456"/>
        <w:rPr>
          <w:rFonts w:ascii="宋体" w:cs="宋体"/>
          <w:color w:val="auto"/>
          <w:spacing w:val="-6"/>
          <w:highlight w:val="none"/>
        </w:rPr>
      </w:pPr>
    </w:p>
    <w:p w14:paraId="2274BC15">
      <w:pPr>
        <w:pStyle w:val="43"/>
        <w:ind w:firstLine="456"/>
        <w:rPr>
          <w:rFonts w:ascii="宋体" w:cs="宋体"/>
          <w:color w:val="auto"/>
          <w:spacing w:val="-6"/>
          <w:highlight w:val="none"/>
        </w:rPr>
      </w:pPr>
    </w:p>
    <w:p w14:paraId="7D0B5288">
      <w:pPr>
        <w:pStyle w:val="43"/>
        <w:ind w:firstLine="456"/>
        <w:rPr>
          <w:rFonts w:ascii="宋体" w:cs="宋体"/>
          <w:color w:val="auto"/>
          <w:spacing w:val="-6"/>
          <w:highlight w:val="none"/>
        </w:rPr>
      </w:pPr>
    </w:p>
    <w:p w14:paraId="688694E9">
      <w:pPr>
        <w:pStyle w:val="43"/>
        <w:ind w:firstLine="456"/>
        <w:rPr>
          <w:rFonts w:ascii="宋体" w:cs="宋体"/>
          <w:color w:val="auto"/>
          <w:spacing w:val="-6"/>
          <w:highlight w:val="none"/>
        </w:rPr>
      </w:pPr>
    </w:p>
    <w:p w14:paraId="2F377624">
      <w:pPr>
        <w:pStyle w:val="43"/>
        <w:ind w:firstLine="456"/>
        <w:rPr>
          <w:rFonts w:ascii="宋体" w:cs="宋体"/>
          <w:color w:val="auto"/>
          <w:spacing w:val="-6"/>
          <w:highlight w:val="none"/>
        </w:rPr>
      </w:pPr>
    </w:p>
    <w:p w14:paraId="3BB8BBBF">
      <w:pPr>
        <w:pStyle w:val="43"/>
        <w:ind w:firstLine="456"/>
        <w:rPr>
          <w:rFonts w:ascii="宋体" w:cs="宋体"/>
          <w:color w:val="auto"/>
          <w:spacing w:val="-6"/>
          <w:highlight w:val="none"/>
        </w:rPr>
      </w:pPr>
    </w:p>
    <w:p w14:paraId="5F7397E0">
      <w:pPr>
        <w:pStyle w:val="43"/>
        <w:ind w:firstLine="456"/>
        <w:rPr>
          <w:rFonts w:ascii="宋体" w:cs="宋体"/>
          <w:color w:val="auto"/>
          <w:spacing w:val="-6"/>
          <w:highlight w:val="none"/>
        </w:rPr>
      </w:pPr>
    </w:p>
    <w:p w14:paraId="7436FA3B">
      <w:pPr>
        <w:pStyle w:val="43"/>
        <w:ind w:firstLine="456"/>
        <w:rPr>
          <w:rFonts w:ascii="宋体" w:cs="宋体"/>
          <w:color w:val="auto"/>
          <w:spacing w:val="-6"/>
          <w:highlight w:val="none"/>
        </w:rPr>
      </w:pPr>
    </w:p>
    <w:p w14:paraId="4E6F4545">
      <w:pPr>
        <w:pStyle w:val="43"/>
        <w:ind w:firstLine="456"/>
        <w:rPr>
          <w:rFonts w:ascii="宋体" w:cs="宋体"/>
          <w:color w:val="auto"/>
          <w:spacing w:val="-6"/>
          <w:highlight w:val="none"/>
        </w:rPr>
      </w:pPr>
    </w:p>
    <w:p w14:paraId="451F4C1F">
      <w:pPr>
        <w:pStyle w:val="43"/>
        <w:ind w:firstLine="456"/>
        <w:rPr>
          <w:rFonts w:ascii="宋体" w:cs="宋体"/>
          <w:color w:val="auto"/>
          <w:spacing w:val="-6"/>
          <w:highlight w:val="none"/>
        </w:rPr>
      </w:pPr>
    </w:p>
    <w:p w14:paraId="38F4C377">
      <w:pPr>
        <w:pStyle w:val="43"/>
        <w:ind w:firstLine="456"/>
        <w:rPr>
          <w:rFonts w:ascii="宋体" w:cs="宋体"/>
          <w:color w:val="auto"/>
          <w:spacing w:val="-6"/>
          <w:highlight w:val="none"/>
        </w:rPr>
      </w:pPr>
    </w:p>
    <w:p w14:paraId="18A651F5">
      <w:pPr>
        <w:pStyle w:val="43"/>
        <w:ind w:firstLine="456"/>
        <w:rPr>
          <w:rFonts w:ascii="宋体" w:cs="宋体"/>
          <w:color w:val="auto"/>
          <w:spacing w:val="-6"/>
          <w:highlight w:val="none"/>
        </w:rPr>
      </w:pPr>
    </w:p>
    <w:p w14:paraId="7586F8B9">
      <w:pPr>
        <w:pStyle w:val="43"/>
        <w:ind w:firstLine="456"/>
        <w:rPr>
          <w:rFonts w:ascii="宋体" w:cs="宋体"/>
          <w:color w:val="auto"/>
          <w:spacing w:val="-6"/>
          <w:highlight w:val="none"/>
        </w:rPr>
      </w:pPr>
    </w:p>
    <w:p w14:paraId="7D6A43CC">
      <w:pPr>
        <w:pStyle w:val="43"/>
        <w:ind w:firstLine="456"/>
        <w:rPr>
          <w:rFonts w:ascii="宋体" w:cs="宋体"/>
          <w:color w:val="auto"/>
          <w:spacing w:val="-6"/>
          <w:highlight w:val="none"/>
        </w:rPr>
      </w:pPr>
    </w:p>
    <w:p w14:paraId="07FA41A3">
      <w:pPr>
        <w:pStyle w:val="43"/>
        <w:ind w:firstLine="456"/>
        <w:rPr>
          <w:rFonts w:ascii="宋体" w:cs="宋体"/>
          <w:color w:val="auto"/>
          <w:spacing w:val="-6"/>
          <w:highlight w:val="none"/>
        </w:rPr>
      </w:pPr>
    </w:p>
    <w:p w14:paraId="3FF8E905">
      <w:pPr>
        <w:pStyle w:val="43"/>
        <w:ind w:firstLine="456"/>
        <w:rPr>
          <w:rFonts w:ascii="宋体" w:cs="宋体"/>
          <w:color w:val="auto"/>
          <w:spacing w:val="-6"/>
          <w:highlight w:val="none"/>
        </w:rPr>
      </w:pPr>
    </w:p>
    <w:p w14:paraId="79A858C1">
      <w:pPr>
        <w:pStyle w:val="43"/>
        <w:ind w:firstLine="456"/>
        <w:rPr>
          <w:rFonts w:ascii="宋体" w:cs="宋体"/>
          <w:color w:val="auto"/>
          <w:spacing w:val="-6"/>
          <w:highlight w:val="none"/>
        </w:rPr>
      </w:pPr>
    </w:p>
    <w:p w14:paraId="4BF0CD81">
      <w:pPr>
        <w:spacing w:line="360" w:lineRule="auto"/>
        <w:jc w:val="center"/>
        <w:rPr>
          <w:rFonts w:hint="eastAsia" w:ascii="宋体" w:hAnsi="宋体" w:eastAsia="宋体" w:cs="宋体"/>
          <w:b/>
          <w:bCs/>
          <w:color w:val="auto"/>
          <w:kern w:val="2"/>
          <w:sz w:val="32"/>
          <w:szCs w:val="32"/>
          <w:highlight w:val="none"/>
          <w:lang w:val="en-US" w:eastAsia="zh-Hans" w:bidi="en-US"/>
        </w:rPr>
      </w:pPr>
      <w:r>
        <w:rPr>
          <w:rFonts w:hint="eastAsia" w:ascii="宋体" w:hAnsi="宋体" w:eastAsia="宋体" w:cs="宋体"/>
          <w:b/>
          <w:bCs/>
          <w:color w:val="auto"/>
          <w:kern w:val="2"/>
          <w:sz w:val="32"/>
          <w:szCs w:val="32"/>
          <w:highlight w:val="none"/>
          <w:lang w:val="en-US" w:eastAsia="zh-Hans" w:bidi="en-US"/>
        </w:rPr>
        <w:t>七、合同授予</w:t>
      </w:r>
    </w:p>
    <w:p w14:paraId="149203EE">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采购人应当自中标通知书发出之日起</w:t>
      </w:r>
      <w:r>
        <w:rPr>
          <w:rFonts w:ascii="宋体" w:hAnsi="宋体" w:cs="宋体"/>
          <w:color w:val="auto"/>
          <w:spacing w:val="-6"/>
          <w:sz w:val="24"/>
          <w:highlight w:val="none"/>
        </w:rPr>
        <w:t>30</w:t>
      </w:r>
      <w:r>
        <w:rPr>
          <w:rFonts w:hint="eastAsia" w:ascii="宋体" w:hAnsi="宋体" w:cs="宋体"/>
          <w:color w:val="auto"/>
          <w:spacing w:val="-6"/>
          <w:sz w:val="24"/>
          <w:highlight w:val="none"/>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E852612">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宋体" w:cs="宋体"/>
          <w:color w:val="auto"/>
          <w:spacing w:val="-6"/>
          <w:sz w:val="24"/>
          <w:highlight w:val="none"/>
        </w:rPr>
      </w:pPr>
      <w:r>
        <w:rPr>
          <w:rFonts w:ascii="宋体" w:hAnsi="宋体" w:cs="宋体"/>
          <w:color w:val="auto"/>
          <w:spacing w:val="-6"/>
          <w:sz w:val="24"/>
          <w:highlight w:val="none"/>
        </w:rPr>
        <w:t>2.</w:t>
      </w:r>
      <w:r>
        <w:rPr>
          <w:rFonts w:hint="eastAsia" w:ascii="宋体" w:hAnsi="宋体" w:cs="宋体"/>
          <w:color w:val="auto"/>
          <w:spacing w:val="-6"/>
          <w:sz w:val="24"/>
          <w:highlight w:val="none"/>
        </w:rPr>
        <w:t>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C1C9CA">
      <w:pPr>
        <w:spacing w:line="360" w:lineRule="auto"/>
        <w:jc w:val="center"/>
        <w:rPr>
          <w:rFonts w:ascii="宋体" w:cs="宋体"/>
          <w:color w:val="auto"/>
          <w:sz w:val="24"/>
          <w:highlight w:val="none"/>
        </w:rPr>
      </w:pPr>
      <w:r>
        <w:rPr>
          <w:rFonts w:ascii="宋体" w:cs="宋体"/>
          <w:color w:val="auto"/>
          <w:sz w:val="24"/>
          <w:highlight w:val="none"/>
        </w:rPr>
        <w:br w:type="page"/>
      </w:r>
      <w:r>
        <w:rPr>
          <w:rFonts w:hint="eastAsia" w:ascii="宋体" w:hAnsi="宋体" w:eastAsia="宋体" w:cs="宋体"/>
          <w:b/>
          <w:bCs/>
          <w:color w:val="auto"/>
          <w:kern w:val="2"/>
          <w:sz w:val="32"/>
          <w:szCs w:val="32"/>
          <w:highlight w:val="none"/>
          <w:lang w:val="en-US" w:eastAsia="zh-Hans" w:bidi="en-US"/>
        </w:rPr>
        <w:t>八、可中止电子交易活动的情形</w:t>
      </w:r>
    </w:p>
    <w:p w14:paraId="2638A56A">
      <w:pPr>
        <w:spacing w:line="360" w:lineRule="auto"/>
        <w:ind w:firstLine="456" w:firstLineChars="200"/>
        <w:rPr>
          <w:rFonts w:ascii="宋体" w:cs="宋体"/>
          <w:color w:val="auto"/>
          <w:spacing w:val="-6"/>
          <w:sz w:val="24"/>
          <w:highlight w:val="none"/>
        </w:rPr>
      </w:pPr>
      <w:r>
        <w:rPr>
          <w:rFonts w:hint="eastAsia" w:ascii="宋体" w:hAnsi="宋体" w:cs="宋体"/>
          <w:color w:val="auto"/>
          <w:spacing w:val="-6"/>
          <w:sz w:val="24"/>
          <w:highlight w:val="none"/>
        </w:rPr>
        <w:t>采购过程中出现以下情形，导致电子交易平台无法正常运行，或者无法保证电子交易的公平、公正和安全时，采购代理机构可中止电子交易活动：</w:t>
      </w:r>
    </w:p>
    <w:p w14:paraId="13C7B0F7">
      <w:pPr>
        <w:spacing w:line="360" w:lineRule="auto"/>
        <w:ind w:firstLine="456" w:firstLineChars="200"/>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电子交易平台发生故障而无法登录访问的；</w:t>
      </w:r>
    </w:p>
    <w:p w14:paraId="239F555D">
      <w:pPr>
        <w:spacing w:line="360" w:lineRule="auto"/>
        <w:ind w:firstLine="456" w:firstLineChars="200"/>
        <w:rPr>
          <w:rFonts w:ascii="宋体" w:cs="宋体"/>
          <w:color w:val="auto"/>
          <w:spacing w:val="-6"/>
          <w:sz w:val="24"/>
          <w:highlight w:val="none"/>
        </w:rPr>
      </w:pPr>
      <w:r>
        <w:rPr>
          <w:rFonts w:ascii="宋体" w:hAnsi="宋体" w:cs="宋体"/>
          <w:color w:val="auto"/>
          <w:spacing w:val="-6"/>
          <w:sz w:val="24"/>
          <w:highlight w:val="none"/>
        </w:rPr>
        <w:t>2.</w:t>
      </w:r>
      <w:r>
        <w:rPr>
          <w:rFonts w:hint="eastAsia" w:ascii="宋体" w:hAnsi="宋体" w:cs="宋体"/>
          <w:color w:val="auto"/>
          <w:spacing w:val="-6"/>
          <w:sz w:val="24"/>
          <w:highlight w:val="none"/>
        </w:rPr>
        <w:t>电子交易平台应用或数据库出现错误，不能进行正常操作的；</w:t>
      </w:r>
    </w:p>
    <w:p w14:paraId="3FC9D0E9">
      <w:pPr>
        <w:spacing w:line="360" w:lineRule="auto"/>
        <w:ind w:firstLine="456" w:firstLineChars="200"/>
        <w:rPr>
          <w:rFonts w:ascii="宋体" w:cs="宋体"/>
          <w:color w:val="auto"/>
          <w:spacing w:val="-6"/>
          <w:sz w:val="24"/>
          <w:highlight w:val="none"/>
        </w:rPr>
      </w:pPr>
      <w:r>
        <w:rPr>
          <w:rFonts w:ascii="宋体" w:hAnsi="宋体" w:cs="宋体"/>
          <w:color w:val="auto"/>
          <w:spacing w:val="-6"/>
          <w:sz w:val="24"/>
          <w:highlight w:val="none"/>
        </w:rPr>
        <w:t>3.</w:t>
      </w:r>
      <w:r>
        <w:rPr>
          <w:rFonts w:hint="eastAsia" w:ascii="宋体" w:hAnsi="宋体" w:cs="宋体"/>
          <w:color w:val="auto"/>
          <w:spacing w:val="-6"/>
          <w:sz w:val="24"/>
          <w:highlight w:val="none"/>
        </w:rPr>
        <w:t>电子交易平台发现严重安全漏洞，有潜在泄密危险的；</w:t>
      </w:r>
    </w:p>
    <w:p w14:paraId="5B881115">
      <w:pPr>
        <w:spacing w:line="360" w:lineRule="auto"/>
        <w:ind w:firstLine="456" w:firstLineChars="200"/>
        <w:rPr>
          <w:rFonts w:ascii="宋体" w:cs="宋体"/>
          <w:color w:val="auto"/>
          <w:spacing w:val="-6"/>
          <w:sz w:val="24"/>
          <w:highlight w:val="none"/>
        </w:rPr>
      </w:pPr>
      <w:r>
        <w:rPr>
          <w:rFonts w:ascii="宋体" w:hAnsi="宋体" w:cs="宋体"/>
          <w:color w:val="auto"/>
          <w:spacing w:val="-6"/>
          <w:sz w:val="24"/>
          <w:highlight w:val="none"/>
        </w:rPr>
        <w:t>4.</w:t>
      </w:r>
      <w:r>
        <w:rPr>
          <w:rFonts w:hint="eastAsia" w:ascii="宋体" w:hAnsi="宋体" w:cs="宋体"/>
          <w:color w:val="auto"/>
          <w:spacing w:val="-6"/>
          <w:sz w:val="24"/>
          <w:highlight w:val="none"/>
        </w:rPr>
        <w:t>病毒发作导致不能进行正常操作的；</w:t>
      </w:r>
    </w:p>
    <w:p w14:paraId="12D63F25">
      <w:pPr>
        <w:spacing w:line="360" w:lineRule="auto"/>
        <w:ind w:firstLine="456" w:firstLineChars="200"/>
        <w:rPr>
          <w:rFonts w:ascii="宋体" w:cs="宋体"/>
          <w:color w:val="auto"/>
          <w:spacing w:val="-6"/>
          <w:sz w:val="24"/>
          <w:highlight w:val="none"/>
        </w:rPr>
      </w:pPr>
      <w:r>
        <w:rPr>
          <w:rFonts w:ascii="宋体" w:hAnsi="宋体" w:cs="宋体"/>
          <w:color w:val="auto"/>
          <w:spacing w:val="-6"/>
          <w:sz w:val="24"/>
          <w:highlight w:val="none"/>
        </w:rPr>
        <w:t>5.</w:t>
      </w:r>
      <w:r>
        <w:rPr>
          <w:rFonts w:hint="eastAsia" w:ascii="宋体" w:hAnsi="宋体" w:cs="宋体"/>
          <w:color w:val="auto"/>
          <w:spacing w:val="-6"/>
          <w:sz w:val="24"/>
          <w:highlight w:val="none"/>
        </w:rPr>
        <w:t>其他无法保证电子交易的公平、公正和安全的情况。</w:t>
      </w:r>
    </w:p>
    <w:p w14:paraId="4445798C">
      <w:pPr>
        <w:spacing w:line="360" w:lineRule="auto"/>
        <w:ind w:firstLine="456" w:firstLineChars="200"/>
        <w:rPr>
          <w:rFonts w:ascii="宋体" w:cs="宋体"/>
          <w:color w:val="auto"/>
          <w:sz w:val="24"/>
          <w:highlight w:val="none"/>
        </w:rPr>
      </w:pPr>
      <w:r>
        <w:rPr>
          <w:rFonts w:hint="eastAsia" w:ascii="宋体" w:hAnsi="宋体" w:cs="宋体"/>
          <w:color w:val="auto"/>
          <w:spacing w:val="-6"/>
          <w:sz w:val="24"/>
          <w:highlight w:val="none"/>
        </w:rPr>
        <w:t>出现前款规定情形，不影响采购公平、公正性的，采购代理机构可以待上述情形消除后继续组织电子交易活动；影响或可能影响采购公平、公正性的，应当重新采购。</w:t>
      </w:r>
    </w:p>
    <w:p w14:paraId="4DD41582">
      <w:pPr>
        <w:spacing w:line="360" w:lineRule="auto"/>
        <w:ind w:firstLine="398" w:firstLineChars="200"/>
        <w:jc w:val="center"/>
        <w:rPr>
          <w:rFonts w:ascii="宋体" w:cs="宋体"/>
          <w:b/>
          <w:bCs/>
          <w:color w:val="auto"/>
          <w:spacing w:val="-6"/>
          <w:sz w:val="21"/>
          <w:szCs w:val="21"/>
          <w:highlight w:val="none"/>
        </w:rPr>
        <w:sectPr>
          <w:footerReference r:id="rId6" w:type="default"/>
          <w:pgSz w:w="11907" w:h="16840"/>
          <w:pgMar w:top="1417" w:right="1134" w:bottom="1417" w:left="1134" w:header="851" w:footer="850" w:gutter="0"/>
          <w:pgNumType w:fmt="decimal" w:start="1"/>
          <w:cols w:space="720" w:num="1"/>
          <w:rtlGutter w:val="0"/>
          <w:docGrid w:linePitch="0" w:charSpace="0"/>
        </w:sectPr>
      </w:pPr>
      <w:r>
        <w:rPr>
          <w:rFonts w:ascii="宋体" w:cs="宋体"/>
          <w:b/>
          <w:bCs/>
          <w:color w:val="auto"/>
          <w:spacing w:val="-6"/>
          <w:sz w:val="21"/>
          <w:szCs w:val="21"/>
          <w:highlight w:val="none"/>
        </w:rPr>
        <w:br w:type="page"/>
      </w:r>
    </w:p>
    <w:p w14:paraId="523C9835">
      <w:pPr>
        <w:spacing w:line="360" w:lineRule="auto"/>
        <w:jc w:val="center"/>
        <w:rPr>
          <w:rFonts w:ascii="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Hans" w:bidi="en-US"/>
        </w:rPr>
        <w:t>第三章  采购需求</w:t>
      </w:r>
    </w:p>
    <w:p w14:paraId="4E8EA008">
      <w:pPr>
        <w:spacing w:line="288" w:lineRule="auto"/>
        <w:ind w:firstLine="562" w:firstLineChars="200"/>
        <w:jc w:val="both"/>
        <w:outlineLvl w:val="0"/>
        <w:rPr>
          <w:rFonts w:hint="eastAsia" w:ascii="宋体" w:cs="宋体"/>
          <w:b/>
          <w:bCs/>
          <w:color w:val="auto"/>
          <w:sz w:val="28"/>
          <w:szCs w:val="28"/>
          <w:highlight w:val="none"/>
          <w:lang w:val="en-US" w:eastAsia="zh-CN"/>
        </w:rPr>
      </w:pPr>
      <w:r>
        <w:rPr>
          <w:rFonts w:hint="eastAsia" w:ascii="宋体" w:cs="宋体"/>
          <w:b/>
          <w:bCs/>
          <w:color w:val="auto"/>
          <w:sz w:val="28"/>
          <w:szCs w:val="28"/>
          <w:highlight w:val="none"/>
          <w:lang w:val="en-US" w:eastAsia="zh-CN"/>
        </w:rPr>
        <w:t>一、采购内容及相关参数</w:t>
      </w:r>
    </w:p>
    <w:tbl>
      <w:tblPr>
        <w:tblStyle w:val="27"/>
        <w:tblW w:w="14409"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1290"/>
        <w:gridCol w:w="10247"/>
        <w:gridCol w:w="763"/>
        <w:gridCol w:w="780"/>
        <w:gridCol w:w="750"/>
      </w:tblGrid>
      <w:tr w14:paraId="26E7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E6C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002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1B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规格参数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CB8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466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02D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0F39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317AC3">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b/>
                <w:bCs/>
                <w:i w:val="0"/>
                <w:iCs w:val="0"/>
                <w:color w:val="auto"/>
                <w:sz w:val="24"/>
                <w:szCs w:val="24"/>
                <w:highlight w:val="none"/>
                <w:u w:val="none"/>
                <w:lang w:eastAsia="zh-CN"/>
              </w:rPr>
            </w:pPr>
            <w:r>
              <w:rPr>
                <w:rFonts w:hint="eastAsia" w:ascii="宋体" w:hAnsi="宋体" w:eastAsia="宋体" w:cs="宋体"/>
                <w:b/>
                <w:bCs/>
                <w:i w:val="0"/>
                <w:iCs w:val="0"/>
                <w:color w:val="auto"/>
                <w:sz w:val="24"/>
                <w:szCs w:val="24"/>
                <w:highlight w:val="none"/>
                <w:u w:val="none"/>
                <w:lang w:eastAsia="zh-CN"/>
              </w:rPr>
              <w:t>一、前端设备部分</w:t>
            </w:r>
          </w:p>
        </w:tc>
      </w:tr>
      <w:tr w14:paraId="44333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7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F1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双摄人脸抓拍相机租赁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22F864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400万像素，采用深度学习算法，以海量图片及视频资源为路基，通过机器自身提取目标特征，形成深层可供学习的人脸图像。极大的提升了目标人脸的检出率;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支持智能资源模式切换：人脸抓拍（默认）、道路监控、Smart事件、普通监控;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人脸抓拍模式：a)支持对运动人脸进行检测、抓拍、评分、筛选，输出人脸抓拍结果，b)支持人脸去误报、快速抓拍人脸，c)支持两种人脸抓拍模式，d)最多同时检测30张人脸，e)支持人脸去重;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道路监控模式：a)车辆检测：支持车牌识别并抓拍，车型/车品牌/车身颜色/车牌颜色识别，b)混行检测：检测正向或逆向行驶的车辆以及行人和非机动车，自动对车辆牌照进行识别，可以抓拍无车牌的车辆图片，c)支持卡口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Smart事件模式：支持越界侦测，区域入侵侦测，进入/离开区域侦测，徘徊侦测，人员聚集侦测，快速运动侦测，停车侦测，物品遗留/拿取侦测，场景变更侦测，音频陡升/陡降侦测，音频有无侦测，虚焦侦测;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设备内置高效温和补光灯，告别光污染，保证夜间正常进行人脸抓拍;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设备支持上下双通道镜头，上通道内置电动变焦镜头，操作便易，变焦过程平稳；下通道定焦全彩镜头，满足低照度下的监控需求;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支持标准的512 GB MicroSD/MicroSDHC/MicroSDXC卡存储，支持10 M/100 M自适应网口;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最高分辨率可达400万像素，并在此分辨率下可输出25 fps实时图像，图像更流畅，支持透雾，支持宽动态120 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支持开放型网络视频接口，ISAPI，GB/T28181-2016，ISUP5.0，视图库，Otap;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支持三码流技术，支持同时20路取流;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支持三级用户权限管理，支持授权的用户和密码，支持IP地址过滤;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电源供应：DC：12 V ± 20%；PoE：802.3at，Type 2，Class 4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最低照度：通道1：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彩色：0.0005 Lux @（F1.2，AGC ON），0 Lux with Light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黑白：0.0001 Lux @（F1.2，AGC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彩色：0.0005 Lux @（F1.0，AGC ON），0 Lux with Light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黑白：0.0001 Lux @（F1.0，AGC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传感器类型：通道1：1/1.8"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通道2：1/2.7"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宽动态：120 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焦距&amp;视场角：通道1：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w:t>
            </w:r>
            <w:r>
              <w:rPr>
                <w:rFonts w:hint="eastAsia" w:ascii="微软雅黑" w:hAnsi="微软雅黑" w:eastAsia="微软雅黑" w:cs="微软雅黑"/>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 mm：水平视场角：40.3°</w:t>
            </w:r>
            <w:r>
              <w:rPr>
                <w:rFonts w:hint="eastAsia" w:ascii="微软雅黑" w:hAnsi="微软雅黑" w:eastAsia="微软雅黑" w:cs="微软雅黑"/>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14.5°，垂直视场角：22.1°</w:t>
            </w:r>
            <w:r>
              <w:rPr>
                <w:rFonts w:hint="eastAsia" w:ascii="微软雅黑" w:hAnsi="微软雅黑" w:eastAsia="微软雅黑" w:cs="微软雅黑"/>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8.2°，对角视场角：46.9°</w:t>
            </w:r>
            <w:r>
              <w:rPr>
                <w:rFonts w:hint="eastAsia" w:ascii="微软雅黑" w:hAnsi="微软雅黑" w:eastAsia="微软雅黑" w:cs="微软雅黑"/>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16.5°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mm：水平视场角：84°，垂直视场角：45°，对角视场角：99°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补光灯类型：混合补光（支持白光模式和混光模式），850 nm+暖白光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补光距离：通道1：普通监控：50 m，人脸抓拍/识别：15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通道2：普通监控：30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防补光过曝：支持开启和关闭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最大图像尺寸：通道1：2688 × 1520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通道2：1920 ×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接口类型：外甩线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网络：1个RJ45 10 M/100 M自适应以太网口 SD卡扩展：内置MicroSD/MicroSDHC/MicroSDXC 插槽，最大支持512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音频：2个内置麦克风，1个内置扬声器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复位：支持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 V ± 20%，支持防反接保护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PoE：802.3at，Type 2，Class 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电源接口类型：3芯接口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存储温湿度：-30 °C~60 °C，湿度小于95%（无凝结）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启动和工作温湿度：-30 °C~60 °C，湿度小于95%（无凝结）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电流及功耗：DC：12 V，1.2 A，最大功耗：14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PoE：802.3at，36 V~57 V，0.43 A~0.27 A，最大功耗：16.68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恢复出厂设置：支持RESET按键，客户端或浏览器恢复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在线升级：支持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在分辨率1920x1080 @ 25fps，码流设置为1Mbps时，视频图像传输延时不大于60ms。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★支持数据感知功能，在浏览器下，重启事件记录可包括正常重启和异常重启2种类型。正常重启可记录重启的时间、服务类型、用户名、IP/域名信息；异常重启可记录重启时间、异常类型信息。</w:t>
            </w: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（需提供公安部检测报告证明）</w:t>
            </w:r>
          </w:p>
          <w:p w14:paraId="7F9E9C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支持固件安全检验功能，摄像机uboot应采用加密存储，通过离线烧写存储器方式写入的uboot执行程序，不能被硬件微引导程序加载执行。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设备具有耀光抑制功能，耀光区域≤1%。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★支持对镜头前盖玻璃加热，去除玻璃上的冰状和水状附着物。（需提供公安部检测报告证明）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03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BF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3F69">
            <w:pPr>
              <w:jc w:val="both"/>
              <w:rPr>
                <w:rFonts w:hint="eastAsia" w:ascii="宋体" w:hAnsi="宋体" w:eastAsia="宋体" w:cs="宋体"/>
                <w:i w:val="0"/>
                <w:iCs w:val="0"/>
                <w:color w:val="auto"/>
                <w:sz w:val="24"/>
                <w:szCs w:val="24"/>
                <w:highlight w:val="none"/>
                <w:u w:val="none"/>
              </w:rPr>
            </w:pPr>
          </w:p>
        </w:tc>
      </w:tr>
      <w:tr w14:paraId="6056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96F7">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42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双摄人脸抓拍相机维护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6A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双摄人脸抓拍相机含维护、含巡检（频率：一个星期两次）、含6年内设备损坏免费更换。</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DE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EDB0">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69FC">
            <w:pPr>
              <w:jc w:val="both"/>
              <w:rPr>
                <w:rFonts w:hint="eastAsia" w:ascii="宋体" w:hAnsi="宋体" w:eastAsia="宋体" w:cs="宋体"/>
                <w:i w:val="0"/>
                <w:iCs w:val="0"/>
                <w:color w:val="auto"/>
                <w:sz w:val="24"/>
                <w:szCs w:val="24"/>
                <w:highlight w:val="none"/>
                <w:u w:val="none"/>
              </w:rPr>
            </w:pPr>
          </w:p>
        </w:tc>
      </w:tr>
      <w:tr w14:paraId="58BB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E6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DF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双结构化双云台摄像机租赁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41FC1B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7A双变焦多摄筒机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AI多摄双变焦双全结构化产品，聚合多种专为复杂场景设计的深度学习算法，实现全结构化数据精准采集，具备多场景数据融合分析能力，实现全方位态势感知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通道1和通道2传感器均采用1/1.8＂ CMOS，2个细节镜头均采用F1.6恒定光圈变焦镜头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设备支持双通道微云台PT控制功能：通道1水平方向支持0-355°旋转，垂直方向支持-15°-30°旋转；通道2水平方向支持-15°-15°旋转，垂直方向支持-5°-30°旋转。支持通道1和通道2互为180°夹角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设备支持5种智能资源模式切换：全结构化（默认）、人脸抓拍、目标比对、道路监控、Smart事件、人数统计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全结构化模式：支持机动车、非机动车、人员等多目标抓拍和属性分析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人脸抓拍模式：支持对运动人脸抓拍和属性分析，支持快速抓拍和优选抓拍两种模式，支持抓拍图片去重功能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目标比对模式：支持前端目标比对功能，支持快速比对和优选比对两种模式，支持10个图片库，最多15万张图片的导入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事件模式：支持越界侦测，区域入侵侦测，进入区域侦测，离开区域侦测，徘徊侦测，人员聚集侦测，快速移动侦测，停车侦测，物品遗留侦测，物品拿取侦测，场景变更侦测，音频陡升侦测，音频陡降侦测，音频有无侦测，虚焦侦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支持鳞镜补光：采用隐藏式灯珠设计，通过鳞甲密布排列形成的镜面反射出光，增加发光面积，降低聚光效果，补光柔和均匀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支持电量检测：支持设备功耗检测，支持设备功耗报表展示，报表类型支持日报表和周报表（默认日报表，单位瓦时（W·h））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音频：标配2个内置麦克风，1个内置扬声器，支持2路输入，1路输出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报警：3路输入，2路输出（报警输入支持开关量，报警输出最大支持DC12 V，30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支持GB35114安全加密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电源供应：DC：12 V ± 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样机装配牢固、连接可靠，主要由上、下两部分采集通道组成，上通道具有4颗鳞镜式混合补光灯，下通道具有2颗鳞镜式混合补光灯，上下采集通道通过中部的水平/垂直云台连接于一体。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★全景通道和细节通道均具有电动控制PT功能，均支持电动调节。细节通道支持水平方向0至355°旋转，垂直方向-15°至30°旋转，全景通道支持垂直方向-5°至15°旋转。</w:t>
            </w: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（需提供公安部检测报告证明）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★内置6颗鳞镜式补光灯，灯杯为半弧形网格鳞片状。</w:t>
            </w: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（需提供公安部检测报告证明）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灯珠朝向与样机照射方向不同，补光灯开启后正面不可见补光灯灯珠，灯光均匀无波纹、圆环状、麻点状、条纹状和不规则亮斑。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0A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D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B6FA">
            <w:pPr>
              <w:jc w:val="both"/>
              <w:rPr>
                <w:rFonts w:hint="eastAsia" w:ascii="宋体" w:hAnsi="宋体" w:eastAsia="宋体" w:cs="宋体"/>
                <w:i w:val="0"/>
                <w:iCs w:val="0"/>
                <w:color w:val="auto"/>
                <w:sz w:val="24"/>
                <w:szCs w:val="24"/>
                <w:highlight w:val="none"/>
                <w:u w:val="none"/>
              </w:rPr>
            </w:pPr>
          </w:p>
        </w:tc>
      </w:tr>
      <w:tr w14:paraId="3D87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3B8A">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69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双结构化双云台摄像机维护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4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双结构化双云台摄像机含维护、含巡检（频率：一个星期两次）、含6年内设备损坏免费更换。</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46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F692">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E42A">
            <w:pPr>
              <w:jc w:val="both"/>
              <w:rPr>
                <w:rFonts w:hint="eastAsia" w:ascii="宋体" w:hAnsi="宋体" w:eastAsia="宋体" w:cs="宋体"/>
                <w:i w:val="0"/>
                <w:iCs w:val="0"/>
                <w:color w:val="auto"/>
                <w:sz w:val="24"/>
                <w:szCs w:val="24"/>
                <w:highlight w:val="none"/>
                <w:u w:val="none"/>
              </w:rPr>
            </w:pPr>
          </w:p>
        </w:tc>
      </w:tr>
      <w:tr w14:paraId="2B57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9E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4C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全景拼接人脸抓拍机租赁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761FB6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7A微云台拼接双目筒机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AI多摄双目筒机，上通道看细节，下通道看全景，聚合多种专为复杂场景设计的深度学习算法，实现全结构化数据精准采集，具备多场景数据融合分析能力，实现全方位态势感知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细节通道传感器采用1/1.8＂CMOS，全景通道采用1/2.5"CMOS，细节镜头采用10-50mm变焦镜头，全景通道采用两个F1.0光圈定焦镜头拼接而成，可实现水平视场角180°，垂直视场角81°，画面比例20：9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设备支持双通道PT控制功能：细节通道水平方向支持0~355°旋转，垂直方向支持-15°~30°旋转；全景通道垂直方向支持-5°~15°旋转。支持全景采集通道和细节采集通道互为180°夹角监控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设备支持5种智能资源模式切换：全结构化（默认）、人脸抓拍、人脸比对、道路监控、Smart事件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结构化模式：a)抓拍人体：支持运动方向、上衣颜色、下装颜色、性别、戴眼镜、背包、拎东西、戴帽子、戴口罩、上衣类型、下装类型、发型、骑行状态、载人状态、骑车类型等属性识别；b)抓拍人脸：支持性别、年龄、年龄段、戴眼镜、戴口罩、表情、戴帽子等属性识别；c)抓拍非机动车：支持上衣颜色、下装颜色、性别、戴眼镜、年龄段、背包、拎东西、戴帽子、上衣类型、下装类型、戴口罩、发型、非机动车类型，帽子款式等属性识别；d)抓拍机动车：支持车牌号码、车牌类型、车辆类型、车身颜色、车辆品牌等属性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人脸抓拍模式：a)支持对运动人脸进行检测、抓拍、评分、筛选，输出优选的人脸，b)支持人脸去误报、快速抓拍人脸，c)支持快速抓拍和优选抓拍两种模式，d)最多同时检测60张人脸，e)支持人脸去重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人脸比对模式：a)支持前端人脸比对，b)支持最多10个人脸库的管理，最多15万张人脸的导入，c)支持合计人脸库的存储空间最大3 GB，单张人脸不超过300 KB，d)支持不同人脸库不同时间布防，e)支持名单比对成功报警输出，f)支持人脸瞳距20像素以上的人脸检测，g)支持人脸快速比对，优选比对方式设置，h)最多同时检测60个目标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事件模式：支持越界侦测，区域入侵侦测，进入区域侦测，离开区域侦测，徘徊侦测，人员聚集侦测，快速移动侦测，停车侦测，物品遗留侦测，物品拿取侦测，场景变更侦测，音频陡升侦测，音频陡降侦测，音频有无侦测，虚焦侦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支持鳞镜补光：采用隐藏式灯珠设计，通过鳞甲密布排列形成的镜面反射出光，增加发光面积，降低聚光效果，补光柔和均匀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支持电量检测：支持设备功耗检测，支持设备功耗报表展示，报表类型支持日报表和周报表（默认日报表，单位瓦时（W·h））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音频：标配2个内置麦克风，1个内置扬声器，支持2路输入，1路输出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报警：3路输入，2路输出（报警输入支持开关量，报警输出最大支持DC12 V，30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支持GB35114安全加密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电源供应：DC：12 V ± 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最大图像尺寸：通道1：2688 × 1520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通道2：3632 × 1632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最低照度：通道1：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彩色：0.0005 Lux @（F1.2，AGC ON），0 Lux with Light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黑白：0.0001 Lux @（F1.2，AGC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彩色：0.001 Lux @（F1.0，AGC ON），0 Lux with Light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黑白：0.0005 Lux @（F1.0，AGC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传感器类型：通道1：1/1.8"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通道2：1/2.5"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焦距&amp;视场角：通道1：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10~50 mm：水平视场角：40°~9.4°，垂直视场角：22.7°~5.5°，对角视场角：47°~11°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mm：水平视场角：180° ± 10°，垂直视场角：81° ± 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水平范围：通道1支持：0~355°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垂直范围：通道1：-15°~30°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通道2：-5°~15°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水平速度：10°/S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垂直速度：3°/S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补光距离：通道1：普通监控：100 m，人脸抓拍/识别：20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通道2：普通监控：30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补光灯类型：混合补光（支持白光模式、混光模式、红外模式），850 nm + 暖白光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视频压缩标准：主码流：H.265/H.264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子码流：H.265/H.264/MJPEG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第三码流：H.265/H.264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第四码流：H.265/H.264/MJPEG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第五码流：H.265/H.264/MJPEG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宽动态：通道1：120dB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通道2：数字宽动态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GPS信息侦测：支持设备所在位置的经纬度查询，支持GPS/北斗校时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音频：标配2个内置麦克风，1个内置扬声器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2路输入，1路输出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复位：支持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SD卡扩展：内置MicroSD/MicroSDHC/MicroSDXC插槽，最大支持256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电源输出：DC12 V，50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网络：1个RJ45 10 M/100 M/1000 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报警：3路输入，湿接点，支持3.3 V~5 V范围电位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2路输出，湿接点，电平量，支持最大DC12 V，30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RS-485：采用半双工模式，支持自适应PELCO-P和PELCO-D协议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电源接口类型：2芯接口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恢复出厂设置：支持RESET按键，客户端或浏览器恢复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在线升级：支持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文件系统双备份：支持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存储温湿度：-30 °C~60 °C，湿度小于95%（无凝结）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启动和工作温湿度：-30 °C~60 °C，湿度小于95%（无凝结）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电流功耗：DC：12 V，1.95 A，最大功耗：23.3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 V ± 20%，支持防反接保护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设备重量：2500 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带包装重量：3500 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产品尺寸：237.3 × 207.3 × 238.4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包装尺寸：330 × 312 × 264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w:t>
            </w:r>
            <w:r>
              <w:rPr>
                <w:rFonts w:hint="eastAsia" w:ascii="宋体" w:hAnsi="宋体" w:eastAsia="宋体" w:cs="宋体"/>
                <w:i w:val="0"/>
                <w:iCs w:val="0"/>
                <w:color w:val="auto"/>
                <w:kern w:val="0"/>
                <w:sz w:val="24"/>
                <w:szCs w:val="24"/>
                <w:highlight w:val="none"/>
                <w:u w:val="none"/>
                <w:lang w:val="en-US" w:eastAsia="zh-CN" w:bidi="ar"/>
              </w:rPr>
              <w:t>(含安装和布管布线等工作内容)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9B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6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DAFD">
            <w:pPr>
              <w:jc w:val="both"/>
              <w:rPr>
                <w:rFonts w:hint="eastAsia" w:ascii="宋体" w:hAnsi="宋体" w:eastAsia="宋体" w:cs="宋体"/>
                <w:i w:val="0"/>
                <w:iCs w:val="0"/>
                <w:color w:val="auto"/>
                <w:sz w:val="24"/>
                <w:szCs w:val="24"/>
                <w:highlight w:val="none"/>
                <w:u w:val="none"/>
              </w:rPr>
            </w:pPr>
          </w:p>
        </w:tc>
      </w:tr>
      <w:tr w14:paraId="0EEF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F1B9">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B7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全景拼接人脸抓拍机维护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85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全景拼接人脸抓拍机含维护、含巡检（频率：一个星期两次）、含6年内设备损坏免费更换。</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6D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AC0D">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459A">
            <w:pPr>
              <w:jc w:val="both"/>
              <w:rPr>
                <w:rFonts w:hint="eastAsia" w:ascii="宋体" w:hAnsi="宋体" w:eastAsia="宋体" w:cs="宋体"/>
                <w:i w:val="0"/>
                <w:iCs w:val="0"/>
                <w:color w:val="auto"/>
                <w:sz w:val="24"/>
                <w:szCs w:val="24"/>
                <w:highlight w:val="none"/>
                <w:u w:val="none"/>
              </w:rPr>
            </w:pPr>
          </w:p>
        </w:tc>
      </w:tr>
      <w:tr w14:paraId="7365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05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0A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全景枪球一体机租赁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4E88A9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拼接全景枪球，采用全景双镜头拼接设计，兼顾全景细节;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全景和细节镜头均采用背照式传感器，相比传统摄像机前照式传感器，增加的进光量对图像质量有明显的改善作用;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支持深度学习区域入侵、人车分类侦测、人脸抓拍等轻智能功能，更好的助力可视化管理;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适用于出入口，广场，水库，工厂等需要同时进行大视场角覆盖和细节查看的必要场景;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全景路支持拼接水平视场角约180°;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人脸抓拍模式：支持对不同目标进行检测、抓拍，最多同时检测5张;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内置双路加热玻璃，有效除雾;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支持深度学习算法，提供精准的人车分类侦测、报警、联动球机镜头快速查看;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支持双路区域入侵侦测、越界侦测、进入区域侦测和离开区域侦等智能侦测;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支持高效补光阵列，细节红外照射距离最远可达150 m，白光30 m，全景照射距离最远可达30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支持两进一出报警、一进一出音频、最大支持512 GB MicroSD卡存储;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IP66，抗干扰能力强，适用于严酷的电磁环境，符合四级标准；GB/T17626.2/3/4/5/6全景通道可对设定区域进行布防，当检测到目标时联动细节摄像机可对目标进行跟踪和报警；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可输出全景和细节两路视频图像，其中全景通道分辨率不小于3632*1632，细节分辨率不小于2560*1440；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全景通道水平视场角不小于180°，垂直视场角不小于80°；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支持定位联动功能，在全景视频图像中点击或者框选任意区域后，细节视频图像可将该区域处于视频图像中央，标定点数量不小于6个，且标定用时不大于1s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传感器类型：【全景】1/2.5" Progressive Scan CMOS；【细节】1/2.8＂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最低照度：【全景】彩色：0.0005 Lux @ （F1.0，AGC ON），0 Lux with Light；【细节】彩色：0.005 Lux @ （F1.5，AGC ON），黑白：0.001 Lux @ （F1.5，AGC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焦距：【全景】2.8 mm；【细节】5.9 mm~188.8 mm，32倍光学变倍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视场角：【全景】水平视场角：190±10°，垂直视场角：81±10°；【细节】水平视场角：60.2°~2.3°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白光照射距离：【全景】30 m；【细节】30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红外照射距离：【细节】150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水平范围：360°； 垂直范围：-15°-90°(自动翻转)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水平速度：水平键控速度：0.1°-160°/s,速度可设;水平预置点速度：240°/s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垂直速度：垂直键控速度：0.1°-120°/s,速度可设;垂直预置点速度：200°/s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主码流帧率分辨率：【全景】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50 Hz：25 fps（3632 × 1632，3680 × 1656）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fps（3632 × 1632，3680 × 1656）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50 Hz：25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视频压缩标准：H.265,H.264,MJPEG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宽动态：【全景】数字宽动态；【细节】真宽动态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网络接口：RJ45网口;自适应10M/100M网络数据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报警：2路报警输入，1路报警输出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音频：1路音频输入，音频峰值：2-2.4 V[p-p]，输入阻抗：1 kΩ ± 10%；1路音频输出，线性电平，阻抗：600 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4E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45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4E8B">
            <w:pPr>
              <w:jc w:val="both"/>
              <w:rPr>
                <w:rFonts w:hint="eastAsia" w:ascii="宋体" w:hAnsi="宋体" w:eastAsia="宋体" w:cs="宋体"/>
                <w:i w:val="0"/>
                <w:iCs w:val="0"/>
                <w:color w:val="auto"/>
                <w:sz w:val="24"/>
                <w:szCs w:val="24"/>
                <w:highlight w:val="none"/>
                <w:u w:val="none"/>
              </w:rPr>
            </w:pPr>
          </w:p>
        </w:tc>
      </w:tr>
      <w:tr w14:paraId="5B8D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9DB4">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58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全景枪球一体机维护</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757E96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全景枪球一体机含维护、含巡检（频率：一个星期两次）、含6年内设备损坏免费更换。</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3E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D8D3">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4DAC">
            <w:pPr>
              <w:jc w:val="both"/>
              <w:rPr>
                <w:rFonts w:hint="eastAsia" w:ascii="宋体" w:hAnsi="宋体" w:eastAsia="宋体" w:cs="宋体"/>
                <w:i w:val="0"/>
                <w:iCs w:val="0"/>
                <w:color w:val="auto"/>
                <w:sz w:val="24"/>
                <w:szCs w:val="24"/>
                <w:highlight w:val="none"/>
                <w:u w:val="none"/>
              </w:rPr>
            </w:pPr>
          </w:p>
        </w:tc>
      </w:tr>
      <w:tr w14:paraId="4439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2B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73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黑光智能抓拍筒机租赁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1DD91E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AI黑光轻智能筒机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400万 黑光级 AI轻智能抓拍筒型网络摄像机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采用背照式传感器，相比传统摄像机前照式传感器，增加的进光量对图像质量有明显的改善作用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支持多种智能模式：混合目标检测（人脸+人体）、人脸抓拍、Smart事件多种智能模式可按需切换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适用于出入口、园区、路口路段等场景。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基于视网膜成像原理，采用双Sensor架构和双光融合技术，提供卓越的图像视觉体验。在极低亮度下，呈现如在白昼中的彩色画质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内嵌深度学习算法，通过机器自身提取目标特征，形成深层可供学习的图像，极大的提升了目标的检出率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支持3种智能资源模式切换：混合目标检测（人脸+人体），人脸抓拍，Smart事件（声光警戒）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人脸抓拍：支持对运动人脸进行检测、抓拍、筛选，输出抓拍及属性提取，最多同时检测30张人脸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Smart事件：支持越界侦测，区域入侵侦测，进入区域侦测，离开区域侦测，徘徊侦测，人员聚集侦测，快速运动侦测，停车侦测，物品遗留侦测，物品拿取侦测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内置高效温和补光灯，告别光污染，保证夜间正常进行人脸抓拍，并支持声光报警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支持混合补光，人脸抓拍：3~6 m，普通监控：30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支持2560 × 1440 @25 fps实时帧率，图像更流畅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支持透雾，并具有多种白平衡模式，满足不同场景需求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支持三码流技术，双路高清，支持同时20路取流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混合目标检测：支持人脸和人体目标检测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支持Micro SD/Micro SDHC/Micro SDXC卡存储，最大支持256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支持1对报警输入输出（报警输出最大支持DC12 V，30 mA），1对音频输入输出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支持开放型网络视频接口，ISAPI，SDK，Ehome（2.0，4.0），ISUP（5.0），GB28181，视图库，支持云平台接入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支持DC12 V，50 mA电源输出，用于拾音器供电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内置Mic，有效拾音5 m，并内置扬声器，可覆盖10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最低照度：彩色：0.0005 Lux @（F1.2，AGC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黑白：0.0001 Lux @（F1.2，AGC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宽动态：120 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焦距&amp;视场角：4 mm，水平视场角：79.2°，垂直视场角：43°，对角视场角：93.8°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mm，水平视场角：47°，垂直视场角：25.2°，对角视场角：55°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混光距离：混合补光（750+白光）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人脸：3~6 m，普通监控：30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红外波长范围：750 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视频压缩标准：主码流：H.265/H.264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子码流：H.265/H.264/MJPEG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第三码流：H.265/H.264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报警：1路输入，1路输出（报警输出最大支持DC12 V，30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接口为4芯端子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音频：1路输入（Line in）：最大输入幅值：3.3 Vpp，输入阻抗：4.7 kΩ，接口类型：非平衡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1路输出（Line out）：最大输出幅值：3.3 Vpp，输出阻抗：100 Ω，接口类型：非平衡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1个内置麦克风，1个内置扬声器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复位：支持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网络：1个RJ45 10 M/100 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电源输出：DC12 V，50mA，建议用于拾音器供电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在线升级：支持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★人脸检出率不小于99%。人脸抓拍重复率不大于1%。（需提供公安部检测报告证明）</w:t>
            </w:r>
          </w:p>
          <w:p w14:paraId="660F62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文件系统双备份：支持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恢复出厂设置：支持客户端或浏览器恢复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存储温湿度：-30 ℃~60 ℃，湿度小于95%（无凝结）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启动和工作温湿度：-30 ℃~60 ℃，湿度小于95%（无凝结）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 V ± 20%，支持防反接保护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PoE：802.3at，Class 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电流及功耗：DC：12 V，1.26 A，最大功耗：15.12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PoE：802.3at，42.5 V~57 V，0.41 A~0.3 A，最大功耗：17.1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电源接口类型：Ø5.5 mm圆口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产品尺寸：219.1 × 114.3 × 109.3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包装尺寸：315 × 137 × 141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设备重量：1260 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带包装重量：1600 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2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A8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8DB3">
            <w:pPr>
              <w:jc w:val="both"/>
              <w:rPr>
                <w:rFonts w:hint="eastAsia" w:ascii="宋体" w:hAnsi="宋体" w:eastAsia="宋体" w:cs="宋体"/>
                <w:i w:val="0"/>
                <w:iCs w:val="0"/>
                <w:color w:val="auto"/>
                <w:sz w:val="24"/>
                <w:szCs w:val="24"/>
                <w:highlight w:val="none"/>
                <w:u w:val="none"/>
              </w:rPr>
            </w:pPr>
          </w:p>
        </w:tc>
      </w:tr>
      <w:tr w14:paraId="22FA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444C">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13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黑光智能抓拍筒机维护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B6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黑光智能抓拍筒机含维护、含巡检（频率：一个星期两次）、含6年内设备损坏免费更换。</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6A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A507">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073C">
            <w:pPr>
              <w:jc w:val="both"/>
              <w:rPr>
                <w:rFonts w:hint="eastAsia" w:ascii="宋体" w:hAnsi="宋体" w:eastAsia="宋体" w:cs="宋体"/>
                <w:i w:val="0"/>
                <w:iCs w:val="0"/>
                <w:color w:val="auto"/>
                <w:sz w:val="24"/>
                <w:szCs w:val="24"/>
                <w:highlight w:val="none"/>
                <w:u w:val="none"/>
              </w:rPr>
            </w:pPr>
          </w:p>
        </w:tc>
      </w:tr>
      <w:tr w14:paraId="7BF1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47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60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车辆人脸卡口租赁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345787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生态车辆人脸卡口抓拍单元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生态车辆人脸卡口抓拍单元由防护罩组件及高清智能摄像机组成，抓拍单元防护罩前面板具有防尘、防水功能，单元内置LED暖光灯，单元支持网络防雷、防浪涌，宽温宽压等。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内置S传摄像机采用1英寸高帧率全局曝光CMO感器，分辨率可达4096 × 2160，帧率高达25帧，具有清晰度高、照度低、帧率高、色彩还原度好等特点。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视频采用H.265、H.264或MJPEG编码，低延时，低码率，压缩比高，处理灵活。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支持视频触发等多种触发模式并实现全结构化：支持深度学习算法，支持多目标混合场景应用，实时提取机动车、非机动车、行人、人脸等目标全结构化信息，为大数据业务提供全方位的特征数据基础。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支持非机动车和行人的抓拍和特征检测。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支持车辆检测处理器、雷达、补光灯的接入。</w:t>
            </w:r>
          </w:p>
          <w:p w14:paraId="2CAA03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★外接雷达功能检查：支持外接多目标检测雷达，可实现雷达视频融合检测，可输出目标编号、车型和雷达速度、位置等信息（需提供公安部检测报告证明）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白天使用闪光灯补光，夜晚仅使用LED频闪灯补光，抓拍图片可看清司乘人员人脸，并能够用于后端人脸比对。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支持远程数据上传，GB/T 28181视频联网标准、GA/T 1400视图库标准、FTP协议，可将抓拍的图片上传给终端服务器、FTP服务器或者后端平台。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支持中国香港、中国澳门和大陆车牌识别。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★司乘人员抓拍性能试验：支持前排人脸检测，并识别主驾驶员的性别、是否戴眼镜结构化属性信息，可在抓拍图上叠加主/副驾驶人脸小图和主驾驶员的结构化属性信息。 在天气晴朗无雾，车辆无遮挡，白天环境光照度不低于200lx，夜晚辅助光照度不高于30lx的情况下进行测试。车辆前排人脸抓拍废片率≤1%。前排人脸抓拍率≥99%。其中，车辆前排人脸抓拍废片率=抓拍图上叠加的小图为非人脸的车辆数/实际过车数；前排人脸抓拍率=抓拍人脸数/实际过车中前排人脸数。（需提供公安部检测报告证明）</w:t>
            </w:r>
          </w:p>
          <w:p w14:paraId="36E37B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车身颜色识别功能检查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14:paraId="693C95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★车牌识别功能检查 ：支持对25×10 像素～1100×3000 像素的机动车车牌进行抓拍并识别号码； 支持抓拍并识别垂直倾斜角度≤45°、水平倾斜角度≤35°、俯仰角度≤40°的机动车车牌号码。（需提供公安部检测报告证明）</w:t>
            </w:r>
          </w:p>
          <w:p w14:paraId="59F1B1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 Global shutter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图像控制：曝光速度、AGC控制、白平衡方式控制等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视频压缩标准：H.264, H.265, 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视频分辨率：4096(H) × 2160(V)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压缩输出码率：32 Kbps~16 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帧率：25fps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多码流：支持3码流：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主码流：4096×2160（默认）；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子码流：1920×1080（默认）；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三码流：1920×1080（默认）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抓拍图片格式：JPEG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抓拍图片分辨率：4096(H) × 2160(V)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存储功能：TF, USB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支持协议：ISAPI，GB/T 28181视频联网标准，GA/T 1400视图库标准，SDK，FTP协议等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镜头规格：50mm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光圈类型：手动光圈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通讯接口：3个RS-485接口，1个RS-232接口；2个RJ45 10M/100M/1000M自适应以太网口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触发输入：1个触发/报警输入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触发输出：7路F+/F-输出接口，可作为补光灯同步输出控制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同步输入：SYNC信号灯电源同步输入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违章检测：超速、压车道线、违章变道、未系安全带、未戴头盔、非机动车载人、不礼让行人、逆行、低速、机动车闯禁令、打电话、占用机动车道、摩托车闯禁令、加塞等违法行为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机动车：车牌识别：支持识别符合GA 36《中华人民共和国机动车号牌》标准的车牌类型；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车身颜色识别：白、灰、黄、红、紫、绿、蓝、棕、黑；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车辆品牌，子品牌识别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非机动车：车型识别、特征识别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行人：人体识别、特征识别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整体组成：防尘、防水面板，内置LED补光灯，摄像机，单元防护罩，电源适配器（AC220转DC12）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尺寸：180.2 mm (W) × 155 mm (H) × 640 mm (D)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工作温度：-30℃~70℃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工作湿度：5%~95%@40℃，无凝结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电源：100 VAC～240 VAC；频率：48 Hz～52 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功耗：Max. 32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重量：5.2 ± 0.5 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2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95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339F">
            <w:pPr>
              <w:jc w:val="both"/>
              <w:rPr>
                <w:rFonts w:hint="eastAsia" w:ascii="宋体" w:hAnsi="宋体" w:eastAsia="宋体" w:cs="宋体"/>
                <w:i w:val="0"/>
                <w:iCs w:val="0"/>
                <w:color w:val="auto"/>
                <w:sz w:val="24"/>
                <w:szCs w:val="24"/>
                <w:highlight w:val="none"/>
                <w:u w:val="none"/>
              </w:rPr>
            </w:pPr>
          </w:p>
        </w:tc>
      </w:tr>
      <w:tr w14:paraId="11F5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2173">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E5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车辆人脸卡口维护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11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车辆人脸卡口含维护、含巡检（频率：一个星期两次）、含6年内设备损坏免费更换。</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3D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992C">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345C">
            <w:pPr>
              <w:jc w:val="both"/>
              <w:rPr>
                <w:rFonts w:hint="eastAsia" w:ascii="宋体" w:hAnsi="宋体" w:eastAsia="宋体" w:cs="宋体"/>
                <w:i w:val="0"/>
                <w:iCs w:val="0"/>
                <w:color w:val="auto"/>
                <w:sz w:val="24"/>
                <w:szCs w:val="24"/>
                <w:highlight w:val="none"/>
                <w:u w:val="none"/>
              </w:rPr>
            </w:pPr>
          </w:p>
        </w:tc>
      </w:tr>
      <w:tr w14:paraId="0BD7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11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B6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全局系列摄像机租赁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5B5918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瞬晰聚焦黑光全局Pro</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全局Pro摄像机集合定点看全景、细节看固定区域、球机联动的优势，采用一体化设计，内置3镜头。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全景镜头、细节和球机传感器均采用1/1.8＂ CMOS,全景镜头采用6mm定焦镜头，细节镜头采用13-52mm变焦黑光镜头，球机镜头采用13-52mm瞬晰变焦黑光镜头。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支持人脸抓拍，非机动车识别、机动车车牌识别等全结构化功能，更好的助力平安城市人车管理。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适用于交通道路、宽出入口等需要进行人车管理的必要场景。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人体最远检测距离可达40 m，人脸最远检测距离可达30 m，电瓶车车牌最远30 m，车辆最远检测距离15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支持三种智能资源模式切换：联动抓拍模式、三路全结构化模式、全景人员智能模式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联动抓拍模式：全景进行车辆抓拍、背向行人抓拍及结构化属性识别，并联动球机进行人脸人体抓拍及其属性提取；细节进行固定区域的非机动车抓拍及属性提取。三镜头配合进行15 m宽、30 m远的监控范围内全目标的主动+被动抓拍。球机镜头可进行前端人脸比对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三路全结构化模式：三个镜头可分别进行全结构化抓拍，及电瓶车车牌提取。细节镜头和球机镜头可进行人体与人脸的交叉关联、电瓶车车牌和人脸的交叉关联。交叉关联可通过浏览器控件进行展示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全结构化属性列表： a）抓拍人体：支持上衣颜色、下装颜色、性别、戴眼镜、背包、拎东西、戴帽子、戴口罩、长短袖、裤裙、发型等13个属性识别 b）抓拍人脸：支持对运动人脸进行抓拍，支持性别、年龄、戴眼镜、戴口罩等9个人脸属性 c）抓拍非机动车：支持上衣颜色、性别、戴眼镜、背包、戴帽子、戴口罩、长短袖、发型、骑车类型、骑车人数等11个属性识别 d）抓拍机动车：支持车牌识别并抓拍，支持车型、车牌颜色、车身颜色、车牌类型、子品牌车身颜色等7个属性识别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前端人脸比对：a）支持前端人脸比对 b）支持最多10个人脸库的管理 c）支持最多15万张人脸的导入 d）支持合计人脸库的存储空间最大3 GB，单张人脸不超过300 kb e）支持不同人脸库不同时间布防 f）支持非授权名单比对成功报警输出 g）支持人脸瞳距20像素以上的人脸检测 h）支持人脸快速比对多种比对方式设置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全景人员智能支持人数统计和倾斜客流统计。人数统计支持人员密度报警，在离岗检测，区域关注度，热度图功能；倾斜客流统计支持进入和离开过线计数功能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景内置高效暖白光全彩阵列灯，夜间能正常进行人体车辆抓拍；细节内置专利温和补光灯，夜晚能正常进行人脸、人体和车牌抓拍；球机内置专利温和补光灯，夜间灯亮度、角度根据场景智能调整，能正常进行人脸抓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球机镜头支持瞬晰聚焦，从最小倍到最大倍变倍时间为0.1 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支持算法比对机制,降低人脸抓拍重复率，支持多通道间的联合去重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支持人体、车辆轨迹叠加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支持GB35114安全加密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传感器类型：【全景】1/1.8＂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【细节】双1/1.8＂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【球机】双1/1.8＂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最低照度：【全景】彩色：0.0005 Lux @（F1.0，AGC ON），黑白：0.0001 Lux @（F1.0，AGC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【细节】彩色：0.0004 Lux @（F1.6，AGC ON），黑白：0.0001 Lux @（F1.6，AGC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【球机】彩色：0.0004 Lux @（F1.6，AGC ON），黑白：0.0001 Lux @（F1.6，AGC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【全景】定焦6 mm    【细节】变焦13-52mm，4×光学变倍    【球机】变焦13-52mm，4×光学变倍，支持瞬晰聚焦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视场角：【全景】水平：55°，垂直：29°，对角线：65°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【细节】水平：28.2°~9.7°，垂直：15°~5.3°，对角线：32.3°~10.9°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【球机】水平：28.2°~9.7°，垂直：15°~5.3°，对角线：32.3°~10.9°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补光灯距离：暖白补光【全景】50 m监控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混合补光【细节】20 m人脸；【球机】20 m人脸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水平范围：【全景】不支持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【球机】0~330°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垂直范围：【全景】-5°~5°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【球机】-10°~90°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水平速度：【球机】水平键控速度：0.1°~200°/s，速度可设； 水平预置点速度：300°/s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垂直速度：【球机】垂直键控速度：0.1°~120°/s，速度可设； 垂直预置点速度：120°/s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主码流帧率分辨率：50 Hz：25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网络接口：RJ45网口，自适应10 M/100 M/1000 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SD卡扩展：内置MicroSD卡插槽，最大支持256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报警：1路报警输入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报警输出：1路报警输出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音频：1路音频输入，音频峰值：2~2.4 V[p-p]，输入阻抗：1 kΩ ± 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音频输出：1路音频输出，线性电平，阻抗:600Ω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RS-485：采用半双工模式，支持自适应PELCO-P和PELCO-D（可添加）协议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接口类型：一体化甩线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恢复出厂设置：支持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低温加热：支持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电源：DC：36 V ± 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电源接口类型：2芯绿头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设备功耗：2.5 A，90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工作温湿度：-40 ℃~70 ℃；湿度小于90%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除雾：加热除雾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尺寸：344.79 × 220.64 × 246.2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重量：6.2 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包装配件：出厂自带DC36 V适配器以及电源线，自带吊装万向节。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D5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C0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41B3">
            <w:pPr>
              <w:jc w:val="both"/>
              <w:rPr>
                <w:rFonts w:hint="eastAsia" w:ascii="宋体" w:hAnsi="宋体" w:eastAsia="宋体" w:cs="宋体"/>
                <w:i w:val="0"/>
                <w:iCs w:val="0"/>
                <w:color w:val="auto"/>
                <w:sz w:val="24"/>
                <w:szCs w:val="24"/>
                <w:highlight w:val="none"/>
                <w:u w:val="none"/>
              </w:rPr>
            </w:pPr>
          </w:p>
        </w:tc>
      </w:tr>
      <w:tr w14:paraId="1380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88B2">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42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全局系列摄像机维护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D7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全局系列摄像机含维护、含巡检（频率：一个星期两次）、含6年内设备损坏免费更换。</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54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D343">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2ADC">
            <w:pPr>
              <w:jc w:val="both"/>
              <w:rPr>
                <w:rFonts w:hint="eastAsia" w:ascii="宋体" w:hAnsi="宋体" w:eastAsia="宋体" w:cs="宋体"/>
                <w:i w:val="0"/>
                <w:iCs w:val="0"/>
                <w:color w:val="auto"/>
                <w:sz w:val="24"/>
                <w:szCs w:val="24"/>
                <w:highlight w:val="none"/>
                <w:u w:val="none"/>
              </w:rPr>
            </w:pPr>
          </w:p>
        </w:tc>
      </w:tr>
      <w:tr w14:paraId="08F1B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3"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C4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07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补光灯租赁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7BFA26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光源类型:高品质大功率暖光LED</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色温:3000 K</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光通量:4150lm</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发光角度:30°</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最佳补光距离:12m~25m</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调光方式:RS485控制、按键控制</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控制方式:支持内控(光敏自动控制)、外控(摄像机通过RS485控制、手动按键控制)</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安装支架旋转角度:-90°~+90°</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★电源:AC：90 V ~264V  50/60Hz。供电电压在AC 220V±44V、电源频率在50Hz±2Hz范围波动时，补光装置应能正常工作，基准轴光照度或辐照度变化幅度应小于或等于额定电压下的5%。（需提供公安部检测报告证明）</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功率:3W~50W可调(有功功率)</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重量:1.48kg</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尺寸:208mm*176.6mm*71.4 mm</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工作环境:-40℃~+60℃，10%~95%RH（相对湿度，无冷凝）</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防护等级:IP68</w:t>
            </w:r>
            <w:r>
              <w:rPr>
                <w:rFonts w:hint="eastAsia" w:ascii="宋体" w:hAnsi="宋体" w:eastAsia="宋体" w:cs="宋体"/>
                <w:i w:val="0"/>
                <w:iCs w:val="0"/>
                <w:color w:val="auto"/>
                <w:sz w:val="24"/>
                <w:szCs w:val="24"/>
                <w:highlight w:val="none"/>
                <w:u w:val="none"/>
                <w:lang w:val="en-US" w:eastAsia="zh-CN"/>
              </w:rPr>
              <w:br w:type="textWrapping"/>
            </w:r>
            <w:r>
              <w:rPr>
                <w:rFonts w:hint="eastAsia" w:ascii="宋体" w:hAnsi="宋体" w:eastAsia="宋体" w:cs="宋体"/>
                <w:i w:val="0"/>
                <w:iCs w:val="0"/>
                <w:color w:val="auto"/>
                <w:sz w:val="24"/>
                <w:szCs w:val="24"/>
                <w:highlight w:val="none"/>
                <w:u w:val="none"/>
                <w:lang w:val="en-US" w:eastAsia="zh-CN"/>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D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E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A7F7">
            <w:pPr>
              <w:jc w:val="both"/>
              <w:rPr>
                <w:rFonts w:hint="eastAsia" w:ascii="宋体" w:hAnsi="宋体" w:eastAsia="宋体" w:cs="宋体"/>
                <w:i w:val="0"/>
                <w:iCs w:val="0"/>
                <w:color w:val="auto"/>
                <w:sz w:val="24"/>
                <w:szCs w:val="24"/>
                <w:highlight w:val="none"/>
                <w:u w:val="none"/>
              </w:rPr>
            </w:pPr>
          </w:p>
        </w:tc>
      </w:tr>
      <w:tr w14:paraId="3B9E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6C81">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8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补光灯维护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D4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补光灯</w:t>
            </w:r>
            <w:r>
              <w:rPr>
                <w:rFonts w:hint="eastAsia" w:ascii="宋体" w:hAnsi="宋体" w:eastAsia="宋体" w:cs="宋体"/>
                <w:i w:val="0"/>
                <w:iCs w:val="0"/>
                <w:color w:val="auto"/>
                <w:kern w:val="0"/>
                <w:sz w:val="24"/>
                <w:szCs w:val="24"/>
                <w:highlight w:val="none"/>
                <w:u w:val="none"/>
                <w:lang w:val="en-US" w:eastAsia="zh-CN" w:bidi="ar"/>
              </w:rPr>
              <w:t>含维护、含巡检（频率：一个星期两次）、含6年内设备损坏免费更换</w:t>
            </w:r>
            <w:r>
              <w:rPr>
                <w:rFonts w:hint="eastAsia" w:ascii="宋体" w:hAnsi="宋体" w:eastAsia="宋体" w:cs="宋体"/>
                <w:i w:val="0"/>
                <w:iCs w:val="0"/>
                <w:color w:val="auto"/>
                <w:kern w:val="0"/>
                <w:sz w:val="24"/>
                <w:szCs w:val="24"/>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D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0DE3">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9778">
            <w:pPr>
              <w:jc w:val="both"/>
              <w:rPr>
                <w:rFonts w:hint="eastAsia" w:ascii="宋体" w:hAnsi="宋体" w:eastAsia="宋体" w:cs="宋体"/>
                <w:i w:val="0"/>
                <w:iCs w:val="0"/>
                <w:color w:val="auto"/>
                <w:sz w:val="24"/>
                <w:szCs w:val="24"/>
                <w:highlight w:val="none"/>
                <w:u w:val="none"/>
              </w:rPr>
            </w:pPr>
          </w:p>
        </w:tc>
      </w:tr>
      <w:tr w14:paraId="4268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FB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B5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6.5米立杆租赁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2F9F0E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八角杆，立杆高度6.5m,挑臂长度8m，对角口径180-240mm，壁厚≥6mm;横臂与主杆之间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法兰连接，口径为90-180mm，壁厚4mm，摄像机离地面不低于6米，主杆走线孔高度为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2.5M，立杆接缝用电焊，表面处理工艺采用二次电镀(热镀锌)、静电喷塑加表面色漆，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法兰中550*16mm。杆件材质:Q235钢。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9A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D2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75C9">
            <w:pPr>
              <w:jc w:val="both"/>
              <w:rPr>
                <w:rFonts w:hint="eastAsia" w:ascii="宋体" w:hAnsi="宋体" w:eastAsia="宋体" w:cs="宋体"/>
                <w:i w:val="0"/>
                <w:iCs w:val="0"/>
                <w:color w:val="auto"/>
                <w:sz w:val="24"/>
                <w:szCs w:val="24"/>
                <w:highlight w:val="none"/>
                <w:u w:val="none"/>
              </w:rPr>
            </w:pPr>
          </w:p>
        </w:tc>
      </w:tr>
      <w:tr w14:paraId="1BC6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F8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DD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立杆基础及套件租赁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04F1E1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立杆基础钢筋件:螺距直径550mm，六角均匀分布;六根M30丝杆，丝杆长1200mm，垫片6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个，螺母12个，弹垫6个，水泥标号:C25。基础:≥1.5m*1.5m*1.8m。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68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BD30">
            <w:pPr>
              <w:jc w:val="both"/>
              <w:rPr>
                <w:rFonts w:hint="eastAsia" w:ascii="宋体" w:hAnsi="宋体" w:eastAsia="宋体" w:cs="宋体"/>
                <w:i w:val="0"/>
                <w:iCs w:val="0"/>
                <w:color w:val="auto"/>
                <w:sz w:val="24"/>
                <w:szCs w:val="24"/>
                <w:highlight w:val="none"/>
                <w:u w:val="none"/>
              </w:rPr>
            </w:pPr>
          </w:p>
        </w:tc>
      </w:tr>
      <w:tr w14:paraId="35BA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CD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25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4米立杆租赁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7C913D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杆高度4米,挑臂长度1-2米，立杆口径90-140mm，壁厚4mm；挑杆管径为76mm，壁厚4mm，摄像机离地面不低于3.5米，主杆走线孔高度为2.3M，立杆接缝用电焊，表面处理工艺采用二次电镀（热镀锌）、静电喷塑加表面色漆，法兰260*260*12mm。根据周边环境和实际情况选择不同的类型杆和施工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2F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60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B0FD">
            <w:pPr>
              <w:jc w:val="both"/>
              <w:rPr>
                <w:rFonts w:hint="eastAsia" w:ascii="宋体" w:hAnsi="宋体" w:eastAsia="宋体" w:cs="宋体"/>
                <w:i w:val="0"/>
                <w:iCs w:val="0"/>
                <w:color w:val="auto"/>
                <w:sz w:val="24"/>
                <w:szCs w:val="24"/>
                <w:highlight w:val="none"/>
                <w:u w:val="none"/>
              </w:rPr>
            </w:pPr>
          </w:p>
        </w:tc>
      </w:tr>
      <w:tr w14:paraId="1D2B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77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90" w:type="dxa"/>
            <w:tcBorders>
              <w:top w:val="single" w:color="000000" w:sz="4" w:space="0"/>
              <w:left w:val="single" w:color="000000" w:sz="4" w:space="0"/>
              <w:bottom w:val="single" w:color="auto" w:sz="4" w:space="0"/>
              <w:right w:val="single" w:color="000000" w:sz="4" w:space="0"/>
            </w:tcBorders>
            <w:shd w:val="clear" w:color="auto" w:fill="auto"/>
            <w:vAlign w:val="center"/>
          </w:tcPr>
          <w:p w14:paraId="08FF1D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立杆基础及套件租赁</w:t>
            </w:r>
          </w:p>
        </w:tc>
        <w:tc>
          <w:tcPr>
            <w:tcW w:w="10247"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CCE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立杆基础钢筋件：螺距直径260mm，四角均匀分布；四根M16丝杆，丝杆长650mm，垫片4个，螺母8个，弹垫4个。基础：0.6米*0.6米*0.7米。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48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9A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6A73">
            <w:pPr>
              <w:jc w:val="both"/>
              <w:rPr>
                <w:rFonts w:hint="eastAsia" w:ascii="宋体" w:hAnsi="宋体" w:eastAsia="宋体" w:cs="宋体"/>
                <w:i w:val="0"/>
                <w:iCs w:val="0"/>
                <w:color w:val="auto"/>
                <w:sz w:val="24"/>
                <w:szCs w:val="24"/>
                <w:highlight w:val="none"/>
                <w:u w:val="none"/>
              </w:rPr>
            </w:pPr>
          </w:p>
        </w:tc>
      </w:tr>
      <w:tr w14:paraId="0044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A2F6A5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1290" w:type="dxa"/>
            <w:tcBorders>
              <w:top w:val="single" w:color="auto" w:sz="4" w:space="0"/>
              <w:left w:val="single" w:color="auto" w:sz="4" w:space="0"/>
              <w:bottom w:val="single" w:color="auto" w:sz="4" w:space="0"/>
              <w:right w:val="single" w:color="000000" w:sz="4" w:space="0"/>
            </w:tcBorders>
            <w:shd w:val="clear" w:color="auto" w:fill="auto"/>
            <w:vAlign w:val="center"/>
          </w:tcPr>
          <w:p w14:paraId="40BFE0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借杆（墙体）及固件租赁</w:t>
            </w:r>
          </w:p>
        </w:tc>
        <w:tc>
          <w:tcPr>
            <w:tcW w:w="10247" w:type="dxa"/>
            <w:tcBorders>
              <w:top w:val="single" w:color="auto" w:sz="4" w:space="0"/>
              <w:left w:val="single" w:color="000000" w:sz="4" w:space="0"/>
              <w:bottom w:val="single" w:color="auto" w:sz="4" w:space="0"/>
              <w:right w:val="single" w:color="auto" w:sz="4" w:space="0"/>
            </w:tcBorders>
            <w:shd w:val="clear" w:color="auto" w:fill="auto"/>
            <w:vAlign w:val="center"/>
          </w:tcPr>
          <w:p w14:paraId="0F3143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含借杆固件，挑0.5-3米，抗9级台风以上台风。支架表面处理工艺采用二次电镀（热镀锌）、静电喷塑加表面色漆；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14:paraId="115EF2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D8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E6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D9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A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90" w:type="dxa"/>
            <w:tcBorders>
              <w:top w:val="single" w:color="auto" w:sz="4" w:space="0"/>
              <w:left w:val="single" w:color="000000" w:sz="4" w:space="0"/>
              <w:bottom w:val="single" w:color="000000" w:sz="4" w:space="0"/>
              <w:right w:val="single" w:color="000000" w:sz="4" w:space="0"/>
            </w:tcBorders>
            <w:shd w:val="clear" w:color="auto" w:fill="auto"/>
            <w:vAlign w:val="center"/>
          </w:tcPr>
          <w:p w14:paraId="36716A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环保设备箱租赁</w:t>
            </w:r>
          </w:p>
        </w:tc>
        <w:tc>
          <w:tcPr>
            <w:tcW w:w="10247" w:type="dxa"/>
            <w:tcBorders>
              <w:top w:val="single" w:color="auto" w:sz="4" w:space="0"/>
              <w:left w:val="single" w:color="000000" w:sz="4" w:space="0"/>
              <w:bottom w:val="nil"/>
              <w:right w:val="single" w:color="000000" w:sz="4" w:space="0"/>
            </w:tcBorders>
            <w:shd w:val="clear" w:color="auto" w:fill="auto"/>
            <w:vAlign w:val="center"/>
          </w:tcPr>
          <w:p w14:paraId="572D72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1.尺寸规格:箱体全密封冷轧钢板或镀锌板喷塑，厚度≥1.2mm，箱体尺寸≥:350(宽)*480(高)*200(深)mm；</w:t>
            </w:r>
          </w:p>
          <w:p w14:paraId="28DC08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2.工作环境:工作温度范围-55℃~+85℃，工作电压范围 AC60~AC305V；</w:t>
            </w:r>
          </w:p>
          <w:p w14:paraId="74B296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3.外壳防护等级≥IP55；</w:t>
            </w:r>
          </w:p>
          <w:p w14:paraId="4F8CF9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4.机械碰撞防护等级&gt;IK08；</w:t>
            </w:r>
          </w:p>
          <w:p w14:paraId="5852E2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5.耐腐蚀性：按照 GB/T2423.4 中的 Db 进行湿热循环试验144h；按照 GB/T2423.17 中的 Ka进行盐雾试验120h；</w:t>
            </w:r>
          </w:p>
          <w:p w14:paraId="25906D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6.外壳热稳定性： GB/T2423.2 中 Bb 要求试验温度为 70℃，自然通风，持续168h，恢复 96h。</w:t>
            </w:r>
          </w:p>
          <w:p w14:paraId="55D621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★7.绝缘材料耐受内部电效应引起的非正常发热和着火：灼热丝顶部的温度(960+15)℃，持续时间:ta=30+1s，起燃时间:ti(s)，火焰熄灭时间:te&lt;ta+30s；（提供第三方检测报告为证）</w:t>
            </w:r>
          </w:p>
          <w:p w14:paraId="02C1F9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8.耐紫外线(UV)辐射：</w:t>
            </w:r>
          </w:p>
          <w:p w14:paraId="7D8212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9.泄漏电流应不大于 5mA(a.c.峰值)，绝缘电阻不小于 2MΩ。</w:t>
            </w:r>
          </w:p>
          <w:p w14:paraId="399979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10.接口规格:整机一体化设计2P/16A 空开、标称20KA电源防雷、4路AC220V 5孔插座输出；</w:t>
            </w:r>
          </w:p>
          <w:p w14:paraId="5ED1FE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★11.电气安全保护：Icu=6KA，短路保护、过载保护功能，温升&lt;60k；（提供第三方检测报告为证）</w:t>
            </w:r>
          </w:p>
          <w:p w14:paraId="0DEA07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12.EMC试验: </w:t>
            </w:r>
          </w:p>
          <w:p w14:paraId="37DC4E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静电放电符合 GBIT17626.2标准，空气放电10KV,接触放电8KV; </w:t>
            </w:r>
          </w:p>
          <w:p w14:paraId="58801E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射频电磁场符合GB/T17626.3的试验水平:10V/m；</w:t>
            </w:r>
          </w:p>
          <w:p w14:paraId="024778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电快速瞬变脉冲群GB/T17626.4，电源线:2kV/5kHz，控制部分:2kV/5kHz；</w:t>
            </w:r>
          </w:p>
          <w:p w14:paraId="1F9597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浪涌试验(1.2/50us-8120us)；</w:t>
            </w:r>
          </w:p>
          <w:p w14:paraId="4529B8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射频传导抗扰度符合GB/T17626.6，150kHz-80MHz，电源端口，信号端口和功能接地10V；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E3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1A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BE14">
            <w:pPr>
              <w:jc w:val="both"/>
              <w:rPr>
                <w:rFonts w:hint="eastAsia" w:ascii="宋体" w:hAnsi="宋体" w:eastAsia="宋体" w:cs="宋体"/>
                <w:i w:val="0"/>
                <w:iCs w:val="0"/>
                <w:color w:val="auto"/>
                <w:sz w:val="24"/>
                <w:szCs w:val="24"/>
                <w:highlight w:val="none"/>
                <w:u w:val="none"/>
              </w:rPr>
            </w:pPr>
          </w:p>
        </w:tc>
      </w:tr>
      <w:tr w14:paraId="6C64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C8FE">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C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环保设备箱维护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E9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环保设备箱</w:t>
            </w:r>
            <w:r>
              <w:rPr>
                <w:rFonts w:hint="eastAsia" w:ascii="宋体" w:hAnsi="宋体" w:eastAsia="宋体" w:cs="宋体"/>
                <w:i w:val="0"/>
                <w:iCs w:val="0"/>
                <w:color w:val="auto"/>
                <w:kern w:val="0"/>
                <w:sz w:val="24"/>
                <w:szCs w:val="24"/>
                <w:highlight w:val="none"/>
                <w:u w:val="none"/>
                <w:lang w:val="en-US" w:eastAsia="zh-CN" w:bidi="ar"/>
              </w:rPr>
              <w:t>含维护、含巡检（频率：一个星期两次）、含6年内设备损坏免费更换</w:t>
            </w:r>
            <w:r>
              <w:rPr>
                <w:rFonts w:hint="eastAsia" w:ascii="宋体" w:hAnsi="宋体" w:eastAsia="宋体" w:cs="宋体"/>
                <w:i w:val="0"/>
                <w:iCs w:val="0"/>
                <w:color w:val="auto"/>
                <w:kern w:val="0"/>
                <w:sz w:val="24"/>
                <w:szCs w:val="24"/>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A7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452A">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931A">
            <w:pPr>
              <w:jc w:val="both"/>
              <w:rPr>
                <w:rFonts w:hint="eastAsia" w:ascii="宋体" w:hAnsi="宋体" w:eastAsia="宋体" w:cs="宋体"/>
                <w:i w:val="0"/>
                <w:iCs w:val="0"/>
                <w:color w:val="auto"/>
                <w:sz w:val="24"/>
                <w:szCs w:val="24"/>
                <w:highlight w:val="none"/>
                <w:u w:val="none"/>
              </w:rPr>
            </w:pPr>
          </w:p>
        </w:tc>
      </w:tr>
      <w:tr w14:paraId="757A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C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1E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电源防雷器租赁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20CCE9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1、AC220V电源防雷，支持远程状态检测。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2、标称放电电流：20KA，最大放电电流：40KA，最大持续运行电压：385V、额定电压：220V，2P DIN35mm标准导轨安装。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19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E4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2254">
            <w:pPr>
              <w:jc w:val="both"/>
              <w:rPr>
                <w:rFonts w:hint="eastAsia" w:ascii="宋体" w:hAnsi="宋体" w:eastAsia="宋体" w:cs="宋体"/>
                <w:i w:val="0"/>
                <w:iCs w:val="0"/>
                <w:color w:val="auto"/>
                <w:sz w:val="24"/>
                <w:szCs w:val="24"/>
                <w:highlight w:val="none"/>
                <w:u w:val="none"/>
              </w:rPr>
            </w:pPr>
          </w:p>
        </w:tc>
      </w:tr>
      <w:tr w14:paraId="51A5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4508">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91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电源防雷器维护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CE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电源防雷器</w:t>
            </w:r>
            <w:r>
              <w:rPr>
                <w:rFonts w:hint="eastAsia" w:ascii="宋体" w:hAnsi="宋体" w:eastAsia="宋体" w:cs="宋体"/>
                <w:i w:val="0"/>
                <w:iCs w:val="0"/>
                <w:color w:val="auto"/>
                <w:kern w:val="0"/>
                <w:sz w:val="24"/>
                <w:szCs w:val="24"/>
                <w:highlight w:val="none"/>
                <w:u w:val="none"/>
                <w:lang w:val="en-US" w:eastAsia="zh-CN" w:bidi="ar"/>
              </w:rPr>
              <w:t>含维护、含巡检（频率：一个星期两次）、含6年内设备损坏免费更换</w:t>
            </w:r>
            <w:r>
              <w:rPr>
                <w:rFonts w:hint="eastAsia" w:ascii="宋体" w:hAnsi="宋体" w:eastAsia="宋体" w:cs="宋体"/>
                <w:i w:val="0"/>
                <w:iCs w:val="0"/>
                <w:color w:val="auto"/>
                <w:kern w:val="0"/>
                <w:sz w:val="24"/>
                <w:szCs w:val="24"/>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2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17B1">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0E98">
            <w:pPr>
              <w:jc w:val="both"/>
              <w:rPr>
                <w:rFonts w:hint="eastAsia" w:ascii="宋体" w:hAnsi="宋体" w:eastAsia="宋体" w:cs="宋体"/>
                <w:i w:val="0"/>
                <w:iCs w:val="0"/>
                <w:color w:val="auto"/>
                <w:sz w:val="24"/>
                <w:szCs w:val="24"/>
                <w:highlight w:val="none"/>
                <w:u w:val="none"/>
              </w:rPr>
            </w:pPr>
          </w:p>
        </w:tc>
      </w:tr>
      <w:tr w14:paraId="4DA7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DA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D9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网络防雷器租赁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1C04C1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保护路数 1路，标称工作电压U 5V   ，最大持续工作电压U  6V，标称放电电流 (8/20us) h 5kA， 最大放电电流 (8/20us) lmax  10kA， 线-线电压保护水平 (ln ) Up  ≤24V， 线-PG电压保护水平 (ln ) Up ≤180V，响应时间 ta ≤1ns， 传输速率 V 100Mbps， 插入损耗 ae ≤0.3dB， 温度范围-40～+80°C， 保护线路 4线 (Pin1/2,3/6)， 接口类型 RJ45， 外壳材料 屏蔽金属， 外形尺寸 68x25x25mm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B4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D6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0D36">
            <w:pPr>
              <w:jc w:val="both"/>
              <w:rPr>
                <w:rFonts w:hint="eastAsia" w:ascii="宋体" w:hAnsi="宋体" w:eastAsia="宋体" w:cs="宋体"/>
                <w:i w:val="0"/>
                <w:iCs w:val="0"/>
                <w:color w:val="auto"/>
                <w:sz w:val="24"/>
                <w:szCs w:val="24"/>
                <w:highlight w:val="none"/>
                <w:u w:val="none"/>
              </w:rPr>
            </w:pPr>
          </w:p>
        </w:tc>
      </w:tr>
      <w:tr w14:paraId="17D4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5A55">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auto" w:sz="4" w:space="0"/>
              <w:right w:val="single" w:color="000000" w:sz="4" w:space="0"/>
            </w:tcBorders>
            <w:shd w:val="clear" w:color="auto" w:fill="auto"/>
            <w:vAlign w:val="center"/>
          </w:tcPr>
          <w:p w14:paraId="0AB48C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网络防雷器维护</w:t>
            </w:r>
          </w:p>
        </w:tc>
        <w:tc>
          <w:tcPr>
            <w:tcW w:w="10247" w:type="dxa"/>
            <w:tcBorders>
              <w:top w:val="single" w:color="000000" w:sz="4" w:space="0"/>
              <w:left w:val="single" w:color="000000" w:sz="4" w:space="0"/>
              <w:bottom w:val="single" w:color="auto" w:sz="4" w:space="0"/>
              <w:right w:val="single" w:color="000000" w:sz="4" w:space="0"/>
            </w:tcBorders>
            <w:shd w:val="clear" w:color="auto" w:fill="auto"/>
            <w:vAlign w:val="center"/>
          </w:tcPr>
          <w:p w14:paraId="3758BB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网络防雷器</w:t>
            </w:r>
            <w:r>
              <w:rPr>
                <w:rFonts w:hint="eastAsia" w:ascii="宋体" w:hAnsi="宋体" w:eastAsia="宋体" w:cs="宋体"/>
                <w:i w:val="0"/>
                <w:iCs w:val="0"/>
                <w:color w:val="auto"/>
                <w:kern w:val="0"/>
                <w:sz w:val="24"/>
                <w:szCs w:val="24"/>
                <w:highlight w:val="none"/>
                <w:u w:val="none"/>
                <w:lang w:val="en-US" w:eastAsia="zh-CN" w:bidi="ar"/>
              </w:rPr>
              <w:t>含维护、含巡检（频率：一个星期两次）、含6年内设备损坏免费更换</w:t>
            </w:r>
            <w:r>
              <w:rPr>
                <w:rFonts w:hint="eastAsia" w:ascii="宋体" w:hAnsi="宋体" w:eastAsia="宋体" w:cs="宋体"/>
                <w:i w:val="0"/>
                <w:iCs w:val="0"/>
                <w:color w:val="auto"/>
                <w:kern w:val="0"/>
                <w:sz w:val="24"/>
                <w:szCs w:val="24"/>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22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4372">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511F">
            <w:pPr>
              <w:jc w:val="both"/>
              <w:rPr>
                <w:rFonts w:hint="eastAsia" w:ascii="宋体" w:hAnsi="宋体" w:eastAsia="宋体" w:cs="宋体"/>
                <w:i w:val="0"/>
                <w:iCs w:val="0"/>
                <w:color w:val="auto"/>
                <w:sz w:val="24"/>
                <w:szCs w:val="24"/>
                <w:highlight w:val="none"/>
                <w:u w:val="none"/>
              </w:rPr>
            </w:pPr>
          </w:p>
        </w:tc>
      </w:tr>
      <w:tr w14:paraId="7D91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579"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7DCDD7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90" w:type="dxa"/>
            <w:tcBorders>
              <w:top w:val="single" w:color="auto" w:sz="4" w:space="0"/>
              <w:left w:val="single" w:color="auto" w:sz="4" w:space="0"/>
              <w:bottom w:val="single" w:color="auto" w:sz="4" w:space="0"/>
              <w:right w:val="single" w:color="000000" w:sz="4" w:space="0"/>
            </w:tcBorders>
            <w:shd w:val="clear" w:color="auto" w:fill="auto"/>
            <w:vAlign w:val="center"/>
          </w:tcPr>
          <w:p w14:paraId="4007A8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开关电源租赁</w:t>
            </w:r>
          </w:p>
        </w:tc>
        <w:tc>
          <w:tcPr>
            <w:tcW w:w="10247" w:type="dxa"/>
            <w:tcBorders>
              <w:top w:val="single" w:color="auto" w:sz="4" w:space="0"/>
              <w:left w:val="single" w:color="000000" w:sz="4" w:space="0"/>
              <w:bottom w:val="single" w:color="auto" w:sz="4" w:space="0"/>
              <w:right w:val="single" w:color="auto" w:sz="4" w:space="0"/>
            </w:tcBorders>
            <w:shd w:val="clear" w:color="auto" w:fill="auto"/>
            <w:vAlign w:val="center"/>
          </w:tcPr>
          <w:p w14:paraId="7BF9DE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24V-100W，集中供电。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14:paraId="2FDD25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69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2A94">
            <w:pPr>
              <w:jc w:val="both"/>
              <w:rPr>
                <w:rFonts w:hint="eastAsia" w:ascii="宋体" w:hAnsi="宋体" w:eastAsia="宋体" w:cs="宋体"/>
                <w:i w:val="0"/>
                <w:iCs w:val="0"/>
                <w:color w:val="auto"/>
                <w:sz w:val="24"/>
                <w:szCs w:val="24"/>
                <w:highlight w:val="none"/>
                <w:u w:val="none"/>
              </w:rPr>
            </w:pPr>
          </w:p>
        </w:tc>
      </w:tr>
      <w:tr w14:paraId="26A5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7447">
            <w:pPr>
              <w:jc w:val="center"/>
              <w:rPr>
                <w:rFonts w:hint="eastAsia" w:ascii="宋体" w:hAnsi="宋体" w:eastAsia="宋体" w:cs="宋体"/>
                <w:i w:val="0"/>
                <w:iCs w:val="0"/>
                <w:color w:val="auto"/>
                <w:sz w:val="24"/>
                <w:szCs w:val="24"/>
                <w:highlight w:val="none"/>
                <w:u w:val="none"/>
              </w:rPr>
            </w:pPr>
          </w:p>
        </w:tc>
        <w:tc>
          <w:tcPr>
            <w:tcW w:w="1290" w:type="dxa"/>
            <w:tcBorders>
              <w:top w:val="single" w:color="auto" w:sz="4" w:space="0"/>
              <w:left w:val="single" w:color="000000" w:sz="4" w:space="0"/>
              <w:bottom w:val="single" w:color="000000" w:sz="4" w:space="0"/>
              <w:right w:val="single" w:color="000000" w:sz="4" w:space="0"/>
            </w:tcBorders>
            <w:shd w:val="clear" w:color="auto" w:fill="auto"/>
            <w:vAlign w:val="center"/>
          </w:tcPr>
          <w:p w14:paraId="18AB40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开关电源维护</w:t>
            </w:r>
          </w:p>
        </w:tc>
        <w:tc>
          <w:tcPr>
            <w:tcW w:w="10247" w:type="dxa"/>
            <w:tcBorders>
              <w:top w:val="single" w:color="auto" w:sz="4" w:space="0"/>
              <w:left w:val="single" w:color="000000" w:sz="4" w:space="0"/>
              <w:bottom w:val="single" w:color="000000" w:sz="4" w:space="0"/>
              <w:right w:val="single" w:color="000000" w:sz="4" w:space="0"/>
            </w:tcBorders>
            <w:shd w:val="clear" w:color="auto" w:fill="auto"/>
            <w:vAlign w:val="center"/>
          </w:tcPr>
          <w:p w14:paraId="53F206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开关电源</w:t>
            </w:r>
            <w:r>
              <w:rPr>
                <w:rFonts w:hint="eastAsia" w:ascii="宋体" w:hAnsi="宋体" w:eastAsia="宋体" w:cs="宋体"/>
                <w:i w:val="0"/>
                <w:iCs w:val="0"/>
                <w:color w:val="auto"/>
                <w:kern w:val="0"/>
                <w:sz w:val="24"/>
                <w:szCs w:val="24"/>
                <w:highlight w:val="none"/>
                <w:u w:val="none"/>
                <w:lang w:val="en-US" w:eastAsia="zh-CN" w:bidi="ar"/>
              </w:rPr>
              <w:t>含维护、含巡检（频率：一个星期两次）、含6年内设备损坏免费更换</w:t>
            </w:r>
            <w:r>
              <w:rPr>
                <w:rFonts w:hint="eastAsia" w:ascii="宋体" w:hAnsi="宋体" w:eastAsia="宋体" w:cs="宋体"/>
                <w:i w:val="0"/>
                <w:iCs w:val="0"/>
                <w:color w:val="auto"/>
                <w:kern w:val="0"/>
                <w:sz w:val="24"/>
                <w:szCs w:val="24"/>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2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15C6">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0FC8">
            <w:pPr>
              <w:jc w:val="both"/>
              <w:rPr>
                <w:rFonts w:hint="eastAsia" w:ascii="宋体" w:hAnsi="宋体" w:eastAsia="宋体" w:cs="宋体"/>
                <w:i w:val="0"/>
                <w:iCs w:val="0"/>
                <w:color w:val="auto"/>
                <w:sz w:val="24"/>
                <w:szCs w:val="24"/>
                <w:highlight w:val="none"/>
                <w:u w:val="none"/>
              </w:rPr>
            </w:pPr>
          </w:p>
        </w:tc>
      </w:tr>
      <w:tr w14:paraId="04D9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8"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1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CF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前端交换机租赁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227EFC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1、至少提供2个千兆SFP端口，8个10/100/1000M RJ45端口，所有端口支持线速转发。</w:t>
            </w:r>
          </w:p>
          <w:p w14:paraId="0DDB4B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2、业务端口支持6KV防浪涌（防雷）保护、电源短路和过载保护</w:t>
            </w:r>
          </w:p>
          <w:p w14:paraId="24637E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3、采用铝合金金属外壳，无风扇自然散热。</w:t>
            </w:r>
          </w:p>
          <w:p w14:paraId="741AF3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4、支持多种通用冗余双电源输入 DC12-58V。</w:t>
            </w:r>
          </w:p>
          <w:p w14:paraId="7A59F9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5、支持128条目IPV4静态路由，支持ARP协议，最大1024条目。</w:t>
            </w:r>
          </w:p>
          <w:p w14:paraId="3E27D4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6、支持IEEE 802.1Q VLAN，支持协议VLAN,支持QinQ VLAN，用户可以按需求灵活划分VLAN。</w:t>
            </w:r>
          </w:p>
          <w:p w14:paraId="46A118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7、支持QoS，支持基于端口、基于802.1P和基于DSCP的三种优先级模式和Equ、SP、WRR、SP+WRR四种队列调度算法。</w:t>
            </w:r>
          </w:p>
          <w:p w14:paraId="584A27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8、支持IP ACL、MAC ACL、ACL端口过滤功能，MAC地址绑定，基于端口的IP+MAC+Vlan+端口多元绑定功能。</w:t>
            </w:r>
          </w:p>
          <w:p w14:paraId="277EE0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9、支持IGMP V1/V2组播协议，支持IGMP SnoopingV1/V2/V3，满足多终端高清视频监控和视频会议接入需求。</w:t>
            </w:r>
          </w:p>
          <w:p w14:paraId="165697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10、支持STP/RSTP/MSTP生产树协议和ERPS（G.8032）环网协议，环网自愈时间小于20ms；</w:t>
            </w:r>
          </w:p>
          <w:p w14:paraId="53FA2C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11、支持静态汇聚和动态汇聚（LACP），有效增加链路带宽，实现负载均衡、链路备份，提高链路可靠性。</w:t>
            </w:r>
          </w:p>
          <w:p w14:paraId="392237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12、支持WEB界面用户认证，支持802.1x认证，远程RADIUS，TACACS+认证。</w:t>
            </w:r>
          </w:p>
          <w:p w14:paraId="7CD8D9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13、支持DHCP Snoopingv1/v2/v3功能，端口隔离功能，端口广播风暴抑制功能。</w:t>
            </w:r>
          </w:p>
          <w:p w14:paraId="01A1A1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14、支持Web网管、CLI命令行（Console，Telnet）、SNMP（V1/V2c/V3）等多样化的管理和维护方式。</w:t>
            </w:r>
          </w:p>
          <w:p w14:paraId="7EB3C4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15、支持HTTP/HTTPS、SSH等加密方式，支持HTTP/TFTP实现固件更新/升级，支持配置文件上传/下载，一键还原系统配置。</w:t>
            </w:r>
          </w:p>
          <w:p w14:paraId="6CE5B6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16、支持RMON、系统日志、端口流量统计，便于网络优化和改造。</w:t>
            </w:r>
          </w:p>
          <w:p w14:paraId="499CAE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17、支持LLDP，方便网络管理系统查询及判断链路的通信状况。</w:t>
            </w:r>
          </w:p>
          <w:p w14:paraId="0AC722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18、支持CPU监控、内存监控、Ping检测、线缆检测。</w:t>
            </w:r>
          </w:p>
          <w:p w14:paraId="0F76CF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19、工作温度范围-40～+85°C，工作湿度范围5%～90% RH无凝结</w:t>
            </w:r>
          </w:p>
          <w:p w14:paraId="42B882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20、安装方式：DIN35导轨式安装，防护等级：至少IP40以上。</w:t>
            </w:r>
          </w:p>
          <w:p w14:paraId="42ED96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21、MTBF：350000h，,需提供认证证书。保修期：5年。</w:t>
            </w:r>
          </w:p>
          <w:p w14:paraId="0A37FA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★22、需提供公安部检验报告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服务期：6年(含安装和布管布线等工作内容)</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DB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CB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48CC">
            <w:pPr>
              <w:jc w:val="both"/>
              <w:rPr>
                <w:rFonts w:hint="eastAsia" w:ascii="宋体" w:hAnsi="宋体" w:eastAsia="宋体" w:cs="宋体"/>
                <w:i w:val="0"/>
                <w:iCs w:val="0"/>
                <w:color w:val="auto"/>
                <w:sz w:val="24"/>
                <w:szCs w:val="24"/>
                <w:highlight w:val="none"/>
                <w:u w:val="none"/>
              </w:rPr>
            </w:pPr>
          </w:p>
        </w:tc>
      </w:tr>
      <w:tr w14:paraId="3134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4AC8">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A7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前端交换机维护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3E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前端交换机</w:t>
            </w:r>
            <w:r>
              <w:rPr>
                <w:rFonts w:hint="eastAsia" w:ascii="宋体" w:hAnsi="宋体" w:eastAsia="宋体" w:cs="宋体"/>
                <w:i w:val="0"/>
                <w:iCs w:val="0"/>
                <w:color w:val="auto"/>
                <w:kern w:val="0"/>
                <w:sz w:val="24"/>
                <w:szCs w:val="24"/>
                <w:highlight w:val="none"/>
                <w:u w:val="none"/>
                <w:lang w:val="en-US" w:eastAsia="zh-CN" w:bidi="ar"/>
              </w:rPr>
              <w:t>含维护、含巡检（频率：一个星期两次）、含6年内设备损坏免费更换</w:t>
            </w:r>
            <w:r>
              <w:rPr>
                <w:rFonts w:hint="eastAsia" w:ascii="宋体" w:hAnsi="宋体" w:eastAsia="宋体" w:cs="宋体"/>
                <w:i w:val="0"/>
                <w:iCs w:val="0"/>
                <w:color w:val="auto"/>
                <w:kern w:val="0"/>
                <w:sz w:val="24"/>
                <w:szCs w:val="24"/>
                <w:highlight w:val="none"/>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D1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AE8A">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8D28">
            <w:pPr>
              <w:jc w:val="both"/>
              <w:rPr>
                <w:rFonts w:hint="eastAsia" w:ascii="宋体" w:hAnsi="宋体" w:eastAsia="宋体" w:cs="宋体"/>
                <w:i w:val="0"/>
                <w:iCs w:val="0"/>
                <w:color w:val="auto"/>
                <w:sz w:val="24"/>
                <w:szCs w:val="24"/>
                <w:highlight w:val="none"/>
                <w:u w:val="none"/>
              </w:rPr>
            </w:pPr>
          </w:p>
        </w:tc>
      </w:tr>
      <w:tr w14:paraId="2A7E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44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1E77">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b/>
                <w:bCs/>
                <w:i w:val="0"/>
                <w:iCs w:val="0"/>
                <w:color w:val="auto"/>
                <w:sz w:val="24"/>
                <w:szCs w:val="24"/>
                <w:highlight w:val="none"/>
                <w:u w:val="none"/>
                <w:lang w:eastAsia="zh-CN"/>
              </w:rPr>
            </w:pPr>
            <w:r>
              <w:rPr>
                <w:rFonts w:hint="eastAsia" w:ascii="宋体" w:hAnsi="宋体" w:eastAsia="宋体" w:cs="宋体"/>
                <w:b/>
                <w:bCs/>
                <w:i w:val="0"/>
                <w:iCs w:val="0"/>
                <w:color w:val="auto"/>
                <w:sz w:val="24"/>
                <w:szCs w:val="24"/>
                <w:highlight w:val="none"/>
                <w:u w:val="none"/>
                <w:lang w:eastAsia="zh-CN"/>
              </w:rPr>
              <w:t>二、后端设备</w:t>
            </w:r>
          </w:p>
        </w:tc>
      </w:tr>
      <w:tr w14:paraId="17F4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6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6B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视频云存储租赁</w:t>
            </w:r>
          </w:p>
        </w:tc>
        <w:tc>
          <w:tcPr>
            <w:tcW w:w="10247" w:type="dxa"/>
            <w:tcBorders>
              <w:top w:val="single" w:color="000000" w:sz="4" w:space="0"/>
              <w:left w:val="single" w:color="000000" w:sz="4" w:space="0"/>
              <w:bottom w:val="nil"/>
              <w:right w:val="single" w:color="000000" w:sz="4" w:space="0"/>
            </w:tcBorders>
            <w:shd w:val="clear" w:color="auto" w:fill="auto"/>
            <w:vAlign w:val="center"/>
          </w:tcPr>
          <w:p w14:paraId="1FD118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设备参数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含不少于576TB的企业级硬盘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视频设备接入模块：支持国标、Onvif等接入各类型的前端设备；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卡口设备接入模块：支持人脸、车辆卡口设备接入以及结构化数据接入；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视频图片存储模块：支持视频和图片的基础存储业务，包括录像计划，图片计划配置管理，包括视频流按通道和类型进行分类，并进行相应的索引创建等；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流媒体转发模块：支持流媒体动态负载均衡，弹性扩容，具备快速故障接管能力支持RTSP,HLS,FLV等流媒体协议；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最大接入：5000路；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视频最大存储：最大视频存储800路且最大带宽≤2000Mbps，最大128路或512Mbps转发；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图片最大存储：最大800路卡口，写入400张图片/s(1:1大小图)，读取400张图片/s(1:1大小图)；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外形规格：4U机架，36盘位；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主处理器：双路24核处理器；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操作系统：国产操作系统；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控制器：单控制器；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高速缓存：32GB DDR4 ECC内存；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电源冗余：1+1冗余电源；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网络接口：4个千兆数据电口，4个万兆数据光口（含多模光模块）；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VGA接口：1个；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USB接口：USB3.0接口：4个；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硬盘个数：标配内置1块4T SATA 企业级硬盘；1块480G 企业级固态硬盘最大支持36个2.5"或3.5"的SATA硬盘或者SAS硬盘；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供电方式：900W×2；100V~240V，50/60Hz，支持热插拔；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安装方式：标准19英寸机架式安装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套多域云存储系统支持将部分云直存节点归属在边缘地域，边缘云存储节点最小支持1台起步，一朵云存储最大支持管理128套不同边缘云。边缘节点具备视频、图片数据就近接入、就近存储、就近分析和就近查询的4种一体化能力，降低集群交互网络流量，中心集群对边缘节点进行统一管理和统一信息汇聚，包括消息、图片记录、事件、告警等，支持中心集群对视频、图片进行二次分析，集群对所有的中心云、边缘云统一进行资源调度和管理。</w:t>
            </w:r>
            <w:r>
              <w:rPr>
                <w:rFonts w:hint="eastAsia" w:ascii="宋体" w:hAnsi="宋体" w:eastAsia="宋体" w:cs="宋体"/>
                <w:i w:val="0"/>
                <w:iCs w:val="0"/>
                <w:color w:val="auto"/>
                <w:kern w:val="0"/>
                <w:sz w:val="24"/>
                <w:szCs w:val="24"/>
                <w:highlight w:val="none"/>
                <w:u w:val="none"/>
                <w:lang w:val="en-US" w:eastAsia="zh-CN" w:bidi="ar"/>
              </w:rPr>
              <w:t xml:space="preserve">（需提供公安部检测机构出具的报告证明）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管平台支持纳管和统一管理存储、计算、容器、虚拟机、网络资源，支持统一对接管理容器云、存储系统、超融合、openstack、裸金属服务器、数据库等系统和硬件资源。提供从多云资源、多虚拟数据中心资源的接入、使用，到多云资源规划、容器应用交付、云存储配置和部署、虚拟机配置和部署、运维监控、操作审计、租户隔离、访问控制等全生命周期管理。中心云统一对边缘节点进行资源纳管、远程监控、部署升级和数据传输。支持将业务系统和云管理平台集中管理，统一管控、实现运营联动。支持在云边协同场景下，中心云平台对边缘云平台的纳管、资源调度以及健康监控。</w:t>
            </w:r>
            <w:r>
              <w:rPr>
                <w:rFonts w:hint="eastAsia" w:ascii="宋体" w:hAnsi="宋体" w:eastAsia="宋体" w:cs="宋体"/>
                <w:i w:val="0"/>
                <w:iCs w:val="0"/>
                <w:color w:val="auto"/>
                <w:kern w:val="0"/>
                <w:sz w:val="24"/>
                <w:szCs w:val="24"/>
                <w:highlight w:val="none"/>
                <w:u w:val="none"/>
                <w:lang w:val="en-US" w:eastAsia="zh-CN" w:bidi="ar"/>
              </w:rPr>
              <w:t>（需提供公安部检测机构出具的报告证明）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存储系统支持保护域特性，保护域在故障域基础上兼顾可靠性的同时提升了部署的灵活性，允许不同保护域的故障域硬盘、节点或机架同时损坏。同时支持硬盘级、节点级、机架级3层保护域功能。硬盘级保护域支持任意N个保护域中同时损坏N或（冗余度-1）*N块硬盘，读写业务不中断；节点级保护域支持任意N个保护域中同时损坏N或（冗余度-1）*N节点，读写业务不中断；机架级保护域支持任意N个保护域中同时损坏N或（冗余度-1）*N个机架，读写业务不中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存储集群单节点大图和小图在1比1混合场景下的性能，并发同时写性能不低于8000张大图/秒和8000张小图/秒，同时并发读取性能也不低于8000张大图/秒和8000张小图/秒，云存储集群图片整体读写性能随存储节点数量扩容增加而线性扩展递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存储支持监控硬盘各项指标，可以查看10种硬盘典型SMART信息，包括硬盘错误数、硬盘坏道数、硬盘容量、硬盘温度、硬盘振动、数据读取错误率、上电时间、上电时长、断电次数、重映射扇区数，并针对每种指标在页面上展示健康评判结果和参考范围。硬盘监控管理支持以全局列表和服务器拓扑两种形式展示硬盘的基本信息，支持展示14种硬盘信息：包含硬盘类型、所在服务器槽位、IP、序列号、在位状态、介质类型、IO利用率、容量使用情况、SMART健康度、专有工具检测健康结果、硬盘抖动频率、IO波动比例、预测剩余寿命时间、硬盘健康状态（包括正常、良好、亚健康告警、变慢、即将损坏、故障损坏6个等级）。支持按时间显示硬盘的坏扇区、振动异常数、硬盘温度、硬盘错误数、硬盘断电数、硬盘坏道数、重映射扇区数、已用容量占比、数据读取错误率、IO利用率10项指标信息的变化趋势的曲线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存储云架构多域场景下，支持将存储在各个分域中的结构化数据（包括卡口图片、智能分析后的结构化图片等）、非结构化数据（视频、文档等）在多域架构存储系统中之间建立统一的URL访问机制，URL包括域ID、数据存储类型、bucket桶名称、数据文件名称等信息。支持在存储集群系统IP修改等情况下，图片数据仍可以通过统一网关进行解析调度和访问。图片网关最大支持5种不同类型的图片源、10层跨域图片数据访问。支持在页面上分步配置后，对云存储集群所有服务器一键修改物理IP和各个集群服务虚I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存储集群支持网络亚健康监测管理，支持6种网络异常监测，包括支持监测网卡丢包、网卡低于千兆速率（降速）、流量瞬时波峰数、网络重连数、ping大包丢失、网络超时数。支持主动网络健康检测，同时对业务、存储双网检测和隔离，最多支持隔离N-1台网络异常节点（N为存储节点数量），异常网络恢复之后自动开启存储节点服务，自动上线，业务自动负载均衡。同时自动探测网络丢包，当节点服务器存储网或者业务网丢包率高于10%时，自动将该节点进行网络隔离。当丢包率恢复到容忍阈值之内时，自动将该节点重新加入集群，承担业务写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存储系统支持标准SNMP协议，支持获取超600种云存储集群信息。支持6大类信息获取接口，包括系统类接口、网络接口、CPU接口、存储介质接口、内存接口、以及云存储集群服务检测接口。其中网络接口类信息监控支持超20种大类信息，包括服务器网络带宽、物理MAC地址、接收字节数等；存储介质类支持获取50种大类信息，包括硬盘容量、使用率、硬盘类型等；支持获取30种CPU运行信息，例如CPU负载、空闲CPU百分比、CPU实际消耗使用时间等；扩展支持26种云存储集群大类信息，包括集群带宽、读写速度、总文件数、总bucket数、总用户数、集群规模节点数、CPU和操作系统种类等。云存储服务器支持BMC远程访问，支持控制服务器开机、关机、重启，支持控制开启和关闭服务器硬盘的休眠节能功能等。</w:t>
            </w:r>
            <w:r>
              <w:rPr>
                <w:rFonts w:hint="eastAsia" w:ascii="宋体" w:hAnsi="宋体" w:eastAsia="宋体" w:cs="宋体"/>
                <w:i w:val="0"/>
                <w:iCs w:val="0"/>
                <w:color w:val="auto"/>
                <w:kern w:val="0"/>
                <w:sz w:val="24"/>
                <w:szCs w:val="24"/>
                <w:highlight w:val="none"/>
                <w:u w:val="none"/>
                <w:lang w:val="en-US" w:eastAsia="zh-CN" w:bidi="ar"/>
              </w:rPr>
              <w:t>（需提供公安部检测机构出具的报告证明）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存储系统支持全自动数据校验和数据恢复功能，支持包括快速校验、深度校验等20种数据自动校验策略和10种自动修复策略。支持将数据校验和元数据校验分开配置，支持指定数据校验和恢复的时间窗口，支持指定数据校验优先级和校验速率。支持数据检出不一致后自动触发数据恢复功能，自动选择数据副本进行恢复。支持全自动数据校验和恢复全程，无需人为干预，提升数据存储可靠性。</w:t>
            </w:r>
          </w:p>
          <w:p w14:paraId="35813A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服务期：6年(含安装)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7D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9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3DD7">
            <w:pPr>
              <w:jc w:val="both"/>
              <w:rPr>
                <w:rFonts w:hint="eastAsia" w:ascii="宋体" w:hAnsi="宋体" w:eastAsia="宋体" w:cs="宋体"/>
                <w:i w:val="0"/>
                <w:iCs w:val="0"/>
                <w:color w:val="auto"/>
                <w:sz w:val="24"/>
                <w:szCs w:val="24"/>
                <w:highlight w:val="none"/>
                <w:u w:val="none"/>
              </w:rPr>
            </w:pPr>
          </w:p>
        </w:tc>
      </w:tr>
      <w:tr w14:paraId="54CE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9"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D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450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视频流入网签证服务器租赁</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6652">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1、框式设备：主控与交换网板物理分离，配置主控≥2个、交换网板≥2个、电源模块≥2个，业务槽位数≥10个，</w:t>
            </w:r>
            <w:r>
              <w:rPr>
                <w:rFonts w:ascii="宋体" w:hAnsi="宋体" w:cs="Arial"/>
                <w:color w:val="auto"/>
                <w:sz w:val="24"/>
                <w:szCs w:val="24"/>
                <w:highlight w:val="none"/>
              </w:rPr>
              <w:t>配置</w:t>
            </w:r>
            <w:r>
              <w:rPr>
                <w:rFonts w:hint="eastAsia" w:ascii="宋体" w:hAnsi="宋体" w:cs="Arial"/>
                <w:color w:val="auto"/>
                <w:sz w:val="24"/>
                <w:szCs w:val="24"/>
                <w:highlight w:val="none"/>
              </w:rPr>
              <w:t>千兆</w:t>
            </w:r>
            <w:r>
              <w:rPr>
                <w:rFonts w:ascii="宋体" w:hAnsi="宋体" w:cs="Arial"/>
                <w:color w:val="auto"/>
                <w:sz w:val="24"/>
                <w:szCs w:val="24"/>
                <w:highlight w:val="none"/>
              </w:rPr>
              <w:t>电口≥</w:t>
            </w:r>
            <w:r>
              <w:rPr>
                <w:rFonts w:hint="eastAsia" w:ascii="宋体" w:hAnsi="宋体" w:cs="Arial"/>
                <w:color w:val="auto"/>
                <w:sz w:val="24"/>
                <w:szCs w:val="24"/>
                <w:highlight w:val="none"/>
              </w:rPr>
              <w:t>8个、千兆</w:t>
            </w:r>
            <w:r>
              <w:rPr>
                <w:rFonts w:ascii="宋体" w:hAnsi="宋体" w:cs="Arial"/>
                <w:color w:val="auto"/>
                <w:sz w:val="24"/>
                <w:szCs w:val="24"/>
                <w:highlight w:val="none"/>
              </w:rPr>
              <w:t>光口≥</w:t>
            </w:r>
            <w:r>
              <w:rPr>
                <w:rFonts w:hint="eastAsia" w:ascii="宋体" w:hAnsi="宋体" w:cs="Arial"/>
                <w:color w:val="auto"/>
                <w:sz w:val="24"/>
                <w:szCs w:val="24"/>
                <w:highlight w:val="none"/>
              </w:rPr>
              <w:t>8个、万兆</w:t>
            </w:r>
            <w:r>
              <w:rPr>
                <w:rFonts w:ascii="宋体" w:hAnsi="宋体" w:cs="Arial"/>
                <w:color w:val="auto"/>
                <w:sz w:val="24"/>
                <w:szCs w:val="24"/>
                <w:highlight w:val="none"/>
              </w:rPr>
              <w:t>光口≥</w:t>
            </w:r>
            <w:r>
              <w:rPr>
                <w:rFonts w:hint="eastAsia" w:ascii="宋体" w:hAnsi="宋体" w:cs="Arial"/>
                <w:color w:val="auto"/>
                <w:sz w:val="24"/>
                <w:szCs w:val="24"/>
                <w:highlight w:val="none"/>
              </w:rPr>
              <w:t>12个，配置万兆光模块≥12个。</w:t>
            </w:r>
          </w:p>
          <w:p w14:paraId="0ECA30A8">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2、本次单台提供处理能力≥1600路高清</w:t>
            </w:r>
            <w:r>
              <w:rPr>
                <w:rFonts w:ascii="宋体" w:hAnsi="宋体" w:cs="Arial"/>
                <w:color w:val="auto"/>
                <w:sz w:val="24"/>
                <w:szCs w:val="24"/>
                <w:highlight w:val="none"/>
              </w:rPr>
              <w:t>视频</w:t>
            </w:r>
            <w:r>
              <w:rPr>
                <w:rFonts w:hint="eastAsia" w:ascii="宋体" w:hAnsi="宋体" w:cs="Arial"/>
                <w:color w:val="auto"/>
                <w:sz w:val="24"/>
                <w:szCs w:val="24"/>
                <w:highlight w:val="none"/>
              </w:rPr>
              <w:t>（4</w:t>
            </w:r>
            <w:r>
              <w:rPr>
                <w:rFonts w:ascii="宋体" w:hAnsi="宋体" w:cs="Arial"/>
                <w:color w:val="auto"/>
                <w:sz w:val="24"/>
                <w:szCs w:val="24"/>
                <w:highlight w:val="none"/>
              </w:rPr>
              <w:t>M</w:t>
            </w:r>
            <w:r>
              <w:rPr>
                <w:rFonts w:hint="eastAsia" w:ascii="宋体" w:hAnsi="宋体" w:cs="Arial"/>
                <w:color w:val="auto"/>
                <w:sz w:val="24"/>
                <w:szCs w:val="24"/>
                <w:highlight w:val="none"/>
              </w:rPr>
              <w:t>码流）安全管控。</w:t>
            </w:r>
          </w:p>
          <w:p w14:paraId="7DB960D7">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3、设备本身不能出现对视频业务产生如视频抖动、卡顿等现象，基于SIP的视/音频传输时延＜20微秒，提供公安权威机构检测报告复印件证明。</w:t>
            </w:r>
          </w:p>
          <w:p w14:paraId="4BC500B4">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4、支持与GB 35114 C级平台互联，通过公安部安全与警用电子产品质量检测中心的委托测试，提供检测报告复印件证明。</w:t>
            </w:r>
          </w:p>
          <w:p w14:paraId="5FB8E91B">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5、设备满足GA/T 1788.3要求，达到视频接入安全防护系统增强II级防护要求，提供检测报告复印件证明。</w:t>
            </w:r>
          </w:p>
          <w:p w14:paraId="53D3AA5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auto"/>
                <w:sz w:val="24"/>
                <w:highlight w:val="none"/>
              </w:rPr>
            </w:pPr>
            <w:r>
              <w:rPr>
                <w:rFonts w:hint="eastAsia" w:ascii="宋体" w:hAnsi="宋体" w:eastAsia="宋体" w:cs="Arial"/>
                <w:color w:val="auto"/>
                <w:sz w:val="24"/>
                <w:szCs w:val="24"/>
                <w:highlight w:val="none"/>
              </w:rPr>
              <w:t>6、设备满足GA/T 1788.3要求，达到设备准入控制系统防护要求，提供检测报告复印件证明。</w:t>
            </w:r>
          </w:p>
          <w:p w14:paraId="7A3ABD45">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7、支持MAC认证功能，MAC地址在白名单中的终端能够通过设备进行正常访问，MAC地址不在设备白名单中的终端通讯会被阻断；支持IP认证功能，IP地址在白名单中的终端能够通过设备进行正常访问，IP地址不在设备白名单中的终端通讯会被阻断。</w:t>
            </w:r>
          </w:p>
          <w:p w14:paraId="3A7BEEF6">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8、支持符合GB/T 28181标准协议接入网络的终端进行通信，采用非GB/T 28181标准协议接入网络进行通信的终端会被系统阻断并产生告警日志。</w:t>
            </w:r>
          </w:p>
          <w:p w14:paraId="3F8B269D">
            <w:pPr>
              <w:keepNext w:val="0"/>
              <w:keepLines w:val="0"/>
              <w:pageBreakBefore w:val="0"/>
              <w:kinsoku/>
              <w:wordWrap/>
              <w:overflowPunct/>
              <w:topLinePunct w:val="0"/>
              <w:autoSpaceDE/>
              <w:autoSpaceDN/>
              <w:bidi w:val="0"/>
              <w:adjustRightInd/>
              <w:snapToGrid/>
              <w:spacing w:line="400" w:lineRule="exact"/>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Arial"/>
                <w:color w:val="auto"/>
                <w:sz w:val="24"/>
                <w:szCs w:val="24"/>
                <w:highlight w:val="none"/>
              </w:rPr>
              <w:t>9、支持符合G</w:t>
            </w:r>
            <w:r>
              <w:rPr>
                <w:rFonts w:ascii="宋体" w:hAnsi="宋体" w:cs="Arial"/>
                <w:color w:val="auto"/>
                <w:sz w:val="24"/>
                <w:szCs w:val="24"/>
                <w:highlight w:val="none"/>
              </w:rPr>
              <w:t>B35114</w:t>
            </w:r>
            <w:r>
              <w:rPr>
                <w:rFonts w:hint="eastAsia" w:ascii="宋体" w:hAnsi="宋体" w:cs="Arial"/>
                <w:color w:val="auto"/>
                <w:sz w:val="24"/>
                <w:szCs w:val="24"/>
                <w:highlight w:val="none"/>
              </w:rPr>
              <w:t>标准的终端接入检测功能，可对不符合G</w:t>
            </w:r>
            <w:r>
              <w:rPr>
                <w:rFonts w:ascii="宋体" w:hAnsi="宋体" w:cs="Arial"/>
                <w:color w:val="auto"/>
                <w:sz w:val="24"/>
                <w:szCs w:val="24"/>
                <w:highlight w:val="none"/>
              </w:rPr>
              <w:t>B35114</w:t>
            </w:r>
            <w:r>
              <w:rPr>
                <w:rFonts w:hint="eastAsia" w:ascii="宋体" w:hAnsi="宋体" w:cs="Arial"/>
                <w:color w:val="auto"/>
                <w:sz w:val="24"/>
                <w:szCs w:val="24"/>
                <w:highlight w:val="none"/>
              </w:rPr>
              <w:t>的终端接入进行阻断并告警，提供公安权威机构检测报告证明。</w:t>
            </w:r>
          </w:p>
          <w:p w14:paraId="79BED43A">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10、支持GA/T 1400协议检测功能，可对不符合GA/T 1400协议的终端进行阻断并告警，提供公安权威机构检测报告复印件证明。</w:t>
            </w:r>
          </w:p>
          <w:p w14:paraId="5855274E">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11、支持对扫描行为的识别与阻断功能，可对存在扫描行为的终端进行阻断并告警，提供公安权威机构检测报告复印件证明。</w:t>
            </w:r>
          </w:p>
          <w:p w14:paraId="55D1C61C">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theme="minorBidi"/>
                <w:color w:val="auto"/>
                <w:kern w:val="2"/>
                <w:sz w:val="24"/>
                <w:szCs w:val="24"/>
                <w:highlight w:val="none"/>
              </w:rPr>
              <w:t>12、支持基于Portal认证的实名制违规外联检测机制，基于portal认证入网的设备，存在违规外联行为的终端，通讯会被阻断；支持无感知方式的违规外联检测机制，存在违规外联行为的终端，通讯会被阻断。</w:t>
            </w:r>
          </w:p>
          <w:p w14:paraId="6BA9F3CA">
            <w:pPr>
              <w:keepNext w:val="0"/>
              <w:keepLines w:val="0"/>
              <w:pageBreakBefore w:val="0"/>
              <w:kinsoku/>
              <w:wordWrap/>
              <w:overflowPunct/>
              <w:topLinePunct w:val="0"/>
              <w:autoSpaceDE/>
              <w:autoSpaceDN/>
              <w:bidi w:val="0"/>
              <w:adjustRightInd/>
              <w:snapToGrid/>
              <w:spacing w:line="400" w:lineRule="exact"/>
              <w:rPr>
                <w:rFonts w:hint="eastAsia" w:ascii="宋体" w:hAnsi="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theme="minorBidi"/>
                <w:color w:val="auto"/>
                <w:kern w:val="2"/>
                <w:sz w:val="24"/>
                <w:szCs w:val="24"/>
                <w:highlight w:val="none"/>
              </w:rPr>
              <w:t>13、支持基于终端和服务器的双向认证功能，提供公安权威机构检测报告</w:t>
            </w:r>
            <w:r>
              <w:rPr>
                <w:rFonts w:hint="eastAsia" w:ascii="宋体" w:hAnsi="宋体" w:cstheme="minorBidi"/>
                <w:color w:val="auto"/>
                <w:kern w:val="2"/>
                <w:sz w:val="24"/>
                <w:szCs w:val="24"/>
                <w:highlight w:val="none"/>
                <w:lang w:val="en-US" w:eastAsia="zh-CN"/>
              </w:rPr>
              <w:t>证明</w:t>
            </w:r>
            <w:r>
              <w:rPr>
                <w:rFonts w:hint="eastAsia" w:ascii="宋体" w:hAnsi="宋体" w:cstheme="minorBidi"/>
                <w:color w:val="auto"/>
                <w:kern w:val="2"/>
                <w:sz w:val="24"/>
                <w:szCs w:val="24"/>
                <w:highlight w:val="none"/>
              </w:rPr>
              <w:t>。</w:t>
            </w:r>
          </w:p>
          <w:p w14:paraId="71FA817E">
            <w:pPr>
              <w:keepNext w:val="0"/>
              <w:keepLines w:val="0"/>
              <w:pageBreakBefore w:val="0"/>
              <w:kinsoku/>
              <w:wordWrap/>
              <w:overflowPunct/>
              <w:topLinePunct w:val="0"/>
              <w:autoSpaceDE/>
              <w:autoSpaceDN/>
              <w:bidi w:val="0"/>
              <w:adjustRightInd/>
              <w:snapToGrid/>
              <w:spacing w:line="400" w:lineRule="exact"/>
              <w:rPr>
                <w:rFonts w:hint="eastAsia" w:ascii="宋体" w:hAnsi="宋体"/>
                <w:color w:val="auto"/>
                <w:sz w:val="24"/>
                <w:szCs w:val="24"/>
                <w:highlight w:val="none"/>
              </w:rPr>
            </w:pPr>
            <w:r>
              <w:rPr>
                <w:rFonts w:hint="eastAsia" w:ascii="宋体" w:hAnsi="宋体" w:cstheme="minorBidi"/>
                <w:color w:val="auto"/>
                <w:kern w:val="2"/>
                <w:sz w:val="24"/>
                <w:szCs w:val="24"/>
                <w:highlight w:val="none"/>
              </w:rPr>
              <w:t>14、支持视频调阅审计功能，能够对平台调取视频流的源、目的IP及调取时间进行记录。</w:t>
            </w:r>
          </w:p>
          <w:p w14:paraId="3246BB61">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15、支持基于历史数据重放检测功能，可对存在历史数据重放攻击的终端进行阻断，提供公安权威机构检测报告复印件证明。</w:t>
            </w:r>
          </w:p>
          <w:p w14:paraId="5E8F54C6">
            <w:pPr>
              <w:keepNext w:val="0"/>
              <w:keepLines w:val="0"/>
              <w:pageBreakBefore w:val="0"/>
              <w:kinsoku/>
              <w:wordWrap/>
              <w:overflowPunct/>
              <w:topLinePunct w:val="0"/>
              <w:autoSpaceDE/>
              <w:autoSpaceDN/>
              <w:bidi w:val="0"/>
              <w:adjustRightInd/>
              <w:snapToGrid/>
              <w:spacing w:line="400" w:lineRule="exact"/>
              <w:rPr>
                <w:rFonts w:hint="eastAsia" w:ascii="宋体" w:hAnsi="宋体"/>
                <w:color w:val="auto"/>
                <w:sz w:val="24"/>
                <w:szCs w:val="24"/>
                <w:highlight w:val="none"/>
              </w:rPr>
            </w:pPr>
            <w:r>
              <w:rPr>
                <w:rFonts w:hint="eastAsia" w:ascii="宋体" w:hAnsi="宋体" w:cstheme="minorBidi"/>
                <w:color w:val="auto"/>
                <w:kern w:val="2"/>
                <w:sz w:val="24"/>
                <w:szCs w:val="24"/>
                <w:highlight w:val="none"/>
              </w:rPr>
              <w:t>16、支持全资产类型一机一档功能，资产类型包括IPC、PC、NVR、服务器、网络设备、诱导屏、信号灯、人脸识别、门禁等，同时支持一机一档按资产类型导入导出功能，提供公安权威机构检测报告复印件证明。</w:t>
            </w:r>
          </w:p>
          <w:p w14:paraId="3BB41648">
            <w:pPr>
              <w:keepNext w:val="0"/>
              <w:keepLines w:val="0"/>
              <w:pageBreakBefore w:val="0"/>
              <w:kinsoku/>
              <w:wordWrap/>
              <w:overflowPunct/>
              <w:topLinePunct w:val="0"/>
              <w:autoSpaceDE/>
              <w:autoSpaceDN/>
              <w:bidi w:val="0"/>
              <w:adjustRightInd/>
              <w:snapToGrid/>
              <w:spacing w:line="400" w:lineRule="exact"/>
              <w:rPr>
                <w:rFonts w:hint="eastAsia" w:ascii="宋体" w:hAnsi="宋体"/>
                <w:color w:val="auto"/>
                <w:sz w:val="24"/>
                <w:szCs w:val="24"/>
                <w:highlight w:val="none"/>
              </w:rPr>
            </w:pPr>
            <w:r>
              <w:rPr>
                <w:rFonts w:hint="eastAsia" w:ascii="宋体" w:hAnsi="宋体" w:cstheme="minorBidi"/>
                <w:color w:val="auto"/>
                <w:kern w:val="2"/>
                <w:sz w:val="24"/>
                <w:szCs w:val="24"/>
                <w:highlight w:val="none"/>
              </w:rPr>
              <w:t>17、支持资产属性完整度检查功能，可查看到单个资产的属性完整度和整个类型属性完整度的统计信息。</w:t>
            </w:r>
          </w:p>
          <w:p w14:paraId="06C7A6A5">
            <w:pPr>
              <w:keepNext w:val="0"/>
              <w:keepLines w:val="0"/>
              <w:pageBreakBefore w:val="0"/>
              <w:kinsoku/>
              <w:wordWrap/>
              <w:overflowPunct/>
              <w:topLinePunct w:val="0"/>
              <w:autoSpaceDE/>
              <w:autoSpaceDN/>
              <w:bidi w:val="0"/>
              <w:adjustRightInd/>
              <w:snapToGrid/>
              <w:spacing w:line="400" w:lineRule="exact"/>
              <w:rPr>
                <w:rFonts w:hint="eastAsia" w:ascii="宋体" w:hAnsi="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theme="minorBidi"/>
                <w:color w:val="auto"/>
                <w:kern w:val="2"/>
                <w:sz w:val="24"/>
                <w:szCs w:val="24"/>
                <w:highlight w:val="none"/>
              </w:rPr>
              <w:t>18、支持一机一档信息双平台上报功能，可进行一机一档远程同步配置，上报成功后，可在其他平台查看一机一档信息，提供公安权威机构检测报告证明。</w:t>
            </w:r>
          </w:p>
          <w:p w14:paraId="3450BD4B">
            <w:pPr>
              <w:keepNext w:val="0"/>
              <w:keepLines w:val="0"/>
              <w:pageBreakBefore w:val="0"/>
              <w:kinsoku/>
              <w:wordWrap/>
              <w:overflowPunct/>
              <w:topLinePunct w:val="0"/>
              <w:autoSpaceDE/>
              <w:autoSpaceDN/>
              <w:bidi w:val="0"/>
              <w:adjustRightInd/>
              <w:snapToGrid/>
              <w:spacing w:line="400" w:lineRule="exact"/>
              <w:rPr>
                <w:rFonts w:hint="eastAsia" w:ascii="宋体" w:hAnsi="宋体"/>
                <w:color w:val="auto"/>
                <w:sz w:val="24"/>
                <w:szCs w:val="24"/>
                <w:highlight w:val="none"/>
              </w:rPr>
            </w:pPr>
            <w:r>
              <w:rPr>
                <w:rFonts w:hint="eastAsia" w:ascii="宋体" w:hAnsi="宋体" w:cstheme="minorBidi"/>
                <w:color w:val="auto"/>
                <w:kern w:val="2"/>
                <w:sz w:val="24"/>
                <w:szCs w:val="24"/>
                <w:highlight w:val="none"/>
              </w:rPr>
              <w:t>19、支持资产注册及审批功能，资产注册用户可登录平台填写资产注册信息并提交申请，管理员用户可在申请记录中进行审批，同时支持资产注册流程可基于资产一机一档属性录入完整度下发阻断策略功能。</w:t>
            </w:r>
          </w:p>
          <w:p w14:paraId="187AA650">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theme="minorBidi"/>
                <w:color w:val="auto"/>
                <w:kern w:val="2"/>
                <w:sz w:val="24"/>
                <w:szCs w:val="24"/>
                <w:highlight w:val="none"/>
              </w:rPr>
              <w:t>20、支持基于多维度的资产在线率统计功能，可根据资产类型和属性进行分组在线率统计。</w:t>
            </w:r>
          </w:p>
          <w:p w14:paraId="344B0A27">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theme="minorBidi"/>
                <w:color w:val="auto"/>
                <w:kern w:val="2"/>
                <w:sz w:val="24"/>
                <w:szCs w:val="24"/>
                <w:highlight w:val="none"/>
              </w:rPr>
              <w:t>21、支持基于安全日志自动生成工单，派发工单可分为自动和手动，支持根据派工模板自动派发工单功能和手动派发工单功能。</w:t>
            </w:r>
          </w:p>
          <w:p w14:paraId="3DD151C2">
            <w:pPr>
              <w:keepNext w:val="0"/>
              <w:keepLines w:val="0"/>
              <w:pageBreakBefore w:val="0"/>
              <w:kinsoku/>
              <w:wordWrap/>
              <w:overflowPunct/>
              <w:topLinePunct w:val="0"/>
              <w:autoSpaceDE/>
              <w:autoSpaceDN/>
              <w:bidi w:val="0"/>
              <w:adjustRightInd/>
              <w:snapToGrid/>
              <w:spacing w:line="400" w:lineRule="exact"/>
              <w:rPr>
                <w:rFonts w:hint="eastAsia" w:ascii="宋体" w:hAnsi="宋体" w:cstheme="minorBidi"/>
                <w:color w:val="auto"/>
                <w:kern w:val="2"/>
                <w:sz w:val="24"/>
                <w:szCs w:val="24"/>
                <w:highlight w:val="none"/>
              </w:rPr>
            </w:pPr>
            <w:r>
              <w:rPr>
                <w:rFonts w:hint="eastAsia" w:ascii="宋体" w:hAnsi="宋体" w:cstheme="minorBidi"/>
                <w:color w:val="auto"/>
                <w:kern w:val="2"/>
                <w:sz w:val="24"/>
                <w:szCs w:val="24"/>
                <w:highlight w:val="none"/>
              </w:rPr>
              <w:t>22、支持工单运维用户分权管理功能，不同工单运维用户仅能查看其对应的工单信息。</w:t>
            </w:r>
          </w:p>
          <w:p w14:paraId="223A6648">
            <w:pPr>
              <w:keepNext w:val="0"/>
              <w:keepLines w:val="0"/>
              <w:pageBreakBefore w:val="0"/>
              <w:kinsoku/>
              <w:wordWrap/>
              <w:overflowPunct/>
              <w:topLinePunct w:val="0"/>
              <w:autoSpaceDE/>
              <w:autoSpaceDN/>
              <w:bidi w:val="0"/>
              <w:adjustRightInd/>
              <w:snapToGrid/>
              <w:spacing w:line="400" w:lineRule="exact"/>
              <w:rPr>
                <w:rFonts w:hint="eastAsia" w:ascii="宋体" w:hAnsi="宋体"/>
                <w:color w:val="auto"/>
                <w:sz w:val="24"/>
                <w:szCs w:val="24"/>
                <w:highlight w:val="none"/>
              </w:rPr>
            </w:pPr>
            <w:r>
              <w:rPr>
                <w:rFonts w:hint="eastAsia" w:ascii="宋体" w:hAnsi="宋体" w:cstheme="minorBidi"/>
                <w:color w:val="auto"/>
                <w:kern w:val="2"/>
                <w:sz w:val="24"/>
                <w:szCs w:val="24"/>
                <w:highlight w:val="none"/>
              </w:rPr>
              <w:t>23、支持工单运维用户申请工单延期功能。</w:t>
            </w:r>
          </w:p>
          <w:p w14:paraId="357293BA">
            <w:pPr>
              <w:keepNext w:val="0"/>
              <w:keepLines w:val="0"/>
              <w:pageBreakBefore w:val="0"/>
              <w:kinsoku/>
              <w:wordWrap/>
              <w:overflowPunct/>
              <w:topLinePunct w:val="0"/>
              <w:autoSpaceDE/>
              <w:autoSpaceDN/>
              <w:bidi w:val="0"/>
              <w:adjustRightInd/>
              <w:snapToGrid/>
              <w:spacing w:line="400" w:lineRule="exact"/>
              <w:rPr>
                <w:rFonts w:hint="eastAsia" w:ascii="宋体" w:hAnsi="宋体"/>
                <w:color w:val="auto"/>
                <w:sz w:val="24"/>
                <w:szCs w:val="24"/>
                <w:highlight w:val="none"/>
              </w:rPr>
            </w:pPr>
            <w:r>
              <w:rPr>
                <w:rFonts w:hint="eastAsia" w:ascii="宋体" w:hAnsi="宋体" w:cstheme="minorBidi"/>
                <w:color w:val="auto"/>
                <w:kern w:val="2"/>
                <w:sz w:val="24"/>
                <w:szCs w:val="24"/>
                <w:highlight w:val="none"/>
              </w:rPr>
              <w:t>24、支持自定义知识库功能，管理员可根据事件自定义处理意见并派发工单。</w:t>
            </w:r>
          </w:p>
          <w:p w14:paraId="079A098F">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theme="minorBidi"/>
                <w:color w:val="auto"/>
                <w:kern w:val="2"/>
                <w:sz w:val="24"/>
                <w:szCs w:val="24"/>
                <w:highlight w:val="none"/>
              </w:rPr>
              <w:t>25、支持工单统计功能，可查看本月待处理工单、本月工单热度分布、工单类别统计和超时工单统计，支持根据资产查看历史工单信息。</w:t>
            </w:r>
          </w:p>
          <w:p w14:paraId="3B6D7543">
            <w:pPr>
              <w:keepNext w:val="0"/>
              <w:keepLines w:val="0"/>
              <w:pageBreakBefore w:val="0"/>
              <w:kinsoku/>
              <w:wordWrap/>
              <w:overflowPunct/>
              <w:topLinePunct w:val="0"/>
              <w:autoSpaceDE/>
              <w:autoSpaceDN/>
              <w:bidi w:val="0"/>
              <w:adjustRightInd/>
              <w:snapToGrid/>
              <w:spacing w:line="400" w:lineRule="exact"/>
              <w:rPr>
                <w:rFonts w:hint="eastAsia" w:ascii="宋体" w:hAnsi="宋体" w:cs="Arial"/>
                <w:color w:val="auto"/>
                <w:sz w:val="24"/>
                <w:szCs w:val="24"/>
                <w:highlight w:val="none"/>
              </w:rPr>
            </w:pPr>
            <w:r>
              <w:rPr>
                <w:rFonts w:hint="eastAsia" w:ascii="宋体" w:hAnsi="宋体" w:cs="Arial"/>
                <w:color w:val="auto"/>
                <w:sz w:val="24"/>
                <w:szCs w:val="24"/>
                <w:highlight w:val="none"/>
              </w:rPr>
              <w:t>26、支持对新入网终端进行资产识别，支持对未知业务协议特征自学习功能，支持对新入网业务延时阻断功能</w:t>
            </w:r>
            <w:r>
              <w:rPr>
                <w:rFonts w:hint="eastAsia" w:ascii="宋体" w:hAnsi="宋体" w:cstheme="minorBidi"/>
                <w:color w:val="auto"/>
                <w:kern w:val="2"/>
                <w:sz w:val="24"/>
                <w:szCs w:val="24"/>
                <w:highlight w:val="none"/>
              </w:rPr>
              <w:t>。</w:t>
            </w:r>
          </w:p>
          <w:p w14:paraId="5F3CC7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cs="Arial"/>
                <w:color w:val="auto"/>
                <w:sz w:val="24"/>
                <w:szCs w:val="24"/>
                <w:highlight w:val="none"/>
              </w:rPr>
              <w:t>29、</w:t>
            </w:r>
            <w:r>
              <w:rPr>
                <w:rFonts w:hint="eastAsia" w:ascii="宋体" w:hAnsi="宋体" w:cs="Arial"/>
                <w:color w:val="auto"/>
                <w:sz w:val="24"/>
                <w:szCs w:val="24"/>
                <w:highlight w:val="none"/>
              </w:rPr>
              <w:t>具备《网络安全产品认证证书》，提供证书复印件证明</w:t>
            </w:r>
            <w:r>
              <w:rPr>
                <w:rFonts w:hint="eastAsia" w:ascii="宋体" w:hAnsi="宋体" w:cs="Arial"/>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服务期：6年(含安装)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22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77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47D2">
            <w:pPr>
              <w:jc w:val="both"/>
              <w:rPr>
                <w:rFonts w:hint="eastAsia" w:ascii="宋体" w:hAnsi="宋体" w:eastAsia="宋体" w:cs="宋体"/>
                <w:i w:val="0"/>
                <w:iCs w:val="0"/>
                <w:color w:val="auto"/>
                <w:sz w:val="24"/>
                <w:szCs w:val="24"/>
                <w:highlight w:val="none"/>
                <w:u w:val="none"/>
              </w:rPr>
            </w:pPr>
          </w:p>
        </w:tc>
      </w:tr>
      <w:tr w14:paraId="2712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0287">
            <w:pPr>
              <w:jc w:val="center"/>
              <w:rPr>
                <w:rFonts w:hint="eastAsia" w:ascii="宋体" w:hAnsi="宋体" w:eastAsia="宋体" w:cs="宋体"/>
                <w:i w:val="0"/>
                <w:iCs w:val="0"/>
                <w:color w:val="auto"/>
                <w:sz w:val="24"/>
                <w:szCs w:val="24"/>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3F5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视频流入网签证服务器维护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28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视频入网签证服务器含维护和更新。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2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A762">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659C">
            <w:pPr>
              <w:jc w:val="both"/>
              <w:rPr>
                <w:rFonts w:hint="eastAsia" w:ascii="宋体" w:hAnsi="宋体" w:eastAsia="宋体" w:cs="宋体"/>
                <w:i w:val="0"/>
                <w:iCs w:val="0"/>
                <w:color w:val="auto"/>
                <w:sz w:val="24"/>
                <w:szCs w:val="24"/>
                <w:highlight w:val="none"/>
                <w:u w:val="none"/>
              </w:rPr>
            </w:pPr>
          </w:p>
        </w:tc>
      </w:tr>
      <w:tr w14:paraId="4E25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2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DC35">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视频流入网校验平台租赁、维护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B0C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通过组织架构、子网结构等维度进行可视化展示；支持通过可视化界面查看IP地址分配情况，查看已分配IP地址对应资产状态及资产属性；支持在IP资源可视化界面手动添加、修改资产属性；支持IP地址自动回收功能，可自定义设计回收周期。</w:t>
            </w:r>
          </w:p>
          <w:p w14:paraId="1FB3168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2、默认终端特征库数量≥5000条。</w:t>
            </w:r>
          </w:p>
          <w:p w14:paraId="302B2F7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3、★支持基于web特征自学习识别功能，支持基于端口特征自学习识别功能，支持基于型号特征自学习识别功能，支持基于流量特征自学习识别功能，</w:t>
            </w:r>
            <w:r>
              <w:rPr>
                <w:rFonts w:hint="eastAsia" w:ascii="宋体" w:hAnsi="宋体" w:eastAsia="宋体" w:cs="宋体"/>
                <w:i w:val="0"/>
                <w:iCs w:val="0"/>
                <w:color w:val="auto"/>
                <w:kern w:val="0"/>
                <w:sz w:val="24"/>
                <w:szCs w:val="24"/>
                <w:highlight w:val="none"/>
                <w:u w:val="none"/>
                <w:lang w:val="en-US" w:eastAsia="zh-CN" w:bidi="ar"/>
              </w:rPr>
              <w:t>提供公安权威机构检测报告证明</w:t>
            </w:r>
            <w:r>
              <w:rPr>
                <w:rFonts w:hint="eastAsia" w:ascii="宋体" w:hAnsi="宋体" w:eastAsia="宋体" w:cs="宋体"/>
                <w:i w:val="0"/>
                <w:iCs w:val="0"/>
                <w:color w:val="auto"/>
                <w:kern w:val="0"/>
                <w:sz w:val="24"/>
                <w:szCs w:val="24"/>
                <w:highlight w:val="none"/>
                <w:u w:val="none"/>
                <w:lang w:val="en-US" w:eastAsia="zh-CN" w:bidi="ar"/>
              </w:rPr>
              <w:t>。</w:t>
            </w:r>
          </w:p>
          <w:p w14:paraId="280B396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4、支持近七日日志分析，支持近七日告警日志统计，支持近七日告警日志TOP5。</w:t>
            </w:r>
          </w:p>
          <w:p w14:paraId="034FA59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5、支持各类型日志分析统计，包括非可信设备、非法扫描、敏感端口、非法外联等，同时支持日志聚合功能。</w:t>
            </w:r>
          </w:p>
          <w:p w14:paraId="553C44D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6、服务期：6年(含安装)</w:t>
            </w:r>
          </w:p>
          <w:p w14:paraId="61C8D5D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7、视频流入网校验平台含维护和更新。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72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ED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CEF9">
            <w:pPr>
              <w:jc w:val="both"/>
              <w:rPr>
                <w:rFonts w:hint="eastAsia" w:ascii="宋体" w:hAnsi="宋体" w:eastAsia="宋体" w:cs="宋体"/>
                <w:i w:val="0"/>
                <w:iCs w:val="0"/>
                <w:color w:val="auto"/>
                <w:sz w:val="24"/>
                <w:szCs w:val="24"/>
                <w:highlight w:val="none"/>
                <w:u w:val="none"/>
              </w:rPr>
            </w:pPr>
          </w:p>
        </w:tc>
      </w:tr>
      <w:tr w14:paraId="45F6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10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90B1">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视频云存储软件租赁、维护</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C9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含不少于4032TB云存储容量授权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基础功能：支持全局存储资源虚拟化，统一访问入口，统一命名空间管理，支持文件、录像、图片存储；支持EC纠删码和副本容错算法，支持硬盘、节点容错；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文件生命周期管理功能：支持对文件生命周期管理，自动感知存储系统状态，包括用户空间使用情况，以及用户、bucket的生命周期和文件信息，根据用户配置的生命周期策略对文件进行删除和空间回收，支持满足安防行业特点的紧急覆盖机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数据恢复功能：支持数据损坏自动恢复，支持对指定日期文件进行数据恢复，可选自动恢复和手动恢复，支持文件恢复优先级控制，支持设置高中低不同的数据恢复策略；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小文件聚合存储功能：支持将图片等小文件汇聚成大文件进行存储，并返回一个包含文件偏移信息的唯一标识符，支持小文件的并发读写，支持文件通过http下载；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多租户功能：支持根据不同用户的需求，划分存储配额空间，底层共用同一个存储池，支持多平台同时共用一套云存储；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硬盘和网络防抖动功能：支持坏盘、慢盘、网络异常抖动的自动检测，支持对异常盘和异常存储节点进行自动隔离，支持硬盘免及时更换，支持硬盘集中更换；支持在线更换硬盘和存储节点服务器，业务不中断；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负载均衡功能：支持数据读写压力按存储节点的CPU、内存、网络、容量进行自动负载均衡，支持存储节点异常后读写流量自动负载到其他正常存储节点，不影响正常业务；支持视频、图片数据同时从多台存储节点上分布式并发下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元数据管理功能：支持主备高可靠，支持单台元数据服务器故障业务不中断，支持在线更换故障元数据服务器。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p w14:paraId="746680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服务期：6年(含安装)</w:t>
            </w:r>
          </w:p>
          <w:p w14:paraId="410BAB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视频云存储含维护和更新。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AB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36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9519">
            <w:pPr>
              <w:jc w:val="both"/>
              <w:rPr>
                <w:rFonts w:hint="eastAsia" w:ascii="宋体" w:hAnsi="宋体" w:eastAsia="宋体" w:cs="宋体"/>
                <w:i w:val="0"/>
                <w:iCs w:val="0"/>
                <w:color w:val="auto"/>
                <w:sz w:val="24"/>
                <w:szCs w:val="24"/>
                <w:highlight w:val="none"/>
                <w:u w:val="none"/>
              </w:rPr>
            </w:pPr>
          </w:p>
        </w:tc>
      </w:tr>
      <w:tr w14:paraId="06A2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44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917C1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4"/>
                <w:szCs w:val="24"/>
                <w:highlight w:val="none"/>
                <w:u w:val="none"/>
                <w:lang w:eastAsia="zh-CN"/>
              </w:rPr>
            </w:pPr>
            <w:r>
              <w:rPr>
                <w:rFonts w:hint="eastAsia" w:ascii="宋体" w:hAnsi="宋体" w:eastAsia="宋体" w:cs="宋体"/>
                <w:b/>
                <w:bCs/>
                <w:i w:val="0"/>
                <w:iCs w:val="0"/>
                <w:color w:val="auto"/>
                <w:sz w:val="24"/>
                <w:szCs w:val="24"/>
                <w:highlight w:val="none"/>
                <w:u w:val="none"/>
                <w:lang w:eastAsia="zh-CN"/>
              </w:rPr>
              <w:t>三、电路</w:t>
            </w:r>
          </w:p>
        </w:tc>
      </w:tr>
      <w:tr w14:paraId="273CA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F2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F8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光纤传输</w:t>
            </w:r>
          </w:p>
        </w:tc>
        <w:tc>
          <w:tcPr>
            <w:tcW w:w="10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E3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光纤传输，每条不低于100兆。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5B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1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条/6年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F4CE">
            <w:pPr>
              <w:jc w:val="both"/>
              <w:rPr>
                <w:rFonts w:hint="eastAsia" w:ascii="宋体" w:hAnsi="宋体" w:eastAsia="宋体" w:cs="宋体"/>
                <w:i w:val="0"/>
                <w:iCs w:val="0"/>
                <w:color w:val="auto"/>
                <w:sz w:val="24"/>
                <w:szCs w:val="24"/>
                <w:highlight w:val="none"/>
                <w:u w:val="none"/>
              </w:rPr>
            </w:pPr>
          </w:p>
        </w:tc>
      </w:tr>
    </w:tbl>
    <w:p w14:paraId="04D588F3">
      <w:pPr>
        <w:pStyle w:val="33"/>
        <w:ind w:left="0" w:leftChars="0" w:firstLine="0" w:firstLineChars="0"/>
        <w:rPr>
          <w:rFonts w:hint="eastAsia"/>
          <w:highlight w:val="none"/>
          <w:lang w:val="en-US" w:eastAsia="zh-CN"/>
        </w:rPr>
      </w:pPr>
    </w:p>
    <w:p w14:paraId="1A28E1AB">
      <w:pPr>
        <w:pStyle w:val="33"/>
        <w:ind w:left="0" w:leftChars="0" w:firstLine="0" w:firstLineChars="0"/>
        <w:rPr>
          <w:rFonts w:hint="eastAsia"/>
          <w:highlight w:val="none"/>
          <w:lang w:val="en-US" w:eastAsia="zh-CN"/>
        </w:rPr>
      </w:pPr>
    </w:p>
    <w:p w14:paraId="39AC6085">
      <w:pPr>
        <w:pStyle w:val="5"/>
        <w:numPr>
          <w:ilvl w:val="0"/>
          <w:numId w:val="0"/>
        </w:numPr>
        <w:spacing w:before="120" w:after="120"/>
        <w:jc w:val="both"/>
        <w:rPr>
          <w:rFonts w:hint="eastAsia" w:ascii="宋体" w:cs="宋体"/>
          <w:b/>
          <w:bCs/>
          <w:color w:val="auto"/>
          <w:sz w:val="24"/>
          <w:szCs w:val="24"/>
          <w:highlight w:val="none"/>
          <w:lang w:val="en-US" w:eastAsia="zh-CN"/>
        </w:rPr>
        <w:sectPr>
          <w:pgSz w:w="16840" w:h="11907" w:orient="landscape"/>
          <w:pgMar w:top="1134" w:right="1417" w:bottom="1134" w:left="1417" w:header="851" w:footer="850" w:gutter="0"/>
          <w:pgNumType w:fmt="decimal"/>
          <w:cols w:space="720" w:num="1"/>
          <w:rtlGutter w:val="0"/>
          <w:docGrid w:linePitch="0" w:charSpace="0"/>
        </w:sectPr>
      </w:pPr>
    </w:p>
    <w:p w14:paraId="2B9E7E13">
      <w:pPr>
        <w:pStyle w:val="5"/>
        <w:pageBreakBefore w:val="0"/>
        <w:widowControl w:val="0"/>
        <w:numPr>
          <w:ilvl w:val="0"/>
          <w:numId w:val="0"/>
        </w:numPr>
        <w:kinsoku/>
        <w:wordWrap/>
        <w:overflowPunct/>
        <w:topLinePunct w:val="0"/>
        <w:autoSpaceDE/>
        <w:autoSpaceDN/>
        <w:bidi w:val="0"/>
        <w:adjustRightInd/>
        <w:spacing w:before="120" w:after="120" w:line="360" w:lineRule="auto"/>
        <w:ind w:firstLine="482" w:firstLineChars="200"/>
        <w:jc w:val="both"/>
        <w:textAlignment w:val="auto"/>
        <w:rPr>
          <w:color w:val="auto"/>
          <w:sz w:val="24"/>
          <w:szCs w:val="24"/>
          <w:highlight w:val="none"/>
        </w:rPr>
      </w:pPr>
      <w:r>
        <w:rPr>
          <w:rFonts w:hint="eastAsia" w:ascii="宋体" w:cs="宋体"/>
          <w:b/>
          <w:bCs/>
          <w:color w:val="auto"/>
          <w:sz w:val="24"/>
          <w:szCs w:val="24"/>
          <w:highlight w:val="none"/>
          <w:lang w:val="en-US" w:eastAsia="zh-CN"/>
        </w:rPr>
        <w:t>二、</w:t>
      </w:r>
      <w:r>
        <w:rPr>
          <w:color w:val="auto"/>
          <w:sz w:val="24"/>
          <w:szCs w:val="24"/>
          <w:highlight w:val="none"/>
        </w:rPr>
        <w:t>技术规范</w:t>
      </w:r>
    </w:p>
    <w:p w14:paraId="378B002B">
      <w:pPr>
        <w:pStyle w:val="13"/>
        <w:pageBreakBefore w:val="0"/>
        <w:widowControl w:val="0"/>
        <w:kinsoku/>
        <w:wordWrap/>
        <w:overflowPunct/>
        <w:topLinePunct w:val="0"/>
        <w:autoSpaceDE/>
        <w:autoSpaceDN/>
        <w:bidi w:val="0"/>
        <w:adjustRightInd/>
        <w:spacing w:before="41" w:line="360" w:lineRule="auto"/>
        <w:ind w:firstLine="480" w:firstLineChars="200"/>
        <w:textAlignment w:val="auto"/>
        <w:rPr>
          <w:rFonts w:cs="宋体"/>
          <w:color w:val="auto"/>
          <w:sz w:val="24"/>
          <w:szCs w:val="24"/>
          <w:highlight w:val="none"/>
          <w:lang w:eastAsia="zh-CN"/>
        </w:rPr>
      </w:pPr>
      <w:r>
        <w:rPr>
          <w:rFonts w:cs="宋体"/>
          <w:color w:val="auto"/>
          <w:sz w:val="24"/>
          <w:szCs w:val="24"/>
          <w:highlight w:val="none"/>
          <w:lang w:eastAsia="zh-CN"/>
        </w:rPr>
        <w:t>（1）视频监控联网应用类标准</w:t>
      </w:r>
    </w:p>
    <w:p w14:paraId="4197A3D3">
      <w:pPr>
        <w:pageBreakBefore w:val="0"/>
        <w:widowControl w:val="0"/>
        <w:kinsoku/>
        <w:wordWrap/>
        <w:overflowPunct/>
        <w:topLinePunct w:val="0"/>
        <w:autoSpaceDE/>
        <w:autoSpaceDN/>
        <w:bidi w:val="0"/>
        <w:adjustRightInd/>
        <w:spacing w:before="175" w:line="360" w:lineRule="auto"/>
        <w:ind w:left="680" w:hanging="3"/>
        <w:textAlignment w:val="auto"/>
        <w:rPr>
          <w:color w:val="auto"/>
          <w:sz w:val="24"/>
          <w:szCs w:val="24"/>
          <w:highlight w:val="none"/>
        </w:rPr>
      </w:pPr>
      <w:r>
        <w:rPr>
          <w:color w:val="auto"/>
          <w:sz w:val="24"/>
          <w:szCs w:val="24"/>
          <w:highlight w:val="none"/>
        </w:rPr>
        <w:t>《安全防范监控数字视音频编解码技术要求》（GB/T25724-2010）</w:t>
      </w:r>
    </w:p>
    <w:p w14:paraId="6F5D1E02">
      <w:pPr>
        <w:pageBreakBefore w:val="0"/>
        <w:widowControl w:val="0"/>
        <w:kinsoku/>
        <w:wordWrap/>
        <w:overflowPunct/>
        <w:topLinePunct w:val="0"/>
        <w:autoSpaceDE/>
        <w:autoSpaceDN/>
        <w:bidi w:val="0"/>
        <w:adjustRightInd/>
        <w:spacing w:before="175" w:line="360" w:lineRule="auto"/>
        <w:ind w:left="680" w:hanging="3"/>
        <w:textAlignment w:val="auto"/>
        <w:rPr>
          <w:color w:val="auto"/>
          <w:sz w:val="24"/>
          <w:szCs w:val="24"/>
          <w:highlight w:val="none"/>
        </w:rPr>
      </w:pPr>
      <w:r>
        <w:rPr>
          <w:color w:val="auto"/>
          <w:sz w:val="24"/>
          <w:szCs w:val="24"/>
          <w:highlight w:val="none"/>
        </w:rPr>
        <w:t>《视频图像信息联网与应用标准体系表》（GA/Z1164-2014）</w:t>
      </w:r>
    </w:p>
    <w:p w14:paraId="1A007975">
      <w:pPr>
        <w:pageBreakBefore w:val="0"/>
        <w:widowControl w:val="0"/>
        <w:kinsoku/>
        <w:wordWrap/>
        <w:overflowPunct/>
        <w:topLinePunct w:val="0"/>
        <w:autoSpaceDE/>
        <w:autoSpaceDN/>
        <w:bidi w:val="0"/>
        <w:adjustRightInd/>
        <w:spacing w:before="175" w:line="360" w:lineRule="auto"/>
        <w:ind w:left="680" w:hanging="3"/>
        <w:textAlignment w:val="auto"/>
        <w:rPr>
          <w:color w:val="auto"/>
          <w:sz w:val="24"/>
          <w:szCs w:val="24"/>
          <w:highlight w:val="none"/>
        </w:rPr>
      </w:pPr>
      <w:r>
        <w:rPr>
          <w:color w:val="auto"/>
          <w:sz w:val="24"/>
          <w:szCs w:val="24"/>
          <w:highlight w:val="none"/>
        </w:rPr>
        <w:t>《公安机关图像信息要素结构化描述要求》（GA/Z1129-2013）</w:t>
      </w:r>
    </w:p>
    <w:p w14:paraId="2C649168">
      <w:pPr>
        <w:pageBreakBefore w:val="0"/>
        <w:widowControl w:val="0"/>
        <w:kinsoku/>
        <w:wordWrap/>
        <w:overflowPunct/>
        <w:topLinePunct w:val="0"/>
        <w:autoSpaceDE/>
        <w:autoSpaceDN/>
        <w:bidi w:val="0"/>
        <w:adjustRightInd/>
        <w:spacing w:before="175" w:line="360" w:lineRule="auto"/>
        <w:ind w:left="680" w:hanging="3"/>
        <w:textAlignment w:val="auto"/>
        <w:rPr>
          <w:color w:val="auto"/>
          <w:sz w:val="24"/>
          <w:szCs w:val="24"/>
          <w:highlight w:val="none"/>
        </w:rPr>
      </w:pPr>
      <w:r>
        <w:rPr>
          <w:rFonts w:hint="eastAsia"/>
          <w:color w:val="auto"/>
          <w:sz w:val="24"/>
          <w:szCs w:val="24"/>
          <w:highlight w:val="none"/>
        </w:rPr>
        <w:t>《视频图像文字标注规范》（</w:t>
      </w:r>
      <w:r>
        <w:rPr>
          <w:color w:val="auto"/>
          <w:sz w:val="24"/>
          <w:szCs w:val="24"/>
          <w:highlight w:val="none"/>
        </w:rPr>
        <w:t>GA/T751-2008</w:t>
      </w:r>
      <w:r>
        <w:rPr>
          <w:rFonts w:hint="eastAsia"/>
          <w:color w:val="auto"/>
          <w:sz w:val="24"/>
          <w:szCs w:val="24"/>
          <w:highlight w:val="none"/>
        </w:rPr>
        <w:t>）</w:t>
      </w:r>
    </w:p>
    <w:p w14:paraId="56B4BF8F">
      <w:pPr>
        <w:pStyle w:val="13"/>
        <w:pageBreakBefore w:val="0"/>
        <w:widowControl w:val="0"/>
        <w:kinsoku/>
        <w:wordWrap/>
        <w:overflowPunct/>
        <w:topLinePunct w:val="0"/>
        <w:autoSpaceDE/>
        <w:autoSpaceDN/>
        <w:bidi w:val="0"/>
        <w:adjustRightInd/>
        <w:spacing w:before="39" w:line="360" w:lineRule="auto"/>
        <w:ind w:right="102" w:firstLine="537"/>
        <w:textAlignment w:val="auto"/>
        <w:rPr>
          <w:rFonts w:cs="宋体"/>
          <w:color w:val="auto"/>
          <w:sz w:val="24"/>
          <w:szCs w:val="24"/>
          <w:highlight w:val="none"/>
          <w:lang w:eastAsia="zh-CN"/>
        </w:rPr>
      </w:pPr>
      <w:r>
        <w:rPr>
          <w:rFonts w:cs="宋体"/>
          <w:color w:val="auto"/>
          <w:sz w:val="24"/>
          <w:szCs w:val="24"/>
          <w:highlight w:val="none"/>
          <w:lang w:eastAsia="zh-CN"/>
        </w:rPr>
        <w:t>《安全防范视频监控联网系统信息传输、交换、控制技术要求》（GB/T28181-2016）</w:t>
      </w:r>
    </w:p>
    <w:p w14:paraId="23BA6048">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hint="eastAsia" w:cs="宋体"/>
          <w:color w:val="auto"/>
          <w:sz w:val="24"/>
          <w:szCs w:val="24"/>
          <w:highlight w:val="none"/>
          <w:lang w:eastAsia="zh-CN"/>
        </w:rPr>
        <w:t>《</w:t>
      </w:r>
      <w:r>
        <w:rPr>
          <w:rFonts w:cs="宋体"/>
          <w:color w:val="auto"/>
          <w:sz w:val="24"/>
          <w:szCs w:val="24"/>
          <w:highlight w:val="none"/>
          <w:lang w:eastAsia="zh-CN"/>
        </w:rPr>
        <w:t>公安视频图像分析系统</w:t>
      </w:r>
      <w:r>
        <w:rPr>
          <w:rFonts w:hint="eastAsia" w:cs="宋体"/>
          <w:color w:val="auto"/>
          <w:sz w:val="24"/>
          <w:szCs w:val="24"/>
          <w:highlight w:val="none"/>
          <w:lang w:eastAsia="zh-CN"/>
        </w:rPr>
        <w:t>》（GA</w:t>
      </w:r>
      <w:r>
        <w:rPr>
          <w:rFonts w:cs="宋体"/>
          <w:color w:val="auto"/>
          <w:sz w:val="24"/>
          <w:szCs w:val="24"/>
          <w:highlight w:val="none"/>
          <w:lang w:eastAsia="zh-CN"/>
        </w:rPr>
        <w:t>/T1399-2017</w:t>
      </w:r>
      <w:r>
        <w:rPr>
          <w:rFonts w:hint="eastAsia" w:cs="宋体"/>
          <w:color w:val="auto"/>
          <w:sz w:val="24"/>
          <w:szCs w:val="24"/>
          <w:highlight w:val="none"/>
          <w:lang w:eastAsia="zh-CN"/>
        </w:rPr>
        <w:t>）</w:t>
      </w:r>
    </w:p>
    <w:p w14:paraId="5422F066">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hint="eastAsia" w:cs="宋体"/>
          <w:color w:val="auto"/>
          <w:sz w:val="24"/>
          <w:szCs w:val="24"/>
          <w:highlight w:val="none"/>
          <w:lang w:eastAsia="zh-CN"/>
        </w:rPr>
        <w:t>《</w:t>
      </w:r>
      <w:r>
        <w:rPr>
          <w:rFonts w:cs="宋体"/>
          <w:color w:val="auto"/>
          <w:sz w:val="24"/>
          <w:szCs w:val="24"/>
          <w:highlight w:val="none"/>
          <w:lang w:eastAsia="zh-CN"/>
        </w:rPr>
        <w:t>公安视频图像信息应用系统</w:t>
      </w:r>
      <w:r>
        <w:rPr>
          <w:rFonts w:hint="eastAsia" w:cs="宋体"/>
          <w:color w:val="auto"/>
          <w:sz w:val="24"/>
          <w:szCs w:val="24"/>
          <w:highlight w:val="none"/>
          <w:lang w:eastAsia="zh-CN"/>
        </w:rPr>
        <w:t>》（GA</w:t>
      </w:r>
      <w:r>
        <w:rPr>
          <w:rFonts w:cs="宋体"/>
          <w:color w:val="auto"/>
          <w:sz w:val="24"/>
          <w:szCs w:val="24"/>
          <w:highlight w:val="none"/>
          <w:lang w:eastAsia="zh-CN"/>
        </w:rPr>
        <w:t>/T1400</w:t>
      </w:r>
      <w:r>
        <w:rPr>
          <w:rFonts w:hint="eastAsia" w:cs="宋体"/>
          <w:color w:val="auto"/>
          <w:sz w:val="24"/>
          <w:szCs w:val="24"/>
          <w:highlight w:val="none"/>
          <w:lang w:eastAsia="zh-CN"/>
        </w:rPr>
        <w:t>-2017）</w:t>
      </w:r>
    </w:p>
    <w:p w14:paraId="1E3244DE">
      <w:pPr>
        <w:pStyle w:val="13"/>
        <w:pageBreakBefore w:val="0"/>
        <w:widowControl w:val="0"/>
        <w:kinsoku/>
        <w:wordWrap/>
        <w:overflowPunct/>
        <w:topLinePunct w:val="0"/>
        <w:autoSpaceDE/>
        <w:autoSpaceDN/>
        <w:bidi w:val="0"/>
        <w:adjustRightInd/>
        <w:spacing w:before="175" w:line="360" w:lineRule="auto"/>
        <w:ind w:firstLine="480" w:firstLineChars="200"/>
        <w:textAlignment w:val="auto"/>
        <w:rPr>
          <w:rFonts w:cs="宋体"/>
          <w:color w:val="auto"/>
          <w:sz w:val="24"/>
          <w:szCs w:val="24"/>
          <w:highlight w:val="none"/>
          <w:lang w:eastAsia="zh-CN"/>
        </w:rPr>
      </w:pPr>
      <w:r>
        <w:rPr>
          <w:rFonts w:cs="宋体"/>
          <w:color w:val="auto"/>
          <w:sz w:val="24"/>
          <w:szCs w:val="24"/>
          <w:highlight w:val="none"/>
          <w:lang w:eastAsia="zh-CN"/>
        </w:rPr>
        <w:t>（2）视频监控产品&amp;检测标准</w:t>
      </w:r>
    </w:p>
    <w:p w14:paraId="327F42C0">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《安全防范视频监控摄像机通用技术要求》（GA/T1127-2013）</w:t>
      </w:r>
    </w:p>
    <w:p w14:paraId="14B96CE8">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《视频中物品图像检验技术规范》（GA/T1018-2013）</w:t>
      </w:r>
    </w:p>
    <w:p w14:paraId="40736D21">
      <w:pPr>
        <w:pStyle w:val="13"/>
        <w:pageBreakBefore w:val="0"/>
        <w:widowControl w:val="0"/>
        <w:kinsoku/>
        <w:wordWrap/>
        <w:overflowPunct/>
        <w:topLinePunct w:val="0"/>
        <w:autoSpaceDE/>
        <w:autoSpaceDN/>
        <w:bidi w:val="0"/>
        <w:adjustRightInd/>
        <w:spacing w:before="173"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《视频中车辆图像检验技术规范》（GA/T1019-2013）</w:t>
      </w:r>
    </w:p>
    <w:p w14:paraId="224A52F5">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《视频中事件过程检验技术规范》（GA/T1020-2013）</w:t>
      </w:r>
    </w:p>
    <w:p w14:paraId="7CDE649D">
      <w:pPr>
        <w:pStyle w:val="13"/>
        <w:pageBreakBefore w:val="0"/>
        <w:widowControl w:val="0"/>
        <w:kinsoku/>
        <w:wordWrap/>
        <w:overflowPunct/>
        <w:topLinePunct w:val="0"/>
        <w:autoSpaceDE/>
        <w:autoSpaceDN/>
        <w:bidi w:val="0"/>
        <w:adjustRightInd/>
        <w:spacing w:before="176"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《视频图像原始性检验技术规范》（GA/T1021-2013）</w:t>
      </w:r>
    </w:p>
    <w:p w14:paraId="3F72356A">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《视频图像真实性检验技术规范》（GA/T1022-2013）</w:t>
      </w:r>
    </w:p>
    <w:p w14:paraId="53513297">
      <w:pPr>
        <w:pStyle w:val="13"/>
        <w:pageBreakBefore w:val="0"/>
        <w:widowControl w:val="0"/>
        <w:kinsoku/>
        <w:wordWrap/>
        <w:overflowPunct/>
        <w:topLinePunct w:val="0"/>
        <w:autoSpaceDE/>
        <w:autoSpaceDN/>
        <w:bidi w:val="0"/>
        <w:adjustRightInd/>
        <w:spacing w:before="173"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《视频中人像检验技术规范》（GA/T1023-2013）</w:t>
      </w:r>
    </w:p>
    <w:p w14:paraId="4EC8CF51">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《视频画面中目标尺寸测量方法》（GA/T1024-2013）</w:t>
      </w:r>
    </w:p>
    <w:p w14:paraId="6CD18889">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《安全防范视频监控高清晰度摄像机测量方法》（GA/T1128-2013）</w:t>
      </w:r>
    </w:p>
    <w:p w14:paraId="634EB609">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《安全防范监控变速球型摄像机》（GA/T645-2014）</w:t>
      </w:r>
    </w:p>
    <w:p w14:paraId="0C9A4463">
      <w:pPr>
        <w:pageBreakBefore w:val="0"/>
        <w:widowControl w:val="0"/>
        <w:kinsoku/>
        <w:wordWrap/>
        <w:overflowPunct/>
        <w:topLinePunct w:val="0"/>
        <w:autoSpaceDE/>
        <w:autoSpaceDN/>
        <w:bidi w:val="0"/>
        <w:adjustRightInd/>
        <w:spacing w:line="360" w:lineRule="auto"/>
        <w:ind w:firstLine="480" w:firstLineChars="200"/>
        <w:textAlignment w:val="auto"/>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3</w:t>
      </w:r>
      <w:r>
        <w:rPr>
          <w:color w:val="auto"/>
          <w:sz w:val="24"/>
          <w:szCs w:val="24"/>
          <w:highlight w:val="none"/>
        </w:rPr>
        <w:t>）安全标准</w:t>
      </w:r>
    </w:p>
    <w:p w14:paraId="4B03BAE7">
      <w:pPr>
        <w:pageBreakBefore w:val="0"/>
        <w:widowControl w:val="0"/>
        <w:kinsoku/>
        <w:wordWrap/>
        <w:overflowPunct/>
        <w:topLinePunct w:val="0"/>
        <w:autoSpaceDE/>
        <w:autoSpaceDN/>
        <w:bidi w:val="0"/>
        <w:adjustRightInd/>
        <w:spacing w:line="360" w:lineRule="auto"/>
        <w:ind w:firstLine="720" w:firstLineChars="300"/>
        <w:textAlignment w:val="auto"/>
        <w:rPr>
          <w:color w:val="auto"/>
          <w:sz w:val="24"/>
          <w:szCs w:val="24"/>
          <w:highlight w:val="none"/>
        </w:rPr>
      </w:pPr>
      <w:r>
        <w:rPr>
          <w:rFonts w:hint="eastAsia"/>
          <w:color w:val="auto"/>
          <w:sz w:val="24"/>
          <w:szCs w:val="24"/>
          <w:highlight w:val="none"/>
        </w:rPr>
        <w:t>《公共安全视频监控联网信息安全技术要求》（GB35114-2017）</w:t>
      </w:r>
    </w:p>
    <w:p w14:paraId="683ADFBB">
      <w:pPr>
        <w:pStyle w:val="13"/>
        <w:pageBreakBefore w:val="0"/>
        <w:widowControl w:val="0"/>
        <w:kinsoku/>
        <w:wordWrap/>
        <w:overflowPunct/>
        <w:topLinePunct w:val="0"/>
        <w:autoSpaceDE/>
        <w:autoSpaceDN/>
        <w:bidi w:val="0"/>
        <w:adjustRightInd/>
        <w:spacing w:before="175" w:line="360" w:lineRule="auto"/>
        <w:ind w:right="102" w:firstLine="537"/>
        <w:textAlignment w:val="auto"/>
        <w:rPr>
          <w:rFonts w:cs="宋体"/>
          <w:color w:val="auto"/>
          <w:sz w:val="24"/>
          <w:szCs w:val="24"/>
          <w:highlight w:val="none"/>
          <w:lang w:eastAsia="zh-CN"/>
        </w:rPr>
      </w:pPr>
      <w:r>
        <w:rPr>
          <w:rFonts w:cs="宋体"/>
          <w:color w:val="auto"/>
          <w:sz w:val="24"/>
          <w:szCs w:val="24"/>
          <w:highlight w:val="none"/>
          <w:lang w:eastAsia="zh-CN"/>
        </w:rPr>
        <w:t>《信息安全技术信息安全保障指标体系及评价方法第1-3部分》（GB/T31495-2015）</w:t>
      </w:r>
    </w:p>
    <w:p w14:paraId="11D453F9">
      <w:pPr>
        <w:pStyle w:val="13"/>
        <w:pageBreakBefore w:val="0"/>
        <w:widowControl w:val="0"/>
        <w:kinsoku/>
        <w:wordWrap/>
        <w:overflowPunct/>
        <w:topLinePunct w:val="0"/>
        <w:autoSpaceDE/>
        <w:autoSpaceDN/>
        <w:bidi w:val="0"/>
        <w:adjustRightInd/>
        <w:spacing w:before="43"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《信息技术安全技术信息安全管理体系实施指南》（GB/T31496-2015）</w:t>
      </w:r>
    </w:p>
    <w:p w14:paraId="2B31CC9B">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《信息技术安全技术信息安全管理测量》（GB/T31497-2015）</w:t>
      </w:r>
    </w:p>
    <w:p w14:paraId="693D8AAE">
      <w:pPr>
        <w:pStyle w:val="13"/>
        <w:pageBreakBefore w:val="0"/>
        <w:widowControl w:val="0"/>
        <w:kinsoku/>
        <w:wordWrap/>
        <w:overflowPunct/>
        <w:topLinePunct w:val="0"/>
        <w:autoSpaceDE/>
        <w:autoSpaceDN/>
        <w:bidi w:val="0"/>
        <w:adjustRightInd/>
        <w:spacing w:before="176" w:line="360" w:lineRule="auto"/>
        <w:ind w:right="102" w:firstLine="537"/>
        <w:textAlignment w:val="auto"/>
        <w:rPr>
          <w:rFonts w:cs="宋体"/>
          <w:color w:val="auto"/>
          <w:sz w:val="24"/>
          <w:szCs w:val="24"/>
          <w:highlight w:val="none"/>
          <w:lang w:eastAsia="zh-CN"/>
        </w:rPr>
      </w:pPr>
      <w:r>
        <w:rPr>
          <w:rFonts w:cs="宋体"/>
          <w:color w:val="auto"/>
          <w:sz w:val="24"/>
          <w:szCs w:val="24"/>
          <w:highlight w:val="none"/>
          <w:lang w:eastAsia="zh-CN"/>
        </w:rPr>
        <w:t>《信息安全技术统一威胁管理产品技术要求和测试评价方法》（GB/T31499-2015）</w:t>
      </w:r>
    </w:p>
    <w:p w14:paraId="22A053F9">
      <w:pPr>
        <w:pStyle w:val="13"/>
        <w:pageBreakBefore w:val="0"/>
        <w:widowControl w:val="0"/>
        <w:kinsoku/>
        <w:wordWrap/>
        <w:overflowPunct/>
        <w:topLinePunct w:val="0"/>
        <w:autoSpaceDE/>
        <w:autoSpaceDN/>
        <w:bidi w:val="0"/>
        <w:adjustRightInd/>
        <w:spacing w:before="43"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《信息安全技术存储介质数据恢复服务要求》（GB/T31500-2015）</w:t>
      </w:r>
    </w:p>
    <w:p w14:paraId="15A7B542">
      <w:pPr>
        <w:pStyle w:val="13"/>
        <w:pageBreakBefore w:val="0"/>
        <w:widowControl w:val="0"/>
        <w:kinsoku/>
        <w:wordWrap/>
        <w:overflowPunct/>
        <w:topLinePunct w:val="0"/>
        <w:autoSpaceDE/>
        <w:autoSpaceDN/>
        <w:bidi w:val="0"/>
        <w:adjustRightInd/>
        <w:spacing w:before="175" w:line="360" w:lineRule="auto"/>
        <w:ind w:right="102" w:firstLine="537"/>
        <w:textAlignment w:val="auto"/>
        <w:rPr>
          <w:rFonts w:cs="宋体"/>
          <w:color w:val="auto"/>
          <w:sz w:val="24"/>
          <w:szCs w:val="24"/>
          <w:highlight w:val="none"/>
          <w:lang w:eastAsia="zh-CN"/>
        </w:rPr>
      </w:pPr>
      <w:r>
        <w:rPr>
          <w:rFonts w:cs="宋体"/>
          <w:color w:val="auto"/>
          <w:sz w:val="24"/>
          <w:szCs w:val="24"/>
          <w:highlight w:val="none"/>
          <w:lang w:eastAsia="zh-CN"/>
        </w:rPr>
        <w:t>《信息安全技术鉴别与授权授权应用程序判定接口规范标准》（GB/T31501-2015）</w:t>
      </w:r>
    </w:p>
    <w:p w14:paraId="4848488C">
      <w:pPr>
        <w:pStyle w:val="13"/>
        <w:pageBreakBefore w:val="0"/>
        <w:widowControl w:val="0"/>
        <w:kinsoku/>
        <w:wordWrap/>
        <w:overflowPunct/>
        <w:topLinePunct w:val="0"/>
        <w:autoSpaceDE/>
        <w:autoSpaceDN/>
        <w:bidi w:val="0"/>
        <w:adjustRightInd/>
        <w:spacing w:before="39"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《信息安全技术电子文档加密与签名消息语法》（GB/T31503-2015）</w:t>
      </w:r>
    </w:p>
    <w:p w14:paraId="34088CBF">
      <w:pPr>
        <w:pStyle w:val="13"/>
        <w:pageBreakBefore w:val="0"/>
        <w:widowControl w:val="0"/>
        <w:kinsoku/>
        <w:wordWrap/>
        <w:overflowPunct/>
        <w:topLinePunct w:val="0"/>
        <w:autoSpaceDE/>
        <w:autoSpaceDN/>
        <w:bidi w:val="0"/>
        <w:adjustRightInd/>
        <w:spacing w:before="175" w:line="360" w:lineRule="auto"/>
        <w:ind w:right="102" w:firstLine="537"/>
        <w:textAlignment w:val="auto"/>
        <w:rPr>
          <w:rFonts w:cs="宋体"/>
          <w:color w:val="auto"/>
          <w:sz w:val="24"/>
          <w:szCs w:val="24"/>
          <w:highlight w:val="none"/>
          <w:lang w:eastAsia="zh-CN"/>
        </w:rPr>
      </w:pPr>
      <w:r>
        <w:rPr>
          <w:rFonts w:cs="宋体"/>
          <w:color w:val="auto"/>
          <w:sz w:val="24"/>
          <w:szCs w:val="24"/>
          <w:highlight w:val="none"/>
          <w:lang w:eastAsia="zh-CN"/>
        </w:rPr>
        <w:t>《信息安全技术鉴别与授权数字身份信息服务框架规范》（GB/T31504-2015）</w:t>
      </w:r>
    </w:p>
    <w:p w14:paraId="2B6E56F6">
      <w:pPr>
        <w:pStyle w:val="13"/>
        <w:pageBreakBefore w:val="0"/>
        <w:widowControl w:val="0"/>
        <w:kinsoku/>
        <w:wordWrap/>
        <w:overflowPunct/>
        <w:topLinePunct w:val="0"/>
        <w:autoSpaceDE/>
        <w:autoSpaceDN/>
        <w:bidi w:val="0"/>
        <w:adjustRightInd/>
        <w:spacing w:before="41" w:line="360" w:lineRule="auto"/>
        <w:ind w:right="102" w:firstLine="537"/>
        <w:textAlignment w:val="auto"/>
        <w:rPr>
          <w:rFonts w:cs="宋体"/>
          <w:color w:val="auto"/>
          <w:sz w:val="24"/>
          <w:szCs w:val="24"/>
          <w:highlight w:val="none"/>
          <w:lang w:eastAsia="zh-CN"/>
        </w:rPr>
      </w:pPr>
      <w:r>
        <w:rPr>
          <w:rFonts w:cs="宋体"/>
          <w:color w:val="auto"/>
          <w:sz w:val="24"/>
          <w:szCs w:val="24"/>
          <w:highlight w:val="none"/>
          <w:lang w:eastAsia="zh-CN"/>
        </w:rPr>
        <w:t>《信息安全技术主机型防火墙安全技术要求和测试评价方法》（GB/T31505-2015）</w:t>
      </w:r>
    </w:p>
    <w:p w14:paraId="3DD4A18A">
      <w:pPr>
        <w:pStyle w:val="13"/>
        <w:pageBreakBefore w:val="0"/>
        <w:widowControl w:val="0"/>
        <w:kinsoku/>
        <w:wordWrap/>
        <w:overflowPunct/>
        <w:topLinePunct w:val="0"/>
        <w:autoSpaceDE/>
        <w:autoSpaceDN/>
        <w:bidi w:val="0"/>
        <w:adjustRightInd/>
        <w:spacing w:before="175" w:line="360" w:lineRule="auto"/>
        <w:ind w:right="102" w:firstLine="537"/>
        <w:textAlignment w:val="auto"/>
        <w:rPr>
          <w:rFonts w:cs="宋体"/>
          <w:color w:val="auto"/>
          <w:sz w:val="24"/>
          <w:szCs w:val="24"/>
          <w:highlight w:val="none"/>
          <w:lang w:eastAsia="zh-CN"/>
        </w:rPr>
      </w:pPr>
      <w:r>
        <w:rPr>
          <w:rFonts w:cs="宋体"/>
          <w:color w:val="auto"/>
          <w:sz w:val="24"/>
          <w:szCs w:val="24"/>
          <w:highlight w:val="none"/>
          <w:lang w:eastAsia="zh-CN"/>
        </w:rPr>
        <w:t>《信息安全技术公钥基础设施数字证书策略分类分级规范》（GB/T31508-2015）</w:t>
      </w:r>
    </w:p>
    <w:p w14:paraId="749271FC">
      <w:pPr>
        <w:pStyle w:val="13"/>
        <w:pageBreakBefore w:val="0"/>
        <w:widowControl w:val="0"/>
        <w:kinsoku/>
        <w:wordWrap/>
        <w:overflowPunct/>
        <w:topLinePunct w:val="0"/>
        <w:autoSpaceDE/>
        <w:autoSpaceDN/>
        <w:bidi w:val="0"/>
        <w:adjustRightInd/>
        <w:spacing w:before="39"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《信息安全技术信息安全风险评估实施指南》（GB/T31509-2015）</w:t>
      </w:r>
    </w:p>
    <w:p w14:paraId="1DB2A312">
      <w:pPr>
        <w:pageBreakBefore w:val="0"/>
        <w:widowControl w:val="0"/>
        <w:kinsoku/>
        <w:wordWrap/>
        <w:overflowPunct/>
        <w:topLinePunct w:val="0"/>
        <w:autoSpaceDE/>
        <w:autoSpaceDN/>
        <w:bidi w:val="0"/>
        <w:adjustRightInd/>
        <w:spacing w:line="360" w:lineRule="auto"/>
        <w:ind w:firstLine="720" w:firstLineChars="300"/>
        <w:textAlignment w:val="auto"/>
        <w:rPr>
          <w:color w:val="auto"/>
          <w:sz w:val="24"/>
          <w:szCs w:val="24"/>
          <w:highlight w:val="none"/>
        </w:rPr>
      </w:pPr>
      <w:r>
        <w:rPr>
          <w:color w:val="auto"/>
          <w:sz w:val="24"/>
          <w:szCs w:val="24"/>
          <w:highlight w:val="none"/>
        </w:rPr>
        <w:t>《信息技术安全技术信息安全风险管理》（GB/T31722-2015）</w:t>
      </w:r>
    </w:p>
    <w:p w14:paraId="13B540CC">
      <w:pPr>
        <w:pStyle w:val="5"/>
        <w:pageBreakBefore w:val="0"/>
        <w:widowControl w:val="0"/>
        <w:numPr>
          <w:ilvl w:val="0"/>
          <w:numId w:val="0"/>
        </w:numPr>
        <w:kinsoku/>
        <w:wordWrap/>
        <w:overflowPunct/>
        <w:topLinePunct w:val="0"/>
        <w:autoSpaceDE/>
        <w:autoSpaceDN/>
        <w:bidi w:val="0"/>
        <w:adjustRightInd/>
        <w:spacing w:before="120" w:after="120" w:line="360" w:lineRule="auto"/>
        <w:ind w:firstLine="482" w:firstLineChars="200"/>
        <w:jc w:val="both"/>
        <w:textAlignment w:val="auto"/>
        <w:rPr>
          <w:rFonts w:cs="Times New Roman"/>
          <w:color w:val="auto"/>
          <w:sz w:val="24"/>
          <w:szCs w:val="24"/>
          <w:highlight w:val="none"/>
        </w:rPr>
      </w:pPr>
      <w:r>
        <w:rPr>
          <w:rFonts w:hint="eastAsia" w:cs="Times New Roman"/>
          <w:color w:val="auto"/>
          <w:sz w:val="24"/>
          <w:szCs w:val="24"/>
          <w:highlight w:val="none"/>
          <w:lang w:val="en-US" w:eastAsia="zh-CN"/>
        </w:rPr>
        <w:t>三、</w:t>
      </w:r>
      <w:r>
        <w:rPr>
          <w:rFonts w:cs="Times New Roman"/>
          <w:color w:val="auto"/>
          <w:sz w:val="24"/>
          <w:szCs w:val="24"/>
          <w:highlight w:val="none"/>
        </w:rPr>
        <w:t>工程项目标准</w:t>
      </w:r>
    </w:p>
    <w:p w14:paraId="66A6D481">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（1）设计标准</w:t>
      </w:r>
    </w:p>
    <w:p w14:paraId="04008FFB">
      <w:pPr>
        <w:pStyle w:val="13"/>
        <w:pageBreakBefore w:val="0"/>
        <w:widowControl w:val="0"/>
        <w:kinsoku/>
        <w:wordWrap/>
        <w:overflowPunct/>
        <w:topLinePunct w:val="0"/>
        <w:autoSpaceDE/>
        <w:autoSpaceDN/>
        <w:bidi w:val="0"/>
        <w:adjustRightInd/>
        <w:spacing w:before="173"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《安全防范工程建设与维护保养费用预算编制办法》（GA/T70-2014）</w:t>
      </w:r>
    </w:p>
    <w:p w14:paraId="6611988E">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《安全防范工程技术规范》(GB50348-2014)</w:t>
      </w:r>
    </w:p>
    <w:p w14:paraId="38397BCC">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《电子信息系统机房设计规范》（GB50174-2008）</w:t>
      </w:r>
    </w:p>
    <w:p w14:paraId="5A0D7341">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《视频安防监控系统工程设计规范》（GB50395-2007）</w:t>
      </w:r>
    </w:p>
    <w:p w14:paraId="08CC8AE5">
      <w:pPr>
        <w:pStyle w:val="13"/>
        <w:pageBreakBefore w:val="0"/>
        <w:widowControl w:val="0"/>
        <w:kinsoku/>
        <w:wordWrap/>
        <w:overflowPunct/>
        <w:topLinePunct w:val="0"/>
        <w:autoSpaceDE/>
        <w:autoSpaceDN/>
        <w:bidi w:val="0"/>
        <w:adjustRightInd/>
        <w:spacing w:before="173"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《出入口控制系统工程设计规范》（GB50396-2007）</w:t>
      </w:r>
    </w:p>
    <w:p w14:paraId="05D21A3B">
      <w:pPr>
        <w:pStyle w:val="13"/>
        <w:pageBreakBefore w:val="0"/>
        <w:widowControl w:val="0"/>
        <w:kinsoku/>
        <w:wordWrap/>
        <w:overflowPunct/>
        <w:topLinePunct w:val="0"/>
        <w:autoSpaceDE/>
        <w:autoSpaceDN/>
        <w:bidi w:val="0"/>
        <w:adjustRightInd/>
        <w:spacing w:before="176"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《建筑物防雷设计规范》(GB50057-2010)</w:t>
      </w:r>
    </w:p>
    <w:p w14:paraId="52DE7762">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（2）实施标准</w:t>
      </w:r>
    </w:p>
    <w:p w14:paraId="541DE629">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《安全防范系统雷电浪涌防护技术要求》（GA/T670-2006）</w:t>
      </w:r>
    </w:p>
    <w:p w14:paraId="699AF57A">
      <w:pPr>
        <w:pStyle w:val="13"/>
        <w:pageBreakBefore w:val="0"/>
        <w:widowControl w:val="0"/>
        <w:kinsoku/>
        <w:wordWrap/>
        <w:overflowPunct/>
        <w:topLinePunct w:val="0"/>
        <w:autoSpaceDE/>
        <w:autoSpaceDN/>
        <w:bidi w:val="0"/>
        <w:adjustRightInd/>
        <w:spacing w:before="173"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《建筑物电子信息系统防雷技术规范》(GB50343-2012)</w:t>
      </w:r>
    </w:p>
    <w:p w14:paraId="0678F2D6">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《城市道路施工作业交通组织规范》（GA/T900-2010）</w:t>
      </w:r>
    </w:p>
    <w:p w14:paraId="7DA59B8F">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《安全防范系统供电技术要求》（GB/T15408-2011）</w:t>
      </w:r>
    </w:p>
    <w:p w14:paraId="134AE656">
      <w:pPr>
        <w:pStyle w:val="13"/>
        <w:pageBreakBefore w:val="0"/>
        <w:widowControl w:val="0"/>
        <w:kinsoku/>
        <w:wordWrap/>
        <w:overflowPunct/>
        <w:topLinePunct w:val="0"/>
        <w:autoSpaceDE/>
        <w:autoSpaceDN/>
        <w:bidi w:val="0"/>
        <w:adjustRightInd/>
        <w:spacing w:before="176"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《安全防范工程监理规范》（GA/T1184-2014）</w:t>
      </w:r>
    </w:p>
    <w:p w14:paraId="579E6D1F">
      <w:pPr>
        <w:pStyle w:val="13"/>
        <w:pageBreakBefore w:val="0"/>
        <w:widowControl w:val="0"/>
        <w:kinsoku/>
        <w:wordWrap/>
        <w:overflowPunct/>
        <w:topLinePunct w:val="0"/>
        <w:autoSpaceDE/>
        <w:autoSpaceDN/>
        <w:bidi w:val="0"/>
        <w:adjustRightInd/>
        <w:spacing w:before="173"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《电子信息系统机房施工及验收规范》（GB50462-2008）</w:t>
      </w:r>
    </w:p>
    <w:p w14:paraId="6FD126F7">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（3）验收标准</w:t>
      </w:r>
    </w:p>
    <w:p w14:paraId="04E2AFE6">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《城市监控报警联网系统合格评定第1-3部分》（GA793.1-2008）</w:t>
      </w:r>
    </w:p>
    <w:p w14:paraId="4972C9C0">
      <w:pPr>
        <w:pStyle w:val="13"/>
        <w:pageBreakBefore w:val="0"/>
        <w:widowControl w:val="0"/>
        <w:kinsoku/>
        <w:wordWrap/>
        <w:overflowPunct/>
        <w:topLinePunct w:val="0"/>
        <w:autoSpaceDE/>
        <w:autoSpaceDN/>
        <w:bidi w:val="0"/>
        <w:adjustRightInd/>
        <w:spacing w:before="42"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《符合性能测试规范》（GB/T25724-2010）</w:t>
      </w:r>
    </w:p>
    <w:p w14:paraId="649CE613">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《综合布线工程验收规范》（GB50312-2007）</w:t>
      </w:r>
    </w:p>
    <w:p w14:paraId="0A068CE3">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《安全防范系统验收规则》（GA308-2001）</w:t>
      </w:r>
    </w:p>
    <w:p w14:paraId="51D8E332">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（4）运维标准</w:t>
      </w:r>
    </w:p>
    <w:p w14:paraId="7C46CD21">
      <w:pPr>
        <w:pStyle w:val="13"/>
        <w:pageBreakBefore w:val="0"/>
        <w:widowControl w:val="0"/>
        <w:kinsoku/>
        <w:wordWrap/>
        <w:overflowPunct/>
        <w:topLinePunct w:val="0"/>
        <w:autoSpaceDE/>
        <w:autoSpaceDN/>
        <w:bidi w:val="0"/>
        <w:adjustRightInd/>
        <w:spacing w:before="175"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《安全防范系统维护保养规范》（GA1081-2013）</w:t>
      </w:r>
    </w:p>
    <w:p w14:paraId="4DA23C10">
      <w:pPr>
        <w:pStyle w:val="13"/>
        <w:pageBreakBefore w:val="0"/>
        <w:widowControl w:val="0"/>
        <w:kinsoku/>
        <w:wordWrap/>
        <w:overflowPunct/>
        <w:topLinePunct w:val="0"/>
        <w:autoSpaceDE/>
        <w:autoSpaceDN/>
        <w:bidi w:val="0"/>
        <w:adjustRightInd/>
        <w:spacing w:before="173" w:line="360" w:lineRule="auto"/>
        <w:ind w:left="678"/>
        <w:textAlignment w:val="auto"/>
        <w:rPr>
          <w:rFonts w:cs="宋体"/>
          <w:color w:val="auto"/>
          <w:sz w:val="24"/>
          <w:szCs w:val="24"/>
          <w:highlight w:val="none"/>
          <w:lang w:eastAsia="zh-CN"/>
        </w:rPr>
      </w:pPr>
      <w:r>
        <w:rPr>
          <w:rFonts w:cs="宋体"/>
          <w:color w:val="auto"/>
          <w:sz w:val="24"/>
          <w:szCs w:val="24"/>
          <w:highlight w:val="none"/>
          <w:lang w:eastAsia="zh-CN"/>
        </w:rPr>
        <w:t>《信息技术服务运行维护第1-3部分》（GB/T28827.1-2012）</w:t>
      </w:r>
    </w:p>
    <w:p w14:paraId="4642C3F1">
      <w:pPr>
        <w:pStyle w:val="13"/>
        <w:pageBreakBefore w:val="0"/>
        <w:widowControl w:val="0"/>
        <w:kinsoku/>
        <w:wordWrap/>
        <w:overflowPunct/>
        <w:topLinePunct w:val="0"/>
        <w:autoSpaceDE/>
        <w:autoSpaceDN/>
        <w:bidi w:val="0"/>
        <w:adjustRightInd/>
        <w:spacing w:before="26" w:line="360" w:lineRule="auto"/>
        <w:ind w:left="0" w:firstLine="709"/>
        <w:textAlignment w:val="auto"/>
        <w:rPr>
          <w:rFonts w:ascii="仿宋" w:hAnsi="仿宋" w:eastAsia="仿宋" w:cs="仿宋"/>
          <w:color w:val="auto"/>
          <w:sz w:val="24"/>
          <w:szCs w:val="24"/>
          <w:highlight w:val="none"/>
          <w:lang w:eastAsia="zh-CN"/>
        </w:rPr>
      </w:pPr>
      <w:r>
        <w:rPr>
          <w:color w:val="auto"/>
          <w:sz w:val="24"/>
          <w:szCs w:val="24"/>
          <w:highlight w:val="none"/>
          <w:lang w:eastAsia="zh-CN"/>
        </w:rPr>
        <w:t>《信息安全技术灾难恢复中心建设与运维管理规范</w:t>
      </w:r>
      <w:r>
        <w:rPr>
          <w:color w:val="auto"/>
          <w:spacing w:val="-120"/>
          <w:sz w:val="24"/>
          <w:szCs w:val="24"/>
          <w:highlight w:val="none"/>
          <w:lang w:eastAsia="zh-CN"/>
        </w:rPr>
        <w:t>》</w:t>
      </w:r>
      <w:r>
        <w:rPr>
          <w:color w:val="auto"/>
          <w:sz w:val="24"/>
          <w:szCs w:val="24"/>
          <w:highlight w:val="none"/>
          <w:lang w:eastAsia="zh-CN"/>
        </w:rPr>
        <w:t>（</w:t>
      </w:r>
      <w:r>
        <w:rPr>
          <w:rFonts w:cs="宋体"/>
          <w:color w:val="auto"/>
          <w:sz w:val="24"/>
          <w:szCs w:val="24"/>
          <w:highlight w:val="none"/>
          <w:lang w:eastAsia="zh-CN"/>
        </w:rPr>
        <w:t>GB/T30285-2013</w:t>
      </w:r>
      <w:r>
        <w:rPr>
          <w:rFonts w:hint="eastAsia" w:ascii="仿宋" w:hAnsi="仿宋" w:eastAsia="仿宋" w:cs="仿宋"/>
          <w:color w:val="auto"/>
          <w:sz w:val="24"/>
          <w:szCs w:val="24"/>
          <w:highlight w:val="none"/>
          <w:lang w:eastAsia="zh-CN"/>
        </w:rPr>
        <w:t>）</w:t>
      </w:r>
    </w:p>
    <w:p w14:paraId="122DA760">
      <w:pPr>
        <w:numPr>
          <w:ilvl w:val="0"/>
          <w:numId w:val="0"/>
        </w:numPr>
        <w:spacing w:line="288" w:lineRule="auto"/>
        <w:ind w:firstLine="562" w:firstLineChars="200"/>
        <w:jc w:val="both"/>
        <w:outlineLvl w:val="0"/>
        <w:rPr>
          <w:rFonts w:hint="eastAsia" w:ascii="黑体" w:hAnsi="黑体" w:eastAsia="宋体" w:cs="Times New Roman"/>
          <w:b/>
          <w:bCs/>
          <w:color w:val="auto"/>
          <w:kern w:val="2"/>
          <w:sz w:val="28"/>
          <w:szCs w:val="28"/>
          <w:highlight w:val="none"/>
          <w:lang w:val="en-US" w:eastAsia="zh-CN" w:bidi="ar-SA"/>
        </w:rPr>
      </w:pPr>
      <w:r>
        <w:rPr>
          <w:rFonts w:hint="eastAsia" w:ascii="黑体" w:hAnsi="黑体" w:cs="Times New Roman"/>
          <w:b/>
          <w:bCs/>
          <w:color w:val="auto"/>
          <w:kern w:val="2"/>
          <w:sz w:val="28"/>
          <w:szCs w:val="28"/>
          <w:highlight w:val="none"/>
          <w:lang w:val="en-US" w:eastAsia="zh-CN" w:bidi="ar-SA"/>
        </w:rPr>
        <w:t>四</w:t>
      </w:r>
      <w:r>
        <w:rPr>
          <w:rFonts w:hint="eastAsia" w:ascii="黑体" w:hAnsi="黑体" w:eastAsia="宋体" w:cs="Times New Roman"/>
          <w:b/>
          <w:bCs/>
          <w:color w:val="auto"/>
          <w:kern w:val="2"/>
          <w:sz w:val="28"/>
          <w:szCs w:val="28"/>
          <w:highlight w:val="none"/>
          <w:lang w:val="en-US" w:eastAsia="zh-CN" w:bidi="ar-SA"/>
        </w:rPr>
        <w:t>、商务要求</w:t>
      </w:r>
    </w:p>
    <w:tbl>
      <w:tblPr>
        <w:tblStyle w:val="27"/>
        <w:tblW w:w="485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15"/>
        <w:gridCol w:w="1825"/>
        <w:gridCol w:w="6921"/>
      </w:tblGrid>
      <w:tr w14:paraId="19E30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6" w:hRule="atLeast"/>
          <w:jc w:val="center"/>
        </w:trPr>
        <w:tc>
          <w:tcPr>
            <w:tcW w:w="426" w:type="pct"/>
            <w:tcBorders>
              <w:tl2br w:val="nil"/>
              <w:tr2bl w:val="nil"/>
            </w:tcBorders>
            <w:noWrap w:val="0"/>
            <w:vAlign w:val="center"/>
          </w:tcPr>
          <w:p w14:paraId="1C550871">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b/>
                <w:bCs/>
                <w:color w:val="auto"/>
                <w:sz w:val="24"/>
                <w:szCs w:val="24"/>
                <w:highlight w:val="none"/>
                <w:u w:val="none"/>
                <w:lang w:bidi="ar"/>
              </w:rPr>
            </w:pPr>
            <w:r>
              <w:rPr>
                <w:rFonts w:hint="eastAsia" w:ascii="宋体" w:hAnsi="宋体" w:eastAsia="宋体" w:cs="宋体"/>
                <w:b/>
                <w:bCs/>
                <w:color w:val="auto"/>
                <w:sz w:val="24"/>
                <w:szCs w:val="24"/>
                <w:highlight w:val="none"/>
                <w:u w:val="none"/>
                <w:lang w:bidi="ar"/>
              </w:rPr>
              <w:t>序号</w:t>
            </w:r>
          </w:p>
        </w:tc>
        <w:tc>
          <w:tcPr>
            <w:tcW w:w="954" w:type="pct"/>
            <w:tcBorders>
              <w:tl2br w:val="nil"/>
              <w:tr2bl w:val="nil"/>
            </w:tcBorders>
            <w:noWrap w:val="0"/>
            <w:vAlign w:val="center"/>
          </w:tcPr>
          <w:p w14:paraId="147DCB4A">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b/>
                <w:bCs/>
                <w:color w:val="auto"/>
                <w:sz w:val="24"/>
                <w:szCs w:val="24"/>
                <w:highlight w:val="none"/>
                <w:u w:val="none"/>
                <w:lang w:bidi="ar"/>
              </w:rPr>
            </w:pPr>
            <w:r>
              <w:rPr>
                <w:rFonts w:hint="eastAsia" w:ascii="宋体" w:hAnsi="宋体" w:eastAsia="宋体" w:cs="宋体"/>
                <w:b/>
                <w:bCs/>
                <w:color w:val="auto"/>
                <w:sz w:val="24"/>
                <w:szCs w:val="24"/>
                <w:highlight w:val="none"/>
                <w:u w:val="none"/>
                <w:lang w:bidi="ar"/>
              </w:rPr>
              <w:t>项目</w:t>
            </w:r>
          </w:p>
        </w:tc>
        <w:tc>
          <w:tcPr>
            <w:tcW w:w="3618" w:type="pct"/>
            <w:tcBorders>
              <w:tl2br w:val="nil"/>
              <w:tr2bl w:val="nil"/>
            </w:tcBorders>
            <w:noWrap w:val="0"/>
            <w:vAlign w:val="center"/>
          </w:tcPr>
          <w:p w14:paraId="4C136367">
            <w:pPr>
              <w:widowControl/>
              <w:adjustRightInd w:val="0"/>
              <w:snapToGrid w:val="0"/>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none"/>
                <w:lang w:bidi="ar"/>
              </w:rPr>
              <w:t>要求</w:t>
            </w:r>
          </w:p>
        </w:tc>
      </w:tr>
      <w:tr w14:paraId="2180E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1" w:hRule="atLeast"/>
          <w:jc w:val="center"/>
        </w:trPr>
        <w:tc>
          <w:tcPr>
            <w:tcW w:w="426" w:type="pct"/>
            <w:tcBorders>
              <w:tl2br w:val="nil"/>
              <w:tr2bl w:val="nil"/>
            </w:tcBorders>
            <w:noWrap w:val="0"/>
            <w:vAlign w:val="center"/>
          </w:tcPr>
          <w:p w14:paraId="0C619E50">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954" w:type="pct"/>
            <w:tcBorders>
              <w:tl2br w:val="nil"/>
              <w:tr2bl w:val="nil"/>
            </w:tcBorders>
            <w:noWrap w:val="0"/>
            <w:vAlign w:val="center"/>
          </w:tcPr>
          <w:p w14:paraId="1DD24D95">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bidi="ar"/>
              </w:rPr>
              <w:t>建设工期要求</w:t>
            </w:r>
          </w:p>
        </w:tc>
        <w:tc>
          <w:tcPr>
            <w:tcW w:w="3618" w:type="pct"/>
            <w:tcBorders>
              <w:tl2br w:val="nil"/>
              <w:tr2bl w:val="nil"/>
            </w:tcBorders>
            <w:noWrap w:val="0"/>
            <w:vAlign w:val="center"/>
          </w:tcPr>
          <w:p w14:paraId="49F1556F">
            <w:pPr>
              <w:keepNext w:val="0"/>
              <w:keepLines w:val="0"/>
              <w:pageBreakBefore w:val="0"/>
              <w:widowControl/>
              <w:kinsoku/>
              <w:wordWrap/>
              <w:overflowPunct/>
              <w:topLinePunct w:val="0"/>
              <w:autoSpaceDE/>
              <w:autoSpaceDN/>
              <w:bidi w:val="0"/>
              <w:adjustRightInd w:val="0"/>
              <w:snapToGrid w:val="0"/>
              <w:spacing w:line="42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bidi="ar"/>
              </w:rPr>
              <w:t>合同签订后</w:t>
            </w:r>
            <w:r>
              <w:rPr>
                <w:rFonts w:hint="eastAsia" w:ascii="宋体" w:hAnsi="宋体" w:cs="宋体"/>
                <w:color w:val="auto"/>
                <w:sz w:val="24"/>
                <w:szCs w:val="24"/>
                <w:highlight w:val="none"/>
                <w:u w:val="none"/>
                <w:lang w:val="en-US" w:eastAsia="zh-CN" w:bidi="ar"/>
              </w:rPr>
              <w:t>6个月</w:t>
            </w:r>
            <w:r>
              <w:rPr>
                <w:rFonts w:hint="eastAsia" w:ascii="宋体" w:hAnsi="宋体" w:eastAsia="宋体" w:cs="宋体"/>
                <w:color w:val="auto"/>
                <w:sz w:val="24"/>
                <w:szCs w:val="24"/>
                <w:highlight w:val="none"/>
                <w:u w:val="none"/>
                <w:lang w:bidi="ar"/>
              </w:rPr>
              <w:t>内完成本项目建设工作。</w:t>
            </w:r>
          </w:p>
        </w:tc>
      </w:tr>
      <w:tr w14:paraId="51CFF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1" w:hRule="atLeast"/>
          <w:jc w:val="center"/>
        </w:trPr>
        <w:tc>
          <w:tcPr>
            <w:tcW w:w="426" w:type="pct"/>
            <w:tcBorders>
              <w:tl2br w:val="nil"/>
              <w:tr2bl w:val="nil"/>
            </w:tcBorders>
            <w:noWrap w:val="0"/>
            <w:vAlign w:val="center"/>
          </w:tcPr>
          <w:p w14:paraId="25EB99F5">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954" w:type="pct"/>
            <w:tcBorders>
              <w:tl2br w:val="nil"/>
              <w:tr2bl w:val="nil"/>
            </w:tcBorders>
            <w:noWrap w:val="0"/>
            <w:vAlign w:val="center"/>
          </w:tcPr>
          <w:p w14:paraId="47E8D5E7">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eastAsia="zh-CN" w:bidi="ar"/>
              </w:rPr>
              <w:t>租赁</w:t>
            </w:r>
            <w:r>
              <w:rPr>
                <w:rFonts w:hint="eastAsia" w:ascii="宋体" w:hAnsi="宋体" w:eastAsia="宋体" w:cs="宋体"/>
                <w:color w:val="auto"/>
                <w:sz w:val="24"/>
                <w:szCs w:val="24"/>
                <w:highlight w:val="none"/>
                <w:u w:val="none"/>
                <w:lang w:bidi="ar"/>
              </w:rPr>
              <w:t>期</w:t>
            </w:r>
          </w:p>
        </w:tc>
        <w:tc>
          <w:tcPr>
            <w:tcW w:w="3618" w:type="pct"/>
            <w:tcBorders>
              <w:tl2br w:val="nil"/>
              <w:tr2bl w:val="nil"/>
            </w:tcBorders>
            <w:noWrap w:val="0"/>
            <w:vAlign w:val="center"/>
          </w:tcPr>
          <w:p w14:paraId="1A638790">
            <w:pPr>
              <w:keepNext w:val="0"/>
              <w:keepLines w:val="0"/>
              <w:pageBreakBefore w:val="0"/>
              <w:widowControl/>
              <w:kinsoku/>
              <w:wordWrap/>
              <w:overflowPunct/>
              <w:topLinePunct w:val="0"/>
              <w:autoSpaceDE/>
              <w:autoSpaceDN/>
              <w:bidi w:val="0"/>
              <w:adjustRightInd w:val="0"/>
              <w:snapToGrid w:val="0"/>
              <w:spacing w:line="42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bidi="ar"/>
              </w:rPr>
              <w:t>自合同签订之日起</w:t>
            </w:r>
            <w:r>
              <w:rPr>
                <w:rFonts w:hint="eastAsia" w:ascii="宋体" w:hAnsi="宋体" w:cs="宋体"/>
                <w:color w:val="auto"/>
                <w:sz w:val="24"/>
                <w:szCs w:val="24"/>
                <w:highlight w:val="none"/>
                <w:u w:val="none"/>
                <w:lang w:val="en-US" w:eastAsia="zh-CN" w:bidi="ar"/>
              </w:rPr>
              <w:t>6</w:t>
            </w:r>
            <w:r>
              <w:rPr>
                <w:rFonts w:hint="eastAsia" w:ascii="宋体" w:hAnsi="宋体" w:eastAsia="宋体" w:cs="宋体"/>
                <w:color w:val="auto"/>
                <w:sz w:val="24"/>
                <w:szCs w:val="24"/>
                <w:highlight w:val="none"/>
                <w:u w:val="none"/>
                <w:lang w:bidi="ar"/>
              </w:rPr>
              <w:t>年</w:t>
            </w:r>
          </w:p>
        </w:tc>
      </w:tr>
      <w:tr w14:paraId="283D1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1" w:hRule="atLeast"/>
          <w:jc w:val="center"/>
        </w:trPr>
        <w:tc>
          <w:tcPr>
            <w:tcW w:w="426" w:type="pct"/>
            <w:tcBorders>
              <w:tl2br w:val="nil"/>
              <w:tr2bl w:val="nil"/>
            </w:tcBorders>
            <w:noWrap w:val="0"/>
            <w:vAlign w:val="center"/>
          </w:tcPr>
          <w:p w14:paraId="3E7A519D">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954" w:type="pct"/>
            <w:tcBorders>
              <w:tl2br w:val="nil"/>
              <w:tr2bl w:val="nil"/>
            </w:tcBorders>
            <w:noWrap w:val="0"/>
            <w:vAlign w:val="center"/>
          </w:tcPr>
          <w:p w14:paraId="413BBEA1">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bidi="ar"/>
              </w:rPr>
              <w:t>服务地点</w:t>
            </w:r>
          </w:p>
        </w:tc>
        <w:tc>
          <w:tcPr>
            <w:tcW w:w="3618" w:type="pct"/>
            <w:tcBorders>
              <w:tl2br w:val="nil"/>
              <w:tr2bl w:val="nil"/>
            </w:tcBorders>
            <w:noWrap w:val="0"/>
            <w:vAlign w:val="center"/>
          </w:tcPr>
          <w:p w14:paraId="1E87FE73">
            <w:pPr>
              <w:keepNext w:val="0"/>
              <w:keepLines w:val="0"/>
              <w:pageBreakBefore w:val="0"/>
              <w:widowControl/>
              <w:kinsoku/>
              <w:wordWrap/>
              <w:overflowPunct/>
              <w:topLinePunct w:val="0"/>
              <w:autoSpaceDE/>
              <w:autoSpaceDN/>
              <w:bidi w:val="0"/>
              <w:adjustRightInd w:val="0"/>
              <w:snapToGrid w:val="0"/>
              <w:spacing w:line="420" w:lineRule="exact"/>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衢州市</w:t>
            </w:r>
          </w:p>
        </w:tc>
      </w:tr>
      <w:tr w14:paraId="607E0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0" w:hRule="atLeast"/>
          <w:jc w:val="center"/>
        </w:trPr>
        <w:tc>
          <w:tcPr>
            <w:tcW w:w="426" w:type="pct"/>
            <w:tcBorders>
              <w:tl2br w:val="nil"/>
              <w:tr2bl w:val="nil"/>
            </w:tcBorders>
            <w:noWrap w:val="0"/>
            <w:vAlign w:val="center"/>
          </w:tcPr>
          <w:p w14:paraId="04F72645">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954" w:type="pct"/>
            <w:tcBorders>
              <w:tl2br w:val="nil"/>
              <w:tr2bl w:val="nil"/>
            </w:tcBorders>
            <w:noWrap w:val="0"/>
            <w:vAlign w:val="center"/>
          </w:tcPr>
          <w:p w14:paraId="7DC9FB40">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bidi="ar"/>
              </w:rPr>
              <w:t>质量标准</w:t>
            </w:r>
          </w:p>
        </w:tc>
        <w:tc>
          <w:tcPr>
            <w:tcW w:w="3618" w:type="pct"/>
            <w:tcBorders>
              <w:tl2br w:val="nil"/>
              <w:tr2bl w:val="nil"/>
            </w:tcBorders>
            <w:noWrap w:val="0"/>
            <w:vAlign w:val="center"/>
          </w:tcPr>
          <w:p w14:paraId="36A41E11">
            <w:pPr>
              <w:keepNext w:val="0"/>
              <w:keepLines w:val="0"/>
              <w:pageBreakBefore w:val="0"/>
              <w:widowControl/>
              <w:kinsoku/>
              <w:wordWrap/>
              <w:overflowPunct/>
              <w:topLinePunct w:val="0"/>
              <w:autoSpaceDE/>
              <w:autoSpaceDN/>
              <w:bidi w:val="0"/>
              <w:adjustRightInd w:val="0"/>
              <w:snapToGrid w:val="0"/>
              <w:spacing w:line="42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bidi="ar"/>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满足招标需求的规定。</w:t>
            </w:r>
          </w:p>
        </w:tc>
      </w:tr>
      <w:tr w14:paraId="06A89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1" w:hRule="atLeast"/>
          <w:jc w:val="center"/>
        </w:trPr>
        <w:tc>
          <w:tcPr>
            <w:tcW w:w="426" w:type="pct"/>
            <w:tcBorders>
              <w:tl2br w:val="nil"/>
              <w:tr2bl w:val="nil"/>
            </w:tcBorders>
            <w:noWrap w:val="0"/>
            <w:vAlign w:val="center"/>
          </w:tcPr>
          <w:p w14:paraId="58A5DEE7">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954" w:type="pct"/>
            <w:tcBorders>
              <w:tl2br w:val="nil"/>
              <w:tr2bl w:val="nil"/>
            </w:tcBorders>
            <w:noWrap w:val="0"/>
            <w:vAlign w:val="center"/>
          </w:tcPr>
          <w:p w14:paraId="28414017">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验收</w:t>
            </w:r>
          </w:p>
        </w:tc>
        <w:tc>
          <w:tcPr>
            <w:tcW w:w="3618" w:type="pct"/>
            <w:tcBorders>
              <w:tl2br w:val="nil"/>
              <w:tr2bl w:val="nil"/>
            </w:tcBorders>
            <w:noWrap w:val="0"/>
            <w:vAlign w:val="center"/>
          </w:tcPr>
          <w:p w14:paraId="4FF925F5">
            <w:pPr>
              <w:keepNext w:val="0"/>
              <w:keepLines w:val="0"/>
              <w:pageBreakBefore w:val="0"/>
              <w:widowControl/>
              <w:kinsoku/>
              <w:wordWrap/>
              <w:overflowPunct/>
              <w:topLinePunct w:val="0"/>
              <w:autoSpaceDE/>
              <w:autoSpaceDN/>
              <w:bidi w:val="0"/>
              <w:adjustRightInd w:val="0"/>
              <w:snapToGrid w:val="0"/>
              <w:spacing w:line="42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bidi="ar"/>
              </w:rPr>
              <w:t>按照招标文件要求、中标供应商的投标文件（承诺）及签订的合同约定进行验收。</w:t>
            </w:r>
          </w:p>
        </w:tc>
      </w:tr>
      <w:tr w14:paraId="52F38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6" w:hRule="atLeast"/>
          <w:jc w:val="center"/>
        </w:trPr>
        <w:tc>
          <w:tcPr>
            <w:tcW w:w="426" w:type="pct"/>
            <w:tcBorders>
              <w:tl2br w:val="nil"/>
              <w:tr2bl w:val="nil"/>
            </w:tcBorders>
            <w:noWrap w:val="0"/>
            <w:vAlign w:val="center"/>
          </w:tcPr>
          <w:p w14:paraId="26D70E11">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954" w:type="pct"/>
            <w:tcBorders>
              <w:tl2br w:val="nil"/>
              <w:tr2bl w:val="nil"/>
            </w:tcBorders>
            <w:noWrap w:val="0"/>
            <w:vAlign w:val="center"/>
          </w:tcPr>
          <w:p w14:paraId="38F26A32">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签订合同时间</w:t>
            </w:r>
          </w:p>
        </w:tc>
        <w:tc>
          <w:tcPr>
            <w:tcW w:w="3618" w:type="pct"/>
            <w:tcBorders>
              <w:tl2br w:val="nil"/>
              <w:tr2bl w:val="nil"/>
            </w:tcBorders>
            <w:noWrap w:val="0"/>
            <w:vAlign w:val="center"/>
          </w:tcPr>
          <w:p w14:paraId="5FD36B25">
            <w:pPr>
              <w:keepNext w:val="0"/>
              <w:keepLines w:val="0"/>
              <w:pageBreakBefore w:val="0"/>
              <w:widowControl/>
              <w:kinsoku/>
              <w:wordWrap/>
              <w:overflowPunct/>
              <w:topLinePunct w:val="0"/>
              <w:autoSpaceDE/>
              <w:autoSpaceDN/>
              <w:bidi w:val="0"/>
              <w:adjustRightInd w:val="0"/>
              <w:snapToGrid w:val="0"/>
              <w:spacing w:line="42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bidi="ar"/>
              </w:rPr>
              <w:t>中标通知书发出之日起30日内签订合同，具体签约时间以招标人通知为准。</w:t>
            </w:r>
          </w:p>
        </w:tc>
      </w:tr>
      <w:tr w14:paraId="02961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6" w:hRule="atLeast"/>
          <w:jc w:val="center"/>
        </w:trPr>
        <w:tc>
          <w:tcPr>
            <w:tcW w:w="426" w:type="pct"/>
            <w:tcBorders>
              <w:tl2br w:val="nil"/>
              <w:tr2bl w:val="nil"/>
            </w:tcBorders>
            <w:noWrap w:val="0"/>
            <w:vAlign w:val="center"/>
          </w:tcPr>
          <w:p w14:paraId="5728B205">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7</w:t>
            </w:r>
          </w:p>
        </w:tc>
        <w:tc>
          <w:tcPr>
            <w:tcW w:w="954" w:type="pct"/>
            <w:tcBorders>
              <w:tl2br w:val="nil"/>
              <w:tr2bl w:val="nil"/>
            </w:tcBorders>
            <w:noWrap w:val="0"/>
            <w:vAlign w:val="center"/>
          </w:tcPr>
          <w:p w14:paraId="5FA8D299">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售后服务要求</w:t>
            </w:r>
          </w:p>
        </w:tc>
        <w:tc>
          <w:tcPr>
            <w:tcW w:w="3618" w:type="pct"/>
            <w:tcBorders>
              <w:tl2br w:val="nil"/>
              <w:tr2bl w:val="nil"/>
            </w:tcBorders>
            <w:noWrap w:val="0"/>
            <w:vAlign w:val="center"/>
          </w:tcPr>
          <w:p w14:paraId="78524798">
            <w:pPr>
              <w:keepNext w:val="0"/>
              <w:keepLines w:val="0"/>
              <w:pageBreakBefore w:val="0"/>
              <w:widowControl/>
              <w:kinsoku/>
              <w:wordWrap/>
              <w:overflowPunct/>
              <w:topLinePunct w:val="0"/>
              <w:autoSpaceDE/>
              <w:autoSpaceDN/>
              <w:bidi w:val="0"/>
              <w:adjustRightInd w:val="0"/>
              <w:snapToGrid w:val="0"/>
              <w:spacing w:line="42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bidi="ar"/>
              </w:rPr>
              <w:t>中标供应商必须为本项目范围内的成果提供相应的售后服务。</w:t>
            </w:r>
          </w:p>
        </w:tc>
      </w:tr>
      <w:tr w14:paraId="3DB08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6" w:hRule="atLeast"/>
          <w:jc w:val="center"/>
        </w:trPr>
        <w:tc>
          <w:tcPr>
            <w:tcW w:w="426" w:type="pct"/>
            <w:tcBorders>
              <w:tl2br w:val="nil"/>
              <w:tr2bl w:val="nil"/>
            </w:tcBorders>
            <w:noWrap w:val="0"/>
            <w:vAlign w:val="center"/>
          </w:tcPr>
          <w:p w14:paraId="14DBCDA9">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8</w:t>
            </w:r>
          </w:p>
        </w:tc>
        <w:tc>
          <w:tcPr>
            <w:tcW w:w="954" w:type="pct"/>
            <w:tcBorders>
              <w:tl2br w:val="nil"/>
              <w:tr2bl w:val="nil"/>
            </w:tcBorders>
            <w:noWrap w:val="0"/>
            <w:vAlign w:val="center"/>
          </w:tcPr>
          <w:p w14:paraId="63FD4314">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其他</w:t>
            </w:r>
          </w:p>
        </w:tc>
        <w:tc>
          <w:tcPr>
            <w:tcW w:w="3618" w:type="pct"/>
            <w:tcBorders>
              <w:tl2br w:val="nil"/>
              <w:tr2bl w:val="nil"/>
            </w:tcBorders>
            <w:noWrap w:val="0"/>
            <w:vAlign w:val="center"/>
          </w:tcPr>
          <w:p w14:paraId="4B22716D">
            <w:pPr>
              <w:keepNext w:val="0"/>
              <w:keepLines w:val="0"/>
              <w:pageBreakBefore w:val="0"/>
              <w:widowControl/>
              <w:kinsoku/>
              <w:wordWrap/>
              <w:overflowPunct/>
              <w:topLinePunct w:val="0"/>
              <w:autoSpaceDE/>
              <w:autoSpaceDN/>
              <w:bidi w:val="0"/>
              <w:adjustRightInd w:val="0"/>
              <w:snapToGrid w:val="0"/>
              <w:spacing w:line="42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CFBAB6D">
      <w:pPr>
        <w:numPr>
          <w:ilvl w:val="0"/>
          <w:numId w:val="0"/>
        </w:numPr>
        <w:spacing w:line="288" w:lineRule="auto"/>
        <w:ind w:firstLine="562" w:firstLineChars="200"/>
        <w:jc w:val="both"/>
        <w:outlineLvl w:val="0"/>
        <w:rPr>
          <w:rFonts w:hint="eastAsia" w:ascii="黑体" w:hAnsi="黑体" w:cs="Times New Roman"/>
          <w:b/>
          <w:bCs/>
          <w:color w:val="FF0000"/>
          <w:kern w:val="2"/>
          <w:sz w:val="28"/>
          <w:szCs w:val="28"/>
          <w:highlight w:val="none"/>
          <w:lang w:val="en-US" w:eastAsia="zh-CN" w:bidi="ar-SA"/>
        </w:rPr>
      </w:pPr>
      <w:r>
        <w:rPr>
          <w:rFonts w:hint="eastAsia" w:ascii="黑体" w:hAnsi="黑体" w:cs="Times New Roman"/>
          <w:b/>
          <w:bCs/>
          <w:color w:val="FF0000"/>
          <w:kern w:val="2"/>
          <w:sz w:val="28"/>
          <w:szCs w:val="28"/>
          <w:highlight w:val="none"/>
          <w:lang w:val="en-US" w:eastAsia="zh-CN" w:bidi="ar-SA"/>
        </w:rPr>
        <w:t>五</w:t>
      </w:r>
      <w:r>
        <w:rPr>
          <w:rFonts w:hint="eastAsia" w:ascii="黑体" w:hAnsi="黑体" w:eastAsia="宋体" w:cs="Times New Roman"/>
          <w:b/>
          <w:bCs/>
          <w:color w:val="FF0000"/>
          <w:kern w:val="2"/>
          <w:sz w:val="28"/>
          <w:szCs w:val="28"/>
          <w:highlight w:val="none"/>
          <w:lang w:val="en-US" w:eastAsia="zh-CN" w:bidi="ar-SA"/>
        </w:rPr>
        <w:t>、</w:t>
      </w:r>
      <w:r>
        <w:rPr>
          <w:rFonts w:hint="eastAsia" w:ascii="黑体" w:hAnsi="黑体" w:cs="Times New Roman"/>
          <w:b/>
          <w:bCs/>
          <w:color w:val="FF0000"/>
          <w:kern w:val="2"/>
          <w:sz w:val="28"/>
          <w:szCs w:val="28"/>
          <w:highlight w:val="none"/>
          <w:lang w:val="en-US" w:eastAsia="zh-CN" w:bidi="ar-SA"/>
        </w:rPr>
        <w:t>特别说明：</w:t>
      </w:r>
    </w:p>
    <w:p w14:paraId="1EC72DD2">
      <w:pPr>
        <w:numPr>
          <w:ilvl w:val="0"/>
          <w:numId w:val="0"/>
        </w:numPr>
        <w:spacing w:line="288" w:lineRule="auto"/>
        <w:ind w:firstLine="562" w:firstLineChars="200"/>
        <w:jc w:val="both"/>
        <w:outlineLvl w:val="0"/>
        <w:rPr>
          <w:rFonts w:hint="eastAsia" w:ascii="宋体" w:hAnsi="宋体" w:cs="宋体"/>
          <w:b/>
          <w:color w:val="auto"/>
          <w:sz w:val="32"/>
          <w:szCs w:val="32"/>
          <w:highlight w:val="none"/>
        </w:rPr>
      </w:pPr>
      <w:r>
        <w:rPr>
          <w:rFonts w:hint="eastAsia" w:ascii="黑体" w:hAnsi="黑体" w:cs="Times New Roman"/>
          <w:b/>
          <w:bCs/>
          <w:color w:val="FF0000"/>
          <w:kern w:val="2"/>
          <w:sz w:val="28"/>
          <w:szCs w:val="28"/>
          <w:highlight w:val="none"/>
          <w:lang w:val="en-US" w:eastAsia="zh-CN" w:bidi="ar-SA"/>
        </w:rPr>
        <w:t>本项目中标人须于   年   月  日前完成不低于   路系统上线。</w:t>
      </w:r>
      <w:r>
        <w:rPr>
          <w:rFonts w:ascii="黑体" w:hAnsi="黑体" w:eastAsia="宋体" w:cs="Times New Roman"/>
          <w:b/>
          <w:bCs/>
          <w:kern w:val="2"/>
          <w:sz w:val="32"/>
          <w:szCs w:val="32"/>
          <w:highlight w:val="none"/>
          <w:lang w:val="en-US" w:eastAsia="zh-CN" w:bidi="ar-SA"/>
        </w:rPr>
        <w:br w:type="page"/>
      </w:r>
      <w:r>
        <w:rPr>
          <w:rFonts w:hint="eastAsia" w:ascii="宋体" w:cs="宋体"/>
          <w:b/>
          <w:bCs/>
          <w:color w:val="auto"/>
          <w:sz w:val="28"/>
          <w:szCs w:val="28"/>
          <w:highlight w:val="none"/>
          <w:lang w:val="en-US" w:eastAsia="zh-CN"/>
        </w:rPr>
        <w:t xml:space="preserve">                   </w:t>
      </w:r>
      <w:r>
        <w:rPr>
          <w:rFonts w:hint="eastAsia" w:ascii="宋体" w:hAnsi="宋体" w:cs="宋体"/>
          <w:b/>
          <w:color w:val="auto"/>
          <w:sz w:val="32"/>
          <w:szCs w:val="32"/>
          <w:highlight w:val="none"/>
        </w:rPr>
        <w:t>第四章  合同主要条款</w:t>
      </w:r>
    </w:p>
    <w:p w14:paraId="2125C8B8">
      <w:pPr>
        <w:spacing w:line="480" w:lineRule="auto"/>
        <w:ind w:firstLine="482" w:firstLineChars="200"/>
        <w:jc w:val="center"/>
        <w:rPr>
          <w:rFonts w:hint="eastAsia" w:ascii="宋体" w:hAnsi="宋体" w:eastAsia="宋体" w:cs="宋体"/>
          <w:b/>
          <w:color w:val="auto"/>
          <w:sz w:val="24"/>
          <w:szCs w:val="24"/>
          <w:highlight w:val="none"/>
        </w:rPr>
      </w:pPr>
    </w:p>
    <w:p w14:paraId="5A227664">
      <w:pPr>
        <w:pStyle w:val="13"/>
        <w:rPr>
          <w:rFonts w:hint="eastAsia" w:ascii="宋体" w:hAnsi="宋体" w:eastAsia="宋体" w:cs="宋体"/>
          <w:b/>
          <w:color w:val="auto"/>
          <w:sz w:val="24"/>
          <w:szCs w:val="24"/>
          <w:highlight w:val="none"/>
        </w:rPr>
      </w:pPr>
    </w:p>
    <w:p w14:paraId="49E26664">
      <w:pPr>
        <w:pStyle w:val="2"/>
        <w:rPr>
          <w:rFonts w:hint="eastAsia" w:ascii="宋体" w:hAnsi="宋体" w:eastAsia="宋体" w:cs="宋体"/>
          <w:b/>
          <w:color w:val="auto"/>
          <w:sz w:val="24"/>
          <w:szCs w:val="24"/>
          <w:highlight w:val="none"/>
        </w:rPr>
      </w:pPr>
    </w:p>
    <w:p w14:paraId="7BE9B98D">
      <w:pPr>
        <w:rPr>
          <w:rFonts w:hint="eastAsia" w:ascii="宋体" w:hAnsi="宋体" w:eastAsia="宋体" w:cs="宋体"/>
          <w:b/>
          <w:color w:val="auto"/>
          <w:sz w:val="24"/>
          <w:szCs w:val="24"/>
          <w:highlight w:val="none"/>
        </w:rPr>
      </w:pPr>
    </w:p>
    <w:p w14:paraId="5F50141E">
      <w:pPr>
        <w:pStyle w:val="13"/>
        <w:rPr>
          <w:rFonts w:hint="eastAsia"/>
          <w:color w:val="auto"/>
          <w:highlight w:val="none"/>
        </w:rPr>
      </w:pPr>
    </w:p>
    <w:p w14:paraId="1B75A583">
      <w:pPr>
        <w:pStyle w:val="2"/>
        <w:rPr>
          <w:rFonts w:hint="eastAsia"/>
          <w:color w:val="auto"/>
          <w:highlight w:val="none"/>
        </w:rPr>
      </w:pPr>
    </w:p>
    <w:p w14:paraId="156045EA">
      <w:pPr>
        <w:spacing w:before="120" w:line="22" w:lineRule="atLeast"/>
        <w:ind w:firstLine="480" w:firstLineChars="200"/>
        <w:rPr>
          <w:rFonts w:hint="eastAsia" w:ascii="宋体" w:hAnsi="宋体" w:eastAsia="宋体" w:cs="宋体"/>
          <w:color w:val="auto"/>
          <w:sz w:val="24"/>
          <w:szCs w:val="24"/>
          <w:highlight w:val="none"/>
        </w:rPr>
      </w:pPr>
    </w:p>
    <w:p w14:paraId="7DCFB111">
      <w:pPr>
        <w:spacing w:before="120" w:line="22" w:lineRule="atLeast"/>
        <w:ind w:left="0" w:leftChars="0"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柯城区城区区域安防设备补盲一期租赁服务项目</w:t>
      </w:r>
      <w:r>
        <w:rPr>
          <w:rFonts w:hint="eastAsia" w:ascii="宋体" w:hAnsi="宋体" w:eastAsia="宋体" w:cs="宋体"/>
          <w:color w:val="auto"/>
          <w:sz w:val="28"/>
          <w:szCs w:val="28"/>
          <w:highlight w:val="none"/>
          <w:u w:val="single"/>
        </w:rPr>
        <w:t xml:space="preserve">  </w:t>
      </w:r>
    </w:p>
    <w:p w14:paraId="7331D1FF">
      <w:pPr>
        <w:spacing w:line="288" w:lineRule="auto"/>
        <w:ind w:left="0" w:leftChars="0" w:firstLine="840" w:firstLineChars="300"/>
        <w:rPr>
          <w:rFonts w:hint="eastAsia" w:ascii="宋体" w:hAnsi="宋体" w:eastAsia="宋体" w:cs="宋体"/>
          <w:color w:val="auto"/>
          <w:sz w:val="28"/>
          <w:szCs w:val="28"/>
          <w:highlight w:val="none"/>
        </w:rPr>
      </w:pPr>
    </w:p>
    <w:p w14:paraId="44FE938D">
      <w:pPr>
        <w:spacing w:before="120" w:line="22" w:lineRule="atLeast"/>
        <w:ind w:left="0" w:leftChars="0"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甲方：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衢州市公安局柯城分局</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D11A715">
      <w:pPr>
        <w:spacing w:before="120" w:line="22" w:lineRule="atLeast"/>
        <w:ind w:left="0" w:leftChars="0" w:firstLine="840" w:firstLineChars="300"/>
        <w:rPr>
          <w:rFonts w:hint="eastAsia" w:ascii="宋体" w:hAnsi="宋体" w:eastAsia="宋体" w:cs="宋体"/>
          <w:color w:val="auto"/>
          <w:sz w:val="28"/>
          <w:szCs w:val="28"/>
          <w:highlight w:val="none"/>
        </w:rPr>
      </w:pPr>
    </w:p>
    <w:p w14:paraId="20897C05">
      <w:pPr>
        <w:spacing w:before="120" w:line="22" w:lineRule="atLeast"/>
        <w:ind w:left="0" w:leftChars="0"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u w:val="single"/>
        </w:rPr>
        <w:t xml:space="preserve">                                       </w:t>
      </w:r>
    </w:p>
    <w:p w14:paraId="25DB0B8E">
      <w:pPr>
        <w:spacing w:before="120" w:line="22" w:lineRule="atLeast"/>
        <w:ind w:left="0" w:leftChars="0" w:firstLine="840" w:firstLineChars="300"/>
        <w:rPr>
          <w:rFonts w:hint="eastAsia" w:ascii="宋体" w:hAnsi="宋体" w:eastAsia="宋体" w:cs="宋体"/>
          <w:color w:val="auto"/>
          <w:sz w:val="28"/>
          <w:szCs w:val="28"/>
          <w:highlight w:val="none"/>
        </w:rPr>
      </w:pPr>
    </w:p>
    <w:p w14:paraId="0B11F14B">
      <w:pPr>
        <w:spacing w:before="120" w:line="22" w:lineRule="atLeast"/>
        <w:ind w:left="0" w:leftChars="0"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w:t>
      </w:r>
      <w:r>
        <w:rPr>
          <w:rFonts w:hint="eastAsia" w:ascii="宋体" w:hAnsi="宋体" w:eastAsia="宋体" w:cs="宋体"/>
          <w:color w:val="auto"/>
          <w:sz w:val="28"/>
          <w:szCs w:val="28"/>
          <w:highlight w:val="none"/>
          <w:u w:val="single"/>
        </w:rPr>
        <w:t xml:space="preserve">                                     </w:t>
      </w:r>
    </w:p>
    <w:p w14:paraId="40441A27">
      <w:pPr>
        <w:spacing w:before="120" w:line="22" w:lineRule="atLeast"/>
        <w:ind w:left="0" w:leftChars="0" w:firstLine="840" w:firstLineChars="300"/>
        <w:rPr>
          <w:rFonts w:hint="eastAsia" w:ascii="宋体" w:hAnsi="宋体" w:eastAsia="宋体" w:cs="宋体"/>
          <w:color w:val="auto"/>
          <w:sz w:val="28"/>
          <w:szCs w:val="28"/>
          <w:highlight w:val="none"/>
        </w:rPr>
      </w:pPr>
    </w:p>
    <w:p w14:paraId="3162DDD6">
      <w:pPr>
        <w:spacing w:before="120" w:line="22" w:lineRule="atLeast"/>
        <w:ind w:left="0" w:leftChars="0"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B4FE99E">
      <w:pPr>
        <w:widowControl/>
        <w:ind w:left="0" w:leftChars="0" w:firstLine="840" w:firstLineChars="300"/>
        <w:jc w:val="left"/>
        <w:rPr>
          <w:rFonts w:hint="eastAsia" w:ascii="宋体" w:hAnsi="宋体" w:eastAsia="宋体" w:cs="宋体"/>
          <w:color w:val="auto"/>
          <w:kern w:val="0"/>
          <w:szCs w:val="24"/>
          <w:highlight w:val="none"/>
        </w:rPr>
        <w:sectPr>
          <w:pgSz w:w="11907" w:h="16840"/>
          <w:pgMar w:top="1417" w:right="1134" w:bottom="1417" w:left="1134" w:header="851" w:footer="850" w:gutter="0"/>
          <w:pgNumType w:fmt="decimal"/>
          <w:cols w:space="720" w:num="1"/>
          <w:rtlGutter w:val="0"/>
          <w:docGrid w:linePitch="0" w:charSpace="0"/>
        </w:sectPr>
      </w:pPr>
    </w:p>
    <w:p w14:paraId="17DED8F5">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衢州市公安局柯城分局</w:t>
      </w:r>
      <w:r>
        <w:rPr>
          <w:rFonts w:hint="eastAsia" w:ascii="宋体" w:hAnsi="宋体" w:cs="宋体"/>
          <w:color w:val="auto"/>
          <w:sz w:val="24"/>
          <w:szCs w:val="24"/>
          <w:highlight w:val="none"/>
        </w:rPr>
        <w:t>（甲方）</w:t>
      </w:r>
      <w:r>
        <w:rPr>
          <w:rFonts w:hint="eastAsia" w:ascii="Times New Roman" w:hAnsi="Times New Roman" w:cs="Calibri"/>
          <w:color w:val="auto"/>
          <w:sz w:val="24"/>
          <w:szCs w:val="24"/>
          <w:highlight w:val="none"/>
          <w:u w:val="single"/>
          <w:lang w:eastAsia="zh-CN"/>
        </w:rPr>
        <w:t>柯城区城区区域安防设备补盲一期租赁服务项目</w:t>
      </w:r>
      <w:r>
        <w:rPr>
          <w:rFonts w:hint="eastAsia" w:ascii="宋体" w:hAnsi="宋体" w:cs="宋体"/>
          <w:color w:val="auto"/>
          <w:sz w:val="24"/>
          <w:szCs w:val="24"/>
          <w:highlight w:val="none"/>
        </w:rPr>
        <w:t>经</w:t>
      </w:r>
      <w:r>
        <w:rPr>
          <w:rFonts w:hint="eastAsia" w:ascii="宋体" w:hAnsi="宋体" w:cs="宋体"/>
          <w:color w:val="auto"/>
          <w:sz w:val="24"/>
          <w:szCs w:val="24"/>
          <w:highlight w:val="none"/>
          <w:u w:val="single"/>
          <w:lang w:eastAsia="zh-CN"/>
        </w:rPr>
        <w:t>衢州胜友如云工程咨询有限公司</w:t>
      </w:r>
      <w:r>
        <w:rPr>
          <w:rFonts w:hint="eastAsia" w:ascii="宋体" w:hAnsi="宋体" w:cs="宋体"/>
          <w:color w:val="auto"/>
          <w:sz w:val="24"/>
          <w:szCs w:val="24"/>
          <w:highlight w:val="none"/>
        </w:rPr>
        <w:t>以招标文件（项目编号：</w:t>
      </w:r>
      <w:r>
        <w:rPr>
          <w:rFonts w:hint="eastAsia" w:ascii="宋体" w:hAnsi="宋体" w:cs="宋体"/>
          <w:color w:val="auto"/>
          <w:sz w:val="24"/>
          <w:szCs w:val="24"/>
          <w:highlight w:val="none"/>
          <w:u w:val="single"/>
          <w:lang w:val="en-US" w:eastAsia="zh-CN"/>
        </w:rPr>
        <w:t xml:space="preserve"> QZSY2025-04-14 </w:t>
      </w:r>
      <w:r>
        <w:rPr>
          <w:rFonts w:hint="eastAsia" w:ascii="宋体" w:hAnsi="宋体" w:cs="宋体"/>
          <w:color w:val="auto"/>
          <w:sz w:val="24"/>
          <w:szCs w:val="24"/>
          <w:highlight w:val="none"/>
        </w:rPr>
        <w:t>）进行公开招标。甲方确定</w:t>
      </w:r>
      <w:r>
        <w:rPr>
          <w:rFonts w:hint="eastAsia" w:ascii="宋体" w:hAnsi="宋体" w:cs="宋体"/>
          <w:color w:val="auto"/>
          <w:sz w:val="24"/>
          <w:szCs w:val="24"/>
          <w:highlight w:val="none"/>
          <w:u w:val="single"/>
        </w:rPr>
        <w:t>【乙方名称】</w:t>
      </w:r>
      <w:r>
        <w:rPr>
          <w:rFonts w:hint="eastAsia" w:ascii="宋体" w:hAnsi="宋体" w:cs="宋体"/>
          <w:color w:val="auto"/>
          <w:sz w:val="24"/>
          <w:szCs w:val="24"/>
          <w:highlight w:val="none"/>
        </w:rPr>
        <w:t>为成交供应商。甲、乙双方依据《中华人民共和国政府采购法》、《中华人民共和国民法典》，在平等自愿的基础上，同意按照下面的条款和条件，签署本合同。</w:t>
      </w:r>
    </w:p>
    <w:p w14:paraId="6C1E26CA">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31" w:name="_Toc9621"/>
      <w:bookmarkStart w:id="32" w:name="_Toc21749"/>
      <w:r>
        <w:rPr>
          <w:rFonts w:hint="default" w:ascii="宋体" w:hAnsi="宋体" w:eastAsia="宋体" w:cs="宋体"/>
          <w:b/>
          <w:color w:val="auto"/>
          <w:kern w:val="2"/>
          <w:sz w:val="24"/>
          <w:szCs w:val="24"/>
          <w:highlight w:val="none"/>
          <w:lang w:val="en-US" w:eastAsia="zh-CN" w:bidi="ar-SA"/>
        </w:rPr>
        <w:t>一、项目采购依据</w:t>
      </w:r>
      <w:bookmarkEnd w:id="31"/>
      <w:bookmarkEnd w:id="32"/>
    </w:p>
    <w:p w14:paraId="331540F4">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政府采购预算</w:t>
      </w:r>
      <w:r>
        <w:rPr>
          <w:rFonts w:hint="eastAsia" w:ascii="宋体" w:hAnsi="宋体" w:cs="宋体"/>
          <w:color w:val="auto"/>
          <w:sz w:val="24"/>
          <w:szCs w:val="24"/>
          <w:highlight w:val="none"/>
          <w:lang w:val="en-US" w:eastAsia="zh-CN"/>
        </w:rPr>
        <w:t>计划</w:t>
      </w:r>
      <w:r>
        <w:rPr>
          <w:rFonts w:hint="eastAsia" w:ascii="宋体" w:hAnsi="宋体" w:cs="宋体"/>
          <w:color w:val="auto"/>
          <w:sz w:val="24"/>
          <w:szCs w:val="24"/>
          <w:highlight w:val="none"/>
        </w:rPr>
        <w:t>书：</w:t>
      </w:r>
      <w:r>
        <w:rPr>
          <w:rFonts w:hint="eastAsia" w:ascii="宋体" w:hAnsi="宋体" w:cs="宋体"/>
          <w:color w:val="auto"/>
          <w:sz w:val="24"/>
          <w:szCs w:val="24"/>
          <w:highlight w:val="none"/>
        </w:rPr>
        <w:t xml:space="preserve"> </w:t>
      </w:r>
    </w:p>
    <w:p w14:paraId="39BEC08C">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33" w:name="_Toc27581"/>
      <w:bookmarkStart w:id="34" w:name="_Toc20413"/>
      <w:r>
        <w:rPr>
          <w:rFonts w:hint="default" w:ascii="宋体" w:hAnsi="宋体" w:eastAsia="宋体" w:cs="宋体"/>
          <w:b/>
          <w:color w:val="auto"/>
          <w:kern w:val="2"/>
          <w:sz w:val="24"/>
          <w:szCs w:val="24"/>
          <w:highlight w:val="none"/>
          <w:lang w:val="en-US" w:eastAsia="zh-CN" w:bidi="ar-SA"/>
        </w:rPr>
        <w:t>二、下列文件构成本合同的组成部分</w:t>
      </w:r>
      <w:bookmarkEnd w:id="33"/>
      <w:bookmarkEnd w:id="34"/>
    </w:p>
    <w:p w14:paraId="17CEA67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以下文件为本合同的组成部分，应该认为是一个整体，彼此相互解释，相互补充。组成合同的多个文件的优先支配地位的次序如下：</w:t>
      </w:r>
    </w:p>
    <w:p w14:paraId="72CA34BB">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a. 本合同书</w:t>
      </w:r>
    </w:p>
    <w:p w14:paraId="426248C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b. 中标通知书</w:t>
      </w:r>
    </w:p>
    <w:p w14:paraId="59D6E27A">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c. 投标文件  （包括询标记录）</w:t>
      </w:r>
    </w:p>
    <w:p w14:paraId="567213BE">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d. 招标文件   （修改文件）          </w:t>
      </w:r>
    </w:p>
    <w:p w14:paraId="5BA9183B">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35" w:name="_Toc18335"/>
      <w:bookmarkStart w:id="36" w:name="_Toc14014"/>
      <w:r>
        <w:rPr>
          <w:rFonts w:hint="default" w:ascii="宋体" w:hAnsi="宋体" w:eastAsia="宋体" w:cs="宋体"/>
          <w:b/>
          <w:color w:val="auto"/>
          <w:kern w:val="2"/>
          <w:sz w:val="24"/>
          <w:szCs w:val="24"/>
          <w:highlight w:val="none"/>
          <w:lang w:val="en-US" w:eastAsia="zh-CN" w:bidi="ar-SA"/>
        </w:rPr>
        <w:t>三、合同标的物</w:t>
      </w:r>
      <w:bookmarkEnd w:id="35"/>
      <w:bookmarkEnd w:id="36"/>
    </w:p>
    <w:p w14:paraId="06A3AE0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本合同标的物名称及数量：【</w:t>
      </w:r>
      <w:r>
        <w:rPr>
          <w:rFonts w:hint="eastAsia" w:ascii="宋体" w:hAnsi="宋体" w:cs="宋体"/>
          <w:color w:val="auto"/>
          <w:sz w:val="24"/>
          <w:szCs w:val="24"/>
          <w:highlight w:val="none"/>
          <w:u w:val="single"/>
        </w:rPr>
        <w:t>服务内容可附后</w:t>
      </w:r>
      <w:r>
        <w:rPr>
          <w:rFonts w:hint="eastAsia" w:ascii="宋体" w:hAnsi="宋体" w:cs="宋体"/>
          <w:color w:val="auto"/>
          <w:sz w:val="24"/>
          <w:szCs w:val="24"/>
          <w:highlight w:val="none"/>
        </w:rPr>
        <w:t>】</w:t>
      </w:r>
    </w:p>
    <w:p w14:paraId="6C082226">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37" w:name="_Toc3833"/>
      <w:bookmarkStart w:id="38" w:name="_Toc6651"/>
      <w:r>
        <w:rPr>
          <w:rFonts w:hint="default" w:ascii="宋体" w:hAnsi="宋体" w:eastAsia="宋体" w:cs="宋体"/>
          <w:b/>
          <w:color w:val="auto"/>
          <w:kern w:val="2"/>
          <w:sz w:val="24"/>
          <w:szCs w:val="24"/>
          <w:highlight w:val="none"/>
          <w:lang w:val="en-US" w:eastAsia="zh-CN" w:bidi="ar-SA"/>
        </w:rPr>
        <w:t>四、合同总价</w:t>
      </w:r>
      <w:bookmarkEnd w:id="37"/>
      <w:bookmarkEnd w:id="38"/>
    </w:p>
    <w:p w14:paraId="08E0900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bookmarkStart w:id="39" w:name="_Toc3442"/>
      <w:r>
        <w:rPr>
          <w:rFonts w:hint="eastAsia" w:ascii="宋体" w:hAnsi="宋体" w:cs="宋体"/>
          <w:color w:val="auto"/>
          <w:sz w:val="24"/>
          <w:szCs w:val="24"/>
          <w:highlight w:val="none"/>
        </w:rPr>
        <w:t>本合同金额为（大写）：____________________元，（￥________元）人民币。</w:t>
      </w:r>
    </w:p>
    <w:p w14:paraId="567E706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Calibri" w:hAnsi="Calibri" w:cs="Calibri"/>
          <w:color w:val="auto"/>
          <w:sz w:val="21"/>
          <w:szCs w:val="21"/>
          <w:highlight w:val="none"/>
        </w:rPr>
      </w:pPr>
      <w:r>
        <w:rPr>
          <w:rFonts w:hint="eastAsia" w:ascii="宋体" w:hAnsi="宋体" w:cs="宋体"/>
          <w:color w:val="auto"/>
          <w:sz w:val="24"/>
          <w:szCs w:val="24"/>
          <w:highlight w:val="none"/>
        </w:rPr>
        <w:t>分项价格：</w:t>
      </w:r>
      <w:r>
        <w:rPr>
          <w:rFonts w:hint="eastAsia" w:ascii="宋体" w:hAnsi="宋体" w:cs="宋体"/>
          <w:color w:val="auto"/>
          <w:sz w:val="24"/>
          <w:szCs w:val="24"/>
          <w:highlight w:val="none"/>
          <w:u w:val="single"/>
        </w:rPr>
        <w:t>【分项价格】</w:t>
      </w:r>
    </w:p>
    <w:p w14:paraId="44EC2E1C">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40" w:name="_Toc13534"/>
      <w:r>
        <w:rPr>
          <w:rFonts w:hint="default" w:ascii="宋体" w:hAnsi="宋体" w:eastAsia="宋体" w:cs="宋体"/>
          <w:b/>
          <w:color w:val="auto"/>
          <w:kern w:val="2"/>
          <w:sz w:val="24"/>
          <w:szCs w:val="24"/>
          <w:highlight w:val="none"/>
          <w:lang w:val="en-US" w:eastAsia="zh-CN" w:bidi="ar-SA"/>
        </w:rPr>
        <w:t>五、合同价款的支付</w:t>
      </w:r>
      <w:bookmarkEnd w:id="39"/>
      <w:bookmarkEnd w:id="40"/>
    </w:p>
    <w:p w14:paraId="65C074E9">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1、本合同中甲乙双方之间所发生的一切费用以人民币进行结算。</w:t>
      </w:r>
    </w:p>
    <w:p w14:paraId="144B1760">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Calibri" w:hAnsi="Calibri" w:cs="Calibri"/>
          <w:color w:val="auto"/>
          <w:sz w:val="21"/>
          <w:szCs w:val="21"/>
          <w:highlight w:val="none"/>
        </w:rPr>
      </w:pPr>
      <w:r>
        <w:rPr>
          <w:rFonts w:hint="eastAsia" w:ascii="Calibri" w:hAnsi="Calibri" w:cs="Calibri"/>
          <w:color w:val="auto"/>
          <w:sz w:val="21"/>
          <w:szCs w:val="21"/>
          <w:highlight w:val="none"/>
        </w:rPr>
        <w:t>2、支付方式：</w:t>
      </w:r>
    </w:p>
    <w:tbl>
      <w:tblPr>
        <w:tblStyle w:val="27"/>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549"/>
        <w:gridCol w:w="1443"/>
      </w:tblGrid>
      <w:tr w14:paraId="70E4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00" w:type="dxa"/>
            <w:noWrap w:val="0"/>
            <w:tcMar>
              <w:top w:w="0" w:type="dxa"/>
              <w:left w:w="57" w:type="dxa"/>
              <w:bottom w:w="0" w:type="dxa"/>
              <w:right w:w="57" w:type="dxa"/>
            </w:tcMar>
            <w:vAlign w:val="center"/>
          </w:tcPr>
          <w:p w14:paraId="38E6FA73">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付款次数</w:t>
            </w:r>
          </w:p>
        </w:tc>
        <w:tc>
          <w:tcPr>
            <w:tcW w:w="6549" w:type="dxa"/>
            <w:noWrap w:val="0"/>
            <w:tcMar>
              <w:top w:w="0" w:type="dxa"/>
              <w:left w:w="57" w:type="dxa"/>
              <w:bottom w:w="0" w:type="dxa"/>
              <w:right w:w="57" w:type="dxa"/>
            </w:tcMar>
            <w:vAlign w:val="center"/>
          </w:tcPr>
          <w:p w14:paraId="2601A98D">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付款条件</w:t>
            </w:r>
          </w:p>
        </w:tc>
        <w:tc>
          <w:tcPr>
            <w:tcW w:w="1443" w:type="dxa"/>
            <w:noWrap w:val="0"/>
            <w:tcMar>
              <w:top w:w="0" w:type="dxa"/>
              <w:left w:w="57" w:type="dxa"/>
              <w:bottom w:w="0" w:type="dxa"/>
              <w:right w:w="57" w:type="dxa"/>
            </w:tcMar>
            <w:vAlign w:val="center"/>
          </w:tcPr>
          <w:p w14:paraId="454B267C">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金额（元）</w:t>
            </w:r>
          </w:p>
        </w:tc>
      </w:tr>
      <w:tr w14:paraId="54B0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00" w:type="dxa"/>
            <w:noWrap w:val="0"/>
            <w:tcMar>
              <w:top w:w="0" w:type="dxa"/>
              <w:left w:w="57" w:type="dxa"/>
              <w:bottom w:w="0" w:type="dxa"/>
              <w:right w:w="57" w:type="dxa"/>
            </w:tcMar>
            <w:vAlign w:val="center"/>
          </w:tcPr>
          <w:p w14:paraId="27E27033">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6549" w:type="dxa"/>
            <w:noWrap w:val="0"/>
            <w:tcMar>
              <w:top w:w="0" w:type="dxa"/>
              <w:left w:w="57" w:type="dxa"/>
              <w:bottom w:w="0" w:type="dxa"/>
              <w:right w:w="57" w:type="dxa"/>
            </w:tcMar>
            <w:vAlign w:val="center"/>
          </w:tcPr>
          <w:p w14:paraId="18419ACB">
            <w:pPr>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合同生效以及具备实施条件后</w:t>
            </w:r>
            <w:r>
              <w:rPr>
                <w:rFonts w:hint="default"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个工作日内，甲方支付乙方合同总额的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0%作为预付款（在签订合同时，乙方明确表示无需预付款或者主动要求降低预付款比例的，甲方可不支付该预付款）。</w:t>
            </w:r>
          </w:p>
        </w:tc>
        <w:tc>
          <w:tcPr>
            <w:tcW w:w="1443" w:type="dxa"/>
            <w:noWrap w:val="0"/>
            <w:tcMar>
              <w:top w:w="0" w:type="dxa"/>
              <w:left w:w="57" w:type="dxa"/>
              <w:bottom w:w="0" w:type="dxa"/>
              <w:right w:w="57" w:type="dxa"/>
            </w:tcMar>
            <w:vAlign w:val="center"/>
          </w:tcPr>
          <w:p w14:paraId="0AE12EEB">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Calibri" w:hAnsi="Calibri" w:cs="Calibri"/>
                <w:color w:val="auto"/>
                <w:sz w:val="21"/>
                <w:szCs w:val="21"/>
                <w:highlight w:val="none"/>
              </w:rPr>
            </w:pPr>
          </w:p>
        </w:tc>
      </w:tr>
      <w:tr w14:paraId="67F8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0" w:type="dxa"/>
            <w:noWrap w:val="0"/>
            <w:tcMar>
              <w:top w:w="0" w:type="dxa"/>
              <w:left w:w="57" w:type="dxa"/>
              <w:bottom w:w="0" w:type="dxa"/>
              <w:right w:w="57" w:type="dxa"/>
            </w:tcMar>
            <w:vAlign w:val="center"/>
          </w:tcPr>
          <w:p w14:paraId="21E8188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6549" w:type="dxa"/>
            <w:noWrap w:val="0"/>
            <w:tcMar>
              <w:top w:w="0" w:type="dxa"/>
              <w:left w:w="57" w:type="dxa"/>
              <w:bottom w:w="0" w:type="dxa"/>
              <w:right w:w="57" w:type="dxa"/>
            </w:tcMar>
            <w:vAlign w:val="center"/>
          </w:tcPr>
          <w:p w14:paraId="674BD8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第一年期满并考核合格后，支付合同总价的10%。</w:t>
            </w:r>
          </w:p>
        </w:tc>
        <w:tc>
          <w:tcPr>
            <w:tcW w:w="1443" w:type="dxa"/>
            <w:noWrap w:val="0"/>
            <w:tcMar>
              <w:top w:w="0" w:type="dxa"/>
              <w:left w:w="57" w:type="dxa"/>
              <w:bottom w:w="0" w:type="dxa"/>
              <w:right w:w="57" w:type="dxa"/>
            </w:tcMar>
            <w:vAlign w:val="center"/>
          </w:tcPr>
          <w:p w14:paraId="51FD09DD">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Calibri" w:hAnsi="Calibri" w:cs="Calibri"/>
                <w:color w:val="auto"/>
                <w:sz w:val="21"/>
                <w:szCs w:val="21"/>
                <w:highlight w:val="none"/>
              </w:rPr>
            </w:pPr>
          </w:p>
        </w:tc>
      </w:tr>
      <w:tr w14:paraId="6BBD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0" w:type="dxa"/>
            <w:noWrap w:val="0"/>
            <w:tcMar>
              <w:top w:w="0" w:type="dxa"/>
              <w:left w:w="57" w:type="dxa"/>
              <w:bottom w:w="0" w:type="dxa"/>
              <w:right w:w="57" w:type="dxa"/>
            </w:tcMar>
            <w:vAlign w:val="center"/>
          </w:tcPr>
          <w:p w14:paraId="00FA691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549" w:type="dxa"/>
            <w:noWrap w:val="0"/>
            <w:tcMar>
              <w:top w:w="0" w:type="dxa"/>
              <w:left w:w="57" w:type="dxa"/>
              <w:bottom w:w="0" w:type="dxa"/>
              <w:right w:w="57" w:type="dxa"/>
            </w:tcMar>
            <w:vAlign w:val="center"/>
          </w:tcPr>
          <w:p w14:paraId="1110998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第二年期满并考核合格后，支付合同总价的10%。</w:t>
            </w:r>
          </w:p>
        </w:tc>
        <w:tc>
          <w:tcPr>
            <w:tcW w:w="1443" w:type="dxa"/>
            <w:noWrap w:val="0"/>
            <w:tcMar>
              <w:top w:w="0" w:type="dxa"/>
              <w:left w:w="57" w:type="dxa"/>
              <w:bottom w:w="0" w:type="dxa"/>
              <w:right w:w="57" w:type="dxa"/>
            </w:tcMar>
            <w:vAlign w:val="center"/>
          </w:tcPr>
          <w:p w14:paraId="446B7E41">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Calibri" w:hAnsi="Calibri" w:cs="Calibri"/>
                <w:color w:val="auto"/>
                <w:sz w:val="21"/>
                <w:szCs w:val="21"/>
                <w:highlight w:val="none"/>
              </w:rPr>
            </w:pPr>
          </w:p>
        </w:tc>
      </w:tr>
      <w:tr w14:paraId="5CDA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0" w:type="dxa"/>
            <w:noWrap w:val="0"/>
            <w:tcMar>
              <w:top w:w="0" w:type="dxa"/>
              <w:left w:w="57" w:type="dxa"/>
              <w:bottom w:w="0" w:type="dxa"/>
              <w:right w:w="57" w:type="dxa"/>
            </w:tcMar>
            <w:vAlign w:val="center"/>
          </w:tcPr>
          <w:p w14:paraId="2C1C1F8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549" w:type="dxa"/>
            <w:noWrap w:val="0"/>
            <w:tcMar>
              <w:top w:w="0" w:type="dxa"/>
              <w:left w:w="57" w:type="dxa"/>
              <w:bottom w:w="0" w:type="dxa"/>
              <w:right w:w="57" w:type="dxa"/>
            </w:tcMar>
            <w:vAlign w:val="center"/>
          </w:tcPr>
          <w:p w14:paraId="4493C38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第三年期满并考核合格后，支付合同总价的10%。</w:t>
            </w:r>
          </w:p>
        </w:tc>
        <w:tc>
          <w:tcPr>
            <w:tcW w:w="1443" w:type="dxa"/>
            <w:noWrap w:val="0"/>
            <w:tcMar>
              <w:top w:w="0" w:type="dxa"/>
              <w:left w:w="57" w:type="dxa"/>
              <w:bottom w:w="0" w:type="dxa"/>
              <w:right w:w="57" w:type="dxa"/>
            </w:tcMar>
            <w:vAlign w:val="center"/>
          </w:tcPr>
          <w:p w14:paraId="1E19FB3F">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Calibri" w:hAnsi="Calibri" w:cs="Calibri"/>
                <w:color w:val="auto"/>
                <w:sz w:val="21"/>
                <w:szCs w:val="21"/>
                <w:highlight w:val="none"/>
              </w:rPr>
            </w:pPr>
          </w:p>
        </w:tc>
      </w:tr>
      <w:tr w14:paraId="04CB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0" w:type="dxa"/>
            <w:noWrap w:val="0"/>
            <w:tcMar>
              <w:top w:w="0" w:type="dxa"/>
              <w:left w:w="57" w:type="dxa"/>
              <w:bottom w:w="0" w:type="dxa"/>
              <w:right w:w="57" w:type="dxa"/>
            </w:tcMar>
            <w:vAlign w:val="center"/>
          </w:tcPr>
          <w:p w14:paraId="4207862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549" w:type="dxa"/>
            <w:noWrap w:val="0"/>
            <w:tcMar>
              <w:top w:w="0" w:type="dxa"/>
              <w:left w:w="57" w:type="dxa"/>
              <w:bottom w:w="0" w:type="dxa"/>
              <w:right w:w="57" w:type="dxa"/>
            </w:tcMar>
            <w:vAlign w:val="center"/>
          </w:tcPr>
          <w:p w14:paraId="22B049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第四年期满并考核</w:t>
            </w:r>
            <w:r>
              <w:rPr>
                <w:rFonts w:hint="eastAsia" w:ascii="宋体" w:hAnsi="宋体" w:cs="宋体"/>
                <w:strike w:val="0"/>
                <w:dstrike w:val="0"/>
                <w:color w:val="auto"/>
                <w:sz w:val="24"/>
                <w:szCs w:val="24"/>
                <w:highlight w:val="none"/>
                <w:lang w:val="en-US" w:eastAsia="zh-CN"/>
              </w:rPr>
              <w:t>合格</w:t>
            </w:r>
            <w:r>
              <w:rPr>
                <w:rFonts w:hint="eastAsia" w:ascii="宋体" w:hAnsi="宋体" w:cs="宋体"/>
                <w:color w:val="auto"/>
                <w:sz w:val="24"/>
                <w:szCs w:val="24"/>
                <w:highlight w:val="none"/>
                <w:lang w:val="en-US" w:eastAsia="zh-CN"/>
              </w:rPr>
              <w:t>后，支付合同总价的10%。</w:t>
            </w:r>
          </w:p>
        </w:tc>
        <w:tc>
          <w:tcPr>
            <w:tcW w:w="1443" w:type="dxa"/>
            <w:noWrap w:val="0"/>
            <w:tcMar>
              <w:top w:w="0" w:type="dxa"/>
              <w:left w:w="57" w:type="dxa"/>
              <w:bottom w:w="0" w:type="dxa"/>
              <w:right w:w="57" w:type="dxa"/>
            </w:tcMar>
            <w:vAlign w:val="center"/>
          </w:tcPr>
          <w:p w14:paraId="27601C37">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Calibri" w:hAnsi="Calibri" w:cs="Calibri"/>
                <w:color w:val="auto"/>
                <w:sz w:val="21"/>
                <w:szCs w:val="21"/>
                <w:highlight w:val="none"/>
              </w:rPr>
            </w:pPr>
          </w:p>
        </w:tc>
      </w:tr>
      <w:tr w14:paraId="56AB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0" w:type="dxa"/>
            <w:noWrap w:val="0"/>
            <w:tcMar>
              <w:top w:w="0" w:type="dxa"/>
              <w:left w:w="57" w:type="dxa"/>
              <w:bottom w:w="0" w:type="dxa"/>
              <w:right w:w="57" w:type="dxa"/>
            </w:tcMar>
            <w:vAlign w:val="center"/>
          </w:tcPr>
          <w:p w14:paraId="1D05493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549" w:type="dxa"/>
            <w:noWrap w:val="0"/>
            <w:tcMar>
              <w:top w:w="0" w:type="dxa"/>
              <w:left w:w="57" w:type="dxa"/>
              <w:bottom w:w="0" w:type="dxa"/>
              <w:right w:w="57" w:type="dxa"/>
            </w:tcMar>
            <w:vAlign w:val="center"/>
          </w:tcPr>
          <w:p w14:paraId="2781BBC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第五年期满并考核合格后，支付合同总价的10%。</w:t>
            </w:r>
          </w:p>
        </w:tc>
        <w:tc>
          <w:tcPr>
            <w:tcW w:w="1443" w:type="dxa"/>
            <w:noWrap w:val="0"/>
            <w:tcMar>
              <w:top w:w="0" w:type="dxa"/>
              <w:left w:w="57" w:type="dxa"/>
              <w:bottom w:w="0" w:type="dxa"/>
              <w:right w:w="57" w:type="dxa"/>
            </w:tcMar>
            <w:vAlign w:val="center"/>
          </w:tcPr>
          <w:p w14:paraId="49643D46">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Calibri" w:hAnsi="Calibri" w:cs="Calibri"/>
                <w:color w:val="auto"/>
                <w:sz w:val="21"/>
                <w:szCs w:val="21"/>
                <w:highlight w:val="none"/>
              </w:rPr>
            </w:pPr>
          </w:p>
        </w:tc>
      </w:tr>
      <w:tr w14:paraId="1D61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0" w:type="dxa"/>
            <w:noWrap w:val="0"/>
            <w:tcMar>
              <w:top w:w="0" w:type="dxa"/>
              <w:left w:w="57" w:type="dxa"/>
              <w:bottom w:w="0" w:type="dxa"/>
              <w:right w:w="57" w:type="dxa"/>
            </w:tcMar>
            <w:vAlign w:val="center"/>
          </w:tcPr>
          <w:p w14:paraId="149DF42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549" w:type="dxa"/>
            <w:noWrap w:val="0"/>
            <w:tcMar>
              <w:top w:w="0" w:type="dxa"/>
              <w:left w:w="57" w:type="dxa"/>
              <w:bottom w:w="0" w:type="dxa"/>
              <w:right w:w="57" w:type="dxa"/>
            </w:tcMar>
            <w:vAlign w:val="center"/>
          </w:tcPr>
          <w:p w14:paraId="7EBA1D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第六年期满并考核</w:t>
            </w:r>
            <w:r>
              <w:rPr>
                <w:rFonts w:hint="eastAsia" w:ascii="宋体" w:hAnsi="宋体" w:cs="宋体"/>
                <w:strike w:val="0"/>
                <w:dstrike w:val="0"/>
                <w:color w:val="auto"/>
                <w:sz w:val="24"/>
                <w:szCs w:val="24"/>
                <w:highlight w:val="none"/>
                <w:lang w:val="en-US" w:eastAsia="zh-CN"/>
              </w:rPr>
              <w:t>合格</w:t>
            </w:r>
            <w:r>
              <w:rPr>
                <w:rFonts w:hint="eastAsia" w:ascii="宋体" w:hAnsi="宋体" w:cs="宋体"/>
                <w:color w:val="auto"/>
                <w:sz w:val="24"/>
                <w:szCs w:val="24"/>
                <w:highlight w:val="none"/>
                <w:lang w:val="en-US" w:eastAsia="zh-CN"/>
              </w:rPr>
              <w:t>后，支付合同总价的10%。</w:t>
            </w:r>
          </w:p>
        </w:tc>
        <w:tc>
          <w:tcPr>
            <w:tcW w:w="1443" w:type="dxa"/>
            <w:noWrap w:val="0"/>
            <w:tcMar>
              <w:top w:w="0" w:type="dxa"/>
              <w:left w:w="57" w:type="dxa"/>
              <w:bottom w:w="0" w:type="dxa"/>
              <w:right w:w="57" w:type="dxa"/>
            </w:tcMar>
            <w:vAlign w:val="center"/>
          </w:tcPr>
          <w:p w14:paraId="6D4EBC05">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Calibri" w:hAnsi="Calibri" w:cs="Calibri"/>
                <w:color w:val="auto"/>
                <w:sz w:val="21"/>
                <w:szCs w:val="21"/>
                <w:highlight w:val="none"/>
              </w:rPr>
            </w:pPr>
          </w:p>
        </w:tc>
      </w:tr>
    </w:tbl>
    <w:p w14:paraId="7E1917A9">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3、每次合同款项支付</w:t>
      </w:r>
      <w:r>
        <w:rPr>
          <w:rFonts w:hint="eastAsia" w:ascii="宋体" w:hAnsi="宋体" w:cs="宋体"/>
          <w:color w:val="auto"/>
          <w:sz w:val="24"/>
          <w:szCs w:val="24"/>
          <w:highlight w:val="none"/>
          <w:lang w:eastAsia="zh-CN"/>
        </w:rPr>
        <w:t>前</w:t>
      </w:r>
      <w:r>
        <w:rPr>
          <w:rFonts w:hint="eastAsia" w:ascii="宋体" w:hAnsi="宋体" w:cs="宋体"/>
          <w:color w:val="auto"/>
          <w:sz w:val="24"/>
          <w:szCs w:val="24"/>
          <w:highlight w:val="none"/>
        </w:rPr>
        <w:t>，乙方需提供同等金额的正规票据（发票或收据，应符合甲方财务管理要求）给甲方。</w:t>
      </w:r>
    </w:p>
    <w:p w14:paraId="7B779F4C">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4、以上付款时间是指甲方完成向财政部门申报支付手续的时间，财政部门审查及实际支付可能造成的时间延误不视为甲方违约。</w:t>
      </w:r>
    </w:p>
    <w:p w14:paraId="5E946858">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5、甲方应付合同款至以下乙方指定的银行账户：</w:t>
      </w:r>
    </w:p>
    <w:p w14:paraId="7A6E8C33">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开户名称：</w:t>
      </w:r>
      <w:r>
        <w:rPr>
          <w:rFonts w:hint="eastAsia" w:ascii="宋体" w:hAnsi="宋体" w:cs="宋体"/>
          <w:color w:val="auto"/>
          <w:sz w:val="24"/>
          <w:szCs w:val="24"/>
          <w:highlight w:val="none"/>
          <w:u w:val="single"/>
        </w:rPr>
        <w:t>【               】</w:t>
      </w:r>
    </w:p>
    <w:p w14:paraId="48BC1E9C">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w:t>
      </w:r>
    </w:p>
    <w:p w14:paraId="4CDA938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账    号：</w:t>
      </w:r>
      <w:r>
        <w:rPr>
          <w:rFonts w:hint="eastAsia" w:ascii="宋体" w:hAnsi="宋体" w:cs="宋体"/>
          <w:color w:val="auto"/>
          <w:sz w:val="24"/>
          <w:szCs w:val="24"/>
          <w:highlight w:val="none"/>
          <w:u w:val="single"/>
        </w:rPr>
        <w:t>【               】</w:t>
      </w:r>
    </w:p>
    <w:p w14:paraId="3DFDD2F4">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41" w:name="_Toc21009"/>
      <w:bookmarkStart w:id="42" w:name="_Toc18026"/>
      <w:r>
        <w:rPr>
          <w:rFonts w:hint="default" w:ascii="宋体" w:hAnsi="宋体" w:eastAsia="宋体" w:cs="宋体"/>
          <w:b/>
          <w:color w:val="auto"/>
          <w:kern w:val="2"/>
          <w:sz w:val="24"/>
          <w:szCs w:val="24"/>
          <w:highlight w:val="none"/>
          <w:lang w:val="en-US" w:eastAsia="zh-CN" w:bidi="ar-SA"/>
        </w:rPr>
        <w:t>六、本合同履行期限、地点</w:t>
      </w:r>
      <w:bookmarkEnd w:id="41"/>
      <w:bookmarkEnd w:id="42"/>
    </w:p>
    <w:p w14:paraId="502C56D7">
      <w:pPr>
        <w:pageBreakBefore w:val="0"/>
        <w:widowControl w:val="0"/>
        <w:kinsoku/>
        <w:wordWrap/>
        <w:overflowPunct/>
        <w:topLinePunct w:val="0"/>
        <w:autoSpaceDE/>
        <w:autoSpaceDN/>
        <w:bidi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履行期限：</w:t>
      </w:r>
      <w:r>
        <w:rPr>
          <w:rFonts w:hint="eastAsia" w:ascii="宋体" w:hAnsi="宋体" w:cs="宋体"/>
          <w:color w:val="auto"/>
          <w:sz w:val="24"/>
          <w:szCs w:val="24"/>
          <w:highlight w:val="none"/>
          <w:lang w:eastAsia="zh-CN"/>
        </w:rPr>
        <w:t>合同签订之日起</w:t>
      </w:r>
      <w:r>
        <w:rPr>
          <w:rFonts w:hint="eastAsia" w:ascii="宋体" w:hAnsi="宋体" w:cs="宋体"/>
          <w:color w:val="auto"/>
          <w:sz w:val="24"/>
          <w:szCs w:val="24"/>
          <w:highlight w:val="none"/>
          <w:lang w:val="en-US" w:eastAsia="zh-CN"/>
        </w:rPr>
        <w:t>6年</w:t>
      </w:r>
    </w:p>
    <w:p w14:paraId="78D8B2A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履行地点：</w:t>
      </w:r>
      <w:r>
        <w:rPr>
          <w:rFonts w:hint="eastAsia" w:ascii="Times New Roman" w:hAnsi="Times New Roman" w:cs="Calibri"/>
          <w:color w:val="auto"/>
          <w:sz w:val="21"/>
          <w:szCs w:val="21"/>
          <w:highlight w:val="none"/>
          <w:u w:val="single"/>
        </w:rPr>
        <w:t xml:space="preserve">【  </w:t>
      </w:r>
      <w:r>
        <w:rPr>
          <w:rFonts w:hint="eastAsia" w:ascii="Times New Roman" w:hAnsi="Times New Roman" w:cs="Calibri"/>
          <w:color w:val="auto"/>
          <w:sz w:val="24"/>
          <w:szCs w:val="24"/>
          <w:highlight w:val="none"/>
          <w:u w:val="single"/>
          <w:lang w:eastAsia="zh-CN"/>
        </w:rPr>
        <w:t>衢州市</w:t>
      </w:r>
      <w:r>
        <w:rPr>
          <w:rFonts w:hint="eastAsia" w:ascii="Times New Roman" w:hAnsi="Times New Roman" w:cs="Calibri"/>
          <w:color w:val="auto"/>
          <w:sz w:val="21"/>
          <w:szCs w:val="21"/>
          <w:highlight w:val="none"/>
          <w:u w:val="single"/>
        </w:rPr>
        <w:t xml:space="preserve">  】</w:t>
      </w:r>
      <w:r>
        <w:rPr>
          <w:rFonts w:hint="eastAsia" w:ascii="宋体" w:hAnsi="宋体" w:cs="宋体"/>
          <w:color w:val="auto"/>
          <w:sz w:val="24"/>
          <w:szCs w:val="24"/>
          <w:highlight w:val="none"/>
        </w:rPr>
        <w:t xml:space="preserve"> </w:t>
      </w:r>
    </w:p>
    <w:p w14:paraId="79A80263">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43" w:name="_Toc27303"/>
      <w:bookmarkStart w:id="44" w:name="_Toc23427"/>
      <w:r>
        <w:rPr>
          <w:rFonts w:hint="default" w:ascii="宋体" w:hAnsi="宋体" w:eastAsia="宋体" w:cs="宋体"/>
          <w:b/>
          <w:color w:val="auto"/>
          <w:kern w:val="2"/>
          <w:sz w:val="24"/>
          <w:szCs w:val="24"/>
          <w:highlight w:val="none"/>
          <w:lang w:val="en-US" w:eastAsia="zh-CN" w:bidi="ar-SA"/>
        </w:rPr>
        <w:t>七、双方的职责和义务及服务人员</w:t>
      </w:r>
      <w:bookmarkEnd w:id="43"/>
      <w:bookmarkEnd w:id="44"/>
    </w:p>
    <w:p w14:paraId="79CB3FF1">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2"/>
        <w:rPr>
          <w:rFonts w:hint="default" w:ascii="宋体" w:hAnsi="宋体" w:eastAsia="宋体" w:cs="宋体"/>
          <w:b/>
          <w:color w:val="auto"/>
          <w:kern w:val="2"/>
          <w:sz w:val="24"/>
          <w:szCs w:val="24"/>
          <w:highlight w:val="none"/>
          <w:lang w:val="en-US" w:eastAsia="zh-CN" w:bidi="ar-SA"/>
        </w:rPr>
      </w:pPr>
      <w:bookmarkStart w:id="45" w:name="_Toc14597"/>
      <w:bookmarkStart w:id="46" w:name="_Toc23415"/>
      <w:bookmarkStart w:id="47" w:name="_Toc440276530"/>
      <w:bookmarkStart w:id="48" w:name="_Toc440276574"/>
      <w:r>
        <w:rPr>
          <w:rFonts w:hint="default" w:ascii="宋体" w:hAnsi="宋体" w:eastAsia="宋体" w:cs="宋体"/>
          <w:b/>
          <w:color w:val="auto"/>
          <w:kern w:val="2"/>
          <w:sz w:val="24"/>
          <w:szCs w:val="24"/>
          <w:highlight w:val="none"/>
          <w:lang w:val="en-US" w:eastAsia="zh-CN" w:bidi="ar-SA"/>
        </w:rPr>
        <w:t>（一） 甲方的职责、权利和义务</w:t>
      </w:r>
      <w:bookmarkEnd w:id="45"/>
      <w:bookmarkEnd w:id="46"/>
      <w:bookmarkEnd w:id="47"/>
      <w:bookmarkEnd w:id="48"/>
    </w:p>
    <w:p w14:paraId="40CBF0E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1、为了保证实现项目目标，甲方有权对乙方项目技术服务人员提出具体和明确的合理要求。</w:t>
      </w:r>
    </w:p>
    <w:p w14:paraId="71942C1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2、甲方应积极协调相关单位，协助乙方开展调研访谈工作，并根据乙方的合理要求，负责向乙方及时提供有关项目的基础资料。</w:t>
      </w:r>
    </w:p>
    <w:p w14:paraId="06498AF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3、甲方应当全面、真实地叙述与本项目事务有关的各种情况，并保证所提供的一切相关文件真实、合法和有效。</w:t>
      </w:r>
    </w:p>
    <w:p w14:paraId="081DC16B">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4、甲方应为本项目安排相应的联系人，并安排相关负责人员与乙方就项目情况及重大问题深入沟通，在技术问题上为乙方提供必要的人员支持。</w:t>
      </w:r>
    </w:p>
    <w:p w14:paraId="391A3DA5">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5、甲方应按本合同规定及时足额支付相应的费用。</w:t>
      </w:r>
    </w:p>
    <w:p w14:paraId="72A7C0D5">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2"/>
        <w:rPr>
          <w:rFonts w:hint="default" w:ascii="宋体" w:hAnsi="宋体" w:eastAsia="宋体" w:cs="宋体"/>
          <w:b/>
          <w:color w:val="auto"/>
          <w:kern w:val="2"/>
          <w:sz w:val="24"/>
          <w:szCs w:val="24"/>
          <w:highlight w:val="none"/>
          <w:lang w:val="en-US" w:eastAsia="zh-CN" w:bidi="ar-SA"/>
        </w:rPr>
      </w:pPr>
      <w:bookmarkStart w:id="49" w:name="_Toc440276531"/>
      <w:bookmarkStart w:id="50" w:name="_Toc6932"/>
      <w:bookmarkStart w:id="51" w:name="_Toc32186"/>
      <w:bookmarkStart w:id="52" w:name="_Toc440276575"/>
      <w:r>
        <w:rPr>
          <w:rFonts w:hint="default" w:ascii="宋体" w:hAnsi="宋体" w:eastAsia="宋体" w:cs="宋体"/>
          <w:b/>
          <w:color w:val="auto"/>
          <w:kern w:val="2"/>
          <w:sz w:val="24"/>
          <w:szCs w:val="24"/>
          <w:highlight w:val="none"/>
          <w:lang w:val="en-US" w:eastAsia="zh-CN" w:bidi="ar-SA"/>
        </w:rPr>
        <w:t>（二）乙方的职责和义务</w:t>
      </w:r>
      <w:bookmarkEnd w:id="49"/>
      <w:bookmarkEnd w:id="50"/>
      <w:bookmarkEnd w:id="51"/>
      <w:bookmarkEnd w:id="52"/>
    </w:p>
    <w:p w14:paraId="28F837A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1、乙方应充分理解甲方的意图，其工作思路、想法须贯穿项目实施的目的。</w:t>
      </w:r>
    </w:p>
    <w:p w14:paraId="39BE35BE">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2、提供第三条所述服务，并对服务质量负责，确保甲方权益。</w:t>
      </w:r>
    </w:p>
    <w:p w14:paraId="7C4AAC9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3、选派合格和足够的人员，保证人员足够的工作时间以及时迅捷提供服务。若甲方对任何人员不满意且提出正当理由，则乙方应</w:t>
      </w:r>
      <w:r>
        <w:rPr>
          <w:rFonts w:hint="eastAsia" w:ascii="宋体" w:hAnsi="宋体" w:cs="宋体"/>
          <w:color w:val="auto"/>
          <w:sz w:val="24"/>
          <w:szCs w:val="24"/>
          <w:highlight w:val="none"/>
          <w:lang w:eastAsia="zh-CN"/>
        </w:rPr>
        <w:t>于三个工作日内</w:t>
      </w:r>
      <w:r>
        <w:rPr>
          <w:rFonts w:hint="eastAsia" w:ascii="宋体" w:hAnsi="宋体" w:cs="宋体"/>
          <w:color w:val="auto"/>
          <w:sz w:val="24"/>
          <w:szCs w:val="24"/>
          <w:highlight w:val="none"/>
        </w:rPr>
        <w:t>更换。</w:t>
      </w:r>
    </w:p>
    <w:p w14:paraId="035C7B4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4、同甲方共同商定技术服务工作计划，对工作进度进行控制，并按照工作计划安排</w:t>
      </w:r>
      <w:r>
        <w:rPr>
          <w:rFonts w:hint="eastAsia" w:ascii="宋体" w:hAnsi="宋体" w:cs="宋体"/>
          <w:color w:val="auto"/>
          <w:sz w:val="24"/>
          <w:szCs w:val="24"/>
          <w:highlight w:val="none"/>
          <w:lang w:eastAsia="zh-CN"/>
        </w:rPr>
        <w:t>于一个工作日内</w:t>
      </w:r>
      <w:r>
        <w:rPr>
          <w:rFonts w:hint="eastAsia" w:ascii="宋体" w:hAnsi="宋体" w:cs="宋体"/>
          <w:color w:val="auto"/>
          <w:sz w:val="24"/>
          <w:szCs w:val="24"/>
          <w:highlight w:val="none"/>
        </w:rPr>
        <w:t>向甲方汇报工作。</w:t>
      </w:r>
    </w:p>
    <w:p w14:paraId="401F24E2">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2"/>
        <w:rPr>
          <w:rFonts w:hint="default" w:ascii="宋体" w:hAnsi="宋体" w:eastAsia="宋体" w:cs="宋体"/>
          <w:b/>
          <w:color w:val="auto"/>
          <w:kern w:val="2"/>
          <w:sz w:val="24"/>
          <w:szCs w:val="24"/>
          <w:highlight w:val="none"/>
          <w:lang w:val="en-US" w:eastAsia="zh-CN" w:bidi="ar-SA"/>
        </w:rPr>
      </w:pPr>
      <w:bookmarkStart w:id="53" w:name="_Toc30622"/>
      <w:bookmarkStart w:id="54" w:name="_Toc26182"/>
      <w:r>
        <w:rPr>
          <w:rFonts w:hint="default" w:ascii="宋体" w:hAnsi="宋体" w:eastAsia="宋体" w:cs="宋体"/>
          <w:b/>
          <w:color w:val="auto"/>
          <w:kern w:val="2"/>
          <w:sz w:val="24"/>
          <w:szCs w:val="24"/>
          <w:highlight w:val="none"/>
          <w:lang w:val="en-US" w:eastAsia="zh-CN" w:bidi="ar-SA"/>
        </w:rPr>
        <w:t>（三）服务人员</w:t>
      </w:r>
      <w:bookmarkEnd w:id="53"/>
      <w:bookmarkEnd w:id="54"/>
    </w:p>
    <w:p w14:paraId="7C132F82">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41B5FA2">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83C1595">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甲乙双方指定代表，作为履行本合同服务事宜的主要联系人。</w:t>
      </w:r>
    </w:p>
    <w:p w14:paraId="1FAB39D2">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甲方代表：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p>
    <w:p w14:paraId="0808B872">
      <w:pPr>
        <w:pageBreakBefore w:val="0"/>
        <w:widowControl w:val="0"/>
        <w:kinsoku/>
        <w:wordWrap/>
        <w:overflowPunct/>
        <w:topLinePunct w:val="0"/>
        <w:autoSpaceDE/>
        <w:autoSpaceDN/>
        <w:bidi w:val="0"/>
        <w:adjustRightInd w:val="0"/>
        <w:snapToGrid w:val="0"/>
        <w:spacing w:before="120" w:beforeLines="50" w:after="120" w:afterLines="50" w:line="440" w:lineRule="exact"/>
        <w:ind w:left="420" w:lef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乙方代表：</w:t>
      </w:r>
      <w:r>
        <w:rPr>
          <w:rFonts w:hint="eastAsia" w:ascii="宋体" w:hAnsi="宋体" w:eastAsia="宋体" w:cs="宋体"/>
          <w:color w:val="auto"/>
          <w:kern w:val="2"/>
          <w:sz w:val="24"/>
          <w:szCs w:val="24"/>
          <w:highlight w:val="none"/>
          <w:u w:val="single"/>
          <w:lang w:val="en-US" w:eastAsia="zh-CN" w:bidi="ar-SA"/>
        </w:rPr>
        <w:t>【               】</w:t>
      </w:r>
      <w:r>
        <w:rPr>
          <w:rFonts w:hint="eastAsia" w:ascii="宋体" w:hAnsi="宋体" w:eastAsia="宋体" w:cs="宋体"/>
          <w:color w:val="auto"/>
          <w:kern w:val="2"/>
          <w:sz w:val="24"/>
          <w:szCs w:val="24"/>
          <w:highlight w:val="none"/>
          <w:lang w:val="en-US" w:eastAsia="zh-CN" w:bidi="ar-SA"/>
        </w:rPr>
        <w:t>电话：</w:t>
      </w:r>
      <w:r>
        <w:rPr>
          <w:rFonts w:hint="eastAsia" w:ascii="宋体" w:hAnsi="宋体" w:eastAsia="宋体" w:cs="宋体"/>
          <w:color w:val="auto"/>
          <w:kern w:val="2"/>
          <w:sz w:val="24"/>
          <w:szCs w:val="24"/>
          <w:highlight w:val="none"/>
          <w:u w:val="single"/>
          <w:lang w:val="en-US" w:eastAsia="zh-CN" w:bidi="ar-SA"/>
        </w:rPr>
        <w:t>【               】</w:t>
      </w:r>
    </w:p>
    <w:p w14:paraId="23EFAE51">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2"/>
        <w:rPr>
          <w:rFonts w:hint="eastAsia" w:ascii="宋体" w:hAnsi="宋体" w:eastAsia="宋体" w:cs="宋体"/>
          <w:b/>
          <w:color w:val="auto"/>
          <w:kern w:val="2"/>
          <w:sz w:val="24"/>
          <w:szCs w:val="24"/>
          <w:highlight w:val="none"/>
          <w:lang w:val="en-US" w:eastAsia="zh-CN" w:bidi="ar-SA"/>
        </w:rPr>
      </w:pPr>
      <w:bookmarkStart w:id="55" w:name="_Toc19778"/>
      <w:bookmarkStart w:id="56" w:name="_Toc27546"/>
      <w:r>
        <w:rPr>
          <w:rFonts w:hint="eastAsia" w:ascii="宋体" w:hAnsi="宋体" w:eastAsia="宋体" w:cs="宋体"/>
          <w:b/>
          <w:color w:val="auto"/>
          <w:kern w:val="2"/>
          <w:sz w:val="24"/>
          <w:szCs w:val="24"/>
          <w:highlight w:val="none"/>
          <w:lang w:val="en-US" w:eastAsia="zh-CN" w:bidi="ar-SA"/>
        </w:rPr>
        <w:t>（四）保密</w:t>
      </w:r>
    </w:p>
    <w:p w14:paraId="01BF7476">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.1本合同一方(“披露方”)对其向本合同另一方(“接受方”)按照本合同(或就本合同)提供/披露的各类技术和商业资料、规格说明、图纸、文件及专有技术(统称“保密资料”)享有合法所有权及/或其他权利。</w:t>
      </w:r>
    </w:p>
    <w:p w14:paraId="036817FB">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接受方应将保密资料作为商业秘密予以保护。除本合同授权实施的行为外，接受方不得将保密资料部分地或全部地对外披露。接受方仅可为本合同目的向其确有知悉必要的雇员披露对方提供的保密资料，但同时须指示其雇员遵守本条规定的保密及不披露义务。</w:t>
      </w:r>
    </w:p>
    <w:p w14:paraId="5BA05588">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接受方仅得为履行本合同之目的对保密资料进行复制。接受方应当在合同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14:paraId="11FB9142">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.4当出现下述情况时，本条对保密资料的限制不适用。当保密资料：</w:t>
      </w:r>
    </w:p>
    <w:p w14:paraId="42571CCC">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（1）并非接受方的过错而已经进入公有领域的。</w:t>
      </w:r>
    </w:p>
    <w:p w14:paraId="6828DBD5">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（2）已通过该方的有关记录证明是由接受方独立开发的。</w:t>
      </w:r>
    </w:p>
    <w:p w14:paraId="6ABB0E76">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（3）由接受方从没有违反对披露方的保密义务的人合法取得的。</w:t>
      </w:r>
    </w:p>
    <w:p w14:paraId="0DC2C877">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（4）法律要求接受方披露的，但接受方应在合理的时间提前书面通知披露方，使其得以采取其认为必要的保护措施。</w:t>
      </w:r>
    </w:p>
    <w:p w14:paraId="121AD464">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.5本保密条款有效期为本合同生效之日起至保密资料进入公知领域止。</w:t>
      </w:r>
    </w:p>
    <w:p w14:paraId="479DF495">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.6本条约定不适用于各方向其关联公司提供或披露保密资料的情形。</w:t>
      </w:r>
    </w:p>
    <w:p w14:paraId="5C6617C2">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r>
        <w:rPr>
          <w:rFonts w:hint="default" w:ascii="宋体" w:hAnsi="宋体" w:eastAsia="宋体" w:cs="宋体"/>
          <w:b/>
          <w:color w:val="auto"/>
          <w:kern w:val="2"/>
          <w:sz w:val="24"/>
          <w:szCs w:val="24"/>
          <w:highlight w:val="none"/>
          <w:lang w:val="en-US" w:eastAsia="zh-CN" w:bidi="ar-SA"/>
        </w:rPr>
        <w:t>八、服务考核</w:t>
      </w:r>
      <w:bookmarkEnd w:id="55"/>
      <w:bookmarkEnd w:id="56"/>
    </w:p>
    <w:p w14:paraId="3184646C">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甲方对乙方服务质量进行</w:t>
      </w:r>
      <w:r>
        <w:rPr>
          <w:rFonts w:hint="eastAsia" w:ascii="宋体" w:hAnsi="宋体" w:cs="宋体"/>
          <w:color w:val="auto"/>
          <w:sz w:val="24"/>
          <w:szCs w:val="24"/>
          <w:highlight w:val="none"/>
          <w:lang w:eastAsia="zh-CN"/>
        </w:rPr>
        <w:t>如下</w:t>
      </w:r>
      <w:r>
        <w:rPr>
          <w:rFonts w:hint="eastAsia" w:ascii="宋体" w:hAnsi="宋体" w:cs="宋体"/>
          <w:color w:val="auto"/>
          <w:sz w:val="24"/>
          <w:szCs w:val="24"/>
          <w:highlight w:val="none"/>
        </w:rPr>
        <w:t>客观评估，具体考核办法（如有）作为</w:t>
      </w:r>
      <w:r>
        <w:rPr>
          <w:rFonts w:hint="eastAsia" w:ascii="宋体" w:hAnsi="宋体" w:cs="宋体"/>
          <w:color w:val="auto"/>
          <w:sz w:val="24"/>
          <w:szCs w:val="24"/>
          <w:highlight w:val="none"/>
          <w:lang w:eastAsia="zh-CN"/>
        </w:rPr>
        <w:t>附加</w:t>
      </w:r>
      <w:r>
        <w:rPr>
          <w:rFonts w:hint="eastAsia" w:ascii="宋体" w:hAnsi="宋体" w:cs="宋体"/>
          <w:color w:val="auto"/>
          <w:sz w:val="24"/>
          <w:szCs w:val="24"/>
          <w:highlight w:val="none"/>
        </w:rPr>
        <w:t>合同附件。</w:t>
      </w:r>
    </w:p>
    <w:p w14:paraId="4A8D7906">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、传输网络以存贮机房，严格落实执行公安机关网络安全管理制度要求，因乙方原因发生网络或数据安全事件被上级公安机关通报的，视情扣除</w:t>
      </w:r>
      <w:r>
        <w:rPr>
          <w:rFonts w:hint="eastAsia" w:ascii="宋体" w:hAnsi="宋体" w:cs="宋体"/>
          <w:color w:val="auto"/>
          <w:sz w:val="24"/>
          <w:szCs w:val="24"/>
          <w:highlight w:val="none"/>
          <w:lang w:eastAsia="zh-CN"/>
        </w:rPr>
        <w:t>人民币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元</w:t>
      </w:r>
      <w:r>
        <w:rPr>
          <w:rFonts w:hint="eastAsia" w:ascii="宋体" w:hAnsi="宋体" w:cs="宋体"/>
          <w:color w:val="auto"/>
          <w:sz w:val="24"/>
          <w:szCs w:val="24"/>
          <w:highlight w:val="none"/>
        </w:rPr>
        <w:t>。</w:t>
      </w:r>
    </w:p>
    <w:p w14:paraId="421ADB70">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、一机一档在验收之前完成，并提供给甲方，前端相机国标ID以及车脸人脸相机字符串符合甲方规定，一机一档未提供的以及国标ID以及车脸人脸相机字符串不符合规定的，甲方有权拒绝验收。</w:t>
      </w:r>
    </w:p>
    <w:p w14:paraId="6B63D1D4">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、乙方应及时提供相应的设备升级服务，对于甲方发现并通报的"三高一弱"风险隐患，应在24小时内整改，未及时整改的发现一条扣除</w:t>
      </w:r>
      <w:r>
        <w:rPr>
          <w:rFonts w:hint="eastAsia" w:ascii="宋体" w:hAnsi="宋体" w:cs="宋体"/>
          <w:color w:val="auto"/>
          <w:sz w:val="24"/>
          <w:szCs w:val="24"/>
          <w:highlight w:val="none"/>
          <w:lang w:eastAsia="zh-CN"/>
        </w:rPr>
        <w:t>人民币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元</w:t>
      </w:r>
      <w:r>
        <w:rPr>
          <w:rFonts w:hint="eastAsia" w:ascii="宋体" w:hAnsi="宋体" w:cs="宋体"/>
          <w:color w:val="auto"/>
          <w:sz w:val="24"/>
          <w:szCs w:val="24"/>
          <w:highlight w:val="none"/>
        </w:rPr>
        <w:t>。</w:t>
      </w:r>
    </w:p>
    <w:p w14:paraId="3195CD08">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、乙方有专门运维团队每日检查前端视频在线率、时钟准确率，前端视频点位在线率、时钟准确率低于</w:t>
      </w:r>
      <w:r>
        <w:rPr>
          <w:rFonts w:hint="eastAsia" w:ascii="宋体" w:hAnsi="宋体" w:cs="宋体"/>
          <w:color w:val="auto"/>
          <w:sz w:val="24"/>
          <w:szCs w:val="24"/>
          <w:highlight w:val="none"/>
          <w:lang w:val="en-US" w:eastAsia="zh-CN"/>
        </w:rPr>
        <w:t>97</w:t>
      </w:r>
      <w:r>
        <w:rPr>
          <w:rFonts w:hint="eastAsia" w:ascii="宋体" w:hAnsi="宋体" w:cs="宋体"/>
          <w:color w:val="auto"/>
          <w:sz w:val="24"/>
          <w:szCs w:val="24"/>
          <w:highlight w:val="none"/>
        </w:rPr>
        <w:t>％的，每下降1个百分点扣</w:t>
      </w:r>
      <w:r>
        <w:rPr>
          <w:rFonts w:hint="eastAsia" w:ascii="宋体" w:hAnsi="宋体" w:cs="宋体"/>
          <w:color w:val="auto"/>
          <w:sz w:val="24"/>
          <w:szCs w:val="24"/>
          <w:highlight w:val="none"/>
          <w:lang w:eastAsia="zh-CN"/>
        </w:rPr>
        <w:t>人民币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元</w:t>
      </w:r>
      <w:r>
        <w:rPr>
          <w:rFonts w:hint="eastAsia" w:ascii="宋体" w:hAnsi="宋体" w:cs="宋体"/>
          <w:color w:val="auto"/>
          <w:sz w:val="24"/>
          <w:szCs w:val="24"/>
          <w:highlight w:val="none"/>
        </w:rPr>
        <w:t>。</w:t>
      </w:r>
    </w:p>
    <w:p w14:paraId="28D0D68E">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乙方要保证人脸车脸前端的安装高度以及角度符合甲方的设备活跃度要求，按照人脸点位建设任务要求，活跃人脸点位以及车脸点位每日抓拍10张以上，完成率不低于100%，同时保证人脸、车脸抓拍大图可用，上述每发现一个未达标点位，扣除</w:t>
      </w:r>
      <w:r>
        <w:rPr>
          <w:rFonts w:hint="eastAsia" w:ascii="宋体" w:hAnsi="宋体" w:cs="宋体"/>
          <w:color w:val="auto"/>
          <w:sz w:val="24"/>
          <w:szCs w:val="24"/>
          <w:highlight w:val="none"/>
          <w:lang w:eastAsia="zh-CN"/>
        </w:rPr>
        <w:t>人民币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元</w:t>
      </w:r>
      <w:r>
        <w:rPr>
          <w:rFonts w:hint="eastAsia" w:ascii="宋体" w:hAnsi="宋体" w:cs="宋体"/>
          <w:color w:val="auto"/>
          <w:sz w:val="24"/>
          <w:szCs w:val="24"/>
          <w:highlight w:val="none"/>
        </w:rPr>
        <w:t>。</w:t>
      </w:r>
    </w:p>
    <w:p w14:paraId="52A413CE">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项目完成后，乙方应及时向甲方发出书面履约完成通知，甲方在收到乙方履约完成通知后，应及时做好组织验收的准备工作，制定验收方案，成立验收小组，组织实施验收和履约评价。</w:t>
      </w:r>
    </w:p>
    <w:p w14:paraId="2DC178F2">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验收小组完成验收后应出具验收书，验收书应包括每一项技术、服务、安全等标准的履约情况。</w:t>
      </w:r>
    </w:p>
    <w:p w14:paraId="272B7239">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57" w:name="_Toc32158"/>
      <w:bookmarkStart w:id="58" w:name="_Toc19080"/>
      <w:r>
        <w:rPr>
          <w:rFonts w:hint="default" w:ascii="宋体" w:hAnsi="宋体" w:eastAsia="宋体" w:cs="宋体"/>
          <w:b/>
          <w:color w:val="auto"/>
          <w:kern w:val="2"/>
          <w:sz w:val="24"/>
          <w:szCs w:val="24"/>
          <w:highlight w:val="none"/>
          <w:lang w:val="en-US" w:eastAsia="zh-CN" w:bidi="ar-SA"/>
        </w:rPr>
        <w:t>九、合同变更</w:t>
      </w:r>
      <w:bookmarkEnd w:id="57"/>
      <w:bookmarkEnd w:id="58"/>
    </w:p>
    <w:p w14:paraId="6917B829">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0A5A2233">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2、有下列情形之一的，双方协商一致可以变更合同：</w:t>
      </w:r>
    </w:p>
    <w:p w14:paraId="3C65E707">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（1）发生不可预见的紧急情况，继续按照原合同履行不能实现采购目的，又不能从其他供应商处采购；</w:t>
      </w:r>
    </w:p>
    <w:p w14:paraId="206859E1">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）属于合同主要条款确定的事项，但变更不改变合同实质性内容；</w:t>
      </w:r>
    </w:p>
    <w:p w14:paraId="2593A666">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）合同主要条款以外的内容；</w:t>
      </w:r>
    </w:p>
    <w:p w14:paraId="19278BDF">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）法律、法规规定可以变更合同的其他情形。</w:t>
      </w:r>
    </w:p>
    <w:p w14:paraId="4432B8D6">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3、当事人协商一致变更合同的，应当报同级财政部门备案。</w:t>
      </w:r>
    </w:p>
    <w:p w14:paraId="246E7863">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59" w:name="_Toc1243"/>
      <w:bookmarkStart w:id="60" w:name="_Toc22586"/>
      <w:r>
        <w:rPr>
          <w:rFonts w:hint="default" w:ascii="宋体" w:hAnsi="宋体" w:eastAsia="宋体" w:cs="宋体"/>
          <w:b/>
          <w:color w:val="auto"/>
          <w:kern w:val="2"/>
          <w:sz w:val="24"/>
          <w:szCs w:val="24"/>
          <w:highlight w:val="none"/>
          <w:lang w:val="en-US" w:eastAsia="zh-CN" w:bidi="ar-SA"/>
        </w:rPr>
        <w:t>十、转让和分包</w:t>
      </w:r>
      <w:bookmarkEnd w:id="59"/>
      <w:bookmarkEnd w:id="60"/>
    </w:p>
    <w:p w14:paraId="585E7F33">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bookmarkStart w:id="61" w:name="_Toc2567"/>
      <w:r>
        <w:rPr>
          <w:rFonts w:hint="eastAsia" w:ascii="宋体" w:hAnsi="宋体" w:cs="宋体"/>
          <w:color w:val="auto"/>
          <w:sz w:val="24"/>
          <w:szCs w:val="24"/>
          <w:highlight w:val="none"/>
        </w:rPr>
        <w:t>1、合同的权利义务依法不得转让，但经甲方</w:t>
      </w:r>
      <w:r>
        <w:rPr>
          <w:rFonts w:hint="eastAsia" w:ascii="宋体" w:hAnsi="宋体" w:cs="宋体"/>
          <w:color w:val="auto"/>
          <w:sz w:val="24"/>
          <w:szCs w:val="24"/>
          <w:highlight w:val="none"/>
          <w:lang w:eastAsia="zh-CN"/>
        </w:rPr>
        <w:t>书面</w:t>
      </w:r>
      <w:r>
        <w:rPr>
          <w:rFonts w:hint="eastAsia" w:ascii="宋体" w:hAnsi="宋体" w:cs="宋体"/>
          <w:color w:val="auto"/>
          <w:sz w:val="24"/>
          <w:szCs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27BF9F4">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0"/>
          <w:highlight w:val="none"/>
        </w:rPr>
      </w:pPr>
      <w:r>
        <w:rPr>
          <w:rFonts w:hint="eastAsia" w:ascii="宋体" w:hAnsi="宋体" w:cs="宋体"/>
          <w:color w:val="auto"/>
          <w:sz w:val="24"/>
          <w:szCs w:val="24"/>
          <w:highlight w:val="none"/>
        </w:rPr>
        <w:t>2、乙方采取分包方式履行合同的，甲方可直接向分包供应商支付款项。</w:t>
      </w:r>
    </w:p>
    <w:p w14:paraId="3BDC41A5">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62" w:name="_Toc25020"/>
      <w:r>
        <w:rPr>
          <w:rFonts w:hint="default" w:ascii="宋体" w:hAnsi="宋体" w:eastAsia="宋体" w:cs="宋体"/>
          <w:b/>
          <w:color w:val="auto"/>
          <w:kern w:val="2"/>
          <w:sz w:val="24"/>
          <w:szCs w:val="24"/>
          <w:highlight w:val="none"/>
          <w:lang w:val="en-US" w:eastAsia="zh-CN" w:bidi="ar-SA"/>
        </w:rPr>
        <w:t>十一、通知</w:t>
      </w:r>
      <w:bookmarkEnd w:id="61"/>
      <w:bookmarkEnd w:id="62"/>
    </w:p>
    <w:p w14:paraId="3B1D8C03">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本合同任何一方给另一方的通知，都应以书面形式发送，而另一方也应以书面形式确认并发送到对方明确的地址。</w:t>
      </w:r>
    </w:p>
    <w:p w14:paraId="4842E41E">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63" w:name="_Toc13311"/>
      <w:bookmarkStart w:id="64" w:name="_Toc24997"/>
      <w:r>
        <w:rPr>
          <w:rFonts w:hint="default" w:ascii="宋体" w:hAnsi="宋体" w:eastAsia="宋体" w:cs="宋体"/>
          <w:b/>
          <w:color w:val="auto"/>
          <w:kern w:val="2"/>
          <w:sz w:val="24"/>
          <w:szCs w:val="24"/>
          <w:highlight w:val="none"/>
          <w:lang w:val="en-US" w:eastAsia="zh-CN" w:bidi="ar-SA"/>
        </w:rPr>
        <w:t>十二、计量单位</w:t>
      </w:r>
      <w:bookmarkEnd w:id="63"/>
      <w:bookmarkEnd w:id="64"/>
    </w:p>
    <w:p w14:paraId="58E4F63E">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除技术规范中另有规定外，计量单位均使用国家法定计量单位。</w:t>
      </w:r>
    </w:p>
    <w:p w14:paraId="13A80EAC">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65" w:name="_Toc113"/>
      <w:bookmarkStart w:id="66" w:name="_Toc23213"/>
      <w:r>
        <w:rPr>
          <w:rFonts w:hint="default" w:ascii="宋体" w:hAnsi="宋体" w:eastAsia="宋体" w:cs="宋体"/>
          <w:b/>
          <w:color w:val="auto"/>
          <w:kern w:val="2"/>
          <w:sz w:val="24"/>
          <w:szCs w:val="24"/>
          <w:highlight w:val="none"/>
          <w:lang w:val="en-US" w:eastAsia="zh-CN" w:bidi="ar-SA"/>
        </w:rPr>
        <w:t>十三、不可抗力</w:t>
      </w:r>
      <w:bookmarkEnd w:id="65"/>
      <w:bookmarkEnd w:id="66"/>
    </w:p>
    <w:p w14:paraId="58783525">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1、如果双方中任何一方遭遇法律规定的不可抗力，致使合同履行受阻时，履行合同的期限应予延长，延长的期限应相当于不可抗力所影响的时间。</w:t>
      </w:r>
    </w:p>
    <w:p w14:paraId="240C338A">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2、受事故影响的一方应在不可抗力的事故发生后尽快书面形式通知另一方，并在事故发生后合同规定时间内，将有关部门出具的证明文件送达另一方。</w:t>
      </w:r>
    </w:p>
    <w:p w14:paraId="76DCA297">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3、不可抗力使合同的某些内容有变更必要的，双方应通过协商达成进一步履行合同的协议，因不可抗力致使合同不能履行的，合同终止。</w:t>
      </w:r>
    </w:p>
    <w:p w14:paraId="48BF7029">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67" w:name="_Toc6039"/>
      <w:bookmarkStart w:id="68" w:name="_Toc23329"/>
      <w:r>
        <w:rPr>
          <w:rFonts w:hint="default" w:ascii="宋体" w:hAnsi="宋体" w:eastAsia="宋体" w:cs="宋体"/>
          <w:b/>
          <w:color w:val="auto"/>
          <w:kern w:val="2"/>
          <w:sz w:val="24"/>
          <w:szCs w:val="24"/>
          <w:highlight w:val="none"/>
          <w:lang w:val="en-US" w:eastAsia="zh-CN" w:bidi="ar-SA"/>
        </w:rPr>
        <w:t>十四、违约责任</w:t>
      </w:r>
      <w:bookmarkEnd w:id="67"/>
      <w:bookmarkEnd w:id="68"/>
    </w:p>
    <w:p w14:paraId="0BB37190">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strike w:val="0"/>
          <w:dstrike w:val="0"/>
          <w:color w:val="auto"/>
          <w:sz w:val="24"/>
          <w:szCs w:val="24"/>
          <w:highlight w:val="none"/>
          <w:u w:val="none"/>
          <w:lang w:val="en-US" w:eastAsia="zh-CN"/>
        </w:rPr>
      </w:pPr>
      <w:r>
        <w:rPr>
          <w:rFonts w:hint="eastAsia" w:ascii="宋体" w:hAnsi="宋体" w:cs="宋体"/>
          <w:color w:val="auto"/>
          <w:sz w:val="24"/>
          <w:szCs w:val="24"/>
          <w:highlight w:val="none"/>
        </w:rPr>
        <w:t>除合同规定的不可抗力外，如果乙方没有按照合同规定的时间提供服务，甲方可要求乙方支付违约金。违约金按</w:t>
      </w:r>
      <w:r>
        <w:rPr>
          <w:rFonts w:hint="eastAsia" w:ascii="宋体" w:hAnsi="宋体" w:cs="宋体"/>
          <w:strike w:val="0"/>
          <w:dstrike w:val="0"/>
          <w:color w:val="auto"/>
          <w:sz w:val="24"/>
          <w:szCs w:val="24"/>
          <w:highlight w:val="none"/>
          <w:lang w:val="en-US" w:eastAsia="zh-CN"/>
        </w:rPr>
        <w:t>合同总金额</w:t>
      </w:r>
      <w:r>
        <w:rPr>
          <w:rFonts w:hint="eastAsia" w:ascii="宋体" w:hAnsi="宋体" w:cs="宋体"/>
          <w:strike w:val="0"/>
          <w:dstrike w:val="0"/>
          <w:color w:val="auto"/>
          <w:sz w:val="24"/>
          <w:szCs w:val="24"/>
          <w:highlight w:val="none"/>
          <w:u w:val="single"/>
          <w:lang w:val="en-US" w:eastAsia="zh-CN"/>
        </w:rPr>
        <w:t xml:space="preserve">     </w:t>
      </w:r>
      <w:r>
        <w:rPr>
          <w:rFonts w:hint="eastAsia" w:ascii="宋体" w:hAnsi="宋体" w:cs="宋体"/>
          <w:strike w:val="0"/>
          <w:dstrike w:val="0"/>
          <w:color w:val="auto"/>
          <w:sz w:val="24"/>
          <w:szCs w:val="24"/>
          <w:highlight w:val="none"/>
          <w:u w:val="none"/>
          <w:lang w:val="en-US" w:eastAsia="zh-CN"/>
        </w:rPr>
        <w:t>%计收。</w:t>
      </w:r>
    </w:p>
    <w:p w14:paraId="3F0D85F6">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项目结束时验收不合格，乙方应在收到甲方通知后</w:t>
      </w:r>
      <w:r>
        <w:rPr>
          <w:rFonts w:hint="eastAsia" w:ascii="宋体" w:hAnsi="宋体" w:cs="宋体"/>
          <w:color w:val="auto"/>
          <w:sz w:val="24"/>
          <w:szCs w:val="24"/>
          <w:highlight w:val="none"/>
          <w:u w:val="single"/>
        </w:rPr>
        <w:t xml:space="preserve"> 10 </w:t>
      </w:r>
      <w:r>
        <w:rPr>
          <w:rFonts w:hint="eastAsia" w:ascii="宋体" w:hAnsi="宋体" w:cs="宋体"/>
          <w:color w:val="auto"/>
          <w:sz w:val="24"/>
          <w:szCs w:val="24"/>
          <w:highlight w:val="none"/>
        </w:rPr>
        <w:t>日内退还甲方已支付的合同款，逾期退还合同款的，每日按未退还金额的</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%支付违约金。</w:t>
      </w:r>
    </w:p>
    <w:p w14:paraId="61D4E475">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u w:val="none"/>
        </w:rPr>
      </w:pPr>
      <w:r>
        <w:rPr>
          <w:rFonts w:hint="eastAsia" w:ascii="宋体" w:hAnsi="宋体" w:cs="宋体"/>
          <w:color w:val="auto"/>
          <w:sz w:val="24"/>
          <w:szCs w:val="24"/>
          <w:highlight w:val="none"/>
        </w:rPr>
        <w:t>其他违约条款双方协商确定：</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乙方违反本合同条款约定的，经甲方催告后，仍拒绝整改，甲方有权单方解除合同，并要求乙方支付合同总金额</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%的违约金。</w:t>
      </w:r>
      <w:r>
        <w:rPr>
          <w:rFonts w:hint="eastAsia" w:ascii="宋体" w:hAnsi="宋体" w:cs="宋体"/>
          <w:color w:val="auto"/>
          <w:sz w:val="24"/>
          <w:szCs w:val="24"/>
          <w:highlight w:val="none"/>
          <w:u w:val="none"/>
        </w:rPr>
        <w:t>】</w:t>
      </w:r>
    </w:p>
    <w:p w14:paraId="40C7FD48">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69" w:name="_Toc5519"/>
      <w:bookmarkStart w:id="70" w:name="_Toc18977"/>
      <w:r>
        <w:rPr>
          <w:rFonts w:hint="default" w:ascii="宋体" w:hAnsi="宋体" w:eastAsia="宋体" w:cs="宋体"/>
          <w:b/>
          <w:color w:val="auto"/>
          <w:kern w:val="2"/>
          <w:sz w:val="24"/>
          <w:szCs w:val="24"/>
          <w:highlight w:val="none"/>
          <w:lang w:val="en-US" w:eastAsia="zh-CN" w:bidi="ar-SA"/>
        </w:rPr>
        <w:t>十五、违约解除合同</w:t>
      </w:r>
      <w:bookmarkEnd w:id="69"/>
      <w:bookmarkEnd w:id="70"/>
    </w:p>
    <w:p w14:paraId="112036A2">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1、在乙方违约的情况下，甲方可向乙方发出书面通知，部分或全部终止合同。同时保留向乙方追诉的权利。</w:t>
      </w:r>
    </w:p>
    <w:p w14:paraId="2368A13A">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1.1因不可抗力致使不能实现合同目的；</w:t>
      </w:r>
    </w:p>
    <w:p w14:paraId="22947DBA">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1.2在履行期限届满之前，乙方明确表示或者以自己的行为表示不履行主要义务；</w:t>
      </w:r>
    </w:p>
    <w:p w14:paraId="0281E8BE">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1.3乙方迟延履行主要义务，经催告后在合理期限内仍未履行；</w:t>
      </w:r>
    </w:p>
    <w:p w14:paraId="2565D376">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1.4乙方迟延履行义务或者有其他违约行为致使不能实现合同目的；</w:t>
      </w:r>
    </w:p>
    <w:p w14:paraId="05E22C8E">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1.5乙方转包，或者未经甲方同意采取分包方式履行合同；</w:t>
      </w:r>
    </w:p>
    <w:p w14:paraId="3BCC0BBB">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1.6甲方认为乙方在本合同履行过程中有腐败和欺诈行为的。</w:t>
      </w:r>
    </w:p>
    <w:p w14:paraId="3CE41FDE">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1.6.1“腐败行为”和“欺诈行为”定义如下：</w:t>
      </w:r>
    </w:p>
    <w:p w14:paraId="0155A1BF">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1.6.2“腐败行为”是指提供/给予/接受或索取任何有价值的东西来影响甲方在合同签订、履行过程中的行为。</w:t>
      </w:r>
    </w:p>
    <w:p w14:paraId="79F827BD">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1.6.3“欺诈行为”是指为了影响合同签订、履行过程，以谎报事实的方法， 损害甲方的利益的行为。</w:t>
      </w:r>
    </w:p>
    <w:p w14:paraId="52003705">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1.7法律、法规规定的其他情形。</w:t>
      </w:r>
    </w:p>
    <w:p w14:paraId="3EFFF801">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2、甲方解除合同的，合同于甲方发出书面解除合同通知书送达乙方之日起解除。乙方应在合同解除后</w:t>
      </w:r>
      <w:r>
        <w:rPr>
          <w:rFonts w:hint="eastAsia" w:ascii="宋体" w:hAnsi="宋体" w:cs="宋体"/>
          <w:color w:val="auto"/>
          <w:sz w:val="24"/>
          <w:szCs w:val="24"/>
          <w:highlight w:val="none"/>
          <w:u w:val="single"/>
        </w:rPr>
        <w:t xml:space="preserve"> 10 </w:t>
      </w:r>
      <w:r>
        <w:rPr>
          <w:rFonts w:hint="eastAsia" w:ascii="宋体" w:hAnsi="宋体" w:cs="宋体"/>
          <w:color w:val="auto"/>
          <w:sz w:val="24"/>
          <w:szCs w:val="24"/>
          <w:highlight w:val="none"/>
        </w:rPr>
        <w:t>日内退还甲方已支付的合同款，逾期退还合同款的，每日按未退还金额的</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%支付违约金。</w:t>
      </w:r>
    </w:p>
    <w:p w14:paraId="63823976">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3、甲方解除合同的，应当报同级财政部门备案。</w:t>
      </w:r>
    </w:p>
    <w:p w14:paraId="149E0F7B">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71" w:name="_Toc30616"/>
      <w:bookmarkStart w:id="72" w:name="_Toc16965"/>
      <w:r>
        <w:rPr>
          <w:rFonts w:hint="default" w:ascii="宋体" w:hAnsi="宋体" w:eastAsia="宋体" w:cs="宋体"/>
          <w:b/>
          <w:color w:val="auto"/>
          <w:kern w:val="2"/>
          <w:sz w:val="24"/>
          <w:szCs w:val="24"/>
          <w:highlight w:val="none"/>
          <w:lang w:val="en-US" w:eastAsia="zh-CN" w:bidi="ar-SA"/>
        </w:rPr>
        <w:t>十六、破产终止合同</w:t>
      </w:r>
      <w:bookmarkEnd w:id="71"/>
      <w:bookmarkEnd w:id="72"/>
    </w:p>
    <w:p w14:paraId="7A06495D">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E587326">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73" w:name="_Toc3955"/>
      <w:bookmarkStart w:id="74" w:name="_Toc899"/>
      <w:r>
        <w:rPr>
          <w:rFonts w:hint="default" w:ascii="宋体" w:hAnsi="宋体" w:eastAsia="宋体" w:cs="宋体"/>
          <w:b/>
          <w:color w:val="auto"/>
          <w:kern w:val="2"/>
          <w:sz w:val="24"/>
          <w:szCs w:val="24"/>
          <w:highlight w:val="none"/>
          <w:lang w:val="en-US" w:eastAsia="zh-CN" w:bidi="ar-SA"/>
        </w:rPr>
        <w:t>十七、适用</w:t>
      </w:r>
      <w:bookmarkEnd w:id="73"/>
      <w:bookmarkEnd w:id="74"/>
    </w:p>
    <w:p w14:paraId="651B56F4">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本合同应按照《中华人民共和国政府采购法》、《中华人民共和国民法典》、《浙江省政府采购合同暂行办法》等进行解释。</w:t>
      </w:r>
    </w:p>
    <w:p w14:paraId="6095E9F0">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75" w:name="_Toc30771"/>
      <w:bookmarkStart w:id="76" w:name="_Toc30710"/>
      <w:r>
        <w:rPr>
          <w:rFonts w:hint="default" w:ascii="宋体" w:hAnsi="宋体" w:eastAsia="宋体" w:cs="宋体"/>
          <w:b/>
          <w:color w:val="auto"/>
          <w:kern w:val="2"/>
          <w:sz w:val="24"/>
          <w:szCs w:val="24"/>
          <w:highlight w:val="none"/>
          <w:lang w:val="en-US" w:eastAsia="zh-CN" w:bidi="ar-SA"/>
        </w:rPr>
        <w:t>十八、解决争议的方法</w:t>
      </w:r>
      <w:bookmarkEnd w:id="75"/>
      <w:bookmarkEnd w:id="76"/>
    </w:p>
    <w:p w14:paraId="1F165C5F">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因合同履行中发生的争议，可通过合同当事人双方友好协商解决。如自协商开始之起15日内得不到解决，双方应将争议提交政府采购监管部门调解。调解不成的，可向甲方住所地人民法院提起诉讼。</w:t>
      </w:r>
    </w:p>
    <w:p w14:paraId="5E84C1B6">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77" w:name="_Toc4741"/>
      <w:bookmarkStart w:id="78" w:name="_Toc11887"/>
      <w:r>
        <w:rPr>
          <w:rFonts w:hint="default" w:ascii="宋体" w:hAnsi="宋体" w:eastAsia="宋体" w:cs="宋体"/>
          <w:b/>
          <w:color w:val="auto"/>
          <w:kern w:val="2"/>
          <w:sz w:val="24"/>
          <w:szCs w:val="24"/>
          <w:highlight w:val="none"/>
          <w:lang w:val="en-US" w:eastAsia="zh-CN" w:bidi="ar-SA"/>
        </w:rPr>
        <w:t>十九、合同的生效及其他</w:t>
      </w:r>
      <w:bookmarkEnd w:id="77"/>
      <w:bookmarkEnd w:id="78"/>
    </w:p>
    <w:p w14:paraId="32151A6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政府采购项目的采购合同内容的确定应以采购文件和响应文件为基础，不得违背其实质性内容。</w:t>
      </w:r>
    </w:p>
    <w:p w14:paraId="0C0AB58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合同将在</w:t>
      </w:r>
      <w:r>
        <w:rPr>
          <w:rFonts w:hint="eastAsia" w:ascii="宋体" w:hAnsi="宋体" w:cs="宋体"/>
          <w:color w:val="auto"/>
          <w:sz w:val="24"/>
          <w:szCs w:val="24"/>
          <w:highlight w:val="none"/>
          <w:lang w:val="en-US" w:eastAsia="zh-CN"/>
        </w:rPr>
        <w:t>甲、乙</w:t>
      </w:r>
      <w:r>
        <w:rPr>
          <w:rFonts w:hint="eastAsia" w:ascii="宋体" w:hAnsi="宋体" w:cs="宋体"/>
          <w:color w:val="auto"/>
          <w:sz w:val="24"/>
          <w:szCs w:val="24"/>
          <w:highlight w:val="none"/>
        </w:rPr>
        <w:t>双方</w:t>
      </w:r>
      <w:r>
        <w:rPr>
          <w:rFonts w:hint="eastAsia" w:ascii="宋体" w:hAnsi="宋体" w:cs="宋体"/>
          <w:color w:val="auto"/>
          <w:sz w:val="24"/>
          <w:szCs w:val="24"/>
          <w:highlight w:val="none"/>
          <w:lang w:val="en-US" w:eastAsia="zh-CN"/>
        </w:rPr>
        <w:t>法定代表人或授权代理人签名并加盖公章之日</w:t>
      </w:r>
      <w:r>
        <w:rPr>
          <w:rFonts w:hint="eastAsia" w:ascii="宋体" w:hAnsi="宋体" w:cs="宋体"/>
          <w:color w:val="auto"/>
          <w:sz w:val="24"/>
          <w:szCs w:val="24"/>
          <w:highlight w:val="none"/>
        </w:rPr>
        <w:t>生效。授权代表签署的后附法定代表人授权书。</w:t>
      </w:r>
    </w:p>
    <w:p w14:paraId="5B76AE98">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79" w:name="_Toc30201"/>
      <w:bookmarkStart w:id="80" w:name="_Toc14801"/>
      <w:r>
        <w:rPr>
          <w:rFonts w:hint="default" w:ascii="宋体" w:hAnsi="宋体" w:eastAsia="宋体" w:cs="宋体"/>
          <w:b/>
          <w:color w:val="auto"/>
          <w:kern w:val="2"/>
          <w:sz w:val="24"/>
          <w:szCs w:val="24"/>
          <w:highlight w:val="none"/>
          <w:lang w:val="en-US" w:eastAsia="zh-CN" w:bidi="ar-SA"/>
        </w:rPr>
        <w:t>二十、合同附件（如有）</w:t>
      </w:r>
      <w:bookmarkEnd w:id="79"/>
      <w:bookmarkEnd w:id="80"/>
    </w:p>
    <w:p w14:paraId="687C4FB3">
      <w:pPr>
        <w:pageBreakBefore w:val="0"/>
        <w:widowControl w:val="0"/>
        <w:kinsoku/>
        <w:wordWrap/>
        <w:overflowPunct/>
        <w:topLinePunct w:val="0"/>
        <w:autoSpaceDE/>
        <w:autoSpaceDN/>
        <w:bidi w:val="0"/>
        <w:snapToGrid w:val="0"/>
        <w:spacing w:line="440" w:lineRule="exact"/>
        <w:textAlignment w:val="auto"/>
        <w:rPr>
          <w:rFonts w:hint="eastAsia" w:ascii="宋体" w:hAnsi="宋体" w:cs="宋体"/>
          <w:color w:val="auto"/>
          <w:sz w:val="24"/>
          <w:szCs w:val="24"/>
          <w:highlight w:val="none"/>
        </w:rPr>
      </w:pPr>
    </w:p>
    <w:p w14:paraId="68FADBF8">
      <w:pPr>
        <w:keepNext/>
        <w:keepLines/>
        <w:pageBreakBefore w:val="0"/>
        <w:widowControl w:val="0"/>
        <w:numPr>
          <w:ilvl w:val="0"/>
          <w:numId w:val="0"/>
        </w:numPr>
        <w:kinsoku/>
        <w:wordWrap/>
        <w:overflowPunct/>
        <w:topLinePunct w:val="0"/>
        <w:autoSpaceDE/>
        <w:autoSpaceDN/>
        <w:bidi w:val="0"/>
        <w:spacing w:line="440" w:lineRule="exact"/>
        <w:ind w:left="528"/>
        <w:jc w:val="both"/>
        <w:textAlignment w:val="auto"/>
        <w:outlineLvl w:val="1"/>
        <w:rPr>
          <w:rFonts w:hint="default" w:ascii="宋体" w:hAnsi="宋体" w:eastAsia="宋体" w:cs="宋体"/>
          <w:b/>
          <w:color w:val="auto"/>
          <w:kern w:val="2"/>
          <w:sz w:val="24"/>
          <w:szCs w:val="24"/>
          <w:highlight w:val="none"/>
          <w:lang w:val="en-US" w:eastAsia="zh-CN" w:bidi="ar-SA"/>
        </w:rPr>
      </w:pPr>
      <w:bookmarkStart w:id="81" w:name="_Toc28047"/>
      <w:bookmarkStart w:id="82" w:name="_Toc755"/>
      <w:r>
        <w:rPr>
          <w:rFonts w:hint="default" w:ascii="宋体" w:hAnsi="宋体" w:eastAsia="宋体" w:cs="宋体"/>
          <w:b/>
          <w:color w:val="auto"/>
          <w:kern w:val="2"/>
          <w:sz w:val="24"/>
          <w:szCs w:val="24"/>
          <w:highlight w:val="none"/>
          <w:lang w:val="en-US" w:eastAsia="zh-CN" w:bidi="ar-SA"/>
        </w:rPr>
        <w:t>二十一、合同份数</w:t>
      </w:r>
      <w:bookmarkEnd w:id="81"/>
      <w:bookmarkEnd w:id="82"/>
    </w:p>
    <w:p w14:paraId="42366C6A">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本合同一式</w:t>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份，具同等法律效力。甲方执</w:t>
      </w:r>
      <w:r>
        <w:rPr>
          <w:rFonts w:hint="eastAsia" w:ascii="宋体" w:hAnsi="宋体" w:cs="宋体"/>
          <w:color w:val="auto"/>
          <w:sz w:val="24"/>
          <w:szCs w:val="24"/>
          <w:highlight w:val="none"/>
          <w:lang w:eastAsia="zh-CN"/>
        </w:rPr>
        <w:t>二份</w:t>
      </w:r>
      <w:r>
        <w:rPr>
          <w:rFonts w:hint="eastAsia" w:ascii="宋体" w:hAnsi="宋体" w:cs="宋体"/>
          <w:color w:val="auto"/>
          <w:sz w:val="24"/>
          <w:szCs w:val="24"/>
          <w:highlight w:val="none"/>
        </w:rPr>
        <w:t>、乙方执二份。</w:t>
      </w:r>
    </w:p>
    <w:p w14:paraId="793905A4">
      <w:pPr>
        <w:keepNext w:val="0"/>
        <w:keepLines w:val="0"/>
        <w:pageBreakBefore w:val="0"/>
        <w:widowControl w:val="0"/>
        <w:kinsoku/>
        <w:wordWrap/>
        <w:overflowPunct/>
        <w:topLinePunct w:val="0"/>
        <w:autoSpaceDE/>
        <w:autoSpaceDN/>
        <w:bidi w:val="0"/>
        <w:snapToGrid w:val="0"/>
        <w:spacing w:line="44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乙方（盖章）：        </w:t>
      </w:r>
    </w:p>
    <w:p w14:paraId="70991AFA">
      <w:pPr>
        <w:keepNext w:val="0"/>
        <w:keepLines w:val="0"/>
        <w:pageBreakBefore w:val="0"/>
        <w:widowControl w:val="0"/>
        <w:kinsoku/>
        <w:wordWrap/>
        <w:overflowPunct/>
        <w:topLinePunct w:val="0"/>
        <w:autoSpaceDE/>
        <w:autoSpaceDN/>
        <w:bidi w:val="0"/>
        <w:snapToGrid w:val="0"/>
        <w:spacing w:line="44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w:t>
      </w:r>
    </w:p>
    <w:p w14:paraId="450B0CC3">
      <w:pPr>
        <w:keepNext w:val="0"/>
        <w:keepLines w:val="0"/>
        <w:pageBreakBefore w:val="0"/>
        <w:widowControl w:val="0"/>
        <w:kinsoku/>
        <w:wordWrap/>
        <w:overflowPunct/>
        <w:topLinePunct w:val="0"/>
        <w:autoSpaceDE/>
        <w:autoSpaceDN/>
        <w:bidi w:val="0"/>
        <w:snapToGrid w:val="0"/>
        <w:spacing w:line="44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val="en-US" w:eastAsia="zh-CN"/>
        </w:rPr>
        <w:t>授权</w:t>
      </w:r>
      <w:r>
        <w:rPr>
          <w:rFonts w:hint="eastAsia" w:ascii="宋体" w:hAnsi="宋体" w:eastAsia="宋体" w:cs="宋体"/>
          <w:color w:val="auto"/>
          <w:sz w:val="24"/>
          <w:szCs w:val="24"/>
          <w:highlight w:val="none"/>
          <w:lang w:val="en-US" w:eastAsia="zh-CN"/>
        </w:rPr>
        <w:t>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rPr>
        <w:t>）：                或</w:t>
      </w:r>
      <w:r>
        <w:rPr>
          <w:rFonts w:hint="eastAsia" w:ascii="宋体" w:hAnsi="宋体" w:cs="宋体"/>
          <w:color w:val="auto"/>
          <w:sz w:val="24"/>
          <w:szCs w:val="24"/>
          <w:highlight w:val="none"/>
          <w:lang w:val="en-US" w:eastAsia="zh-CN"/>
        </w:rPr>
        <w:t>授权</w:t>
      </w:r>
      <w:r>
        <w:rPr>
          <w:rFonts w:hint="eastAsia" w:ascii="宋体" w:hAnsi="宋体" w:eastAsia="宋体" w:cs="宋体"/>
          <w:color w:val="auto"/>
          <w:sz w:val="24"/>
          <w:szCs w:val="24"/>
          <w:highlight w:val="none"/>
          <w:lang w:val="en-US" w:eastAsia="zh-CN"/>
        </w:rPr>
        <w:t>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rPr>
        <w:t xml:space="preserve">）：  </w:t>
      </w:r>
    </w:p>
    <w:p w14:paraId="7863190D">
      <w:pPr>
        <w:keepNext w:val="0"/>
        <w:keepLines w:val="0"/>
        <w:pageBreakBefore w:val="0"/>
        <w:widowControl w:val="0"/>
        <w:kinsoku/>
        <w:wordWrap/>
        <w:overflowPunct/>
        <w:topLinePunct w:val="0"/>
        <w:autoSpaceDE/>
        <w:autoSpaceDN/>
        <w:bidi w:val="0"/>
        <w:snapToGrid w:val="0"/>
        <w:spacing w:line="44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677A1913">
      <w:pPr>
        <w:keepNext w:val="0"/>
        <w:keepLines w:val="0"/>
        <w:pageBreakBefore w:val="0"/>
        <w:widowControl w:val="0"/>
        <w:kinsoku/>
        <w:wordWrap/>
        <w:overflowPunct/>
        <w:topLinePunct w:val="0"/>
        <w:autoSpaceDE/>
        <w:autoSpaceDN/>
        <w:bidi w:val="0"/>
        <w:snapToGrid w:val="0"/>
        <w:spacing w:line="44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241FF745">
      <w:pPr>
        <w:keepNext w:val="0"/>
        <w:keepLines w:val="0"/>
        <w:pageBreakBefore w:val="0"/>
        <w:widowControl w:val="0"/>
        <w:kinsoku/>
        <w:wordWrap/>
        <w:overflowPunct/>
        <w:topLinePunct w:val="0"/>
        <w:autoSpaceDE/>
        <w:autoSpaceDN/>
        <w:bidi w:val="0"/>
        <w:snapToGrid w:val="0"/>
        <w:spacing w:line="44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118DD76B">
      <w:pPr>
        <w:keepNext w:val="0"/>
        <w:keepLines w:val="0"/>
        <w:pageBreakBefore w:val="0"/>
        <w:widowControl w:val="0"/>
        <w:kinsoku/>
        <w:wordWrap/>
        <w:overflowPunct/>
        <w:topLinePunct w:val="0"/>
        <w:autoSpaceDE/>
        <w:autoSpaceDN/>
        <w:bidi w:val="0"/>
        <w:snapToGrid w:val="0"/>
        <w:spacing w:line="44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200651B2">
      <w:pPr>
        <w:keepNext w:val="0"/>
        <w:keepLines w:val="0"/>
        <w:pageBreakBefore w:val="0"/>
        <w:widowControl w:val="0"/>
        <w:kinsoku/>
        <w:wordWrap/>
        <w:overflowPunct/>
        <w:topLinePunct w:val="0"/>
        <w:autoSpaceDE/>
        <w:autoSpaceDN/>
        <w:bidi w:val="0"/>
        <w:snapToGrid w:val="0"/>
        <w:spacing w:line="440" w:lineRule="exact"/>
        <w:ind w:right="0" w:rightChars="0"/>
        <w:jc w:val="left"/>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帐号：                                    帐号</w:t>
      </w:r>
      <w:r>
        <w:rPr>
          <w:rFonts w:hint="eastAsia" w:ascii="宋体" w:hAnsi="宋体" w:eastAsia="宋体" w:cs="宋体"/>
          <w:color w:val="auto"/>
          <w:sz w:val="24"/>
          <w:szCs w:val="24"/>
          <w:highlight w:val="none"/>
          <w:lang w:eastAsia="zh-CN"/>
        </w:rPr>
        <w:t>：</w:t>
      </w:r>
    </w:p>
    <w:p w14:paraId="5528567B">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rPr>
      </w:pPr>
    </w:p>
    <w:p w14:paraId="7D8F3932">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签约地点：</w:t>
      </w:r>
      <w:r>
        <w:rPr>
          <w:rFonts w:hint="eastAsia" w:ascii="宋体" w:hAnsi="宋体" w:cs="宋体"/>
          <w:color w:val="auto"/>
          <w:sz w:val="24"/>
          <w:szCs w:val="24"/>
          <w:highlight w:val="none"/>
          <w:lang w:eastAsia="zh-CN"/>
        </w:rPr>
        <w:t>衢州市柯城区</w:t>
      </w:r>
    </w:p>
    <w:p w14:paraId="6E0A1FA2">
      <w:pPr>
        <w:spacing w:line="288" w:lineRule="auto"/>
        <w:jc w:val="left"/>
        <w:outlineLvl w:val="0"/>
        <w:rPr>
          <w:rFonts w:hint="eastAsia" w:ascii="宋体" w:cs="宋体"/>
          <w:color w:val="auto"/>
          <w:sz w:val="21"/>
          <w:szCs w:val="21"/>
          <w:highlight w:val="none"/>
          <w:lang w:val="en-US" w:eastAsia="zh-CN"/>
        </w:rPr>
      </w:pPr>
      <w:r>
        <w:rPr>
          <w:rFonts w:hint="eastAsia" w:ascii="宋体" w:cs="宋体"/>
          <w:color w:val="auto"/>
          <w:sz w:val="21"/>
          <w:szCs w:val="21"/>
          <w:highlight w:val="none"/>
          <w:lang w:val="en-US" w:eastAsia="zh-CN"/>
        </w:rPr>
        <w:t xml:space="preserve">                     </w:t>
      </w:r>
    </w:p>
    <w:p w14:paraId="03A7DBB5">
      <w:pPr>
        <w:spacing w:line="288" w:lineRule="auto"/>
        <w:jc w:val="left"/>
        <w:outlineLvl w:val="0"/>
        <w:rPr>
          <w:rFonts w:hint="eastAsia" w:ascii="宋体" w:cs="宋体"/>
          <w:color w:val="auto"/>
          <w:sz w:val="21"/>
          <w:szCs w:val="21"/>
          <w:highlight w:val="none"/>
          <w:lang w:val="en-US" w:eastAsia="zh-CN"/>
        </w:rPr>
      </w:pPr>
    </w:p>
    <w:p w14:paraId="054A8C8A">
      <w:pPr>
        <w:spacing w:line="288" w:lineRule="auto"/>
        <w:jc w:val="left"/>
        <w:outlineLvl w:val="0"/>
        <w:rPr>
          <w:rFonts w:hint="eastAsia" w:ascii="宋体" w:cs="宋体"/>
          <w:color w:val="auto"/>
          <w:sz w:val="21"/>
          <w:szCs w:val="21"/>
          <w:highlight w:val="none"/>
          <w:lang w:val="en-US" w:eastAsia="zh-CN"/>
        </w:rPr>
      </w:pPr>
    </w:p>
    <w:p w14:paraId="09504736">
      <w:pPr>
        <w:spacing w:line="288" w:lineRule="auto"/>
        <w:jc w:val="left"/>
        <w:outlineLvl w:val="0"/>
        <w:rPr>
          <w:rFonts w:hint="eastAsia" w:ascii="宋体" w:cs="宋体"/>
          <w:color w:val="auto"/>
          <w:sz w:val="21"/>
          <w:szCs w:val="21"/>
          <w:highlight w:val="none"/>
          <w:lang w:val="en-US" w:eastAsia="zh-CN"/>
        </w:rPr>
      </w:pPr>
    </w:p>
    <w:p w14:paraId="5D67B852">
      <w:pPr>
        <w:spacing w:line="288" w:lineRule="auto"/>
        <w:jc w:val="left"/>
        <w:outlineLvl w:val="0"/>
        <w:rPr>
          <w:rFonts w:hint="eastAsia" w:ascii="宋体" w:cs="宋体"/>
          <w:color w:val="auto"/>
          <w:sz w:val="21"/>
          <w:szCs w:val="21"/>
          <w:highlight w:val="none"/>
          <w:lang w:val="en-US" w:eastAsia="zh-CN"/>
        </w:rPr>
      </w:pPr>
    </w:p>
    <w:p w14:paraId="233DEE4B">
      <w:pPr>
        <w:spacing w:line="288" w:lineRule="auto"/>
        <w:jc w:val="left"/>
        <w:outlineLvl w:val="0"/>
        <w:rPr>
          <w:rFonts w:hint="eastAsia" w:ascii="宋体" w:cs="宋体"/>
          <w:color w:val="auto"/>
          <w:sz w:val="21"/>
          <w:szCs w:val="21"/>
          <w:highlight w:val="none"/>
          <w:lang w:val="en-US" w:eastAsia="zh-CN"/>
        </w:rPr>
      </w:pPr>
    </w:p>
    <w:p w14:paraId="4F52BC54">
      <w:pPr>
        <w:spacing w:line="288" w:lineRule="auto"/>
        <w:jc w:val="left"/>
        <w:outlineLvl w:val="0"/>
        <w:rPr>
          <w:rFonts w:hint="eastAsia" w:ascii="宋体" w:cs="宋体"/>
          <w:color w:val="auto"/>
          <w:sz w:val="21"/>
          <w:szCs w:val="21"/>
          <w:highlight w:val="none"/>
          <w:lang w:val="en-US" w:eastAsia="zh-CN"/>
        </w:rPr>
      </w:pPr>
    </w:p>
    <w:p w14:paraId="34C40173">
      <w:pPr>
        <w:spacing w:line="288" w:lineRule="auto"/>
        <w:jc w:val="left"/>
        <w:outlineLvl w:val="0"/>
        <w:rPr>
          <w:rFonts w:hint="eastAsia" w:ascii="宋体" w:cs="宋体"/>
          <w:color w:val="auto"/>
          <w:sz w:val="21"/>
          <w:szCs w:val="21"/>
          <w:highlight w:val="none"/>
          <w:lang w:val="en-US" w:eastAsia="zh-CN"/>
        </w:rPr>
      </w:pPr>
    </w:p>
    <w:p w14:paraId="240EA91F">
      <w:pPr>
        <w:spacing w:line="288" w:lineRule="auto"/>
        <w:jc w:val="left"/>
        <w:outlineLvl w:val="0"/>
        <w:rPr>
          <w:rFonts w:hint="eastAsia" w:ascii="宋体" w:cs="宋体"/>
          <w:color w:val="auto"/>
          <w:sz w:val="21"/>
          <w:szCs w:val="21"/>
          <w:highlight w:val="none"/>
          <w:lang w:val="en-US" w:eastAsia="zh-CN"/>
        </w:rPr>
      </w:pPr>
    </w:p>
    <w:p w14:paraId="17EDBAE2">
      <w:pPr>
        <w:spacing w:line="288" w:lineRule="auto"/>
        <w:jc w:val="left"/>
        <w:outlineLvl w:val="0"/>
        <w:rPr>
          <w:rFonts w:hint="eastAsia" w:ascii="宋体" w:cs="宋体"/>
          <w:color w:val="auto"/>
          <w:sz w:val="21"/>
          <w:szCs w:val="21"/>
          <w:highlight w:val="none"/>
          <w:lang w:val="en-US" w:eastAsia="zh-CN"/>
        </w:rPr>
      </w:pPr>
    </w:p>
    <w:p w14:paraId="1A2FFFC2">
      <w:pPr>
        <w:spacing w:line="288" w:lineRule="auto"/>
        <w:jc w:val="left"/>
        <w:outlineLvl w:val="0"/>
        <w:rPr>
          <w:rFonts w:hint="eastAsia" w:ascii="宋体" w:cs="宋体"/>
          <w:color w:val="auto"/>
          <w:sz w:val="21"/>
          <w:szCs w:val="21"/>
          <w:highlight w:val="none"/>
          <w:lang w:val="en-US" w:eastAsia="zh-CN"/>
        </w:rPr>
      </w:pPr>
    </w:p>
    <w:p w14:paraId="05994C7A">
      <w:pPr>
        <w:spacing w:line="288" w:lineRule="auto"/>
        <w:jc w:val="left"/>
        <w:outlineLvl w:val="0"/>
        <w:rPr>
          <w:rFonts w:hint="eastAsia" w:ascii="宋体" w:cs="宋体"/>
          <w:color w:val="auto"/>
          <w:sz w:val="21"/>
          <w:szCs w:val="21"/>
          <w:highlight w:val="none"/>
          <w:lang w:val="en-US" w:eastAsia="zh-CN"/>
        </w:rPr>
      </w:pPr>
    </w:p>
    <w:p w14:paraId="4B77F3D6">
      <w:pPr>
        <w:spacing w:line="288" w:lineRule="auto"/>
        <w:jc w:val="left"/>
        <w:outlineLvl w:val="0"/>
        <w:rPr>
          <w:rFonts w:hint="eastAsia" w:ascii="宋体" w:cs="宋体"/>
          <w:color w:val="auto"/>
          <w:sz w:val="21"/>
          <w:szCs w:val="21"/>
          <w:highlight w:val="none"/>
          <w:lang w:val="en-US" w:eastAsia="zh-CN"/>
        </w:rPr>
      </w:pPr>
    </w:p>
    <w:p w14:paraId="67208D4B">
      <w:pPr>
        <w:spacing w:line="288" w:lineRule="auto"/>
        <w:jc w:val="left"/>
        <w:outlineLvl w:val="0"/>
        <w:rPr>
          <w:rFonts w:hint="eastAsia" w:ascii="宋体" w:cs="宋体"/>
          <w:color w:val="auto"/>
          <w:sz w:val="21"/>
          <w:szCs w:val="21"/>
          <w:highlight w:val="none"/>
          <w:lang w:val="en-US" w:eastAsia="zh-CN"/>
        </w:rPr>
      </w:pPr>
    </w:p>
    <w:p w14:paraId="4AEA24B5">
      <w:pPr>
        <w:spacing w:line="288" w:lineRule="auto"/>
        <w:jc w:val="left"/>
        <w:outlineLvl w:val="0"/>
        <w:rPr>
          <w:rFonts w:hint="eastAsia" w:ascii="宋体" w:cs="宋体"/>
          <w:color w:val="auto"/>
          <w:sz w:val="21"/>
          <w:szCs w:val="21"/>
          <w:highlight w:val="none"/>
          <w:lang w:val="en-US" w:eastAsia="zh-CN"/>
        </w:rPr>
      </w:pPr>
    </w:p>
    <w:p w14:paraId="322C2A10">
      <w:pPr>
        <w:pStyle w:val="13"/>
        <w:rPr>
          <w:rFonts w:hint="eastAsia" w:ascii="宋体" w:cs="宋体"/>
          <w:color w:val="auto"/>
          <w:sz w:val="21"/>
          <w:szCs w:val="21"/>
          <w:highlight w:val="none"/>
          <w:lang w:val="en-US" w:eastAsia="zh-CN"/>
        </w:rPr>
      </w:pPr>
    </w:p>
    <w:p w14:paraId="12FF5E32">
      <w:pPr>
        <w:pStyle w:val="2"/>
        <w:rPr>
          <w:rFonts w:hint="eastAsia" w:ascii="宋体" w:cs="宋体"/>
          <w:color w:val="auto"/>
          <w:sz w:val="21"/>
          <w:szCs w:val="21"/>
          <w:highlight w:val="none"/>
          <w:lang w:val="en-US" w:eastAsia="zh-CN"/>
        </w:rPr>
      </w:pPr>
    </w:p>
    <w:p w14:paraId="64DFAA76">
      <w:pPr>
        <w:rPr>
          <w:rFonts w:hint="eastAsia" w:ascii="宋体" w:cs="宋体"/>
          <w:color w:val="auto"/>
          <w:sz w:val="21"/>
          <w:szCs w:val="21"/>
          <w:highlight w:val="none"/>
          <w:lang w:val="en-US" w:eastAsia="zh-CN"/>
        </w:rPr>
      </w:pPr>
    </w:p>
    <w:p w14:paraId="3478E483">
      <w:pPr>
        <w:pStyle w:val="13"/>
        <w:rPr>
          <w:rFonts w:hint="eastAsia" w:ascii="宋体" w:cs="宋体"/>
          <w:color w:val="auto"/>
          <w:sz w:val="21"/>
          <w:szCs w:val="21"/>
          <w:highlight w:val="none"/>
          <w:lang w:val="en-US" w:eastAsia="zh-CN"/>
        </w:rPr>
      </w:pPr>
    </w:p>
    <w:p w14:paraId="1441804E">
      <w:pPr>
        <w:pStyle w:val="2"/>
        <w:rPr>
          <w:rFonts w:hint="eastAsia" w:ascii="宋体" w:cs="宋体"/>
          <w:color w:val="auto"/>
          <w:sz w:val="21"/>
          <w:szCs w:val="21"/>
          <w:highlight w:val="none"/>
          <w:lang w:val="en-US" w:eastAsia="zh-CN"/>
        </w:rPr>
      </w:pPr>
    </w:p>
    <w:p w14:paraId="722E7E18">
      <w:pPr>
        <w:rPr>
          <w:rFonts w:hint="eastAsia" w:ascii="宋体" w:cs="宋体"/>
          <w:color w:val="auto"/>
          <w:sz w:val="21"/>
          <w:szCs w:val="21"/>
          <w:highlight w:val="none"/>
          <w:lang w:val="en-US" w:eastAsia="zh-CN"/>
        </w:rPr>
      </w:pPr>
    </w:p>
    <w:p w14:paraId="5C1AF7AA">
      <w:pPr>
        <w:pStyle w:val="13"/>
        <w:rPr>
          <w:rFonts w:hint="eastAsia"/>
          <w:highlight w:val="none"/>
          <w:lang w:val="en-US" w:eastAsia="zh-CN"/>
        </w:rPr>
      </w:pPr>
    </w:p>
    <w:p w14:paraId="59318E39">
      <w:pPr>
        <w:pStyle w:val="2"/>
        <w:rPr>
          <w:rFonts w:hint="eastAsia"/>
          <w:highlight w:val="none"/>
          <w:lang w:val="en-US" w:eastAsia="zh-CN"/>
        </w:rPr>
      </w:pPr>
    </w:p>
    <w:p w14:paraId="1B959C34">
      <w:pPr>
        <w:spacing w:line="288" w:lineRule="auto"/>
        <w:jc w:val="center"/>
        <w:outlineLvl w:val="0"/>
        <w:rPr>
          <w:rFonts w:ascii="宋体" w:cs="宋体"/>
          <w:b/>
          <w:color w:val="auto"/>
          <w:spacing w:val="-6"/>
          <w:sz w:val="32"/>
          <w:szCs w:val="32"/>
          <w:highlight w:val="none"/>
        </w:rPr>
      </w:pPr>
      <w:r>
        <w:rPr>
          <w:rFonts w:hint="eastAsia" w:ascii="宋体" w:hAnsi="宋体" w:cs="宋体"/>
          <w:b/>
          <w:color w:val="auto"/>
          <w:sz w:val="32"/>
          <w:szCs w:val="32"/>
          <w:highlight w:val="none"/>
        </w:rPr>
        <w:t>第五章  评标办法及评分标准</w:t>
      </w:r>
    </w:p>
    <w:p w14:paraId="2F9751DF">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ascii="宋体" w:hAnsi="宋体"/>
          <w:b/>
          <w:bCs w:val="0"/>
          <w:color w:val="auto"/>
          <w:sz w:val="24"/>
          <w:highlight w:val="none"/>
        </w:rPr>
      </w:pPr>
      <w:r>
        <w:rPr>
          <w:rFonts w:hint="eastAsia" w:ascii="宋体" w:hAnsi="宋体"/>
          <w:b/>
          <w:bCs w:val="0"/>
          <w:color w:val="auto"/>
          <w:sz w:val="24"/>
          <w:highlight w:val="none"/>
        </w:rPr>
        <w:t>一、评标委员会</w:t>
      </w:r>
    </w:p>
    <w:p w14:paraId="49A3FC53">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1.评标委员会依法由相关专家组成，人数为</w:t>
      </w:r>
      <w:r>
        <w:rPr>
          <w:rFonts w:hint="eastAsia" w:ascii="宋体" w:hAnsi="宋体"/>
          <w:color w:val="auto"/>
          <w:sz w:val="24"/>
          <w:highlight w:val="none"/>
          <w:lang w:val="en-US" w:eastAsia="zh-CN"/>
        </w:rPr>
        <w:t>7</w:t>
      </w:r>
      <w:r>
        <w:rPr>
          <w:rFonts w:hint="eastAsia" w:ascii="宋体" w:hAnsi="宋体"/>
          <w:color w:val="auto"/>
          <w:sz w:val="24"/>
          <w:highlight w:val="none"/>
        </w:rPr>
        <w:t>人（含）以上奇数。</w:t>
      </w:r>
    </w:p>
    <w:p w14:paraId="1064D8BD">
      <w:pPr>
        <w:pStyle w:val="16"/>
        <w:keepNext w:val="0"/>
        <w:keepLines w:val="0"/>
        <w:pageBreakBefore w:val="0"/>
        <w:widowControl w:val="0"/>
        <w:kinsoku/>
        <w:wordWrap/>
        <w:overflowPunct/>
        <w:topLinePunct w:val="0"/>
        <w:autoSpaceDE/>
        <w:autoSpaceDN/>
        <w:bidi w:val="0"/>
        <w:adjustRightInd/>
        <w:snapToGrid w:val="0"/>
        <w:spacing w:beforeLines="0" w:afterLines="0" w:line="420" w:lineRule="exact"/>
        <w:ind w:firstLine="480" w:firstLineChars="200"/>
        <w:textAlignment w:val="auto"/>
        <w:rPr>
          <w:rFonts w:hAnsi="宋体"/>
          <w:color w:val="auto"/>
          <w:highlight w:val="none"/>
        </w:rPr>
      </w:pPr>
      <w:r>
        <w:rPr>
          <w:rFonts w:hint="eastAsia" w:hAnsi="宋体"/>
          <w:color w:val="auto"/>
          <w:highlight w:val="none"/>
        </w:rPr>
        <w:t>2.询标期间，工作人员通过政采云系统向投标人发出在线询标内容，投标人代表（30分钟内，若有特殊情况需延长询标时间，则由评标委员会确定）在政采云平台上负责解答及上传相关文件。</w:t>
      </w:r>
    </w:p>
    <w:p w14:paraId="6B72D7AD">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b/>
          <w:bCs w:val="0"/>
          <w:color w:val="auto"/>
          <w:sz w:val="24"/>
          <w:highlight w:val="none"/>
        </w:rPr>
      </w:pPr>
      <w:r>
        <w:rPr>
          <w:rFonts w:hint="eastAsia" w:ascii="宋体" w:hAnsi="宋体"/>
          <w:b/>
          <w:bCs w:val="0"/>
          <w:color w:val="auto"/>
          <w:sz w:val="24"/>
          <w:highlight w:val="none"/>
        </w:rPr>
        <w:t>二、评标原则</w:t>
      </w:r>
    </w:p>
    <w:p w14:paraId="73AE4CEE">
      <w:pPr>
        <w:pStyle w:val="16"/>
        <w:keepNext w:val="0"/>
        <w:keepLines w:val="0"/>
        <w:pageBreakBefore w:val="0"/>
        <w:widowControl w:val="0"/>
        <w:kinsoku/>
        <w:wordWrap/>
        <w:overflowPunct/>
        <w:topLinePunct w:val="0"/>
        <w:autoSpaceDE/>
        <w:autoSpaceDN/>
        <w:bidi w:val="0"/>
        <w:adjustRightInd/>
        <w:snapToGrid w:val="0"/>
        <w:spacing w:beforeLines="0" w:afterLines="0" w:line="420" w:lineRule="exact"/>
        <w:ind w:firstLine="480" w:firstLineChars="200"/>
        <w:textAlignment w:val="auto"/>
        <w:rPr>
          <w:rFonts w:hAnsi="宋体"/>
          <w:color w:val="auto"/>
          <w:highlight w:val="none"/>
        </w:rPr>
      </w:pPr>
      <w:r>
        <w:rPr>
          <w:rFonts w:hint="eastAsia" w:hAnsi="宋体"/>
          <w:color w:val="auto"/>
          <w:highlight w:val="none"/>
        </w:rPr>
        <w:t>1.评标委员会将遵循公开、公平、公正的原则，对投标人提供货物的技术性能、交货期限、状态、售后服务、资信情况、履约能力等进行综合分析考评，由评委独立打分，评委所评分值的算术平均值即为各供应商的商务技术得分，商务技术得分加报价得分为总分（满分100分），</w:t>
      </w:r>
      <w:r>
        <w:rPr>
          <w:rFonts w:hAnsi="宋体"/>
          <w:color w:val="auto"/>
          <w:highlight w:val="none"/>
        </w:rPr>
        <w:t>按</w:t>
      </w:r>
      <w:r>
        <w:rPr>
          <w:rFonts w:hint="eastAsia" w:hAnsi="宋体"/>
          <w:color w:val="auto"/>
          <w:highlight w:val="none"/>
        </w:rPr>
        <w:t>总</w:t>
      </w:r>
      <w:r>
        <w:rPr>
          <w:rFonts w:hAnsi="宋体"/>
          <w:color w:val="auto"/>
          <w:highlight w:val="none"/>
        </w:rPr>
        <w:t>分由高到低顺序排列</w:t>
      </w:r>
      <w:r>
        <w:rPr>
          <w:rFonts w:hint="eastAsia" w:hAnsi="宋体"/>
          <w:color w:val="auto"/>
          <w:highlight w:val="none"/>
        </w:rPr>
        <w:t>；若</w:t>
      </w:r>
      <w:r>
        <w:rPr>
          <w:rFonts w:hAnsi="宋体"/>
          <w:color w:val="auto"/>
          <w:highlight w:val="none"/>
        </w:rPr>
        <w:t>得分相同的，按投标报价</w:t>
      </w:r>
      <w:r>
        <w:rPr>
          <w:rFonts w:hint="eastAsia" w:hAnsi="宋体"/>
          <w:color w:val="auto"/>
          <w:highlight w:val="none"/>
        </w:rPr>
        <w:t>优劣</w:t>
      </w:r>
      <w:r>
        <w:rPr>
          <w:rFonts w:hAnsi="宋体"/>
          <w:color w:val="auto"/>
          <w:highlight w:val="none"/>
        </w:rPr>
        <w:t>顺序排列</w:t>
      </w:r>
      <w:r>
        <w:rPr>
          <w:rFonts w:hint="eastAsia" w:hAnsi="宋体"/>
          <w:color w:val="auto"/>
          <w:highlight w:val="none"/>
        </w:rPr>
        <w:t>；若</w:t>
      </w:r>
      <w:r>
        <w:rPr>
          <w:rFonts w:hAnsi="宋体"/>
          <w:color w:val="auto"/>
          <w:highlight w:val="none"/>
        </w:rPr>
        <w:t>得分且投标报价</w:t>
      </w:r>
      <w:r>
        <w:rPr>
          <w:rFonts w:hint="eastAsia" w:hAnsi="宋体"/>
          <w:color w:val="auto"/>
          <w:highlight w:val="none"/>
        </w:rPr>
        <w:t>均</w:t>
      </w:r>
      <w:r>
        <w:rPr>
          <w:rFonts w:hAnsi="宋体"/>
          <w:color w:val="auto"/>
          <w:highlight w:val="none"/>
        </w:rPr>
        <w:t>相同</w:t>
      </w:r>
      <w:r>
        <w:rPr>
          <w:rFonts w:hint="eastAsia" w:hAnsi="宋体"/>
          <w:color w:val="auto"/>
          <w:highlight w:val="none"/>
        </w:rPr>
        <w:t>，</w:t>
      </w:r>
      <w:r>
        <w:rPr>
          <w:rFonts w:hAnsi="宋体"/>
          <w:color w:val="auto"/>
          <w:highlight w:val="none"/>
        </w:rPr>
        <w:t>投标文件满足招标文件全部实质性要求，且按照评审因素的量化指标评审得分顺序排列</w:t>
      </w:r>
      <w:r>
        <w:rPr>
          <w:rFonts w:hint="eastAsia" w:hAnsi="宋体"/>
          <w:color w:val="auto"/>
          <w:highlight w:val="none"/>
        </w:rPr>
        <w:t>；若三者均相同，则现场抽签确定。本项目最终确定</w:t>
      </w:r>
      <w:r>
        <w:rPr>
          <w:rFonts w:hint="eastAsia" w:hAnsi="宋体"/>
          <w:color w:val="auto"/>
          <w:highlight w:val="none"/>
          <w:lang w:eastAsia="zh-CN"/>
        </w:rPr>
        <w:t>一</w:t>
      </w:r>
      <w:r>
        <w:rPr>
          <w:rFonts w:hint="eastAsia" w:hAnsi="宋体"/>
          <w:color w:val="auto"/>
          <w:highlight w:val="none"/>
        </w:rPr>
        <w:t>名中标人，即</w:t>
      </w:r>
      <w:r>
        <w:rPr>
          <w:rFonts w:hAnsi="宋体"/>
          <w:color w:val="auto"/>
          <w:highlight w:val="none"/>
        </w:rPr>
        <w:t>评审得分最高的投标人为第一的中标候选人</w:t>
      </w:r>
      <w:r>
        <w:rPr>
          <w:rFonts w:hint="eastAsia" w:hAnsi="宋体"/>
          <w:color w:val="auto"/>
          <w:highlight w:val="none"/>
        </w:rPr>
        <w:t>，预中标人不得随意放弃中标权，否则将承担相应法律后果，由第二中标候选人增补，以此类推。</w:t>
      </w:r>
    </w:p>
    <w:p w14:paraId="73B99AB9">
      <w:pPr>
        <w:pStyle w:val="16"/>
        <w:keepNext w:val="0"/>
        <w:keepLines w:val="0"/>
        <w:pageBreakBefore w:val="0"/>
        <w:widowControl w:val="0"/>
        <w:kinsoku/>
        <w:wordWrap/>
        <w:overflowPunct/>
        <w:topLinePunct w:val="0"/>
        <w:autoSpaceDE/>
        <w:autoSpaceDN/>
        <w:bidi w:val="0"/>
        <w:adjustRightInd/>
        <w:snapToGrid w:val="0"/>
        <w:spacing w:beforeLines="0" w:afterLines="0" w:line="420" w:lineRule="exact"/>
        <w:ind w:firstLine="480" w:firstLineChars="200"/>
        <w:textAlignment w:val="auto"/>
        <w:rPr>
          <w:rFonts w:hAnsi="宋体"/>
          <w:color w:val="auto"/>
          <w:highlight w:val="none"/>
        </w:rPr>
      </w:pPr>
      <w:r>
        <w:rPr>
          <w:rFonts w:hint="eastAsia" w:hAnsi="宋体"/>
          <w:color w:val="auto"/>
          <w:highlight w:val="none"/>
        </w:rPr>
        <w:t>2.客观公正的对待所有投标人，对所有投标评价，均采用相同的程序和标准。</w:t>
      </w:r>
    </w:p>
    <w:p w14:paraId="32DCAB2A">
      <w:pPr>
        <w:pStyle w:val="16"/>
        <w:keepNext w:val="0"/>
        <w:keepLines w:val="0"/>
        <w:pageBreakBefore w:val="0"/>
        <w:widowControl w:val="0"/>
        <w:kinsoku/>
        <w:wordWrap/>
        <w:overflowPunct/>
        <w:topLinePunct w:val="0"/>
        <w:autoSpaceDE/>
        <w:autoSpaceDN/>
        <w:bidi w:val="0"/>
        <w:adjustRightInd/>
        <w:snapToGrid w:val="0"/>
        <w:spacing w:beforeLines="0" w:afterLines="0" w:line="420" w:lineRule="exact"/>
        <w:ind w:firstLine="480" w:firstLineChars="200"/>
        <w:textAlignment w:val="auto"/>
        <w:rPr>
          <w:rFonts w:hAnsi="宋体"/>
          <w:color w:val="auto"/>
          <w:highlight w:val="none"/>
        </w:rPr>
      </w:pPr>
      <w:r>
        <w:rPr>
          <w:rFonts w:hint="eastAsia" w:hAnsi="宋体"/>
          <w:color w:val="auto"/>
          <w:highlight w:val="none"/>
        </w:rPr>
        <w:t>3.在开标、投标期间，投标人不得向评标委员会成员询问评标情况，不得进行旨在影响评标结果的活动。否则将废除其投标。</w:t>
      </w:r>
    </w:p>
    <w:p w14:paraId="64C400A7">
      <w:pPr>
        <w:pStyle w:val="16"/>
        <w:keepNext w:val="0"/>
        <w:keepLines w:val="0"/>
        <w:pageBreakBefore w:val="0"/>
        <w:widowControl w:val="0"/>
        <w:kinsoku/>
        <w:wordWrap/>
        <w:overflowPunct/>
        <w:topLinePunct w:val="0"/>
        <w:autoSpaceDE/>
        <w:autoSpaceDN/>
        <w:bidi w:val="0"/>
        <w:adjustRightInd/>
        <w:snapToGrid w:val="0"/>
        <w:spacing w:beforeLines="0" w:afterLines="0" w:line="420" w:lineRule="exact"/>
        <w:ind w:firstLine="480" w:firstLineChars="200"/>
        <w:textAlignment w:val="auto"/>
        <w:rPr>
          <w:rFonts w:hAnsi="宋体"/>
          <w:color w:val="auto"/>
          <w:highlight w:val="none"/>
        </w:rPr>
      </w:pPr>
      <w:r>
        <w:rPr>
          <w:rFonts w:hint="eastAsia" w:hAnsi="宋体"/>
          <w:color w:val="auto"/>
          <w:highlight w:val="none"/>
        </w:rPr>
        <w:t>4.在评标过程中，评标成员不得与投标人私下交换意见。在采购工作结束后，凡与评标情况有接触的任何人不得将评标情况扩散出评标成员之外。</w:t>
      </w:r>
    </w:p>
    <w:p w14:paraId="68945A27">
      <w:pPr>
        <w:pStyle w:val="16"/>
        <w:keepNext w:val="0"/>
        <w:keepLines w:val="0"/>
        <w:pageBreakBefore w:val="0"/>
        <w:widowControl w:val="0"/>
        <w:kinsoku/>
        <w:wordWrap/>
        <w:overflowPunct/>
        <w:topLinePunct w:val="0"/>
        <w:autoSpaceDE/>
        <w:autoSpaceDN/>
        <w:bidi w:val="0"/>
        <w:adjustRightInd/>
        <w:snapToGrid w:val="0"/>
        <w:spacing w:beforeLines="0" w:afterLines="0" w:line="420" w:lineRule="exact"/>
        <w:ind w:firstLine="480" w:firstLineChars="200"/>
        <w:textAlignment w:val="auto"/>
        <w:rPr>
          <w:rFonts w:hAnsi="宋体"/>
          <w:color w:val="auto"/>
          <w:highlight w:val="none"/>
        </w:rPr>
      </w:pPr>
      <w:r>
        <w:rPr>
          <w:rFonts w:hint="eastAsia" w:hAnsi="宋体"/>
          <w:color w:val="auto"/>
          <w:highlight w:val="none"/>
        </w:rPr>
        <w:t>5.评标委员会不向落标方解释落标原因，不退还投标文件。</w:t>
      </w:r>
    </w:p>
    <w:p w14:paraId="4A039DF2">
      <w:pPr>
        <w:pStyle w:val="16"/>
        <w:keepNext w:val="0"/>
        <w:keepLines w:val="0"/>
        <w:pageBreakBefore w:val="0"/>
        <w:widowControl w:val="0"/>
        <w:kinsoku/>
        <w:wordWrap/>
        <w:overflowPunct/>
        <w:topLinePunct w:val="0"/>
        <w:autoSpaceDE/>
        <w:autoSpaceDN/>
        <w:bidi w:val="0"/>
        <w:adjustRightInd/>
        <w:snapToGrid w:val="0"/>
        <w:spacing w:beforeLines="0" w:afterLines="0" w:line="420" w:lineRule="exact"/>
        <w:ind w:firstLine="480" w:firstLineChars="200"/>
        <w:textAlignment w:val="auto"/>
        <w:rPr>
          <w:rFonts w:hAnsi="宋体"/>
          <w:color w:val="auto"/>
          <w:highlight w:val="none"/>
        </w:rPr>
      </w:pPr>
      <w:r>
        <w:rPr>
          <w:rFonts w:hint="eastAsia" w:hAnsi="宋体"/>
          <w:color w:val="auto"/>
          <w:highlight w:val="none"/>
        </w:rPr>
        <w:t>6.评标结束后，经法定公示期限公示无异议后，由采购人授权采购代理机构签发《中标通知书》。</w:t>
      </w:r>
    </w:p>
    <w:p w14:paraId="65313018">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b/>
          <w:bCs w:val="0"/>
          <w:color w:val="auto"/>
          <w:sz w:val="24"/>
          <w:highlight w:val="none"/>
        </w:rPr>
      </w:pPr>
      <w:r>
        <w:rPr>
          <w:rFonts w:hint="eastAsia" w:ascii="宋体" w:hAnsi="宋体"/>
          <w:b/>
          <w:bCs w:val="0"/>
          <w:color w:val="auto"/>
          <w:sz w:val="24"/>
          <w:highlight w:val="none"/>
        </w:rPr>
        <w:t>三、评标内容及标准</w:t>
      </w:r>
    </w:p>
    <w:tbl>
      <w:tblPr>
        <w:tblStyle w:val="27"/>
        <w:tblW w:w="10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876"/>
        <w:gridCol w:w="6823"/>
        <w:gridCol w:w="970"/>
      </w:tblGrid>
      <w:tr w14:paraId="10DC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39" w:type="dxa"/>
            <w:vAlign w:val="center"/>
          </w:tcPr>
          <w:p w14:paraId="1095BB95">
            <w:pPr>
              <w:pStyle w:val="16"/>
              <w:keepNext w:val="0"/>
              <w:keepLines w:val="0"/>
              <w:pageBreakBefore w:val="0"/>
              <w:kinsoku/>
              <w:overflowPunct/>
              <w:topLinePunct w:val="0"/>
              <w:bidi w:val="0"/>
              <w:spacing w:line="420" w:lineRule="exact"/>
              <w:jc w:val="center"/>
              <w:rPr>
                <w:rFonts w:hAnsi="宋体" w:cs="宋体"/>
                <w:b/>
                <w:szCs w:val="21"/>
                <w:highlight w:val="none"/>
              </w:rPr>
            </w:pPr>
            <w:r>
              <w:rPr>
                <w:rFonts w:hint="eastAsia" w:hAnsi="宋体" w:cs="宋体"/>
                <w:b/>
                <w:szCs w:val="21"/>
                <w:highlight w:val="none"/>
              </w:rPr>
              <w:t>序号</w:t>
            </w:r>
          </w:p>
        </w:tc>
        <w:tc>
          <w:tcPr>
            <w:tcW w:w="1876" w:type="dxa"/>
            <w:vAlign w:val="center"/>
          </w:tcPr>
          <w:p w14:paraId="1014987D">
            <w:pPr>
              <w:pStyle w:val="16"/>
              <w:keepNext w:val="0"/>
              <w:keepLines w:val="0"/>
              <w:pageBreakBefore w:val="0"/>
              <w:kinsoku/>
              <w:overflowPunct/>
              <w:topLinePunct w:val="0"/>
              <w:bidi w:val="0"/>
              <w:spacing w:line="420" w:lineRule="exact"/>
              <w:jc w:val="center"/>
              <w:rPr>
                <w:rFonts w:hAnsi="宋体" w:cs="宋体"/>
                <w:b/>
                <w:szCs w:val="21"/>
                <w:highlight w:val="none"/>
              </w:rPr>
            </w:pPr>
            <w:r>
              <w:rPr>
                <w:rFonts w:hint="eastAsia" w:hAnsi="宋体" w:cs="宋体"/>
                <w:b/>
                <w:szCs w:val="21"/>
                <w:highlight w:val="none"/>
              </w:rPr>
              <w:t>评分内容</w:t>
            </w:r>
          </w:p>
        </w:tc>
        <w:tc>
          <w:tcPr>
            <w:tcW w:w="6823" w:type="dxa"/>
            <w:vAlign w:val="center"/>
          </w:tcPr>
          <w:p w14:paraId="742417BE">
            <w:pPr>
              <w:pStyle w:val="16"/>
              <w:keepNext w:val="0"/>
              <w:keepLines w:val="0"/>
              <w:pageBreakBefore w:val="0"/>
              <w:kinsoku/>
              <w:wordWrap/>
              <w:overflowPunct/>
              <w:topLinePunct w:val="0"/>
              <w:bidi w:val="0"/>
              <w:spacing w:line="420" w:lineRule="exact"/>
              <w:jc w:val="center"/>
              <w:rPr>
                <w:rFonts w:hAnsi="宋体" w:cs="宋体"/>
                <w:b/>
                <w:szCs w:val="21"/>
                <w:highlight w:val="none"/>
              </w:rPr>
            </w:pPr>
            <w:r>
              <w:rPr>
                <w:rFonts w:hint="eastAsia" w:hAnsi="宋体" w:cs="宋体"/>
                <w:b/>
                <w:szCs w:val="21"/>
                <w:highlight w:val="none"/>
              </w:rPr>
              <w:t>评分方法</w:t>
            </w:r>
          </w:p>
        </w:tc>
        <w:tc>
          <w:tcPr>
            <w:tcW w:w="970" w:type="dxa"/>
            <w:vAlign w:val="center"/>
          </w:tcPr>
          <w:p w14:paraId="2E23BAFC">
            <w:pPr>
              <w:pStyle w:val="16"/>
              <w:keepNext w:val="0"/>
              <w:keepLines w:val="0"/>
              <w:pageBreakBefore w:val="0"/>
              <w:kinsoku/>
              <w:overflowPunct/>
              <w:topLinePunct w:val="0"/>
              <w:bidi w:val="0"/>
              <w:spacing w:line="420" w:lineRule="exact"/>
              <w:jc w:val="center"/>
              <w:rPr>
                <w:rFonts w:hAnsi="宋体" w:cs="宋体"/>
                <w:b/>
                <w:szCs w:val="21"/>
                <w:highlight w:val="none"/>
              </w:rPr>
            </w:pPr>
            <w:r>
              <w:rPr>
                <w:rFonts w:hint="eastAsia" w:hAnsi="宋体" w:cs="宋体"/>
                <w:b/>
                <w:szCs w:val="21"/>
                <w:highlight w:val="none"/>
              </w:rPr>
              <w:t>分值</w:t>
            </w:r>
          </w:p>
        </w:tc>
      </w:tr>
      <w:tr w14:paraId="5EF3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39" w:type="dxa"/>
            <w:vAlign w:val="center"/>
          </w:tcPr>
          <w:p w14:paraId="42210A38">
            <w:pPr>
              <w:keepNext w:val="0"/>
              <w:keepLines w:val="0"/>
              <w:pageBreakBefore w:val="0"/>
              <w:kinsoku/>
              <w:overflowPunct/>
              <w:topLinePunct w:val="0"/>
              <w:bidi w:val="0"/>
              <w:spacing w:line="420" w:lineRule="exact"/>
              <w:jc w:val="center"/>
              <w:rPr>
                <w:rFonts w:ascii="宋体" w:hAnsi="宋体" w:cs="宋体"/>
                <w:bCs/>
                <w:sz w:val="24"/>
                <w:szCs w:val="24"/>
                <w:highlight w:val="none"/>
              </w:rPr>
            </w:pPr>
            <w:r>
              <w:rPr>
                <w:rFonts w:hint="eastAsia" w:ascii="宋体" w:hAnsi="宋体" w:cs="宋体"/>
                <w:bCs/>
                <w:sz w:val="24"/>
                <w:szCs w:val="24"/>
                <w:highlight w:val="none"/>
              </w:rPr>
              <w:t>1</w:t>
            </w:r>
          </w:p>
        </w:tc>
        <w:tc>
          <w:tcPr>
            <w:tcW w:w="1876" w:type="dxa"/>
            <w:vAlign w:val="center"/>
          </w:tcPr>
          <w:p w14:paraId="3134A95F">
            <w:pPr>
              <w:keepNext w:val="0"/>
              <w:keepLines w:val="0"/>
              <w:pageBreakBefore w:val="0"/>
              <w:kinsoku/>
              <w:overflowPunct/>
              <w:topLinePunct w:val="0"/>
              <w:bidi w:val="0"/>
              <w:spacing w:line="42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投标人资质</w:t>
            </w:r>
          </w:p>
        </w:tc>
        <w:tc>
          <w:tcPr>
            <w:tcW w:w="6823" w:type="dxa"/>
            <w:vAlign w:val="center"/>
          </w:tcPr>
          <w:p w14:paraId="4E1C85BC">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宋体"/>
                <w:bCs/>
                <w:sz w:val="24"/>
                <w:szCs w:val="24"/>
                <w:highlight w:val="none"/>
              </w:rPr>
            </w:pPr>
            <w:r>
              <w:rPr>
                <w:rFonts w:hint="eastAsia" w:ascii="宋体" w:hAnsi="宋体" w:eastAsia="宋体" w:cs="宋体"/>
                <w:sz w:val="24"/>
                <w:highlight w:val="none"/>
              </w:rPr>
              <w:t>投标人具有有效的</w:t>
            </w:r>
            <w:r>
              <w:rPr>
                <w:rFonts w:hint="eastAsia" w:ascii="宋体" w:hAnsi="宋体" w:cs="宋体"/>
                <w:bCs/>
                <w:sz w:val="24"/>
                <w:szCs w:val="24"/>
                <w:highlight w:val="none"/>
                <w:lang w:val="zh-CN" w:eastAsia="zh-CN"/>
              </w:rPr>
              <w:t>质量管理体系认证、环境管理体系</w:t>
            </w:r>
            <w:r>
              <w:rPr>
                <w:rFonts w:hint="eastAsia" w:ascii="宋体" w:hAnsi="宋体" w:cs="宋体"/>
                <w:bCs/>
                <w:sz w:val="24"/>
                <w:szCs w:val="24"/>
                <w:highlight w:val="none"/>
                <w:lang w:val="en-US" w:eastAsia="zh-CN"/>
              </w:rPr>
              <w:t>认证</w:t>
            </w:r>
            <w:r>
              <w:rPr>
                <w:rFonts w:hint="eastAsia" w:ascii="宋体" w:hAnsi="宋体" w:cs="宋体"/>
                <w:bCs/>
                <w:sz w:val="24"/>
                <w:szCs w:val="24"/>
                <w:highlight w:val="none"/>
                <w:lang w:val="zh-CN" w:eastAsia="zh-CN"/>
              </w:rPr>
              <w:t>、职业健康安全管理体系</w:t>
            </w:r>
            <w:r>
              <w:rPr>
                <w:rFonts w:hint="eastAsia" w:ascii="宋体" w:hAnsi="宋体" w:cs="宋体"/>
                <w:bCs/>
                <w:sz w:val="24"/>
                <w:szCs w:val="24"/>
                <w:highlight w:val="none"/>
                <w:lang w:val="en-US" w:eastAsia="zh-CN"/>
              </w:rPr>
              <w:t>认证</w:t>
            </w:r>
            <w:r>
              <w:rPr>
                <w:rFonts w:hint="eastAsia" w:ascii="宋体" w:hAnsi="宋体" w:cs="宋体"/>
                <w:bCs/>
                <w:sz w:val="24"/>
                <w:szCs w:val="24"/>
                <w:highlight w:val="none"/>
                <w:lang w:val="zh-CN" w:eastAsia="zh-CN"/>
              </w:rPr>
              <w:t>、信息技术服务管理体系认证、</w:t>
            </w:r>
            <w:r>
              <w:rPr>
                <w:rFonts w:hint="eastAsia" w:ascii="宋体" w:hAnsi="宋体" w:cs="宋体"/>
                <w:bCs/>
                <w:sz w:val="24"/>
                <w:szCs w:val="24"/>
                <w:highlight w:val="none"/>
                <w:lang w:val="en-US" w:eastAsia="zh-CN"/>
              </w:rPr>
              <w:t>信息安全管理体系认证</w:t>
            </w:r>
            <w:r>
              <w:rPr>
                <w:rFonts w:hint="eastAsia" w:ascii="宋体" w:hAnsi="宋体" w:cs="宋体"/>
                <w:bCs/>
                <w:sz w:val="24"/>
                <w:szCs w:val="24"/>
                <w:highlight w:val="none"/>
                <w:lang w:val="zh-CN" w:eastAsia="zh-CN"/>
              </w:rPr>
              <w:t>的每个证书得</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lang w:val="zh-CN" w:eastAsia="zh-CN"/>
              </w:rPr>
              <w:t>分，最高得</w:t>
            </w:r>
            <w:r>
              <w:rPr>
                <w:rFonts w:hint="eastAsia" w:ascii="宋体" w:hAnsi="宋体" w:cs="宋体"/>
                <w:bCs/>
                <w:sz w:val="24"/>
                <w:szCs w:val="24"/>
                <w:highlight w:val="none"/>
                <w:lang w:val="en-US" w:eastAsia="zh-CN"/>
              </w:rPr>
              <w:t>5分</w:t>
            </w:r>
            <w:r>
              <w:rPr>
                <w:rFonts w:hint="eastAsia" w:ascii="宋体" w:hAnsi="宋体" w:cs="宋体"/>
                <w:bCs/>
                <w:sz w:val="24"/>
                <w:szCs w:val="24"/>
                <w:highlight w:val="none"/>
              </w:rPr>
              <w:t>。</w:t>
            </w:r>
          </w:p>
          <w:p w14:paraId="714D4515">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宋体" w:hAnsi="宋体" w:cs="宋体"/>
                <w:sz w:val="24"/>
                <w:szCs w:val="24"/>
                <w:highlight w:val="none"/>
              </w:rPr>
            </w:pPr>
            <w:r>
              <w:rPr>
                <w:rFonts w:hint="eastAsia" w:ascii="宋体" w:hAnsi="宋体" w:cs="宋体"/>
                <w:bCs/>
                <w:sz w:val="24"/>
                <w:szCs w:val="24"/>
                <w:highlight w:val="none"/>
              </w:rPr>
              <w:t>注：</w:t>
            </w:r>
            <w:r>
              <w:rPr>
                <w:rFonts w:hint="eastAsia" w:ascii="宋体" w:hAnsi="宋体" w:cs="宋体"/>
                <w:sz w:val="24"/>
                <w:szCs w:val="24"/>
                <w:highlight w:val="none"/>
              </w:rPr>
              <w:t>须提供</w:t>
            </w:r>
            <w:r>
              <w:rPr>
                <w:rFonts w:hint="eastAsia" w:ascii="宋体" w:hAnsi="宋体" w:eastAsia="宋体" w:cs="宋体"/>
                <w:sz w:val="24"/>
                <w:highlight w:val="none"/>
              </w:rPr>
              <w:t>有效期内的</w:t>
            </w:r>
            <w:r>
              <w:rPr>
                <w:rFonts w:hint="eastAsia" w:ascii="宋体" w:hAnsi="宋体" w:cs="宋体"/>
                <w:bCs/>
                <w:sz w:val="24"/>
                <w:szCs w:val="24"/>
                <w:highlight w:val="none"/>
              </w:rPr>
              <w:t>证书</w:t>
            </w:r>
            <w:r>
              <w:rPr>
                <w:rFonts w:hint="eastAsia" w:ascii="宋体" w:hAnsi="宋体" w:cs="宋体"/>
                <w:bCs/>
                <w:sz w:val="24"/>
                <w:szCs w:val="24"/>
                <w:highlight w:val="none"/>
                <w:lang w:val="en-US" w:eastAsia="zh-CN"/>
              </w:rPr>
              <w:t>原件</w:t>
            </w:r>
            <w:r>
              <w:rPr>
                <w:rFonts w:hint="eastAsia" w:ascii="宋体" w:hAnsi="宋体" w:cs="宋体"/>
                <w:bCs/>
                <w:sz w:val="24"/>
                <w:szCs w:val="24"/>
                <w:highlight w:val="none"/>
              </w:rPr>
              <w:t>扫描件。</w:t>
            </w:r>
          </w:p>
        </w:tc>
        <w:tc>
          <w:tcPr>
            <w:tcW w:w="970" w:type="dxa"/>
            <w:vAlign w:val="center"/>
          </w:tcPr>
          <w:p w14:paraId="508AA5F0">
            <w:pPr>
              <w:pStyle w:val="16"/>
              <w:keepNext w:val="0"/>
              <w:keepLines w:val="0"/>
              <w:pageBreakBefore w:val="0"/>
              <w:kinsoku/>
              <w:overflowPunct/>
              <w:topLinePunct w:val="0"/>
              <w:bidi w:val="0"/>
              <w:spacing w:line="420" w:lineRule="exact"/>
              <w:jc w:val="center"/>
              <w:rPr>
                <w:rFonts w:hint="default" w:hAnsi="宋体" w:eastAsia="宋体" w:cs="宋体"/>
                <w:bCs/>
                <w:sz w:val="24"/>
                <w:szCs w:val="24"/>
                <w:highlight w:val="none"/>
                <w:lang w:val="en-US" w:eastAsia="zh-CN"/>
              </w:rPr>
            </w:pPr>
            <w:r>
              <w:rPr>
                <w:rFonts w:hint="eastAsia" w:hAnsi="宋体" w:cs="宋体"/>
                <w:bCs/>
                <w:sz w:val="24"/>
                <w:szCs w:val="24"/>
                <w:highlight w:val="none"/>
                <w:lang w:val="en-US" w:eastAsia="zh-CN"/>
              </w:rPr>
              <w:t>0-5分</w:t>
            </w:r>
          </w:p>
        </w:tc>
      </w:tr>
      <w:tr w14:paraId="5DE1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39" w:type="dxa"/>
            <w:vAlign w:val="center"/>
          </w:tcPr>
          <w:p w14:paraId="24D66106">
            <w:pPr>
              <w:keepNext w:val="0"/>
              <w:keepLines w:val="0"/>
              <w:pageBreakBefore w:val="0"/>
              <w:kinsoku/>
              <w:overflowPunct/>
              <w:topLinePunct w:val="0"/>
              <w:bidi w:val="0"/>
              <w:spacing w:line="42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876" w:type="dxa"/>
            <w:vAlign w:val="center"/>
          </w:tcPr>
          <w:p w14:paraId="4FD3E15F">
            <w:pPr>
              <w:pStyle w:val="16"/>
              <w:keepNext w:val="0"/>
              <w:keepLines w:val="0"/>
              <w:pageBreakBefore w:val="0"/>
              <w:kinsoku/>
              <w:overflowPunct/>
              <w:topLinePunct w:val="0"/>
              <w:bidi w:val="0"/>
              <w:spacing w:line="420" w:lineRule="exact"/>
              <w:jc w:val="center"/>
              <w:rPr>
                <w:rFonts w:hAnsi="宋体" w:cs="宋体"/>
                <w:bCs/>
                <w:color w:val="auto"/>
                <w:sz w:val="24"/>
                <w:szCs w:val="24"/>
                <w:highlight w:val="none"/>
              </w:rPr>
            </w:pPr>
            <w:r>
              <w:rPr>
                <w:rFonts w:hint="eastAsia" w:hAnsi="宋体" w:cs="宋体"/>
                <w:color w:val="auto"/>
                <w:sz w:val="24"/>
                <w:szCs w:val="24"/>
                <w:highlight w:val="none"/>
              </w:rPr>
              <w:t>业绩</w:t>
            </w:r>
          </w:p>
        </w:tc>
        <w:tc>
          <w:tcPr>
            <w:tcW w:w="6823" w:type="dxa"/>
            <w:vAlign w:val="center"/>
          </w:tcPr>
          <w:p w14:paraId="7F8F9F39">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投标人自20</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月1日以来</w:t>
            </w:r>
            <w:r>
              <w:rPr>
                <w:rFonts w:hint="eastAsia" w:ascii="宋体" w:hAnsi="宋体" w:cs="宋体"/>
                <w:color w:val="auto"/>
                <w:sz w:val="24"/>
                <w:szCs w:val="24"/>
                <w:highlight w:val="none"/>
                <w:lang w:eastAsia="zh-CN"/>
              </w:rPr>
              <w:t>承建过类似</w:t>
            </w:r>
            <w:r>
              <w:rPr>
                <w:rFonts w:hint="eastAsia" w:ascii="宋体" w:hAnsi="宋体" w:cs="宋体"/>
                <w:color w:val="auto"/>
                <w:sz w:val="24"/>
                <w:szCs w:val="24"/>
                <w:highlight w:val="none"/>
              </w:rPr>
              <w:t>项目的，每提供一个得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分，最多得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（类似业绩材料由现场评委进行认定）</w:t>
            </w:r>
          </w:p>
          <w:p w14:paraId="048A4D39">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注：须提供项目合同</w:t>
            </w:r>
            <w:r>
              <w:rPr>
                <w:rFonts w:hint="eastAsia" w:ascii="宋体" w:hAnsi="宋体" w:cs="宋体"/>
                <w:bCs/>
                <w:color w:val="auto"/>
                <w:sz w:val="24"/>
                <w:szCs w:val="24"/>
                <w:highlight w:val="none"/>
                <w:lang w:val="en-US" w:eastAsia="zh-CN"/>
              </w:rPr>
              <w:t>原件</w:t>
            </w:r>
            <w:r>
              <w:rPr>
                <w:rFonts w:hint="eastAsia" w:ascii="宋体" w:hAnsi="宋体" w:cs="宋体"/>
                <w:bCs/>
                <w:color w:val="auto"/>
                <w:sz w:val="24"/>
                <w:szCs w:val="24"/>
                <w:highlight w:val="none"/>
              </w:rPr>
              <w:t>扫描件</w:t>
            </w:r>
            <w:r>
              <w:rPr>
                <w:rFonts w:hint="eastAsia" w:ascii="宋体" w:hAnsi="宋体" w:cs="宋体"/>
                <w:color w:val="auto"/>
                <w:sz w:val="24"/>
                <w:szCs w:val="24"/>
                <w:highlight w:val="none"/>
              </w:rPr>
              <w:t>，时间以</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落款时间为准。</w:t>
            </w:r>
          </w:p>
        </w:tc>
        <w:tc>
          <w:tcPr>
            <w:tcW w:w="970" w:type="dxa"/>
            <w:vAlign w:val="center"/>
          </w:tcPr>
          <w:p w14:paraId="0E8440B3">
            <w:pPr>
              <w:pStyle w:val="16"/>
              <w:keepNext w:val="0"/>
              <w:keepLines w:val="0"/>
              <w:pageBreakBefore w:val="0"/>
              <w:kinsoku/>
              <w:overflowPunct/>
              <w:topLinePunct w:val="0"/>
              <w:bidi w:val="0"/>
              <w:spacing w:line="420" w:lineRule="exact"/>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0-1分</w:t>
            </w:r>
          </w:p>
        </w:tc>
      </w:tr>
      <w:tr w14:paraId="5180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9" w:type="dxa"/>
            <w:vAlign w:val="center"/>
          </w:tcPr>
          <w:p w14:paraId="7138C2D7">
            <w:pPr>
              <w:keepNext w:val="0"/>
              <w:keepLines w:val="0"/>
              <w:pageBreakBefore w:val="0"/>
              <w:kinsoku/>
              <w:overflowPunct/>
              <w:topLinePunct w:val="0"/>
              <w:bidi w:val="0"/>
              <w:spacing w:line="42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3</w:t>
            </w:r>
          </w:p>
        </w:tc>
        <w:tc>
          <w:tcPr>
            <w:tcW w:w="1876" w:type="dxa"/>
            <w:vAlign w:val="center"/>
          </w:tcPr>
          <w:p w14:paraId="2856358C">
            <w:pPr>
              <w:keepNext w:val="0"/>
              <w:keepLines w:val="0"/>
              <w:pageBreakBefore w:val="0"/>
              <w:kinsoku/>
              <w:overflowPunct/>
              <w:topLinePunct w:val="0"/>
              <w:bidi w:val="0"/>
              <w:spacing w:line="42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rPr>
              <w:t>服务团队人员</w:t>
            </w:r>
          </w:p>
        </w:tc>
        <w:tc>
          <w:tcPr>
            <w:tcW w:w="6823" w:type="dxa"/>
            <w:vAlign w:val="center"/>
          </w:tcPr>
          <w:p w14:paraId="47ED93D7">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lang w:val="en-US" w:eastAsia="zh-CN"/>
              </w:rPr>
              <w:t>1.投标人投入本项目的项目经理具备</w:t>
            </w:r>
            <w:r>
              <w:rPr>
                <w:rFonts w:hint="eastAsia"/>
                <w:color w:val="auto"/>
                <w:sz w:val="24"/>
                <w:szCs w:val="24"/>
                <w:highlight w:val="none"/>
              </w:rPr>
              <w:t>高级信息系统项目管理师的</w:t>
            </w:r>
            <w:r>
              <w:rPr>
                <w:rFonts w:hint="eastAsia"/>
                <w:color w:val="auto"/>
                <w:sz w:val="24"/>
                <w:szCs w:val="24"/>
                <w:highlight w:val="none"/>
                <w:lang w:val="en-US" w:eastAsia="zh-CN"/>
              </w:rPr>
              <w:t>1个</w:t>
            </w:r>
            <w:r>
              <w:rPr>
                <w:rFonts w:hint="eastAsia"/>
                <w:color w:val="auto"/>
                <w:sz w:val="24"/>
                <w:szCs w:val="24"/>
                <w:highlight w:val="none"/>
              </w:rPr>
              <w:t>得</w:t>
            </w:r>
            <w:r>
              <w:rPr>
                <w:rFonts w:hint="eastAsia"/>
                <w:color w:val="auto"/>
                <w:sz w:val="24"/>
                <w:szCs w:val="24"/>
                <w:highlight w:val="none"/>
                <w:lang w:val="en-US" w:eastAsia="zh-CN"/>
              </w:rPr>
              <w:t>2</w:t>
            </w:r>
            <w:r>
              <w:rPr>
                <w:rFonts w:hint="eastAsia"/>
                <w:color w:val="auto"/>
                <w:sz w:val="24"/>
                <w:szCs w:val="24"/>
                <w:highlight w:val="none"/>
              </w:rPr>
              <w:t>分</w:t>
            </w:r>
            <w:r>
              <w:rPr>
                <w:rFonts w:hint="eastAsia" w:ascii="宋体" w:hAnsi="Courier New" w:eastAsia="宋体" w:cs="Times New Roman"/>
                <w:color w:val="auto"/>
                <w:kern w:val="2"/>
                <w:sz w:val="24"/>
                <w:szCs w:val="24"/>
                <w:highlight w:val="none"/>
                <w:lang w:val="en-US" w:eastAsia="zh-CN" w:bidi="ar-SA"/>
              </w:rPr>
              <w:t>，本项最高</w:t>
            </w:r>
            <w:r>
              <w:rPr>
                <w:rFonts w:hint="eastAsia" w:hAnsi="Courier New" w:cs="Times New Roman"/>
                <w:color w:val="auto"/>
                <w:kern w:val="2"/>
                <w:sz w:val="24"/>
                <w:szCs w:val="24"/>
                <w:highlight w:val="none"/>
                <w:lang w:val="en-US" w:eastAsia="zh-CN" w:bidi="ar-SA"/>
              </w:rPr>
              <w:t>得</w:t>
            </w:r>
            <w:r>
              <w:rPr>
                <w:rFonts w:hint="eastAsia" w:cs="Times New Roman"/>
                <w:color w:val="auto"/>
                <w:kern w:val="2"/>
                <w:sz w:val="24"/>
                <w:szCs w:val="24"/>
                <w:highlight w:val="none"/>
                <w:lang w:val="en-US" w:eastAsia="zh-CN" w:bidi="ar-SA"/>
              </w:rPr>
              <w:t>2</w:t>
            </w:r>
            <w:r>
              <w:rPr>
                <w:rFonts w:hint="eastAsia" w:ascii="宋体" w:hAnsi="Courier New" w:eastAsia="宋体" w:cs="Times New Roman"/>
                <w:color w:val="auto"/>
                <w:kern w:val="2"/>
                <w:sz w:val="24"/>
                <w:szCs w:val="24"/>
                <w:highlight w:val="none"/>
                <w:lang w:val="en-US" w:eastAsia="zh-CN" w:bidi="ar-SA"/>
              </w:rPr>
              <w:t>分</w:t>
            </w:r>
            <w:r>
              <w:rPr>
                <w:rFonts w:hint="eastAsia"/>
                <w:color w:val="auto"/>
                <w:sz w:val="24"/>
                <w:szCs w:val="24"/>
                <w:highlight w:val="none"/>
                <w:lang w:val="en-US" w:eastAsia="zh-CN"/>
              </w:rPr>
              <w:t>。</w:t>
            </w:r>
          </w:p>
          <w:p w14:paraId="12E9F74B">
            <w:pPr>
              <w:pStyle w:val="60"/>
              <w:keepNext w:val="0"/>
              <w:keepLines w:val="0"/>
              <w:pageBreakBefore w:val="0"/>
              <w:kinsoku/>
              <w:wordWrap/>
              <w:overflowPunct/>
              <w:topLinePunct w:val="0"/>
              <w:bidi w:val="0"/>
              <w:spacing w:line="420" w:lineRule="exact"/>
              <w:ind w:left="0" w:leftChars="0" w:firstLine="0" w:firstLineChars="0"/>
              <w:rPr>
                <w:rFonts w:hint="default"/>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投标人投入本项目的技术服务团队人员具备软件设计师或中级及以上通信工程师或中级及以上网络工程师资格人员，每名1分，最高得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p w14:paraId="2F1FCC15">
            <w:pPr>
              <w:pStyle w:val="59"/>
              <w:keepNext w:val="0"/>
              <w:keepLines w:val="0"/>
              <w:pageBreakBefore w:val="0"/>
              <w:kinsoku/>
              <w:wordWrap/>
              <w:overflowPunct/>
              <w:topLinePunct w:val="0"/>
              <w:bidi w:val="0"/>
              <w:spacing w:line="420" w:lineRule="exact"/>
              <w:rPr>
                <w:rFonts w:hint="eastAsia" w:ascii="宋体" w:hAnsi="Times New Roman" w:eastAsia="宋体" w:cs="宋体"/>
                <w:color w:val="auto"/>
                <w:sz w:val="24"/>
                <w:szCs w:val="24"/>
                <w:highlight w:val="none"/>
                <w:lang w:val="en-US" w:eastAsia="zh-CN" w:bidi="ar-SA"/>
              </w:rPr>
            </w:pPr>
            <w:r>
              <w:rPr>
                <w:rFonts w:hint="eastAsia" w:ascii="宋体" w:hAnsi="Courier New" w:eastAsia="宋体" w:cs="Times New Roman"/>
                <w:color w:val="auto"/>
                <w:kern w:val="2"/>
                <w:sz w:val="24"/>
                <w:szCs w:val="24"/>
                <w:highlight w:val="none"/>
                <w:lang w:val="en-US" w:eastAsia="zh-CN" w:bidi="ar-SA"/>
              </w:rPr>
              <w:t>注：</w:t>
            </w:r>
            <w:r>
              <w:rPr>
                <w:rFonts w:hint="eastAsia" w:hAnsi="Courier New" w:cs="Times New Roman"/>
                <w:color w:val="auto"/>
                <w:kern w:val="2"/>
                <w:sz w:val="24"/>
                <w:szCs w:val="24"/>
                <w:highlight w:val="none"/>
                <w:lang w:val="en-US" w:eastAsia="zh-CN" w:bidi="ar-SA"/>
              </w:rPr>
              <w:t>以上证书需</w:t>
            </w:r>
            <w:r>
              <w:rPr>
                <w:rFonts w:hint="eastAsia" w:ascii="宋体" w:hAnsi="Courier New" w:eastAsia="宋体" w:cs="Times New Roman"/>
                <w:color w:val="auto"/>
                <w:kern w:val="2"/>
                <w:sz w:val="24"/>
                <w:szCs w:val="24"/>
                <w:highlight w:val="none"/>
                <w:lang w:val="en-US" w:eastAsia="zh-CN" w:bidi="ar-SA"/>
              </w:rPr>
              <w:t>提供</w:t>
            </w:r>
            <w:r>
              <w:rPr>
                <w:rFonts w:hint="eastAsia" w:ascii="宋体" w:hAnsi="宋体" w:cs="宋体"/>
                <w:bCs/>
                <w:color w:val="auto"/>
                <w:sz w:val="24"/>
                <w:szCs w:val="24"/>
                <w:highlight w:val="none"/>
                <w:lang w:val="en-US" w:eastAsia="zh-CN"/>
              </w:rPr>
              <w:t>原件</w:t>
            </w:r>
            <w:r>
              <w:rPr>
                <w:rFonts w:hint="eastAsia" w:ascii="宋体" w:hAnsi="宋体" w:cs="宋体"/>
                <w:bCs/>
                <w:color w:val="auto"/>
                <w:sz w:val="24"/>
                <w:szCs w:val="24"/>
                <w:highlight w:val="none"/>
              </w:rPr>
              <w:t>扫描件</w:t>
            </w:r>
            <w:r>
              <w:rPr>
                <w:rFonts w:hint="eastAsia" w:ascii="宋体" w:hAnsi="Courier New" w:eastAsia="宋体" w:cs="Times New Roman"/>
                <w:color w:val="auto"/>
                <w:kern w:val="2"/>
                <w:sz w:val="24"/>
                <w:szCs w:val="24"/>
                <w:highlight w:val="none"/>
                <w:lang w:val="en-US" w:eastAsia="zh-CN" w:bidi="ar-SA"/>
              </w:rPr>
              <w:t>，且提供相关人员近三个月社保材料</w:t>
            </w:r>
            <w:r>
              <w:rPr>
                <w:rFonts w:hint="eastAsia" w:hAnsi="Courier New" w:cs="Times New Roman"/>
                <w:color w:val="auto"/>
                <w:kern w:val="2"/>
                <w:sz w:val="24"/>
                <w:szCs w:val="24"/>
                <w:highlight w:val="none"/>
                <w:lang w:val="en-US" w:eastAsia="zh-CN" w:bidi="ar-SA"/>
              </w:rPr>
              <w:t>，</w:t>
            </w:r>
            <w:r>
              <w:rPr>
                <w:rFonts w:hint="eastAsia" w:ascii="宋体" w:hAnsi="Courier New" w:eastAsia="宋体" w:cs="Times New Roman"/>
                <w:color w:val="auto"/>
                <w:kern w:val="2"/>
                <w:sz w:val="24"/>
                <w:szCs w:val="24"/>
                <w:highlight w:val="none"/>
                <w:lang w:val="en-US" w:eastAsia="zh-CN" w:bidi="ar-SA"/>
              </w:rPr>
              <w:t>材料扫描件编入标书，多证人员仅计一证不重复计算。证明材料未符合本款要求或未按本款要求提供证明材料不得分</w:t>
            </w:r>
            <w:r>
              <w:rPr>
                <w:rFonts w:hint="eastAsia" w:hAnsi="Courier New" w:cs="Times New Roman"/>
                <w:color w:val="auto"/>
                <w:kern w:val="2"/>
                <w:sz w:val="24"/>
                <w:szCs w:val="24"/>
                <w:highlight w:val="none"/>
                <w:lang w:val="en-US" w:eastAsia="zh-CN" w:bidi="ar-SA"/>
              </w:rPr>
              <w:t>。</w:t>
            </w:r>
          </w:p>
        </w:tc>
        <w:tc>
          <w:tcPr>
            <w:tcW w:w="970" w:type="dxa"/>
            <w:vAlign w:val="center"/>
          </w:tcPr>
          <w:p w14:paraId="39E2AAAF">
            <w:pPr>
              <w:pStyle w:val="16"/>
              <w:keepNext w:val="0"/>
              <w:keepLines w:val="0"/>
              <w:pageBreakBefore w:val="0"/>
              <w:kinsoku/>
              <w:overflowPunct/>
              <w:topLinePunct w:val="0"/>
              <w:bidi w:val="0"/>
              <w:spacing w:line="420" w:lineRule="exact"/>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0-6分</w:t>
            </w:r>
          </w:p>
        </w:tc>
      </w:tr>
      <w:tr w14:paraId="2DDF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9" w:type="dxa"/>
            <w:vAlign w:val="center"/>
          </w:tcPr>
          <w:p w14:paraId="3BBED86F">
            <w:pPr>
              <w:keepNext w:val="0"/>
              <w:keepLines w:val="0"/>
              <w:pageBreakBefore w:val="0"/>
              <w:kinsoku/>
              <w:overflowPunct/>
              <w:topLinePunct w:val="0"/>
              <w:bidi w:val="0"/>
              <w:spacing w:line="42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4</w:t>
            </w:r>
          </w:p>
        </w:tc>
        <w:tc>
          <w:tcPr>
            <w:tcW w:w="1876" w:type="dxa"/>
            <w:vAlign w:val="center"/>
          </w:tcPr>
          <w:p w14:paraId="7FCFDBB5">
            <w:pPr>
              <w:keepNext w:val="0"/>
              <w:keepLines w:val="0"/>
              <w:pageBreakBefore w:val="0"/>
              <w:kinsoku/>
              <w:overflowPunct/>
              <w:topLinePunct w:val="0"/>
              <w:bidi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响应程度</w:t>
            </w:r>
          </w:p>
        </w:tc>
        <w:tc>
          <w:tcPr>
            <w:tcW w:w="6823" w:type="dxa"/>
            <w:vAlign w:val="center"/>
          </w:tcPr>
          <w:p w14:paraId="2D32907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w:t>
            </w:r>
            <w:r>
              <w:rPr>
                <w:rFonts w:hint="eastAsia" w:ascii="宋体" w:hAnsi="宋体" w:cs="宋体"/>
                <w:color w:val="auto"/>
                <w:kern w:val="2"/>
                <w:sz w:val="24"/>
                <w:szCs w:val="24"/>
                <w:highlight w:val="none"/>
                <w:lang w:val="en-US" w:eastAsia="zh-CN" w:bidi="ar-SA"/>
              </w:rPr>
              <w:t>提供的</w:t>
            </w:r>
            <w:r>
              <w:rPr>
                <w:rFonts w:hint="eastAsia" w:ascii="宋体" w:hAnsi="宋体" w:eastAsia="宋体" w:cs="宋体"/>
                <w:color w:val="auto"/>
                <w:kern w:val="2"/>
                <w:sz w:val="24"/>
                <w:szCs w:val="24"/>
                <w:highlight w:val="none"/>
                <w:lang w:val="en-US" w:eastAsia="zh-CN" w:bidi="ar-SA"/>
              </w:rPr>
              <w:t>技术参数及要求以招标文件的技术要求为基准，完全满足招标文件技术规格、参数及要求的得2</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分。</w:t>
            </w:r>
          </w:p>
          <w:p w14:paraId="05AD39D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其中加“★”项为本项目重要条款，有负偏离的，每项扣1分，扣完为止；未加“★”项为一般性技术参数，有负偏离的，每项扣0.5分，扣完为止。</w:t>
            </w:r>
          </w:p>
        </w:tc>
        <w:tc>
          <w:tcPr>
            <w:tcW w:w="970" w:type="dxa"/>
            <w:vAlign w:val="center"/>
          </w:tcPr>
          <w:p w14:paraId="12FEA8E5">
            <w:pPr>
              <w:pStyle w:val="16"/>
              <w:keepNext w:val="0"/>
              <w:keepLines w:val="0"/>
              <w:pageBreakBefore w:val="0"/>
              <w:kinsoku/>
              <w:overflowPunct/>
              <w:topLinePunct w:val="0"/>
              <w:bidi w:val="0"/>
              <w:spacing w:line="420" w:lineRule="exact"/>
              <w:jc w:val="center"/>
              <w:rPr>
                <w:rFonts w:hint="eastAsia" w:ascii="宋体" w:hAnsi="宋体" w:eastAsia="宋体" w:cs="宋体"/>
                <w:bCs/>
                <w:color w:val="auto"/>
                <w:kern w:val="2"/>
                <w:sz w:val="24"/>
                <w:szCs w:val="24"/>
                <w:highlight w:val="none"/>
                <w:lang w:val="en-US" w:eastAsia="zh-CN" w:bidi="ar-SA"/>
              </w:rPr>
            </w:pPr>
            <w:r>
              <w:rPr>
                <w:rFonts w:hint="eastAsia" w:hAnsi="宋体" w:cs="宋体"/>
                <w:bCs/>
                <w:color w:val="auto"/>
                <w:sz w:val="24"/>
                <w:szCs w:val="24"/>
                <w:highlight w:val="none"/>
                <w:lang w:val="en-US" w:eastAsia="zh-CN"/>
              </w:rPr>
              <w:t>0-20分</w:t>
            </w:r>
          </w:p>
        </w:tc>
      </w:tr>
      <w:tr w14:paraId="4A48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9" w:type="dxa"/>
            <w:vAlign w:val="center"/>
          </w:tcPr>
          <w:p w14:paraId="19AEBA3E">
            <w:pPr>
              <w:keepNext w:val="0"/>
              <w:keepLines w:val="0"/>
              <w:pageBreakBefore w:val="0"/>
              <w:kinsoku/>
              <w:overflowPunct/>
              <w:topLinePunct w:val="0"/>
              <w:bidi w:val="0"/>
              <w:spacing w:line="420" w:lineRule="exact"/>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c>
          <w:tcPr>
            <w:tcW w:w="1876" w:type="dxa"/>
            <w:vAlign w:val="center"/>
          </w:tcPr>
          <w:p w14:paraId="76EFAB83">
            <w:pPr>
              <w:pStyle w:val="39"/>
              <w:keepNext w:val="0"/>
              <w:keepLines w:val="0"/>
              <w:pageBreakBefore w:val="0"/>
              <w:widowControl w:val="0"/>
              <w:kinsoku/>
              <w:overflowPunct/>
              <w:topLinePunct w:val="0"/>
              <w:bidi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认识和</w:t>
            </w:r>
            <w:r>
              <w:rPr>
                <w:rFonts w:hint="eastAsia" w:ascii="宋体" w:hAnsi="宋体" w:eastAsia="宋体" w:cs="宋体"/>
                <w:color w:val="auto"/>
                <w:sz w:val="24"/>
                <w:szCs w:val="24"/>
                <w:highlight w:val="none"/>
                <w:lang w:val="en-US" w:eastAsia="zh-CN"/>
              </w:rPr>
              <w:t>理解</w:t>
            </w:r>
          </w:p>
        </w:tc>
        <w:tc>
          <w:tcPr>
            <w:tcW w:w="6823" w:type="dxa"/>
            <w:vAlign w:val="center"/>
          </w:tcPr>
          <w:p w14:paraId="795BF599">
            <w:pPr>
              <w:pStyle w:val="39"/>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rPr>
              <w:t>根据</w:t>
            </w:r>
            <w:r>
              <w:rPr>
                <w:rFonts w:hint="eastAsia" w:ascii="宋体" w:hAnsi="宋体" w:eastAsia="宋体" w:cs="宋体"/>
                <w:color w:val="auto"/>
                <w:kern w:val="2"/>
                <w:sz w:val="24"/>
                <w:szCs w:val="24"/>
                <w:highlight w:val="none"/>
              </w:rPr>
              <w:t>投标人</w:t>
            </w:r>
            <w:r>
              <w:rPr>
                <w:rFonts w:hint="eastAsia" w:ascii="宋体" w:hAnsi="宋体" w:eastAsia="宋体" w:cs="宋体"/>
                <w:color w:val="auto"/>
                <w:kern w:val="2"/>
                <w:sz w:val="24"/>
                <w:szCs w:val="24"/>
                <w:highlight w:val="none"/>
                <w:lang w:val="en-US" w:eastAsia="zh-CN"/>
              </w:rPr>
              <w:t>针对本项目</w:t>
            </w:r>
            <w:r>
              <w:rPr>
                <w:rFonts w:hint="eastAsia" w:ascii="宋体" w:hAnsi="宋体" w:eastAsia="宋体" w:cs="宋体"/>
                <w:color w:val="auto"/>
                <w:kern w:val="2"/>
                <w:sz w:val="24"/>
                <w:szCs w:val="24"/>
                <w:highlight w:val="none"/>
              </w:rPr>
              <w:t>提供</w:t>
            </w:r>
            <w:r>
              <w:rPr>
                <w:rFonts w:hint="eastAsia" w:ascii="宋体" w:hAnsi="宋体" w:eastAsia="宋体" w:cs="宋体"/>
                <w:color w:val="auto"/>
                <w:kern w:val="2"/>
                <w:sz w:val="24"/>
                <w:szCs w:val="24"/>
                <w:highlight w:val="none"/>
                <w:lang w:eastAsia="zh-CN"/>
              </w:rPr>
              <w:t>的</w:t>
            </w:r>
            <w:r>
              <w:rPr>
                <w:rFonts w:hint="eastAsia" w:ascii="宋体" w:hAnsi="宋体" w:eastAsia="宋体" w:cs="宋体"/>
                <w:color w:val="auto"/>
                <w:sz w:val="24"/>
                <w:szCs w:val="24"/>
                <w:highlight w:val="none"/>
              </w:rPr>
              <w:t>项目整体</w:t>
            </w:r>
            <w:r>
              <w:rPr>
                <w:rFonts w:hint="eastAsia" w:ascii="宋体" w:hAnsi="宋体" w:cs="宋体"/>
                <w:color w:val="auto"/>
                <w:sz w:val="24"/>
                <w:szCs w:val="24"/>
                <w:highlight w:val="none"/>
                <w:lang w:val="en-US" w:eastAsia="zh-CN"/>
              </w:rPr>
              <w:t>认识和理解</w:t>
            </w:r>
            <w:r>
              <w:rPr>
                <w:rFonts w:hint="eastAsia" w:ascii="宋体" w:hAnsi="宋体" w:eastAsia="宋体" w:cs="宋体"/>
                <w:color w:val="auto"/>
                <w:sz w:val="24"/>
                <w:szCs w:val="24"/>
                <w:highlight w:val="none"/>
              </w:rPr>
              <w:t>分析</w:t>
            </w:r>
            <w:r>
              <w:rPr>
                <w:rFonts w:hint="eastAsia" w:ascii="宋体" w:hAnsi="宋体" w:cs="宋体"/>
                <w:color w:val="auto"/>
                <w:sz w:val="24"/>
                <w:szCs w:val="24"/>
                <w:highlight w:val="none"/>
                <w:lang w:val="en-US" w:eastAsia="zh-CN"/>
              </w:rPr>
              <w:t>等</w:t>
            </w:r>
            <w:r>
              <w:rPr>
                <w:rFonts w:hint="eastAsia" w:ascii="宋体" w:hAnsi="宋体" w:eastAsia="宋体" w:cs="宋体"/>
                <w:sz w:val="24"/>
                <w:highlight w:val="none"/>
              </w:rPr>
              <w:t>进行</w:t>
            </w:r>
            <w:r>
              <w:rPr>
                <w:rFonts w:hint="eastAsia" w:ascii="宋体" w:hAnsi="宋体" w:eastAsia="宋体" w:cs="宋体"/>
                <w:sz w:val="24"/>
                <w:highlight w:val="none"/>
                <w:lang w:eastAsia="zh-CN"/>
              </w:rPr>
              <w:t>打分。（评分范围：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4.5，</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3.5，</w:t>
            </w:r>
            <w:r>
              <w:rPr>
                <w:rFonts w:hint="eastAsia" w:ascii="宋体" w:hAnsi="宋体" w:eastAsia="宋体" w:cs="宋体"/>
                <w:sz w:val="24"/>
                <w:highlight w:val="none"/>
                <w:lang w:eastAsia="zh-CN"/>
              </w:rPr>
              <w:t>3,</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0.5，</w:t>
            </w:r>
            <w:r>
              <w:rPr>
                <w:rFonts w:hint="eastAsia" w:ascii="宋体" w:hAnsi="宋体" w:eastAsia="宋体" w:cs="宋体"/>
                <w:sz w:val="24"/>
                <w:highlight w:val="none"/>
                <w:lang w:eastAsia="zh-CN"/>
              </w:rPr>
              <w:t>0）</w:t>
            </w:r>
            <w:r>
              <w:rPr>
                <w:rFonts w:hint="eastAsia" w:ascii="宋体" w:hAnsi="宋体" w:eastAsia="宋体" w:cs="宋体"/>
                <w:color w:val="auto"/>
                <w:kern w:val="2"/>
                <w:sz w:val="24"/>
                <w:szCs w:val="24"/>
                <w:highlight w:val="none"/>
                <w:lang w:eastAsia="zh-CN"/>
              </w:rPr>
              <w:t>。</w:t>
            </w:r>
          </w:p>
        </w:tc>
        <w:tc>
          <w:tcPr>
            <w:tcW w:w="970" w:type="dxa"/>
            <w:vAlign w:val="center"/>
          </w:tcPr>
          <w:p w14:paraId="01E0D91F">
            <w:pPr>
              <w:pStyle w:val="16"/>
              <w:keepNext w:val="0"/>
              <w:keepLines w:val="0"/>
              <w:pageBreakBefore w:val="0"/>
              <w:kinsoku/>
              <w:overflowPunct/>
              <w:topLinePunct w:val="0"/>
              <w:bidi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r>
      <w:tr w14:paraId="596F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9" w:type="dxa"/>
            <w:vAlign w:val="center"/>
          </w:tcPr>
          <w:p w14:paraId="408BFDD7">
            <w:pPr>
              <w:keepNext w:val="0"/>
              <w:keepLines w:val="0"/>
              <w:pageBreakBefore w:val="0"/>
              <w:kinsoku/>
              <w:overflowPunct/>
              <w:topLinePunct w:val="0"/>
              <w:bidi w:val="0"/>
              <w:spacing w:line="42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876" w:type="dxa"/>
            <w:vAlign w:val="center"/>
          </w:tcPr>
          <w:p w14:paraId="16E878E9">
            <w:pPr>
              <w:pStyle w:val="39"/>
              <w:keepNext w:val="0"/>
              <w:keepLines w:val="0"/>
              <w:pageBreakBefore w:val="0"/>
              <w:widowControl w:val="0"/>
              <w:kinsoku/>
              <w:overflowPunct/>
              <w:topLinePunct w:val="0"/>
              <w:bidi w:val="0"/>
              <w:spacing w:line="420" w:lineRule="exact"/>
              <w:jc w:val="center"/>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实施进度安排</w:t>
            </w:r>
          </w:p>
          <w:p w14:paraId="71519729">
            <w:pPr>
              <w:pStyle w:val="39"/>
              <w:keepNext w:val="0"/>
              <w:keepLines w:val="0"/>
              <w:pageBreakBefore w:val="0"/>
              <w:widowControl w:val="0"/>
              <w:kinsoku/>
              <w:overflowPunct/>
              <w:topLinePunct w:val="0"/>
              <w:bidi w:val="0"/>
              <w:spacing w:line="420" w:lineRule="exact"/>
              <w:jc w:val="center"/>
              <w:rPr>
                <w:rFonts w:hint="default" w:ascii="宋体" w:hAnsi="宋体" w:eastAsia="宋体" w:cs="宋体"/>
                <w:color w:val="auto"/>
                <w:sz w:val="24"/>
                <w:szCs w:val="24"/>
                <w:highlight w:val="none"/>
                <w:lang w:val="en-US"/>
              </w:rPr>
            </w:pPr>
          </w:p>
        </w:tc>
        <w:tc>
          <w:tcPr>
            <w:tcW w:w="6823" w:type="dxa"/>
            <w:vAlign w:val="center"/>
          </w:tcPr>
          <w:p w14:paraId="31794A65">
            <w:pPr>
              <w:pStyle w:val="39"/>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根据</w:t>
            </w:r>
            <w:r>
              <w:rPr>
                <w:rFonts w:hint="eastAsia" w:ascii="宋体" w:hAnsi="宋体" w:eastAsia="宋体" w:cs="宋体"/>
                <w:color w:val="auto"/>
                <w:kern w:val="0"/>
                <w:sz w:val="24"/>
                <w:szCs w:val="24"/>
                <w:highlight w:val="none"/>
                <w:lang w:val="en-US" w:eastAsia="zh-CN" w:bidi="ar-SA"/>
              </w:rPr>
              <w:t>投标人针对本项目提供</w:t>
            </w:r>
            <w:r>
              <w:rPr>
                <w:rFonts w:hint="eastAsia" w:ascii="宋体" w:hAnsi="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lang w:val="en-US" w:eastAsia="zh-CN" w:bidi="ar-SA"/>
              </w:rPr>
              <w:t>实施内容</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进度安排及相关承诺</w:t>
            </w:r>
            <w:r>
              <w:rPr>
                <w:rFonts w:hint="eastAsia" w:ascii="宋体" w:hAnsi="宋体" w:cs="宋体"/>
                <w:color w:val="auto"/>
                <w:sz w:val="24"/>
                <w:szCs w:val="24"/>
                <w:highlight w:val="none"/>
                <w:lang w:val="en-US" w:eastAsia="zh-CN"/>
              </w:rPr>
              <w:t>等</w:t>
            </w:r>
            <w:r>
              <w:rPr>
                <w:rFonts w:hint="eastAsia" w:ascii="宋体" w:hAnsi="宋体" w:eastAsia="宋体" w:cs="宋体"/>
                <w:sz w:val="24"/>
                <w:highlight w:val="none"/>
              </w:rPr>
              <w:t>进行</w:t>
            </w:r>
            <w:r>
              <w:rPr>
                <w:rFonts w:hint="eastAsia" w:ascii="宋体" w:hAnsi="宋体" w:eastAsia="宋体" w:cs="宋体"/>
                <w:sz w:val="24"/>
                <w:highlight w:val="none"/>
                <w:lang w:eastAsia="zh-CN"/>
              </w:rPr>
              <w:t>打分。（评分范围：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4.5，</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3.5，</w:t>
            </w:r>
            <w:r>
              <w:rPr>
                <w:rFonts w:hint="eastAsia" w:ascii="宋体" w:hAnsi="宋体" w:eastAsia="宋体" w:cs="宋体"/>
                <w:sz w:val="24"/>
                <w:highlight w:val="none"/>
                <w:lang w:eastAsia="zh-CN"/>
              </w:rPr>
              <w:t>3,</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0.5，</w:t>
            </w:r>
            <w:r>
              <w:rPr>
                <w:rFonts w:hint="eastAsia" w:ascii="宋体" w:hAnsi="宋体" w:eastAsia="宋体" w:cs="宋体"/>
                <w:sz w:val="24"/>
                <w:highlight w:val="none"/>
                <w:lang w:eastAsia="zh-CN"/>
              </w:rPr>
              <w:t>0）</w:t>
            </w:r>
          </w:p>
        </w:tc>
        <w:tc>
          <w:tcPr>
            <w:tcW w:w="970" w:type="dxa"/>
            <w:vAlign w:val="center"/>
          </w:tcPr>
          <w:p w14:paraId="063A3D7D">
            <w:pPr>
              <w:pStyle w:val="16"/>
              <w:keepNext w:val="0"/>
              <w:keepLines w:val="0"/>
              <w:pageBreakBefore w:val="0"/>
              <w:kinsoku/>
              <w:overflowPunct/>
              <w:topLinePunct w:val="0"/>
              <w:bidi w:val="0"/>
              <w:spacing w:line="42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r>
      <w:tr w14:paraId="604E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9" w:type="dxa"/>
            <w:vMerge w:val="restart"/>
            <w:vAlign w:val="center"/>
          </w:tcPr>
          <w:p w14:paraId="48298E00">
            <w:pPr>
              <w:keepNext w:val="0"/>
              <w:keepLines w:val="0"/>
              <w:pageBreakBefore w:val="0"/>
              <w:kinsoku/>
              <w:overflowPunct/>
              <w:topLinePunct w:val="0"/>
              <w:bidi w:val="0"/>
              <w:spacing w:line="42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7</w:t>
            </w:r>
          </w:p>
        </w:tc>
        <w:tc>
          <w:tcPr>
            <w:tcW w:w="1876" w:type="dxa"/>
            <w:vMerge w:val="restart"/>
            <w:vAlign w:val="center"/>
          </w:tcPr>
          <w:p w14:paraId="42AF4DBA">
            <w:pPr>
              <w:keepNext w:val="0"/>
              <w:keepLines w:val="0"/>
              <w:pageBreakBefore w:val="0"/>
              <w:kinsoku/>
              <w:overflowPunct/>
              <w:topLinePunct w:val="0"/>
              <w:bidi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售后服务</w:t>
            </w:r>
          </w:p>
        </w:tc>
        <w:tc>
          <w:tcPr>
            <w:tcW w:w="6823" w:type="dxa"/>
            <w:vAlign w:val="center"/>
          </w:tcPr>
          <w:p w14:paraId="7225FA1A">
            <w:pPr>
              <w:pStyle w:val="39"/>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en-US" w:eastAsia="zh-CN" w:bidi="ar-SA"/>
              </w:rPr>
              <w:t>针对本项目提供</w:t>
            </w:r>
            <w:r>
              <w:rPr>
                <w:rFonts w:hint="eastAsia" w:ascii="宋体" w:hAnsi="宋体" w:cs="宋体"/>
                <w:color w:val="auto"/>
                <w:kern w:val="0"/>
                <w:sz w:val="24"/>
                <w:szCs w:val="24"/>
                <w:highlight w:val="none"/>
                <w:lang w:val="en-US" w:eastAsia="zh-CN" w:bidi="ar-SA"/>
              </w:rPr>
              <w:t>的售后</w:t>
            </w:r>
            <w:r>
              <w:rPr>
                <w:rFonts w:hint="eastAsia" w:ascii="宋体" w:hAnsi="宋体" w:eastAsia="宋体" w:cs="宋体"/>
                <w:color w:val="auto"/>
                <w:sz w:val="24"/>
                <w:szCs w:val="24"/>
                <w:highlight w:val="none"/>
              </w:rPr>
              <w:t>服务措施</w:t>
            </w:r>
            <w:r>
              <w:rPr>
                <w:rFonts w:hint="eastAsia" w:ascii="宋体" w:hAnsi="宋体" w:eastAsia="宋体" w:cs="宋体"/>
                <w:color w:val="auto"/>
                <w:sz w:val="24"/>
                <w:szCs w:val="24"/>
                <w:highlight w:val="none"/>
                <w:lang w:val="en-US" w:eastAsia="zh-CN"/>
              </w:rPr>
              <w:t>及服务</w:t>
            </w:r>
            <w:r>
              <w:rPr>
                <w:rFonts w:hint="eastAsia" w:ascii="宋体" w:hAnsi="宋体" w:eastAsia="宋体" w:cs="宋体"/>
                <w:color w:val="auto"/>
                <w:sz w:val="24"/>
                <w:szCs w:val="24"/>
                <w:highlight w:val="none"/>
              </w:rPr>
              <w:t>质量保证</w:t>
            </w:r>
            <w:r>
              <w:rPr>
                <w:rFonts w:hint="eastAsia" w:ascii="宋体" w:hAnsi="宋体" w:eastAsia="宋体" w:cs="宋体"/>
                <w:color w:val="auto"/>
                <w:sz w:val="24"/>
                <w:szCs w:val="24"/>
                <w:highlight w:val="none"/>
                <w:lang w:val="en-US" w:eastAsia="zh-CN"/>
              </w:rPr>
              <w:t>方案等</w:t>
            </w:r>
            <w:r>
              <w:rPr>
                <w:rFonts w:hint="eastAsia" w:ascii="宋体" w:hAnsi="宋体" w:eastAsia="宋体" w:cs="宋体"/>
                <w:sz w:val="24"/>
                <w:highlight w:val="none"/>
              </w:rPr>
              <w:t>进行</w:t>
            </w:r>
            <w:r>
              <w:rPr>
                <w:rFonts w:hint="eastAsia" w:ascii="宋体" w:hAnsi="宋体" w:eastAsia="宋体" w:cs="宋体"/>
                <w:sz w:val="24"/>
                <w:highlight w:val="none"/>
                <w:lang w:eastAsia="zh-CN"/>
              </w:rPr>
              <w:t>打分。（评分范围：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4.5，</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3.5，</w:t>
            </w:r>
            <w:r>
              <w:rPr>
                <w:rFonts w:hint="eastAsia" w:ascii="宋体" w:hAnsi="宋体" w:eastAsia="宋体" w:cs="宋体"/>
                <w:sz w:val="24"/>
                <w:highlight w:val="none"/>
                <w:lang w:eastAsia="zh-CN"/>
              </w:rPr>
              <w:t>3,</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0.5，</w:t>
            </w:r>
            <w:r>
              <w:rPr>
                <w:rFonts w:hint="eastAsia" w:ascii="宋体" w:hAnsi="宋体" w:eastAsia="宋体" w:cs="宋体"/>
                <w:sz w:val="24"/>
                <w:highlight w:val="none"/>
                <w:lang w:eastAsia="zh-CN"/>
              </w:rPr>
              <w:t>0）；</w:t>
            </w:r>
          </w:p>
        </w:tc>
        <w:tc>
          <w:tcPr>
            <w:tcW w:w="970" w:type="dxa"/>
            <w:vMerge w:val="restart"/>
            <w:vAlign w:val="center"/>
          </w:tcPr>
          <w:p w14:paraId="31A040BB">
            <w:pPr>
              <w:keepNext w:val="0"/>
              <w:keepLines w:val="0"/>
              <w:pageBreakBefore w:val="0"/>
              <w:kinsoku/>
              <w:overflowPunct/>
              <w:topLinePunct w:val="0"/>
              <w:bidi w:val="0"/>
              <w:spacing w:line="42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14:paraId="2D04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9" w:type="dxa"/>
            <w:vMerge w:val="continue"/>
            <w:vAlign w:val="center"/>
          </w:tcPr>
          <w:p w14:paraId="6C112996">
            <w:pPr>
              <w:pStyle w:val="39"/>
              <w:keepNext w:val="0"/>
              <w:keepLines w:val="0"/>
              <w:pageBreakBefore w:val="0"/>
              <w:widowControl w:val="0"/>
              <w:kinsoku/>
              <w:wordWrap/>
              <w:overflowPunct/>
              <w:topLinePunct w:val="0"/>
              <w:bidi w:val="0"/>
              <w:spacing w:line="420" w:lineRule="exact"/>
              <w:jc w:val="both"/>
              <w:textAlignment w:val="auto"/>
              <w:rPr>
                <w:highlight w:val="none"/>
              </w:rPr>
            </w:pPr>
          </w:p>
        </w:tc>
        <w:tc>
          <w:tcPr>
            <w:tcW w:w="1876" w:type="dxa"/>
            <w:vMerge w:val="continue"/>
            <w:vAlign w:val="center"/>
          </w:tcPr>
          <w:p w14:paraId="39C2241B">
            <w:pPr>
              <w:pStyle w:val="39"/>
              <w:keepNext w:val="0"/>
              <w:keepLines w:val="0"/>
              <w:pageBreakBefore w:val="0"/>
              <w:widowControl w:val="0"/>
              <w:kinsoku/>
              <w:wordWrap/>
              <w:overflowPunct/>
              <w:topLinePunct w:val="0"/>
              <w:bidi w:val="0"/>
              <w:spacing w:line="420" w:lineRule="exact"/>
              <w:jc w:val="both"/>
              <w:textAlignment w:val="auto"/>
              <w:rPr>
                <w:highlight w:val="none"/>
              </w:rPr>
            </w:pPr>
          </w:p>
        </w:tc>
        <w:tc>
          <w:tcPr>
            <w:tcW w:w="6823" w:type="dxa"/>
            <w:vAlign w:val="center"/>
          </w:tcPr>
          <w:p w14:paraId="7151E66E">
            <w:pPr>
              <w:pStyle w:val="39"/>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en-US" w:eastAsia="zh-CN" w:bidi="ar-SA"/>
              </w:rPr>
              <w:t>针对本项目提供的</w:t>
            </w:r>
            <w:r>
              <w:rPr>
                <w:rFonts w:hint="eastAsia" w:ascii="宋体" w:hAnsi="宋体" w:eastAsia="宋体" w:cs="宋体"/>
                <w:color w:val="auto"/>
                <w:sz w:val="24"/>
                <w:szCs w:val="24"/>
                <w:highlight w:val="none"/>
              </w:rPr>
              <w:t>质保年限</w:t>
            </w:r>
            <w:r>
              <w:rPr>
                <w:rFonts w:hint="eastAsia" w:ascii="宋体" w:hAnsi="宋体" w:eastAsia="宋体" w:cs="宋体"/>
                <w:color w:val="auto"/>
                <w:sz w:val="24"/>
                <w:szCs w:val="24"/>
                <w:highlight w:val="none"/>
                <w:lang w:val="en-US" w:eastAsia="zh-CN"/>
              </w:rPr>
              <w:t>承诺及服务网点设置等</w:t>
            </w:r>
            <w:r>
              <w:rPr>
                <w:rFonts w:hint="eastAsia" w:ascii="宋体" w:hAnsi="宋体" w:eastAsia="宋体" w:cs="宋体"/>
                <w:sz w:val="24"/>
                <w:highlight w:val="none"/>
              </w:rPr>
              <w:t>进行</w:t>
            </w:r>
            <w:r>
              <w:rPr>
                <w:rFonts w:hint="eastAsia" w:ascii="宋体" w:hAnsi="宋体" w:eastAsia="宋体" w:cs="宋体"/>
                <w:sz w:val="24"/>
                <w:highlight w:val="none"/>
                <w:lang w:eastAsia="zh-CN"/>
              </w:rPr>
              <w:t>打分。（评分范围：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4.5，</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3.5，</w:t>
            </w:r>
            <w:r>
              <w:rPr>
                <w:rFonts w:hint="eastAsia" w:ascii="宋体" w:hAnsi="宋体" w:eastAsia="宋体" w:cs="宋体"/>
                <w:sz w:val="24"/>
                <w:highlight w:val="none"/>
                <w:lang w:eastAsia="zh-CN"/>
              </w:rPr>
              <w:t>3,</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0.5，</w:t>
            </w:r>
            <w:r>
              <w:rPr>
                <w:rFonts w:hint="eastAsia" w:ascii="宋体" w:hAnsi="宋体" w:eastAsia="宋体" w:cs="宋体"/>
                <w:sz w:val="24"/>
                <w:highlight w:val="none"/>
                <w:lang w:eastAsia="zh-CN"/>
              </w:rPr>
              <w:t>0）；</w:t>
            </w:r>
          </w:p>
        </w:tc>
        <w:tc>
          <w:tcPr>
            <w:tcW w:w="970" w:type="dxa"/>
            <w:vMerge w:val="continue"/>
            <w:vAlign w:val="center"/>
          </w:tcPr>
          <w:p w14:paraId="427F6552">
            <w:pPr>
              <w:pStyle w:val="39"/>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szCs w:val="24"/>
                <w:highlight w:val="none"/>
              </w:rPr>
            </w:pPr>
          </w:p>
        </w:tc>
      </w:tr>
      <w:tr w14:paraId="5010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9" w:type="dxa"/>
            <w:vMerge w:val="continue"/>
            <w:vAlign w:val="center"/>
          </w:tcPr>
          <w:p w14:paraId="66522DD7">
            <w:pPr>
              <w:pStyle w:val="39"/>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szCs w:val="24"/>
                <w:highlight w:val="none"/>
              </w:rPr>
            </w:pPr>
          </w:p>
        </w:tc>
        <w:tc>
          <w:tcPr>
            <w:tcW w:w="1876" w:type="dxa"/>
            <w:vMerge w:val="continue"/>
            <w:vAlign w:val="center"/>
          </w:tcPr>
          <w:p w14:paraId="12330856">
            <w:pPr>
              <w:pStyle w:val="39"/>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szCs w:val="24"/>
                <w:highlight w:val="none"/>
              </w:rPr>
            </w:pPr>
          </w:p>
        </w:tc>
        <w:tc>
          <w:tcPr>
            <w:tcW w:w="6823" w:type="dxa"/>
            <w:vAlign w:val="center"/>
          </w:tcPr>
          <w:p w14:paraId="06BECB24">
            <w:pPr>
              <w:pStyle w:val="39"/>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en-US" w:eastAsia="zh-CN" w:bidi="ar-SA"/>
              </w:rPr>
              <w:t>针对本项目提供的日常巡查方案</w:t>
            </w:r>
            <w:r>
              <w:rPr>
                <w:rFonts w:hint="eastAsia" w:ascii="宋体" w:hAnsi="宋体" w:eastAsia="宋体" w:cs="宋体"/>
                <w:color w:val="auto"/>
                <w:sz w:val="24"/>
                <w:szCs w:val="24"/>
                <w:highlight w:val="none"/>
                <w:lang w:val="en-US" w:eastAsia="zh-CN"/>
              </w:rPr>
              <w:t>及运维修复措施等</w:t>
            </w:r>
            <w:r>
              <w:rPr>
                <w:rFonts w:hint="eastAsia" w:ascii="宋体" w:hAnsi="宋体" w:eastAsia="宋体" w:cs="宋体"/>
                <w:sz w:val="24"/>
                <w:highlight w:val="none"/>
              </w:rPr>
              <w:t>进行</w:t>
            </w:r>
            <w:r>
              <w:rPr>
                <w:rFonts w:hint="eastAsia" w:ascii="宋体" w:hAnsi="宋体" w:eastAsia="宋体" w:cs="宋体"/>
                <w:sz w:val="24"/>
                <w:highlight w:val="none"/>
                <w:lang w:eastAsia="zh-CN"/>
              </w:rPr>
              <w:t>打分。（评分范围：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4.5，</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3.5，</w:t>
            </w:r>
            <w:r>
              <w:rPr>
                <w:rFonts w:hint="eastAsia" w:ascii="宋体" w:hAnsi="宋体" w:eastAsia="宋体" w:cs="宋体"/>
                <w:sz w:val="24"/>
                <w:highlight w:val="none"/>
                <w:lang w:eastAsia="zh-CN"/>
              </w:rPr>
              <w:t>3,</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0.5，</w:t>
            </w:r>
            <w:r>
              <w:rPr>
                <w:rFonts w:hint="eastAsia" w:ascii="宋体" w:hAnsi="宋体" w:eastAsia="宋体" w:cs="宋体"/>
                <w:sz w:val="24"/>
                <w:highlight w:val="none"/>
                <w:lang w:eastAsia="zh-CN"/>
              </w:rPr>
              <w:t>0）</w:t>
            </w:r>
            <w:r>
              <w:rPr>
                <w:rFonts w:hint="eastAsia" w:ascii="宋体" w:hAnsi="宋体" w:cs="宋体"/>
                <w:color w:val="auto"/>
                <w:sz w:val="24"/>
                <w:szCs w:val="24"/>
                <w:highlight w:val="none"/>
                <w:lang w:eastAsia="zh-CN"/>
              </w:rPr>
              <w:t>。</w:t>
            </w:r>
          </w:p>
        </w:tc>
        <w:tc>
          <w:tcPr>
            <w:tcW w:w="970" w:type="dxa"/>
            <w:vMerge w:val="continue"/>
            <w:vAlign w:val="center"/>
          </w:tcPr>
          <w:p w14:paraId="1F322015">
            <w:pPr>
              <w:pStyle w:val="39"/>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szCs w:val="24"/>
                <w:highlight w:val="none"/>
              </w:rPr>
            </w:pPr>
          </w:p>
        </w:tc>
      </w:tr>
      <w:tr w14:paraId="55A6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9" w:type="dxa"/>
            <w:vAlign w:val="center"/>
          </w:tcPr>
          <w:p w14:paraId="40DF6507">
            <w:pPr>
              <w:keepNext w:val="0"/>
              <w:keepLines w:val="0"/>
              <w:pageBreakBefore w:val="0"/>
              <w:kinsoku/>
              <w:overflowPunct/>
              <w:topLinePunct w:val="0"/>
              <w:bidi w:val="0"/>
              <w:spacing w:line="42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8</w:t>
            </w:r>
          </w:p>
        </w:tc>
        <w:tc>
          <w:tcPr>
            <w:tcW w:w="1876" w:type="dxa"/>
            <w:vAlign w:val="center"/>
          </w:tcPr>
          <w:p w14:paraId="435EA8CC">
            <w:pPr>
              <w:keepNext w:val="0"/>
              <w:keepLines w:val="0"/>
              <w:pageBreakBefore w:val="0"/>
              <w:kinsoku/>
              <w:overflowPunct/>
              <w:topLinePunct w:val="0"/>
              <w:bidi w:val="0"/>
              <w:spacing w:line="42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应急响应方案</w:t>
            </w:r>
          </w:p>
          <w:p w14:paraId="2B8B4769">
            <w:pPr>
              <w:keepNext w:val="0"/>
              <w:keepLines w:val="0"/>
              <w:pageBreakBefore w:val="0"/>
              <w:kinsoku/>
              <w:overflowPunct/>
              <w:topLinePunct w:val="0"/>
              <w:bidi w:val="0"/>
              <w:spacing w:line="420" w:lineRule="exact"/>
              <w:jc w:val="center"/>
              <w:rPr>
                <w:rFonts w:hint="eastAsia" w:ascii="宋体" w:hAnsi="宋体" w:eastAsia="宋体" w:cs="宋体"/>
                <w:bCs/>
                <w:color w:val="auto"/>
                <w:kern w:val="2"/>
                <w:sz w:val="24"/>
                <w:szCs w:val="24"/>
                <w:highlight w:val="none"/>
                <w:lang w:val="en-US" w:eastAsia="zh-CN" w:bidi="ar-SA"/>
              </w:rPr>
            </w:pPr>
          </w:p>
        </w:tc>
        <w:tc>
          <w:tcPr>
            <w:tcW w:w="6823" w:type="dxa"/>
            <w:vAlign w:val="center"/>
          </w:tcPr>
          <w:p w14:paraId="234272B4">
            <w:pPr>
              <w:keepNext w:val="0"/>
              <w:keepLines w:val="0"/>
              <w:pageBreakBefore w:val="0"/>
              <w:kinsoku/>
              <w:wordWrap/>
              <w:overflowPunct/>
              <w:topLinePunct w:val="0"/>
              <w:bidi w:val="0"/>
              <w:spacing w:line="420" w:lineRule="exact"/>
              <w:jc w:val="both"/>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en-US" w:eastAsia="zh-CN" w:bidi="ar-SA"/>
              </w:rPr>
              <w:t>针对本项目建立的应急响应方案</w:t>
            </w:r>
            <w:r>
              <w:rPr>
                <w:rFonts w:hint="eastAsia" w:ascii="宋体" w:hAnsi="宋体" w:eastAsia="宋体" w:cs="宋体"/>
                <w:color w:val="auto"/>
                <w:sz w:val="24"/>
                <w:szCs w:val="24"/>
                <w:highlight w:val="none"/>
                <w:lang w:val="en-US" w:eastAsia="zh-CN"/>
              </w:rPr>
              <w:t>等</w:t>
            </w:r>
            <w:r>
              <w:rPr>
                <w:rFonts w:hint="eastAsia" w:ascii="宋体" w:hAnsi="宋体" w:eastAsia="宋体" w:cs="宋体"/>
                <w:sz w:val="24"/>
                <w:highlight w:val="none"/>
              </w:rPr>
              <w:t>进行</w:t>
            </w:r>
            <w:r>
              <w:rPr>
                <w:rFonts w:hint="eastAsia" w:ascii="宋体" w:hAnsi="宋体" w:eastAsia="宋体" w:cs="宋体"/>
                <w:sz w:val="24"/>
                <w:highlight w:val="none"/>
                <w:lang w:eastAsia="zh-CN"/>
              </w:rPr>
              <w:t>打分。（评分范围：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4.5，</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3.5，</w:t>
            </w:r>
            <w:r>
              <w:rPr>
                <w:rFonts w:hint="eastAsia" w:ascii="宋体" w:hAnsi="宋体" w:eastAsia="宋体" w:cs="宋体"/>
                <w:sz w:val="24"/>
                <w:highlight w:val="none"/>
                <w:lang w:eastAsia="zh-CN"/>
              </w:rPr>
              <w:t>3,</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0.5，</w:t>
            </w:r>
            <w:r>
              <w:rPr>
                <w:rFonts w:hint="eastAsia" w:ascii="宋体" w:hAnsi="宋体" w:eastAsia="宋体" w:cs="宋体"/>
                <w:sz w:val="24"/>
                <w:highlight w:val="none"/>
                <w:lang w:eastAsia="zh-CN"/>
              </w:rPr>
              <w:t>0）</w:t>
            </w:r>
            <w:r>
              <w:rPr>
                <w:rFonts w:hint="eastAsia" w:ascii="宋体" w:hAnsi="宋体" w:cs="宋体"/>
                <w:color w:val="auto"/>
                <w:sz w:val="24"/>
                <w:szCs w:val="24"/>
                <w:highlight w:val="none"/>
                <w:lang w:eastAsia="zh-CN"/>
              </w:rPr>
              <w:t>。</w:t>
            </w:r>
          </w:p>
        </w:tc>
        <w:tc>
          <w:tcPr>
            <w:tcW w:w="970" w:type="dxa"/>
            <w:vAlign w:val="center"/>
          </w:tcPr>
          <w:p w14:paraId="7F1F3AB4">
            <w:pPr>
              <w:keepNext w:val="0"/>
              <w:keepLines w:val="0"/>
              <w:pageBreakBefore w:val="0"/>
              <w:kinsoku/>
              <w:overflowPunct/>
              <w:topLinePunct w:val="0"/>
              <w:bidi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12DE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vAlign w:val="center"/>
          </w:tcPr>
          <w:p w14:paraId="20099F18">
            <w:pPr>
              <w:keepNext w:val="0"/>
              <w:keepLines w:val="0"/>
              <w:pageBreakBefore w:val="0"/>
              <w:kinsoku/>
              <w:overflowPunct/>
              <w:topLinePunct w:val="0"/>
              <w:bidi w:val="0"/>
              <w:spacing w:line="420" w:lineRule="exact"/>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9</w:t>
            </w:r>
          </w:p>
        </w:tc>
        <w:tc>
          <w:tcPr>
            <w:tcW w:w="1876" w:type="dxa"/>
            <w:vAlign w:val="center"/>
          </w:tcPr>
          <w:p w14:paraId="197FDEE0">
            <w:pPr>
              <w:keepNext w:val="0"/>
              <w:keepLines w:val="0"/>
              <w:pageBreakBefore w:val="0"/>
              <w:kinsoku/>
              <w:overflowPunct/>
              <w:topLinePunct w:val="0"/>
              <w:autoSpaceDE w:val="0"/>
              <w:autoSpaceDN w:val="0"/>
              <w:bidi w:val="0"/>
              <w:adjustRightInd w:val="0"/>
              <w:snapToGrid w:val="0"/>
              <w:spacing w:line="4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维保方案</w:t>
            </w:r>
          </w:p>
        </w:tc>
        <w:tc>
          <w:tcPr>
            <w:tcW w:w="6823" w:type="dxa"/>
            <w:vAlign w:val="center"/>
          </w:tcPr>
          <w:p w14:paraId="667AB139">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en-US" w:eastAsia="zh-CN" w:bidi="ar-SA"/>
              </w:rPr>
              <w:t>针对本项目</w:t>
            </w:r>
            <w:r>
              <w:rPr>
                <w:rFonts w:hint="eastAsia" w:ascii="宋体" w:hAnsi="宋体" w:eastAsia="宋体" w:cs="宋体"/>
                <w:color w:val="auto"/>
                <w:kern w:val="0"/>
                <w:sz w:val="24"/>
                <w:szCs w:val="24"/>
                <w:highlight w:val="none"/>
              </w:rPr>
              <w:t>提供</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维护保障的人员组织</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备品备件</w:t>
            </w:r>
            <w:r>
              <w:rPr>
                <w:rFonts w:hint="eastAsia" w:ascii="宋体" w:hAnsi="宋体" w:eastAsia="宋体" w:cs="宋体"/>
                <w:color w:val="auto"/>
                <w:kern w:val="0"/>
                <w:sz w:val="24"/>
                <w:szCs w:val="24"/>
                <w:highlight w:val="none"/>
              </w:rPr>
              <w:t>、维保方案</w:t>
            </w:r>
            <w:r>
              <w:rPr>
                <w:rFonts w:hint="eastAsia" w:ascii="宋体" w:hAnsi="宋体" w:cs="宋体"/>
                <w:color w:val="auto"/>
                <w:kern w:val="0"/>
                <w:sz w:val="24"/>
                <w:szCs w:val="24"/>
                <w:highlight w:val="none"/>
                <w:lang w:val="en-US" w:eastAsia="zh-CN"/>
              </w:rPr>
              <w:t>全面性</w:t>
            </w:r>
            <w:r>
              <w:rPr>
                <w:rFonts w:hint="eastAsia" w:ascii="宋体" w:hAnsi="宋体" w:eastAsia="宋体" w:cs="宋体"/>
                <w:color w:val="auto"/>
                <w:sz w:val="24"/>
                <w:szCs w:val="24"/>
                <w:highlight w:val="none"/>
                <w:lang w:val="en-US" w:eastAsia="zh-CN"/>
              </w:rPr>
              <w:t>等</w:t>
            </w:r>
            <w:r>
              <w:rPr>
                <w:rFonts w:hint="eastAsia" w:ascii="宋体" w:hAnsi="宋体" w:eastAsia="宋体" w:cs="宋体"/>
                <w:sz w:val="24"/>
                <w:highlight w:val="none"/>
              </w:rPr>
              <w:t>进行</w:t>
            </w:r>
            <w:r>
              <w:rPr>
                <w:rFonts w:hint="eastAsia" w:ascii="宋体" w:hAnsi="宋体" w:eastAsia="宋体" w:cs="宋体"/>
                <w:sz w:val="24"/>
                <w:highlight w:val="none"/>
                <w:lang w:eastAsia="zh-CN"/>
              </w:rPr>
              <w:t>打分。（评分范围：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4.5，</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3.5，</w:t>
            </w:r>
            <w:r>
              <w:rPr>
                <w:rFonts w:hint="eastAsia" w:ascii="宋体" w:hAnsi="宋体" w:eastAsia="宋体" w:cs="宋体"/>
                <w:sz w:val="24"/>
                <w:highlight w:val="none"/>
                <w:lang w:eastAsia="zh-CN"/>
              </w:rPr>
              <w:t>3,</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0.5，</w:t>
            </w:r>
            <w:r>
              <w:rPr>
                <w:rFonts w:hint="eastAsia" w:ascii="宋体" w:hAnsi="宋体" w:eastAsia="宋体" w:cs="宋体"/>
                <w:sz w:val="24"/>
                <w:highlight w:val="none"/>
                <w:lang w:eastAsia="zh-CN"/>
              </w:rPr>
              <w:t>0）</w:t>
            </w:r>
            <w:r>
              <w:rPr>
                <w:rFonts w:hint="eastAsia" w:ascii="宋体" w:hAnsi="宋体" w:cs="宋体"/>
                <w:color w:val="auto"/>
                <w:sz w:val="24"/>
                <w:szCs w:val="24"/>
                <w:highlight w:val="none"/>
                <w:lang w:eastAsia="zh-CN"/>
              </w:rPr>
              <w:t>。</w:t>
            </w:r>
          </w:p>
        </w:tc>
        <w:tc>
          <w:tcPr>
            <w:tcW w:w="970" w:type="dxa"/>
            <w:vAlign w:val="center"/>
          </w:tcPr>
          <w:p w14:paraId="70A138BB">
            <w:pPr>
              <w:keepNext w:val="0"/>
              <w:keepLines w:val="0"/>
              <w:pageBreakBefore w:val="0"/>
              <w:kinsoku/>
              <w:overflowPunct/>
              <w:topLinePunct w:val="0"/>
              <w:bidi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734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9" w:type="dxa"/>
            <w:vAlign w:val="center"/>
          </w:tcPr>
          <w:p w14:paraId="2CEA0781">
            <w:pPr>
              <w:keepNext w:val="0"/>
              <w:keepLines w:val="0"/>
              <w:pageBreakBefore w:val="0"/>
              <w:kinsoku/>
              <w:overflowPunct/>
              <w:topLinePunct w:val="0"/>
              <w:bidi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876" w:type="dxa"/>
            <w:vAlign w:val="center"/>
          </w:tcPr>
          <w:p w14:paraId="15B3921D">
            <w:pPr>
              <w:keepNext w:val="0"/>
              <w:keepLines w:val="0"/>
              <w:pageBreakBefore w:val="0"/>
              <w:kinsoku/>
              <w:overflowPunct/>
              <w:topLinePunct w:val="0"/>
              <w:bidi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技术培训方案</w:t>
            </w:r>
          </w:p>
        </w:tc>
        <w:tc>
          <w:tcPr>
            <w:tcW w:w="6823" w:type="dxa"/>
            <w:vAlign w:val="center"/>
          </w:tcPr>
          <w:p w14:paraId="0295EB94">
            <w:pPr>
              <w:pStyle w:val="16"/>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en-US" w:eastAsia="zh-CN" w:bidi="ar-SA"/>
              </w:rPr>
              <w:t>针对本项目</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的人员培训计划</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培训课程</w:t>
            </w:r>
            <w:r>
              <w:rPr>
                <w:rFonts w:hint="eastAsia" w:hAnsi="宋体" w:cs="宋体"/>
                <w:color w:val="auto"/>
                <w:sz w:val="24"/>
                <w:szCs w:val="24"/>
                <w:highlight w:val="none"/>
                <w:lang w:eastAsia="zh-CN"/>
              </w:rPr>
              <w:t>、</w:t>
            </w:r>
            <w:r>
              <w:rPr>
                <w:rFonts w:hint="eastAsia" w:ascii="宋体" w:hAnsi="宋体" w:eastAsia="宋体" w:cs="宋体"/>
                <w:bCs/>
                <w:color w:val="auto"/>
                <w:sz w:val="24"/>
                <w:szCs w:val="24"/>
                <w:highlight w:val="none"/>
              </w:rPr>
              <w:t>培训方案</w:t>
            </w:r>
            <w:r>
              <w:rPr>
                <w:rFonts w:hint="eastAsia" w:ascii="宋体" w:hAnsi="宋体" w:eastAsia="宋体" w:cs="宋体"/>
                <w:color w:val="auto"/>
                <w:sz w:val="24"/>
                <w:szCs w:val="24"/>
                <w:highlight w:val="none"/>
                <w:lang w:val="en-US" w:eastAsia="zh-CN"/>
              </w:rPr>
              <w:t>等</w:t>
            </w:r>
            <w:r>
              <w:rPr>
                <w:rFonts w:hint="eastAsia" w:ascii="宋体" w:hAnsi="宋体" w:eastAsia="宋体" w:cs="宋体"/>
                <w:sz w:val="24"/>
                <w:highlight w:val="none"/>
              </w:rPr>
              <w:t>进行</w:t>
            </w:r>
            <w:r>
              <w:rPr>
                <w:rFonts w:hint="eastAsia" w:ascii="宋体" w:hAnsi="宋体" w:eastAsia="宋体" w:cs="宋体"/>
                <w:sz w:val="24"/>
                <w:highlight w:val="none"/>
                <w:lang w:eastAsia="zh-CN"/>
              </w:rPr>
              <w:t>打分。（评分范围：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4.5，</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3.5，</w:t>
            </w:r>
            <w:r>
              <w:rPr>
                <w:rFonts w:hint="eastAsia" w:ascii="宋体" w:hAnsi="宋体" w:eastAsia="宋体" w:cs="宋体"/>
                <w:sz w:val="24"/>
                <w:highlight w:val="none"/>
                <w:lang w:eastAsia="zh-CN"/>
              </w:rPr>
              <w:t>3,</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0.5，</w:t>
            </w:r>
            <w:r>
              <w:rPr>
                <w:rFonts w:hint="eastAsia" w:ascii="宋体" w:hAnsi="宋体" w:eastAsia="宋体" w:cs="宋体"/>
                <w:sz w:val="24"/>
                <w:highlight w:val="none"/>
                <w:lang w:eastAsia="zh-CN"/>
              </w:rPr>
              <w:t>0）</w:t>
            </w:r>
            <w:r>
              <w:rPr>
                <w:rFonts w:hint="eastAsia" w:ascii="宋体" w:hAnsi="宋体" w:cs="宋体"/>
                <w:color w:val="auto"/>
                <w:sz w:val="24"/>
                <w:szCs w:val="24"/>
                <w:highlight w:val="none"/>
                <w:lang w:eastAsia="zh-CN"/>
              </w:rPr>
              <w:t>。</w:t>
            </w:r>
          </w:p>
        </w:tc>
        <w:tc>
          <w:tcPr>
            <w:tcW w:w="970" w:type="dxa"/>
            <w:vAlign w:val="center"/>
          </w:tcPr>
          <w:p w14:paraId="4958E301">
            <w:pPr>
              <w:pStyle w:val="16"/>
              <w:keepNext w:val="0"/>
              <w:keepLines w:val="0"/>
              <w:pageBreakBefore w:val="0"/>
              <w:kinsoku/>
              <w:overflowPunct/>
              <w:topLinePunct w:val="0"/>
              <w:bidi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0-</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18FB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9" w:type="dxa"/>
            <w:vAlign w:val="center"/>
          </w:tcPr>
          <w:p w14:paraId="5AB2E1E9">
            <w:pPr>
              <w:keepNext w:val="0"/>
              <w:keepLines w:val="0"/>
              <w:pageBreakBefore w:val="0"/>
              <w:kinsoku/>
              <w:overflowPunct/>
              <w:topLinePunct w:val="0"/>
              <w:bidi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876" w:type="dxa"/>
            <w:vAlign w:val="center"/>
          </w:tcPr>
          <w:p w14:paraId="20769153">
            <w:pPr>
              <w:keepNext w:val="0"/>
              <w:keepLines w:val="0"/>
              <w:pageBreakBefore w:val="0"/>
              <w:widowControl/>
              <w:kinsoku/>
              <w:overflowPunct/>
              <w:topLinePunct w:val="0"/>
              <w:bidi w:val="0"/>
              <w:spacing w:line="420" w:lineRule="exact"/>
              <w:ind w:left="0" w:leftChars="0" w:right="0" w:rightChars="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合理化建议</w:t>
            </w:r>
          </w:p>
        </w:tc>
        <w:tc>
          <w:tcPr>
            <w:tcW w:w="6823" w:type="dxa"/>
            <w:vAlign w:val="center"/>
          </w:tcPr>
          <w:p w14:paraId="438502D3">
            <w:pPr>
              <w:pStyle w:val="13"/>
              <w:keepNext w:val="0"/>
              <w:keepLines w:val="0"/>
              <w:pageBreakBefore w:val="0"/>
              <w:numPr>
                <w:ilvl w:val="0"/>
                <w:numId w:val="0"/>
              </w:numPr>
              <w:kinsoku/>
              <w:wordWrap/>
              <w:overflowPunct/>
              <w:topLinePunct w:val="0"/>
              <w:bidi w:val="0"/>
              <w:spacing w:line="420" w:lineRule="exact"/>
              <w:ind w:left="0" w:leftChars="0" w:firstLine="0" w:firstLineChars="0"/>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en-US" w:eastAsia="zh-CN" w:bidi="ar-SA"/>
              </w:rPr>
              <w:t>针对本项目</w:t>
            </w:r>
            <w:r>
              <w:rPr>
                <w:rFonts w:hint="eastAsia" w:ascii="宋体" w:hAnsi="宋体" w:cs="宋体"/>
                <w:color w:val="auto"/>
                <w:kern w:val="0"/>
                <w:sz w:val="24"/>
                <w:szCs w:val="24"/>
                <w:highlight w:val="none"/>
                <w:lang w:val="en-US" w:eastAsia="zh-CN"/>
              </w:rPr>
              <w:t>在响应采购要求内容之外，提供有利于项目建设的合理化建议或措施，对系统运行、使用有明显提升作用的1条得1分；建议或措施无作用的不得分。</w:t>
            </w:r>
          </w:p>
        </w:tc>
        <w:tc>
          <w:tcPr>
            <w:tcW w:w="970" w:type="dxa"/>
            <w:vAlign w:val="center"/>
          </w:tcPr>
          <w:p w14:paraId="6F3A2C8C">
            <w:pPr>
              <w:keepNext w:val="0"/>
              <w:keepLines w:val="0"/>
              <w:pageBreakBefore w:val="0"/>
              <w:kinsoku/>
              <w:overflowPunct/>
              <w:topLinePunct w:val="0"/>
              <w:bidi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r>
      <w:tr w14:paraId="056B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9" w:type="dxa"/>
            <w:vAlign w:val="center"/>
          </w:tcPr>
          <w:p w14:paraId="0B3A7AB1">
            <w:pPr>
              <w:keepNext w:val="0"/>
              <w:keepLines w:val="0"/>
              <w:pageBreakBefore w:val="0"/>
              <w:kinsoku/>
              <w:overflowPunct/>
              <w:topLinePunct w:val="0"/>
              <w:bidi w:val="0"/>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876" w:type="dxa"/>
            <w:vAlign w:val="center"/>
          </w:tcPr>
          <w:p w14:paraId="286EB873">
            <w:pPr>
              <w:keepNext w:val="0"/>
              <w:keepLines w:val="0"/>
              <w:pageBreakBefore w:val="0"/>
              <w:widowControl/>
              <w:kinsoku/>
              <w:overflowPunct/>
              <w:topLinePunct w:val="0"/>
              <w:bidi w:val="0"/>
              <w:spacing w:line="420" w:lineRule="exact"/>
              <w:ind w:left="0" w:leftChars="0" w:right="0" w:right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增值服务</w:t>
            </w:r>
          </w:p>
        </w:tc>
        <w:tc>
          <w:tcPr>
            <w:tcW w:w="6823" w:type="dxa"/>
            <w:vAlign w:val="center"/>
          </w:tcPr>
          <w:p w14:paraId="46F3456B">
            <w:pPr>
              <w:keepNext w:val="0"/>
              <w:keepLines w:val="0"/>
              <w:pageBreakBefore w:val="0"/>
              <w:widowControl/>
              <w:suppressLineNumbers w:val="0"/>
              <w:kinsoku/>
              <w:wordWrap/>
              <w:overflowPunct/>
              <w:topLinePunct w:val="0"/>
              <w:bidi w:val="0"/>
              <w:spacing w:line="420" w:lineRule="exac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根据投标人在满足采购需求基础上增加的特色服务等优惠承诺</w:t>
            </w:r>
            <w:r>
              <w:rPr>
                <w:rFonts w:hint="eastAsia" w:ascii="宋体" w:hAnsi="宋体" w:eastAsia="宋体" w:cs="宋体"/>
                <w:sz w:val="24"/>
                <w:highlight w:val="none"/>
              </w:rPr>
              <w:t>进行</w:t>
            </w:r>
            <w:r>
              <w:rPr>
                <w:rFonts w:hint="eastAsia" w:ascii="宋体" w:hAnsi="宋体" w:eastAsia="宋体" w:cs="宋体"/>
                <w:sz w:val="24"/>
                <w:highlight w:val="none"/>
                <w:lang w:eastAsia="zh-CN"/>
              </w:rPr>
              <w:t>打分。（评分范围：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4.5，</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3.5，</w:t>
            </w:r>
            <w:r>
              <w:rPr>
                <w:rFonts w:hint="eastAsia" w:ascii="宋体" w:hAnsi="宋体" w:eastAsia="宋体" w:cs="宋体"/>
                <w:sz w:val="24"/>
                <w:highlight w:val="none"/>
                <w:lang w:eastAsia="zh-CN"/>
              </w:rPr>
              <w:t>3,</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0.5，</w:t>
            </w:r>
            <w:r>
              <w:rPr>
                <w:rFonts w:hint="eastAsia" w:ascii="宋体" w:hAnsi="宋体" w:eastAsia="宋体" w:cs="宋体"/>
                <w:sz w:val="24"/>
                <w:highlight w:val="none"/>
                <w:lang w:eastAsia="zh-CN"/>
              </w:rPr>
              <w:t>0）</w:t>
            </w:r>
            <w:r>
              <w:rPr>
                <w:rFonts w:hint="eastAsia" w:ascii="宋体" w:hAnsi="宋体" w:cs="宋体"/>
                <w:color w:val="auto"/>
                <w:sz w:val="24"/>
                <w:szCs w:val="24"/>
                <w:highlight w:val="none"/>
                <w:lang w:eastAsia="zh-CN"/>
              </w:rPr>
              <w:t>。</w:t>
            </w:r>
          </w:p>
        </w:tc>
        <w:tc>
          <w:tcPr>
            <w:tcW w:w="970" w:type="dxa"/>
            <w:vAlign w:val="center"/>
          </w:tcPr>
          <w:p w14:paraId="0B34AC0E">
            <w:pPr>
              <w:keepNext w:val="0"/>
              <w:keepLines w:val="0"/>
              <w:pageBreakBefore w:val="0"/>
              <w:kinsoku/>
              <w:overflowPunct/>
              <w:topLinePunct w:val="0"/>
              <w:bidi w:val="0"/>
              <w:spacing w:line="4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0-5分</w:t>
            </w:r>
          </w:p>
        </w:tc>
      </w:tr>
      <w:tr w14:paraId="659E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9" w:type="dxa"/>
            <w:vAlign w:val="center"/>
          </w:tcPr>
          <w:p w14:paraId="6989A68E">
            <w:pPr>
              <w:keepNext w:val="0"/>
              <w:keepLines w:val="0"/>
              <w:pageBreakBefore w:val="0"/>
              <w:kinsoku/>
              <w:overflowPunct/>
              <w:topLinePunct w:val="0"/>
              <w:bidi w:val="0"/>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876" w:type="dxa"/>
            <w:vAlign w:val="center"/>
          </w:tcPr>
          <w:p w14:paraId="15364F98">
            <w:pPr>
              <w:keepNext w:val="0"/>
              <w:keepLines w:val="0"/>
              <w:pageBreakBefore w:val="0"/>
              <w:widowControl/>
              <w:kinsoku/>
              <w:overflowPunct/>
              <w:topLinePunct w:val="0"/>
              <w:bidi w:val="0"/>
              <w:spacing w:line="420" w:lineRule="exact"/>
              <w:ind w:left="0" w:leftChars="0" w:right="0" w:right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验收方案</w:t>
            </w:r>
          </w:p>
        </w:tc>
        <w:tc>
          <w:tcPr>
            <w:tcW w:w="6823" w:type="dxa"/>
            <w:vAlign w:val="center"/>
          </w:tcPr>
          <w:p w14:paraId="1AA40A4F">
            <w:pPr>
              <w:keepNext w:val="0"/>
              <w:keepLines w:val="0"/>
              <w:pageBreakBefore w:val="0"/>
              <w:widowControl/>
              <w:suppressLineNumbers w:val="0"/>
              <w:kinsoku/>
              <w:wordWrap/>
              <w:overflowPunct/>
              <w:topLinePunct w:val="0"/>
              <w:bidi w:val="0"/>
              <w:spacing w:line="420" w:lineRule="exact"/>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en-US" w:eastAsia="zh-CN" w:bidi="ar-SA"/>
              </w:rPr>
              <w:t>针对本项目</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具体验收方案等</w:t>
            </w:r>
            <w:r>
              <w:rPr>
                <w:rFonts w:hint="eastAsia" w:ascii="宋体" w:hAnsi="宋体" w:eastAsia="宋体" w:cs="宋体"/>
                <w:sz w:val="24"/>
                <w:highlight w:val="none"/>
              </w:rPr>
              <w:t>进行</w:t>
            </w:r>
            <w:r>
              <w:rPr>
                <w:rFonts w:hint="eastAsia" w:ascii="宋体" w:hAnsi="宋体" w:eastAsia="宋体" w:cs="宋体"/>
                <w:sz w:val="24"/>
                <w:highlight w:val="none"/>
                <w:lang w:eastAsia="zh-CN"/>
              </w:rPr>
              <w:t>打分。（评分范围：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4.5，</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3.5，</w:t>
            </w:r>
            <w:r>
              <w:rPr>
                <w:rFonts w:hint="eastAsia" w:ascii="宋体" w:hAnsi="宋体" w:eastAsia="宋体" w:cs="宋体"/>
                <w:sz w:val="24"/>
                <w:highlight w:val="none"/>
                <w:lang w:eastAsia="zh-CN"/>
              </w:rPr>
              <w:t>3,</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2,</w:t>
            </w:r>
            <w:r>
              <w:rPr>
                <w:rFonts w:hint="eastAsia" w:ascii="宋体" w:hAnsi="宋体" w:cs="宋体"/>
                <w:sz w:val="24"/>
                <w:highlight w:val="none"/>
                <w:lang w:val="en-US" w:eastAsia="zh-CN"/>
              </w:rPr>
              <w:t>1.5，</w:t>
            </w: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0.5，</w:t>
            </w:r>
            <w:r>
              <w:rPr>
                <w:rFonts w:hint="eastAsia" w:ascii="宋体" w:hAnsi="宋体" w:eastAsia="宋体" w:cs="宋体"/>
                <w:sz w:val="24"/>
                <w:highlight w:val="none"/>
                <w:lang w:eastAsia="zh-CN"/>
              </w:rPr>
              <w:t>0）</w:t>
            </w:r>
            <w:r>
              <w:rPr>
                <w:rFonts w:hint="eastAsia" w:ascii="宋体" w:hAnsi="宋体" w:cs="宋体"/>
                <w:color w:val="auto"/>
                <w:sz w:val="24"/>
                <w:szCs w:val="24"/>
                <w:highlight w:val="none"/>
                <w:lang w:eastAsia="zh-CN"/>
              </w:rPr>
              <w:t>。</w:t>
            </w:r>
          </w:p>
        </w:tc>
        <w:tc>
          <w:tcPr>
            <w:tcW w:w="970" w:type="dxa"/>
            <w:vAlign w:val="center"/>
          </w:tcPr>
          <w:p w14:paraId="39AB145F">
            <w:pPr>
              <w:keepNext w:val="0"/>
              <w:keepLines w:val="0"/>
              <w:pageBreakBefore w:val="0"/>
              <w:kinsoku/>
              <w:overflowPunct/>
              <w:topLinePunct w:val="0"/>
              <w:bidi w:val="0"/>
              <w:spacing w:line="420" w:lineRule="exact"/>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0-5分</w:t>
            </w:r>
          </w:p>
        </w:tc>
      </w:tr>
      <w:tr w14:paraId="6AA1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39" w:type="dxa"/>
            <w:vAlign w:val="center"/>
          </w:tcPr>
          <w:p w14:paraId="0223DBC3">
            <w:pPr>
              <w:keepNext w:val="0"/>
              <w:keepLines w:val="0"/>
              <w:pageBreakBefore w:val="0"/>
              <w:kinsoku/>
              <w:overflowPunct/>
              <w:topLinePunct w:val="0"/>
              <w:bidi w:val="0"/>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876" w:type="dxa"/>
            <w:vAlign w:val="center"/>
          </w:tcPr>
          <w:p w14:paraId="34537B44">
            <w:pPr>
              <w:keepNext w:val="0"/>
              <w:keepLines w:val="0"/>
              <w:pageBreakBefore w:val="0"/>
              <w:widowControl/>
              <w:kinsoku/>
              <w:overflowPunct/>
              <w:topLinePunct w:val="0"/>
              <w:bidi w:val="0"/>
              <w:spacing w:line="420" w:lineRule="exact"/>
              <w:ind w:left="0" w:leftChars="0" w:right="0" w:right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价格</w:t>
            </w:r>
          </w:p>
        </w:tc>
        <w:tc>
          <w:tcPr>
            <w:tcW w:w="6823" w:type="dxa"/>
            <w:vAlign w:val="center"/>
          </w:tcPr>
          <w:p w14:paraId="31211AAC">
            <w:pPr>
              <w:pStyle w:val="13"/>
              <w:keepNext w:val="0"/>
              <w:keepLines w:val="0"/>
              <w:pageBreakBefore w:val="0"/>
              <w:numPr>
                <w:ilvl w:val="0"/>
                <w:numId w:val="0"/>
              </w:numPr>
              <w:kinsoku/>
              <w:wordWrap/>
              <w:overflowPunct/>
              <w:topLinePunct w:val="0"/>
              <w:bidi w:val="0"/>
              <w:spacing w:line="420" w:lineRule="exact"/>
              <w:ind w:left="0" w:leftChars="0" w:firstLine="0" w:firstLineChars="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有效投标报价的最低价作为评标基准价，其最低报价为满分；按［投标报价得分=（评标基准价/投标报价）*权重］的计算公式计算。</w:t>
            </w:r>
          </w:p>
          <w:p w14:paraId="320B6073">
            <w:pPr>
              <w:pStyle w:val="13"/>
              <w:keepNext w:val="0"/>
              <w:keepLines w:val="0"/>
              <w:pageBreakBefore w:val="0"/>
              <w:numPr>
                <w:ilvl w:val="0"/>
                <w:numId w:val="0"/>
              </w:numPr>
              <w:kinsoku/>
              <w:wordWrap/>
              <w:overflowPunct/>
              <w:topLinePunct w:val="0"/>
              <w:bidi w:val="0"/>
              <w:spacing w:line="420" w:lineRule="exact"/>
              <w:ind w:left="0" w:leftChars="0" w:firstLine="0" w:firstLineChars="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w:t>
            </w:r>
          </w:p>
        </w:tc>
        <w:tc>
          <w:tcPr>
            <w:tcW w:w="970" w:type="dxa"/>
            <w:vAlign w:val="center"/>
          </w:tcPr>
          <w:p w14:paraId="7725F775">
            <w:pPr>
              <w:keepNext w:val="0"/>
              <w:keepLines w:val="0"/>
              <w:pageBreakBefore w:val="0"/>
              <w:kinsoku/>
              <w:overflowPunct/>
              <w:topLinePunct w:val="0"/>
              <w:bidi w:val="0"/>
              <w:spacing w:line="4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bl>
    <w:p w14:paraId="38F41757">
      <w:pPr>
        <w:pStyle w:val="13"/>
        <w:rPr>
          <w:rFonts w:hint="eastAsia"/>
          <w:color w:val="auto"/>
          <w:highlight w:val="none"/>
        </w:rPr>
      </w:pPr>
    </w:p>
    <w:p w14:paraId="7897F93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cs="宋体"/>
          <w:b/>
          <w:color w:val="auto"/>
          <w:sz w:val="24"/>
          <w:szCs w:val="20"/>
          <w:highlight w:val="none"/>
        </w:rPr>
      </w:pPr>
      <w:r>
        <w:rPr>
          <w:rFonts w:hint="eastAsia" w:ascii="宋体" w:hAnsi="宋体" w:cs="宋体"/>
          <w:b/>
          <w:color w:val="auto"/>
          <w:sz w:val="24"/>
          <w:szCs w:val="20"/>
          <w:highlight w:val="none"/>
        </w:rPr>
        <w:t>评标委员会在评审时发现投标人的报价明显低于其他投标人的报价或本项目市场运行成本报价的，应当要求投标人通过邮件等形式进行书面说明并提供相关证明材料。投标人不能当场合理说明原因并提供证明材料的，评标委员会应将该投标人的投标文件作无效处理，并在评审报告中说明。</w:t>
      </w:r>
    </w:p>
    <w:p w14:paraId="00FDDD65">
      <w:pPr>
        <w:pStyle w:val="43"/>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ascii="宋体" w:cs="宋体"/>
          <w:b/>
          <w:color w:val="auto"/>
          <w:szCs w:val="20"/>
          <w:highlight w:val="none"/>
        </w:rPr>
      </w:pPr>
      <w:r>
        <w:rPr>
          <w:rFonts w:hint="eastAsia" w:ascii="宋体" w:hAnsi="宋体" w:cs="宋体"/>
          <w:b/>
          <w:color w:val="auto"/>
          <w:szCs w:val="20"/>
          <w:highlight w:val="none"/>
        </w:rPr>
        <w:t>预中标候选人放弃中标、因不可抗力不能履行合同，或者被查实存在影响中标结果的违法行为等情形，不符合中标条件的，采购人可以按照评标委员会提出的中标候选人名单排序依次确定其他中标候选人为中标候选人</w:t>
      </w:r>
      <w:r>
        <w:rPr>
          <w:rFonts w:ascii="宋体" w:hAnsi="宋体" w:cs="宋体"/>
          <w:b/>
          <w:color w:val="auto"/>
          <w:szCs w:val="20"/>
          <w:highlight w:val="none"/>
        </w:rPr>
        <w:t>,</w:t>
      </w:r>
      <w:r>
        <w:rPr>
          <w:rFonts w:hint="eastAsia" w:ascii="宋体" w:hAnsi="宋体" w:cs="宋体"/>
          <w:b/>
          <w:color w:val="auto"/>
          <w:szCs w:val="20"/>
          <w:highlight w:val="none"/>
        </w:rPr>
        <w:t>也可重新招标。</w:t>
      </w:r>
    </w:p>
    <w:p w14:paraId="4518709B">
      <w:pPr>
        <w:spacing w:line="360" w:lineRule="auto"/>
        <w:ind w:firstLine="458" w:firstLineChars="200"/>
        <w:jc w:val="left"/>
        <w:rPr>
          <w:rFonts w:ascii="宋体" w:cs="宋体"/>
          <w:b/>
          <w:color w:val="auto"/>
          <w:sz w:val="32"/>
          <w:szCs w:val="32"/>
          <w:highlight w:val="none"/>
        </w:rPr>
      </w:pPr>
      <w:r>
        <w:rPr>
          <w:rFonts w:ascii="宋体" w:hAnsi="宋体" w:cs="宋体"/>
          <w:b/>
          <w:bCs/>
          <w:color w:val="auto"/>
          <w:spacing w:val="-6"/>
          <w:sz w:val="24"/>
          <w:highlight w:val="none"/>
        </w:rPr>
        <w:br w:type="page"/>
      </w:r>
      <w:r>
        <w:rPr>
          <w:rFonts w:hint="eastAsia" w:ascii="宋体" w:hAnsi="宋体" w:cs="宋体"/>
          <w:b/>
          <w:bCs/>
          <w:color w:val="auto"/>
          <w:spacing w:val="-6"/>
          <w:sz w:val="24"/>
          <w:highlight w:val="none"/>
        </w:rPr>
        <w:t xml:space="preserve">                            </w:t>
      </w:r>
      <w:r>
        <w:rPr>
          <w:rFonts w:hint="eastAsia" w:ascii="宋体" w:hAnsi="宋体" w:cs="宋体"/>
          <w:b/>
          <w:color w:val="auto"/>
          <w:sz w:val="32"/>
          <w:szCs w:val="32"/>
          <w:highlight w:val="none"/>
        </w:rPr>
        <w:t>第六章  投标文件格式</w:t>
      </w:r>
    </w:p>
    <w:p w14:paraId="1892E8EC">
      <w:pPr>
        <w:pStyle w:val="4"/>
        <w:keepNext w:val="0"/>
        <w:keepLines w:val="0"/>
        <w:tabs>
          <w:tab w:val="left" w:pos="358"/>
          <w:tab w:val="left" w:pos="420"/>
        </w:tabs>
        <w:ind w:left="357"/>
        <w:rPr>
          <w:rFonts w:ascii="宋体" w:hAnsi="宋体" w:eastAsia="宋体" w:cs="宋体"/>
          <w:color w:val="auto"/>
          <w:sz w:val="24"/>
          <w:highlight w:val="none"/>
        </w:rPr>
      </w:pPr>
      <w:bookmarkStart w:id="83" w:name="_Toc452965651"/>
      <w:r>
        <w:rPr>
          <w:rFonts w:hint="eastAsia" w:ascii="宋体" w:hAnsi="宋体" w:eastAsia="宋体" w:cs="宋体"/>
          <w:color w:val="auto"/>
          <w:sz w:val="24"/>
          <w:highlight w:val="none"/>
        </w:rPr>
        <w:t>附件</w:t>
      </w:r>
      <w:r>
        <w:rPr>
          <w:rFonts w:ascii="宋体" w:hAnsi="宋体" w:eastAsia="宋体" w:cs="宋体"/>
          <w:color w:val="auto"/>
          <w:sz w:val="24"/>
          <w:highlight w:val="none"/>
        </w:rPr>
        <w:t xml:space="preserve">1 </w:t>
      </w:r>
      <w:r>
        <w:rPr>
          <w:rFonts w:hint="eastAsia" w:ascii="宋体" w:hAnsi="宋体" w:eastAsia="宋体" w:cs="宋体"/>
          <w:color w:val="auto"/>
          <w:sz w:val="24"/>
          <w:highlight w:val="none"/>
        </w:rPr>
        <w:t>：评分索引表</w:t>
      </w:r>
      <w:bookmarkEnd w:id="83"/>
    </w:p>
    <w:p w14:paraId="03A9DD64">
      <w:pPr>
        <w:pStyle w:val="3"/>
        <w:keepNext w:val="0"/>
        <w:keepLines w:val="0"/>
        <w:tabs>
          <w:tab w:val="left" w:pos="478"/>
        </w:tabs>
        <w:spacing w:before="120" w:beforeLines="50" w:after="120" w:afterLines="50" w:line="360" w:lineRule="auto"/>
        <w:rPr>
          <w:rFonts w:ascii="宋体" w:cs="宋体"/>
          <w:color w:val="auto"/>
          <w:sz w:val="24"/>
          <w:szCs w:val="24"/>
          <w:highlight w:val="none"/>
        </w:rPr>
      </w:pPr>
      <w:bookmarkStart w:id="84" w:name="_Toc32609"/>
      <w:bookmarkStart w:id="85" w:name="_Toc340322186"/>
      <w:bookmarkStart w:id="86" w:name="_Toc339302147"/>
      <w:bookmarkStart w:id="87" w:name="_Toc340321931"/>
      <w:bookmarkStart w:id="88" w:name="_Toc180555954"/>
      <w:bookmarkStart w:id="89" w:name="_Toc489481899"/>
    </w:p>
    <w:tbl>
      <w:tblPr>
        <w:tblStyle w:val="27"/>
        <w:tblpPr w:leftFromText="180" w:rightFromText="180" w:vertAnchor="page" w:horzAnchor="page" w:tblpX="1464" w:tblpY="3183"/>
        <w:tblW w:w="9364" w:type="dxa"/>
        <w:tblInd w:w="0" w:type="dxa"/>
        <w:tblLayout w:type="fixed"/>
        <w:tblCellMar>
          <w:top w:w="0" w:type="dxa"/>
          <w:left w:w="108" w:type="dxa"/>
          <w:bottom w:w="0" w:type="dxa"/>
          <w:right w:w="108" w:type="dxa"/>
        </w:tblCellMar>
      </w:tblPr>
      <w:tblGrid>
        <w:gridCol w:w="899"/>
        <w:gridCol w:w="1280"/>
        <w:gridCol w:w="2609"/>
        <w:gridCol w:w="1260"/>
        <w:gridCol w:w="1771"/>
        <w:gridCol w:w="1545"/>
      </w:tblGrid>
      <w:tr w14:paraId="4ABA8BFB">
        <w:tblPrEx>
          <w:tblCellMar>
            <w:top w:w="0" w:type="dxa"/>
            <w:left w:w="108" w:type="dxa"/>
            <w:bottom w:w="0" w:type="dxa"/>
            <w:right w:w="108" w:type="dxa"/>
          </w:tblCellMar>
        </w:tblPrEx>
        <w:trPr>
          <w:trHeight w:val="942" w:hRule="atLeast"/>
        </w:trPr>
        <w:tc>
          <w:tcPr>
            <w:tcW w:w="899" w:type="dxa"/>
            <w:tcBorders>
              <w:top w:val="single" w:color="000000" w:sz="4" w:space="0"/>
              <w:left w:val="single" w:color="000000" w:sz="4" w:space="0"/>
              <w:bottom w:val="single" w:color="000000" w:sz="4" w:space="0"/>
              <w:right w:val="single" w:color="000000" w:sz="4" w:space="0"/>
            </w:tcBorders>
            <w:vAlign w:val="center"/>
          </w:tcPr>
          <w:p w14:paraId="0D2DEC71">
            <w:pPr>
              <w:widowControl/>
              <w:spacing w:after="120"/>
              <w:ind w:left="-854" w:firstLine="854"/>
              <w:jc w:val="center"/>
              <w:rPr>
                <w:rFonts w:ascii="宋体" w:cs="宋体"/>
                <w:color w:val="auto"/>
                <w:kern w:val="0"/>
                <w:sz w:val="24"/>
                <w:highlight w:val="none"/>
              </w:rPr>
            </w:pPr>
            <w:r>
              <w:rPr>
                <w:rFonts w:hint="eastAsia" w:ascii="宋体" w:hAnsi="宋体" w:cs="宋体"/>
                <w:color w:val="auto"/>
                <w:kern w:val="0"/>
                <w:sz w:val="24"/>
                <w:highlight w:val="none"/>
              </w:rPr>
              <w:t>序号</w:t>
            </w:r>
          </w:p>
        </w:tc>
        <w:tc>
          <w:tcPr>
            <w:tcW w:w="1280" w:type="dxa"/>
            <w:tcBorders>
              <w:top w:val="single" w:color="000000" w:sz="4" w:space="0"/>
              <w:left w:val="nil"/>
              <w:bottom w:val="single" w:color="000000" w:sz="4" w:space="0"/>
              <w:right w:val="single" w:color="auto" w:sz="4" w:space="0"/>
            </w:tcBorders>
            <w:vAlign w:val="center"/>
          </w:tcPr>
          <w:p w14:paraId="5A5F8425">
            <w:pPr>
              <w:widowControl/>
              <w:spacing w:after="120"/>
              <w:jc w:val="center"/>
              <w:rPr>
                <w:rFonts w:ascii="宋体" w:cs="宋体"/>
                <w:color w:val="auto"/>
                <w:kern w:val="0"/>
                <w:sz w:val="24"/>
                <w:highlight w:val="none"/>
              </w:rPr>
            </w:pPr>
            <w:r>
              <w:rPr>
                <w:rFonts w:hint="eastAsia" w:ascii="宋体" w:hAnsi="宋体" w:cs="宋体"/>
                <w:color w:val="auto"/>
                <w:kern w:val="0"/>
                <w:sz w:val="24"/>
                <w:highlight w:val="none"/>
              </w:rPr>
              <w:t>评审内容</w:t>
            </w:r>
          </w:p>
        </w:tc>
        <w:tc>
          <w:tcPr>
            <w:tcW w:w="2609" w:type="dxa"/>
            <w:tcBorders>
              <w:top w:val="single" w:color="000000" w:sz="4" w:space="0"/>
              <w:left w:val="single" w:color="auto" w:sz="4" w:space="0"/>
              <w:bottom w:val="single" w:color="000000" w:sz="4" w:space="0"/>
              <w:right w:val="single" w:color="000000" w:sz="4" w:space="0"/>
            </w:tcBorders>
            <w:vAlign w:val="center"/>
          </w:tcPr>
          <w:p w14:paraId="38B7D57F">
            <w:pPr>
              <w:spacing w:after="120"/>
              <w:jc w:val="center"/>
              <w:rPr>
                <w:rFonts w:ascii="宋体" w:cs="宋体"/>
                <w:color w:val="auto"/>
                <w:kern w:val="0"/>
                <w:sz w:val="24"/>
                <w:highlight w:val="none"/>
              </w:rPr>
            </w:pPr>
            <w:r>
              <w:rPr>
                <w:rFonts w:hint="eastAsia" w:ascii="宋体" w:hAnsi="宋体" w:cs="宋体"/>
                <w:color w:val="auto"/>
                <w:kern w:val="0"/>
                <w:sz w:val="24"/>
                <w:highlight w:val="none"/>
              </w:rPr>
              <w:t>评审标准</w:t>
            </w:r>
          </w:p>
        </w:tc>
        <w:tc>
          <w:tcPr>
            <w:tcW w:w="1260" w:type="dxa"/>
            <w:tcBorders>
              <w:top w:val="single" w:color="000000" w:sz="4" w:space="0"/>
              <w:left w:val="nil"/>
              <w:bottom w:val="single" w:color="000000" w:sz="4" w:space="0"/>
              <w:right w:val="single" w:color="000000" w:sz="4" w:space="0"/>
            </w:tcBorders>
            <w:vAlign w:val="center"/>
          </w:tcPr>
          <w:p w14:paraId="421232F2">
            <w:pPr>
              <w:widowControl/>
              <w:spacing w:after="120"/>
              <w:jc w:val="center"/>
              <w:rPr>
                <w:rFonts w:ascii="宋体" w:cs="宋体"/>
                <w:color w:val="auto"/>
                <w:kern w:val="0"/>
                <w:sz w:val="24"/>
                <w:highlight w:val="none"/>
              </w:rPr>
            </w:pPr>
            <w:r>
              <w:rPr>
                <w:rFonts w:hint="eastAsia" w:ascii="宋体" w:hAnsi="宋体" w:cs="宋体"/>
                <w:color w:val="auto"/>
                <w:kern w:val="0"/>
                <w:sz w:val="24"/>
                <w:highlight w:val="none"/>
              </w:rPr>
              <w:t>评审分值</w:t>
            </w:r>
          </w:p>
        </w:tc>
        <w:tc>
          <w:tcPr>
            <w:tcW w:w="1771" w:type="dxa"/>
            <w:tcBorders>
              <w:top w:val="single" w:color="000000" w:sz="4" w:space="0"/>
              <w:left w:val="nil"/>
              <w:bottom w:val="single" w:color="000000" w:sz="4" w:space="0"/>
              <w:right w:val="single" w:color="000000" w:sz="4" w:space="0"/>
            </w:tcBorders>
            <w:vAlign w:val="center"/>
          </w:tcPr>
          <w:p w14:paraId="638B3B7E">
            <w:pPr>
              <w:widowControl/>
              <w:spacing w:after="120"/>
              <w:jc w:val="center"/>
              <w:rPr>
                <w:rFonts w:ascii="宋体" w:cs="宋体"/>
                <w:color w:val="auto"/>
                <w:kern w:val="0"/>
                <w:sz w:val="24"/>
                <w:highlight w:val="none"/>
              </w:rPr>
            </w:pPr>
            <w:r>
              <w:rPr>
                <w:rFonts w:hint="eastAsia" w:ascii="宋体" w:hAnsi="宋体" w:cs="宋体"/>
                <w:color w:val="auto"/>
                <w:kern w:val="0"/>
                <w:sz w:val="24"/>
                <w:highlight w:val="none"/>
              </w:rPr>
              <w:t>对应页码范围</w:t>
            </w:r>
          </w:p>
        </w:tc>
        <w:tc>
          <w:tcPr>
            <w:tcW w:w="1545" w:type="dxa"/>
            <w:tcBorders>
              <w:top w:val="single" w:color="000000" w:sz="4" w:space="0"/>
              <w:left w:val="nil"/>
              <w:bottom w:val="single" w:color="000000" w:sz="4" w:space="0"/>
              <w:right w:val="single" w:color="000000" w:sz="4" w:space="0"/>
            </w:tcBorders>
            <w:vAlign w:val="center"/>
          </w:tcPr>
          <w:p w14:paraId="221F9374">
            <w:pPr>
              <w:widowControl/>
              <w:spacing w:after="120"/>
              <w:jc w:val="center"/>
              <w:rPr>
                <w:rFonts w:ascii="宋体" w:cs="宋体"/>
                <w:color w:val="auto"/>
                <w:kern w:val="0"/>
                <w:sz w:val="24"/>
                <w:highlight w:val="none"/>
              </w:rPr>
            </w:pPr>
            <w:r>
              <w:rPr>
                <w:rFonts w:hint="eastAsia" w:ascii="宋体" w:hAnsi="宋体" w:cs="宋体"/>
                <w:color w:val="auto"/>
                <w:kern w:val="0"/>
                <w:sz w:val="24"/>
                <w:highlight w:val="none"/>
              </w:rPr>
              <w:t>客观自评分</w:t>
            </w:r>
          </w:p>
        </w:tc>
      </w:tr>
      <w:tr w14:paraId="65BFD4D3">
        <w:tblPrEx>
          <w:tblCellMar>
            <w:top w:w="0" w:type="dxa"/>
            <w:left w:w="108" w:type="dxa"/>
            <w:bottom w:w="0" w:type="dxa"/>
            <w:right w:w="108" w:type="dxa"/>
          </w:tblCellMar>
        </w:tblPrEx>
        <w:trPr>
          <w:trHeight w:val="729" w:hRule="atLeast"/>
        </w:trPr>
        <w:tc>
          <w:tcPr>
            <w:tcW w:w="899" w:type="dxa"/>
            <w:tcBorders>
              <w:top w:val="single" w:color="000000" w:sz="4" w:space="0"/>
              <w:left w:val="single" w:color="000000" w:sz="4" w:space="0"/>
              <w:bottom w:val="single" w:color="000000" w:sz="4" w:space="0"/>
              <w:right w:val="single" w:color="000000" w:sz="4" w:space="0"/>
            </w:tcBorders>
          </w:tcPr>
          <w:p w14:paraId="7CB42FF9">
            <w:pPr>
              <w:pStyle w:val="64"/>
              <w:rPr>
                <w:rFonts w:cs="宋体"/>
                <w:color w:val="auto"/>
                <w:sz w:val="24"/>
                <w:highlight w:val="none"/>
              </w:rPr>
            </w:pPr>
          </w:p>
        </w:tc>
        <w:tc>
          <w:tcPr>
            <w:tcW w:w="1280" w:type="dxa"/>
            <w:tcBorders>
              <w:top w:val="single" w:color="000000" w:sz="4" w:space="0"/>
              <w:left w:val="nil"/>
              <w:bottom w:val="single" w:color="000000" w:sz="4" w:space="0"/>
              <w:right w:val="single" w:color="auto" w:sz="4" w:space="0"/>
            </w:tcBorders>
          </w:tcPr>
          <w:p w14:paraId="783E4D34">
            <w:pPr>
              <w:pStyle w:val="64"/>
              <w:rPr>
                <w:rFonts w:cs="宋体"/>
                <w:color w:val="auto"/>
                <w:sz w:val="24"/>
                <w:highlight w:val="none"/>
              </w:rPr>
            </w:pPr>
          </w:p>
        </w:tc>
        <w:tc>
          <w:tcPr>
            <w:tcW w:w="2609" w:type="dxa"/>
            <w:tcBorders>
              <w:top w:val="single" w:color="000000" w:sz="4" w:space="0"/>
              <w:left w:val="single" w:color="auto" w:sz="4" w:space="0"/>
              <w:bottom w:val="single" w:color="000000" w:sz="4" w:space="0"/>
              <w:right w:val="single" w:color="000000" w:sz="4" w:space="0"/>
            </w:tcBorders>
            <w:vAlign w:val="center"/>
          </w:tcPr>
          <w:p w14:paraId="3062421B">
            <w:pPr>
              <w:pStyle w:val="64"/>
              <w:rPr>
                <w:rFonts w:cs="宋体"/>
                <w:color w:val="auto"/>
                <w:sz w:val="24"/>
                <w:highlight w:val="none"/>
              </w:rPr>
            </w:pPr>
          </w:p>
        </w:tc>
        <w:tc>
          <w:tcPr>
            <w:tcW w:w="1260" w:type="dxa"/>
            <w:tcBorders>
              <w:top w:val="single" w:color="000000" w:sz="4" w:space="0"/>
              <w:left w:val="nil"/>
              <w:bottom w:val="single" w:color="000000" w:sz="4" w:space="0"/>
              <w:right w:val="single" w:color="000000" w:sz="4" w:space="0"/>
            </w:tcBorders>
            <w:vAlign w:val="center"/>
          </w:tcPr>
          <w:p w14:paraId="2A545643">
            <w:pPr>
              <w:widowControl/>
              <w:snapToGrid w:val="0"/>
              <w:jc w:val="left"/>
              <w:rPr>
                <w:rFonts w:ascii="宋体" w:cs="宋体"/>
                <w:color w:val="auto"/>
                <w:kern w:val="0"/>
                <w:sz w:val="24"/>
                <w:highlight w:val="none"/>
              </w:rPr>
            </w:pPr>
          </w:p>
        </w:tc>
        <w:tc>
          <w:tcPr>
            <w:tcW w:w="1771" w:type="dxa"/>
            <w:tcBorders>
              <w:top w:val="single" w:color="000000" w:sz="4" w:space="0"/>
              <w:left w:val="nil"/>
              <w:bottom w:val="single" w:color="000000" w:sz="4" w:space="0"/>
              <w:right w:val="single" w:color="000000" w:sz="4" w:space="0"/>
            </w:tcBorders>
            <w:vAlign w:val="center"/>
          </w:tcPr>
          <w:p w14:paraId="02E517DA">
            <w:pPr>
              <w:widowControl/>
              <w:spacing w:after="120"/>
              <w:jc w:val="center"/>
              <w:rPr>
                <w:rFonts w:ascii="宋体" w:cs="宋体"/>
                <w:color w:val="auto"/>
                <w:kern w:val="0"/>
                <w:sz w:val="24"/>
                <w:highlight w:val="none"/>
              </w:rPr>
            </w:pPr>
          </w:p>
        </w:tc>
        <w:tc>
          <w:tcPr>
            <w:tcW w:w="1545" w:type="dxa"/>
            <w:tcBorders>
              <w:top w:val="single" w:color="000000" w:sz="4" w:space="0"/>
              <w:left w:val="nil"/>
              <w:bottom w:val="single" w:color="000000" w:sz="4" w:space="0"/>
              <w:right w:val="single" w:color="000000" w:sz="4" w:space="0"/>
            </w:tcBorders>
            <w:vAlign w:val="center"/>
          </w:tcPr>
          <w:p w14:paraId="1E70B088">
            <w:pPr>
              <w:widowControl/>
              <w:spacing w:after="120"/>
              <w:jc w:val="center"/>
              <w:rPr>
                <w:rFonts w:ascii="宋体" w:cs="宋体"/>
                <w:color w:val="auto"/>
                <w:kern w:val="0"/>
                <w:sz w:val="24"/>
                <w:highlight w:val="none"/>
              </w:rPr>
            </w:pPr>
          </w:p>
        </w:tc>
      </w:tr>
      <w:tr w14:paraId="66FC5545">
        <w:tblPrEx>
          <w:tblCellMar>
            <w:top w:w="0" w:type="dxa"/>
            <w:left w:w="108" w:type="dxa"/>
            <w:bottom w:w="0" w:type="dxa"/>
            <w:right w:w="108" w:type="dxa"/>
          </w:tblCellMar>
        </w:tblPrEx>
        <w:trPr>
          <w:trHeight w:val="695" w:hRule="atLeast"/>
        </w:trPr>
        <w:tc>
          <w:tcPr>
            <w:tcW w:w="899" w:type="dxa"/>
            <w:tcBorders>
              <w:top w:val="single" w:color="000000" w:sz="4" w:space="0"/>
              <w:left w:val="single" w:color="000000" w:sz="4" w:space="0"/>
              <w:bottom w:val="single" w:color="000000" w:sz="4" w:space="0"/>
              <w:right w:val="single" w:color="000000" w:sz="4" w:space="0"/>
            </w:tcBorders>
          </w:tcPr>
          <w:p w14:paraId="56E0168E">
            <w:pPr>
              <w:pStyle w:val="64"/>
              <w:rPr>
                <w:rFonts w:cs="宋体"/>
                <w:color w:val="auto"/>
                <w:sz w:val="24"/>
                <w:highlight w:val="none"/>
              </w:rPr>
            </w:pPr>
          </w:p>
        </w:tc>
        <w:tc>
          <w:tcPr>
            <w:tcW w:w="1280" w:type="dxa"/>
            <w:tcBorders>
              <w:top w:val="single" w:color="000000" w:sz="4" w:space="0"/>
              <w:left w:val="nil"/>
              <w:bottom w:val="single" w:color="000000" w:sz="4" w:space="0"/>
              <w:right w:val="single" w:color="auto" w:sz="4" w:space="0"/>
            </w:tcBorders>
          </w:tcPr>
          <w:p w14:paraId="675CFA76">
            <w:pPr>
              <w:pStyle w:val="64"/>
              <w:rPr>
                <w:rFonts w:cs="宋体"/>
                <w:color w:val="auto"/>
                <w:sz w:val="24"/>
                <w:highlight w:val="none"/>
              </w:rPr>
            </w:pPr>
          </w:p>
        </w:tc>
        <w:tc>
          <w:tcPr>
            <w:tcW w:w="2609" w:type="dxa"/>
            <w:tcBorders>
              <w:top w:val="single" w:color="000000" w:sz="4" w:space="0"/>
              <w:left w:val="single" w:color="auto" w:sz="4" w:space="0"/>
              <w:bottom w:val="single" w:color="000000" w:sz="4" w:space="0"/>
              <w:right w:val="single" w:color="000000" w:sz="4" w:space="0"/>
            </w:tcBorders>
            <w:vAlign w:val="center"/>
          </w:tcPr>
          <w:p w14:paraId="7A9BA77B">
            <w:pPr>
              <w:pStyle w:val="64"/>
              <w:rPr>
                <w:rFonts w:cs="宋体"/>
                <w:color w:val="auto"/>
                <w:sz w:val="24"/>
                <w:highlight w:val="none"/>
              </w:rPr>
            </w:pPr>
          </w:p>
        </w:tc>
        <w:tc>
          <w:tcPr>
            <w:tcW w:w="1260" w:type="dxa"/>
            <w:tcBorders>
              <w:top w:val="single" w:color="000000" w:sz="4" w:space="0"/>
              <w:left w:val="nil"/>
              <w:bottom w:val="single" w:color="000000" w:sz="4" w:space="0"/>
              <w:right w:val="single" w:color="000000" w:sz="4" w:space="0"/>
            </w:tcBorders>
            <w:vAlign w:val="center"/>
          </w:tcPr>
          <w:p w14:paraId="16DBAF8D">
            <w:pPr>
              <w:rPr>
                <w:rFonts w:ascii="宋体" w:cs="宋体"/>
                <w:color w:val="auto"/>
                <w:sz w:val="24"/>
                <w:highlight w:val="none"/>
              </w:rPr>
            </w:pPr>
          </w:p>
        </w:tc>
        <w:tc>
          <w:tcPr>
            <w:tcW w:w="1771" w:type="dxa"/>
            <w:tcBorders>
              <w:top w:val="single" w:color="000000" w:sz="4" w:space="0"/>
              <w:left w:val="nil"/>
              <w:bottom w:val="single" w:color="000000" w:sz="4" w:space="0"/>
              <w:right w:val="single" w:color="000000" w:sz="4" w:space="0"/>
            </w:tcBorders>
            <w:vAlign w:val="center"/>
          </w:tcPr>
          <w:p w14:paraId="793C0EF9">
            <w:pPr>
              <w:widowControl/>
              <w:jc w:val="center"/>
              <w:rPr>
                <w:rFonts w:ascii="宋体" w:cs="宋体"/>
                <w:color w:val="auto"/>
                <w:kern w:val="0"/>
                <w:sz w:val="24"/>
                <w:highlight w:val="none"/>
              </w:rPr>
            </w:pPr>
          </w:p>
        </w:tc>
        <w:tc>
          <w:tcPr>
            <w:tcW w:w="1545" w:type="dxa"/>
            <w:tcBorders>
              <w:top w:val="single" w:color="000000" w:sz="4" w:space="0"/>
              <w:left w:val="nil"/>
              <w:bottom w:val="single" w:color="000000" w:sz="4" w:space="0"/>
              <w:right w:val="single" w:color="000000" w:sz="4" w:space="0"/>
            </w:tcBorders>
            <w:vAlign w:val="center"/>
          </w:tcPr>
          <w:p w14:paraId="451B48F7">
            <w:pPr>
              <w:widowControl/>
              <w:jc w:val="center"/>
              <w:rPr>
                <w:rFonts w:ascii="宋体" w:cs="宋体"/>
                <w:color w:val="auto"/>
                <w:kern w:val="0"/>
                <w:sz w:val="24"/>
                <w:highlight w:val="none"/>
              </w:rPr>
            </w:pPr>
          </w:p>
        </w:tc>
      </w:tr>
      <w:tr w14:paraId="371E5F46">
        <w:tblPrEx>
          <w:tblCellMar>
            <w:top w:w="0" w:type="dxa"/>
            <w:left w:w="108" w:type="dxa"/>
            <w:bottom w:w="0" w:type="dxa"/>
            <w:right w:w="108" w:type="dxa"/>
          </w:tblCellMar>
        </w:tblPrEx>
        <w:trPr>
          <w:trHeight w:val="839" w:hRule="atLeast"/>
        </w:trPr>
        <w:tc>
          <w:tcPr>
            <w:tcW w:w="899" w:type="dxa"/>
            <w:tcBorders>
              <w:top w:val="single" w:color="000000" w:sz="4" w:space="0"/>
              <w:left w:val="single" w:color="000000" w:sz="4" w:space="0"/>
              <w:bottom w:val="single" w:color="000000" w:sz="4" w:space="0"/>
              <w:right w:val="single" w:color="000000" w:sz="4" w:space="0"/>
            </w:tcBorders>
          </w:tcPr>
          <w:p w14:paraId="399CA329">
            <w:pPr>
              <w:pStyle w:val="64"/>
              <w:rPr>
                <w:rFonts w:cs="宋体"/>
                <w:color w:val="auto"/>
                <w:sz w:val="24"/>
                <w:highlight w:val="none"/>
              </w:rPr>
            </w:pPr>
          </w:p>
        </w:tc>
        <w:tc>
          <w:tcPr>
            <w:tcW w:w="1280" w:type="dxa"/>
            <w:tcBorders>
              <w:top w:val="single" w:color="000000" w:sz="4" w:space="0"/>
              <w:left w:val="nil"/>
              <w:bottom w:val="single" w:color="000000" w:sz="4" w:space="0"/>
              <w:right w:val="single" w:color="auto" w:sz="4" w:space="0"/>
            </w:tcBorders>
          </w:tcPr>
          <w:p w14:paraId="427120E0">
            <w:pPr>
              <w:pStyle w:val="64"/>
              <w:rPr>
                <w:rFonts w:cs="宋体"/>
                <w:color w:val="auto"/>
                <w:sz w:val="24"/>
                <w:highlight w:val="none"/>
              </w:rPr>
            </w:pPr>
          </w:p>
        </w:tc>
        <w:tc>
          <w:tcPr>
            <w:tcW w:w="2609" w:type="dxa"/>
            <w:tcBorders>
              <w:top w:val="single" w:color="000000" w:sz="4" w:space="0"/>
              <w:left w:val="single" w:color="auto" w:sz="4" w:space="0"/>
              <w:bottom w:val="single" w:color="000000" w:sz="4" w:space="0"/>
              <w:right w:val="single" w:color="000000" w:sz="4" w:space="0"/>
            </w:tcBorders>
            <w:vAlign w:val="center"/>
          </w:tcPr>
          <w:p w14:paraId="352CD98F">
            <w:pPr>
              <w:pStyle w:val="64"/>
              <w:rPr>
                <w:rFonts w:cs="宋体"/>
                <w:color w:val="auto"/>
                <w:sz w:val="24"/>
                <w:highlight w:val="none"/>
              </w:rPr>
            </w:pPr>
          </w:p>
        </w:tc>
        <w:tc>
          <w:tcPr>
            <w:tcW w:w="1260" w:type="dxa"/>
            <w:tcBorders>
              <w:top w:val="single" w:color="000000" w:sz="4" w:space="0"/>
              <w:left w:val="nil"/>
              <w:bottom w:val="single" w:color="000000" w:sz="4" w:space="0"/>
              <w:right w:val="single" w:color="000000" w:sz="4" w:space="0"/>
            </w:tcBorders>
            <w:vAlign w:val="center"/>
          </w:tcPr>
          <w:p w14:paraId="075EFA58">
            <w:pPr>
              <w:rPr>
                <w:rFonts w:ascii="宋体" w:cs="宋体"/>
                <w:color w:val="auto"/>
                <w:sz w:val="24"/>
                <w:highlight w:val="none"/>
              </w:rPr>
            </w:pPr>
          </w:p>
        </w:tc>
        <w:tc>
          <w:tcPr>
            <w:tcW w:w="1771" w:type="dxa"/>
            <w:tcBorders>
              <w:top w:val="single" w:color="000000" w:sz="4" w:space="0"/>
              <w:left w:val="nil"/>
              <w:bottom w:val="single" w:color="000000" w:sz="4" w:space="0"/>
              <w:right w:val="single" w:color="000000" w:sz="4" w:space="0"/>
            </w:tcBorders>
            <w:vAlign w:val="center"/>
          </w:tcPr>
          <w:p w14:paraId="743EC1A4">
            <w:pPr>
              <w:widowControl/>
              <w:jc w:val="center"/>
              <w:rPr>
                <w:rFonts w:ascii="宋体" w:cs="宋体"/>
                <w:color w:val="auto"/>
                <w:kern w:val="0"/>
                <w:sz w:val="24"/>
                <w:highlight w:val="none"/>
              </w:rPr>
            </w:pPr>
          </w:p>
        </w:tc>
        <w:tc>
          <w:tcPr>
            <w:tcW w:w="1545" w:type="dxa"/>
            <w:tcBorders>
              <w:top w:val="single" w:color="000000" w:sz="4" w:space="0"/>
              <w:left w:val="nil"/>
              <w:bottom w:val="single" w:color="000000" w:sz="4" w:space="0"/>
              <w:right w:val="single" w:color="000000" w:sz="4" w:space="0"/>
            </w:tcBorders>
            <w:vAlign w:val="center"/>
          </w:tcPr>
          <w:p w14:paraId="74986591">
            <w:pPr>
              <w:widowControl/>
              <w:jc w:val="center"/>
              <w:rPr>
                <w:rFonts w:ascii="宋体" w:cs="宋体"/>
                <w:color w:val="auto"/>
                <w:kern w:val="0"/>
                <w:sz w:val="24"/>
                <w:highlight w:val="none"/>
              </w:rPr>
            </w:pPr>
          </w:p>
        </w:tc>
      </w:tr>
      <w:tr w14:paraId="2C2FD0E9">
        <w:tblPrEx>
          <w:tblCellMar>
            <w:top w:w="0" w:type="dxa"/>
            <w:left w:w="108" w:type="dxa"/>
            <w:bottom w:w="0" w:type="dxa"/>
            <w:right w:w="108" w:type="dxa"/>
          </w:tblCellMar>
        </w:tblPrEx>
        <w:trPr>
          <w:trHeight w:val="745" w:hRule="atLeast"/>
        </w:trPr>
        <w:tc>
          <w:tcPr>
            <w:tcW w:w="899" w:type="dxa"/>
            <w:tcBorders>
              <w:top w:val="single" w:color="000000" w:sz="4" w:space="0"/>
              <w:left w:val="single" w:color="000000" w:sz="4" w:space="0"/>
              <w:bottom w:val="single" w:color="000000" w:sz="4" w:space="0"/>
              <w:right w:val="single" w:color="000000" w:sz="4" w:space="0"/>
            </w:tcBorders>
          </w:tcPr>
          <w:p w14:paraId="3CB4CDBE">
            <w:pPr>
              <w:pStyle w:val="64"/>
              <w:rPr>
                <w:rFonts w:cs="宋体"/>
                <w:color w:val="auto"/>
                <w:sz w:val="24"/>
                <w:highlight w:val="none"/>
              </w:rPr>
            </w:pPr>
          </w:p>
        </w:tc>
        <w:tc>
          <w:tcPr>
            <w:tcW w:w="1280" w:type="dxa"/>
            <w:tcBorders>
              <w:top w:val="single" w:color="000000" w:sz="4" w:space="0"/>
              <w:left w:val="nil"/>
              <w:bottom w:val="single" w:color="000000" w:sz="4" w:space="0"/>
              <w:right w:val="single" w:color="auto" w:sz="4" w:space="0"/>
            </w:tcBorders>
          </w:tcPr>
          <w:p w14:paraId="68279EC9">
            <w:pPr>
              <w:pStyle w:val="64"/>
              <w:rPr>
                <w:rFonts w:cs="宋体"/>
                <w:color w:val="auto"/>
                <w:sz w:val="24"/>
                <w:highlight w:val="none"/>
              </w:rPr>
            </w:pPr>
          </w:p>
        </w:tc>
        <w:tc>
          <w:tcPr>
            <w:tcW w:w="2609" w:type="dxa"/>
            <w:tcBorders>
              <w:top w:val="single" w:color="000000" w:sz="4" w:space="0"/>
              <w:left w:val="single" w:color="auto" w:sz="4" w:space="0"/>
              <w:bottom w:val="single" w:color="000000" w:sz="4" w:space="0"/>
              <w:right w:val="single" w:color="000000" w:sz="4" w:space="0"/>
            </w:tcBorders>
            <w:vAlign w:val="center"/>
          </w:tcPr>
          <w:p w14:paraId="6D356DAE">
            <w:pPr>
              <w:pStyle w:val="64"/>
              <w:rPr>
                <w:rFonts w:cs="宋体"/>
                <w:color w:val="auto"/>
                <w:sz w:val="24"/>
                <w:highlight w:val="none"/>
              </w:rPr>
            </w:pPr>
          </w:p>
        </w:tc>
        <w:tc>
          <w:tcPr>
            <w:tcW w:w="1260" w:type="dxa"/>
            <w:tcBorders>
              <w:top w:val="single" w:color="000000" w:sz="4" w:space="0"/>
              <w:left w:val="nil"/>
              <w:bottom w:val="single" w:color="000000" w:sz="4" w:space="0"/>
              <w:right w:val="single" w:color="000000" w:sz="4" w:space="0"/>
            </w:tcBorders>
            <w:vAlign w:val="center"/>
          </w:tcPr>
          <w:p w14:paraId="65EC293C">
            <w:pPr>
              <w:rPr>
                <w:rFonts w:ascii="宋体" w:cs="宋体"/>
                <w:color w:val="auto"/>
                <w:sz w:val="24"/>
                <w:highlight w:val="none"/>
              </w:rPr>
            </w:pPr>
          </w:p>
        </w:tc>
        <w:tc>
          <w:tcPr>
            <w:tcW w:w="1771" w:type="dxa"/>
            <w:tcBorders>
              <w:top w:val="single" w:color="000000" w:sz="4" w:space="0"/>
              <w:left w:val="nil"/>
              <w:bottom w:val="single" w:color="000000" w:sz="4" w:space="0"/>
              <w:right w:val="single" w:color="000000" w:sz="4" w:space="0"/>
            </w:tcBorders>
            <w:vAlign w:val="center"/>
          </w:tcPr>
          <w:p w14:paraId="075605C3">
            <w:pPr>
              <w:widowControl/>
              <w:jc w:val="center"/>
              <w:rPr>
                <w:rFonts w:ascii="宋体" w:cs="宋体"/>
                <w:color w:val="auto"/>
                <w:kern w:val="0"/>
                <w:sz w:val="24"/>
                <w:highlight w:val="none"/>
              </w:rPr>
            </w:pPr>
          </w:p>
        </w:tc>
        <w:tc>
          <w:tcPr>
            <w:tcW w:w="1545" w:type="dxa"/>
            <w:tcBorders>
              <w:top w:val="single" w:color="000000" w:sz="4" w:space="0"/>
              <w:left w:val="nil"/>
              <w:bottom w:val="single" w:color="000000" w:sz="4" w:space="0"/>
              <w:right w:val="single" w:color="000000" w:sz="4" w:space="0"/>
            </w:tcBorders>
            <w:vAlign w:val="center"/>
          </w:tcPr>
          <w:p w14:paraId="04DB5870">
            <w:pPr>
              <w:widowControl/>
              <w:jc w:val="center"/>
              <w:rPr>
                <w:rFonts w:ascii="宋体" w:cs="宋体"/>
                <w:color w:val="auto"/>
                <w:kern w:val="0"/>
                <w:sz w:val="24"/>
                <w:highlight w:val="none"/>
              </w:rPr>
            </w:pPr>
          </w:p>
        </w:tc>
      </w:tr>
      <w:tr w14:paraId="672C3C0F">
        <w:tblPrEx>
          <w:tblCellMar>
            <w:top w:w="0" w:type="dxa"/>
            <w:left w:w="108" w:type="dxa"/>
            <w:bottom w:w="0" w:type="dxa"/>
            <w:right w:w="108" w:type="dxa"/>
          </w:tblCellMar>
        </w:tblPrEx>
        <w:trPr>
          <w:trHeight w:val="843" w:hRule="atLeast"/>
        </w:trPr>
        <w:tc>
          <w:tcPr>
            <w:tcW w:w="899" w:type="dxa"/>
            <w:tcBorders>
              <w:top w:val="single" w:color="000000" w:sz="4" w:space="0"/>
              <w:left w:val="single" w:color="000000" w:sz="4" w:space="0"/>
              <w:bottom w:val="single" w:color="000000" w:sz="4" w:space="0"/>
              <w:right w:val="single" w:color="000000" w:sz="4" w:space="0"/>
            </w:tcBorders>
          </w:tcPr>
          <w:p w14:paraId="517FEF25">
            <w:pPr>
              <w:pStyle w:val="64"/>
              <w:rPr>
                <w:rFonts w:cs="宋体"/>
                <w:color w:val="auto"/>
                <w:sz w:val="24"/>
                <w:highlight w:val="none"/>
              </w:rPr>
            </w:pPr>
          </w:p>
        </w:tc>
        <w:tc>
          <w:tcPr>
            <w:tcW w:w="1280" w:type="dxa"/>
            <w:tcBorders>
              <w:top w:val="single" w:color="000000" w:sz="4" w:space="0"/>
              <w:left w:val="nil"/>
              <w:bottom w:val="single" w:color="000000" w:sz="4" w:space="0"/>
              <w:right w:val="single" w:color="auto" w:sz="4" w:space="0"/>
            </w:tcBorders>
          </w:tcPr>
          <w:p w14:paraId="713F619C">
            <w:pPr>
              <w:pStyle w:val="64"/>
              <w:rPr>
                <w:rFonts w:cs="宋体"/>
                <w:color w:val="auto"/>
                <w:sz w:val="24"/>
                <w:highlight w:val="none"/>
              </w:rPr>
            </w:pPr>
          </w:p>
        </w:tc>
        <w:tc>
          <w:tcPr>
            <w:tcW w:w="2609" w:type="dxa"/>
            <w:tcBorders>
              <w:top w:val="single" w:color="000000" w:sz="4" w:space="0"/>
              <w:left w:val="single" w:color="auto" w:sz="4" w:space="0"/>
              <w:bottom w:val="single" w:color="000000" w:sz="4" w:space="0"/>
              <w:right w:val="single" w:color="000000" w:sz="4" w:space="0"/>
            </w:tcBorders>
            <w:vAlign w:val="center"/>
          </w:tcPr>
          <w:p w14:paraId="6794B0F5">
            <w:pPr>
              <w:pStyle w:val="64"/>
              <w:rPr>
                <w:rFonts w:cs="宋体"/>
                <w:color w:val="auto"/>
                <w:sz w:val="24"/>
                <w:highlight w:val="none"/>
              </w:rPr>
            </w:pPr>
          </w:p>
        </w:tc>
        <w:tc>
          <w:tcPr>
            <w:tcW w:w="1260" w:type="dxa"/>
            <w:tcBorders>
              <w:top w:val="single" w:color="000000" w:sz="4" w:space="0"/>
              <w:left w:val="nil"/>
              <w:bottom w:val="single" w:color="000000" w:sz="4" w:space="0"/>
              <w:right w:val="single" w:color="000000" w:sz="4" w:space="0"/>
            </w:tcBorders>
            <w:vAlign w:val="center"/>
          </w:tcPr>
          <w:p w14:paraId="68FD1A94">
            <w:pPr>
              <w:rPr>
                <w:rFonts w:ascii="宋体" w:cs="宋体"/>
                <w:color w:val="auto"/>
                <w:sz w:val="24"/>
                <w:highlight w:val="none"/>
              </w:rPr>
            </w:pPr>
          </w:p>
        </w:tc>
        <w:tc>
          <w:tcPr>
            <w:tcW w:w="1771" w:type="dxa"/>
            <w:tcBorders>
              <w:top w:val="single" w:color="000000" w:sz="4" w:space="0"/>
              <w:left w:val="nil"/>
              <w:bottom w:val="single" w:color="000000" w:sz="4" w:space="0"/>
              <w:right w:val="single" w:color="000000" w:sz="4" w:space="0"/>
            </w:tcBorders>
            <w:vAlign w:val="center"/>
          </w:tcPr>
          <w:p w14:paraId="23E73847">
            <w:pPr>
              <w:widowControl/>
              <w:jc w:val="center"/>
              <w:rPr>
                <w:rFonts w:ascii="宋体" w:cs="宋体"/>
                <w:color w:val="auto"/>
                <w:kern w:val="0"/>
                <w:sz w:val="24"/>
                <w:highlight w:val="none"/>
              </w:rPr>
            </w:pPr>
          </w:p>
        </w:tc>
        <w:tc>
          <w:tcPr>
            <w:tcW w:w="1545" w:type="dxa"/>
            <w:tcBorders>
              <w:top w:val="single" w:color="000000" w:sz="4" w:space="0"/>
              <w:left w:val="nil"/>
              <w:bottom w:val="single" w:color="000000" w:sz="4" w:space="0"/>
              <w:right w:val="single" w:color="000000" w:sz="4" w:space="0"/>
            </w:tcBorders>
            <w:vAlign w:val="center"/>
          </w:tcPr>
          <w:p w14:paraId="67464F6E">
            <w:pPr>
              <w:widowControl/>
              <w:jc w:val="center"/>
              <w:rPr>
                <w:rFonts w:ascii="宋体" w:cs="宋体"/>
                <w:color w:val="auto"/>
                <w:kern w:val="0"/>
                <w:sz w:val="24"/>
                <w:highlight w:val="none"/>
              </w:rPr>
            </w:pPr>
          </w:p>
        </w:tc>
      </w:tr>
    </w:tbl>
    <w:p w14:paraId="73A304D1">
      <w:pPr>
        <w:pStyle w:val="43"/>
        <w:rPr>
          <w:rFonts w:ascii="宋体" w:cs="宋体"/>
          <w:color w:val="auto"/>
          <w:kern w:val="0"/>
          <w:highlight w:val="none"/>
        </w:rPr>
      </w:pPr>
    </w:p>
    <w:p w14:paraId="777EE470">
      <w:pPr>
        <w:pStyle w:val="43"/>
        <w:rPr>
          <w:rFonts w:ascii="宋体" w:cs="宋体"/>
          <w:color w:val="auto"/>
          <w:kern w:val="0"/>
          <w:highlight w:val="none"/>
        </w:rPr>
      </w:pPr>
    </w:p>
    <w:p w14:paraId="0DE0D121">
      <w:pPr>
        <w:pStyle w:val="43"/>
        <w:rPr>
          <w:rFonts w:ascii="宋体" w:cs="宋体"/>
          <w:color w:val="auto"/>
          <w:kern w:val="0"/>
          <w:highlight w:val="none"/>
        </w:rPr>
      </w:pPr>
    </w:p>
    <w:p w14:paraId="7842C76E">
      <w:pPr>
        <w:pStyle w:val="43"/>
        <w:rPr>
          <w:rFonts w:ascii="宋体" w:cs="宋体"/>
          <w:color w:val="auto"/>
          <w:kern w:val="0"/>
          <w:highlight w:val="none"/>
        </w:rPr>
      </w:pPr>
    </w:p>
    <w:p w14:paraId="6BD7B654">
      <w:pPr>
        <w:widowControl/>
        <w:rPr>
          <w:rFonts w:ascii="宋体" w:cs="宋体"/>
          <w:color w:val="auto"/>
          <w:kern w:val="0"/>
          <w:sz w:val="24"/>
          <w:highlight w:val="none"/>
        </w:rPr>
      </w:pPr>
      <w:r>
        <w:rPr>
          <w:rFonts w:hint="eastAsia" w:ascii="宋体" w:hAnsi="宋体" w:cs="宋体"/>
          <w:color w:val="auto"/>
          <w:kern w:val="0"/>
          <w:sz w:val="24"/>
          <w:highlight w:val="none"/>
        </w:rPr>
        <w:t>注：本表可根据实际自行扩展。</w:t>
      </w:r>
    </w:p>
    <w:p w14:paraId="177444E5">
      <w:pPr>
        <w:pStyle w:val="43"/>
        <w:rPr>
          <w:rFonts w:ascii="宋体" w:cs="宋体"/>
          <w:color w:val="auto"/>
          <w:kern w:val="0"/>
          <w:highlight w:val="none"/>
        </w:rPr>
      </w:pPr>
    </w:p>
    <w:p w14:paraId="3EBDD908">
      <w:pPr>
        <w:pStyle w:val="43"/>
        <w:rPr>
          <w:rFonts w:ascii="宋体" w:cs="宋体"/>
          <w:color w:val="auto"/>
          <w:kern w:val="0"/>
          <w:highlight w:val="none"/>
        </w:rPr>
      </w:pPr>
    </w:p>
    <w:p w14:paraId="517637D2">
      <w:pPr>
        <w:pStyle w:val="43"/>
        <w:rPr>
          <w:rFonts w:ascii="宋体" w:cs="宋体"/>
          <w:color w:val="auto"/>
          <w:kern w:val="0"/>
          <w:highlight w:val="none"/>
        </w:rPr>
      </w:pPr>
    </w:p>
    <w:p w14:paraId="198526F7">
      <w:pPr>
        <w:pStyle w:val="43"/>
        <w:rPr>
          <w:rFonts w:ascii="宋体" w:cs="宋体"/>
          <w:color w:val="auto"/>
          <w:kern w:val="0"/>
          <w:highlight w:val="none"/>
        </w:rPr>
      </w:pPr>
    </w:p>
    <w:p w14:paraId="68D9CAE0">
      <w:pPr>
        <w:pStyle w:val="43"/>
        <w:rPr>
          <w:rFonts w:ascii="宋体" w:cs="宋体"/>
          <w:color w:val="auto"/>
          <w:kern w:val="0"/>
          <w:highlight w:val="none"/>
        </w:rPr>
      </w:pPr>
    </w:p>
    <w:p w14:paraId="50197384">
      <w:pPr>
        <w:pStyle w:val="43"/>
        <w:rPr>
          <w:rFonts w:ascii="宋体" w:cs="宋体"/>
          <w:color w:val="auto"/>
          <w:kern w:val="0"/>
          <w:highlight w:val="none"/>
        </w:rPr>
      </w:pPr>
    </w:p>
    <w:p w14:paraId="37F359FB">
      <w:pPr>
        <w:pStyle w:val="43"/>
        <w:rPr>
          <w:rFonts w:ascii="宋体" w:cs="宋体"/>
          <w:color w:val="auto"/>
          <w:kern w:val="0"/>
          <w:highlight w:val="none"/>
        </w:rPr>
      </w:pPr>
    </w:p>
    <w:p w14:paraId="4C0DC576">
      <w:pPr>
        <w:pStyle w:val="43"/>
        <w:rPr>
          <w:rFonts w:ascii="宋体" w:cs="宋体"/>
          <w:color w:val="auto"/>
          <w:kern w:val="0"/>
          <w:highlight w:val="none"/>
        </w:rPr>
      </w:pPr>
    </w:p>
    <w:p w14:paraId="49F99504">
      <w:pPr>
        <w:pStyle w:val="43"/>
        <w:ind w:left="0" w:leftChars="0" w:firstLine="0" w:firstLineChars="0"/>
        <w:rPr>
          <w:rFonts w:ascii="宋体" w:cs="宋体"/>
          <w:color w:val="auto"/>
          <w:kern w:val="0"/>
          <w:highlight w:val="none"/>
        </w:rPr>
      </w:pPr>
    </w:p>
    <w:p w14:paraId="7542D63D">
      <w:pPr>
        <w:rPr>
          <w:rFonts w:ascii="宋体" w:cs="宋体"/>
          <w:bCs/>
          <w:color w:val="auto"/>
          <w:kern w:val="0"/>
          <w:sz w:val="24"/>
          <w:highlight w:val="none"/>
        </w:rPr>
      </w:pPr>
      <w:bookmarkStart w:id="90" w:name="_Toc489481898"/>
      <w:bookmarkStart w:id="91" w:name="_Toc513456153"/>
      <w:bookmarkStart w:id="92" w:name="_Toc2165"/>
      <w:bookmarkStart w:id="93" w:name="_Toc7504"/>
      <w:r>
        <w:rPr>
          <w:rFonts w:hint="eastAsia" w:ascii="宋体" w:hAnsi="宋体" w:cs="宋体"/>
          <w:bCs/>
          <w:color w:val="auto"/>
          <w:kern w:val="0"/>
          <w:sz w:val="24"/>
          <w:highlight w:val="none"/>
        </w:rPr>
        <w:t>附件</w:t>
      </w:r>
      <w:r>
        <w:rPr>
          <w:rFonts w:ascii="宋体" w:hAnsi="宋体" w:cs="宋体"/>
          <w:bCs/>
          <w:color w:val="auto"/>
          <w:kern w:val="0"/>
          <w:sz w:val="24"/>
          <w:highlight w:val="none"/>
        </w:rPr>
        <w:t>2</w:t>
      </w:r>
      <w:r>
        <w:rPr>
          <w:rFonts w:hint="eastAsia" w:ascii="宋体" w:hAnsi="宋体" w:cs="宋体"/>
          <w:bCs/>
          <w:color w:val="auto"/>
          <w:kern w:val="0"/>
          <w:sz w:val="24"/>
          <w:highlight w:val="none"/>
        </w:rPr>
        <w:t>：</w:t>
      </w:r>
      <w:bookmarkEnd w:id="84"/>
      <w:bookmarkEnd w:id="85"/>
      <w:bookmarkEnd w:id="86"/>
      <w:bookmarkEnd w:id="87"/>
      <w:bookmarkEnd w:id="88"/>
      <w:bookmarkEnd w:id="89"/>
      <w:bookmarkEnd w:id="90"/>
      <w:bookmarkEnd w:id="91"/>
      <w:bookmarkEnd w:id="92"/>
      <w:bookmarkEnd w:id="93"/>
      <w:r>
        <w:rPr>
          <w:rFonts w:hint="eastAsia" w:ascii="宋体" w:hAnsi="宋体" w:cs="宋体"/>
          <w:bCs/>
          <w:color w:val="auto"/>
          <w:kern w:val="0"/>
          <w:sz w:val="24"/>
          <w:highlight w:val="none"/>
        </w:rPr>
        <w:t>资格</w:t>
      </w:r>
      <w:r>
        <w:rPr>
          <w:rFonts w:ascii="宋体" w:hAnsi="宋体" w:cs="宋体"/>
          <w:bCs/>
          <w:color w:val="auto"/>
          <w:kern w:val="0"/>
          <w:sz w:val="24"/>
          <w:highlight w:val="none"/>
        </w:rPr>
        <w:t>/</w:t>
      </w:r>
      <w:r>
        <w:rPr>
          <w:rFonts w:hint="eastAsia" w:ascii="宋体" w:hAnsi="宋体" w:cs="宋体"/>
          <w:bCs/>
          <w:color w:val="auto"/>
          <w:kern w:val="0"/>
          <w:sz w:val="24"/>
          <w:highlight w:val="none"/>
        </w:rPr>
        <w:t>商务技术</w:t>
      </w:r>
      <w:r>
        <w:rPr>
          <w:rFonts w:ascii="宋体" w:hAnsi="宋体" w:cs="宋体"/>
          <w:bCs/>
          <w:color w:val="auto"/>
          <w:kern w:val="0"/>
          <w:sz w:val="24"/>
          <w:highlight w:val="none"/>
        </w:rPr>
        <w:t>/</w:t>
      </w:r>
      <w:r>
        <w:rPr>
          <w:rFonts w:hint="eastAsia" w:ascii="宋体" w:hAnsi="宋体" w:cs="宋体"/>
          <w:bCs/>
          <w:color w:val="auto"/>
          <w:kern w:val="0"/>
          <w:sz w:val="24"/>
          <w:highlight w:val="none"/>
          <w:lang w:eastAsia="zh-CN"/>
        </w:rPr>
        <w:t>报价</w:t>
      </w:r>
      <w:r>
        <w:rPr>
          <w:rFonts w:hint="eastAsia" w:ascii="宋体" w:hAnsi="宋体" w:cs="宋体"/>
          <w:bCs/>
          <w:color w:val="auto"/>
          <w:kern w:val="0"/>
          <w:sz w:val="24"/>
          <w:highlight w:val="none"/>
        </w:rPr>
        <w:t>文件的封面格式</w:t>
      </w:r>
    </w:p>
    <w:p w14:paraId="28C38265">
      <w:pPr>
        <w:snapToGrid w:val="0"/>
        <w:spacing w:before="120" w:beforeLines="50" w:after="50" w:line="360" w:lineRule="auto"/>
        <w:jc w:val="right"/>
        <w:rPr>
          <w:rFonts w:ascii="宋体" w:cs="宋体"/>
          <w:b/>
          <w:color w:val="auto"/>
          <w:sz w:val="24"/>
          <w:highlight w:val="none"/>
        </w:rPr>
      </w:pPr>
      <w:r>
        <w:rPr>
          <w:rFonts w:hint="eastAsia" w:ascii="宋体" w:hAnsi="宋体" w:cs="宋体"/>
          <w:bCs/>
          <w:color w:val="auto"/>
          <w:kern w:val="0"/>
          <w:sz w:val="24"/>
          <w:highlight w:val="none"/>
        </w:rPr>
        <w:t>正本</w:t>
      </w:r>
      <w:r>
        <w:rPr>
          <w:rFonts w:ascii="宋体" w:hAnsi="宋体" w:cs="宋体"/>
          <w:bCs/>
          <w:color w:val="auto"/>
          <w:kern w:val="0"/>
          <w:sz w:val="24"/>
          <w:highlight w:val="none"/>
        </w:rPr>
        <w:t>/</w:t>
      </w:r>
      <w:r>
        <w:rPr>
          <w:rFonts w:hint="eastAsia" w:ascii="宋体" w:hAnsi="宋体" w:cs="宋体"/>
          <w:bCs/>
          <w:color w:val="auto"/>
          <w:kern w:val="0"/>
          <w:sz w:val="24"/>
          <w:highlight w:val="none"/>
        </w:rPr>
        <w:t>副本</w:t>
      </w:r>
    </w:p>
    <w:p w14:paraId="192DB572">
      <w:pPr>
        <w:snapToGrid w:val="0"/>
        <w:spacing w:before="120" w:beforeLines="50" w:after="50" w:line="360" w:lineRule="auto"/>
        <w:jc w:val="center"/>
        <w:rPr>
          <w:rFonts w:ascii="宋体" w:cs="宋体"/>
          <w:bCs/>
          <w:color w:val="auto"/>
          <w:sz w:val="24"/>
          <w:highlight w:val="none"/>
        </w:rPr>
      </w:pPr>
    </w:p>
    <w:p w14:paraId="46647680">
      <w:pPr>
        <w:snapToGrid w:val="0"/>
        <w:spacing w:before="120" w:beforeLines="50" w:after="50" w:line="360" w:lineRule="auto"/>
        <w:jc w:val="center"/>
        <w:rPr>
          <w:rFonts w:ascii="宋体" w:cs="宋体"/>
          <w:b/>
          <w:color w:val="auto"/>
          <w:sz w:val="32"/>
          <w:szCs w:val="32"/>
          <w:highlight w:val="none"/>
        </w:rPr>
      </w:pPr>
      <w:r>
        <w:rPr>
          <w:rFonts w:hint="eastAsia" w:ascii="宋体" w:hAnsi="宋体" w:cs="宋体"/>
          <w:bCs/>
          <w:color w:val="auto"/>
          <w:sz w:val="32"/>
          <w:szCs w:val="32"/>
          <w:highlight w:val="none"/>
        </w:rPr>
        <w:t>资格</w:t>
      </w:r>
      <w:r>
        <w:rPr>
          <w:rFonts w:ascii="宋体" w:hAnsi="宋体" w:cs="宋体"/>
          <w:bCs/>
          <w:color w:val="auto"/>
          <w:sz w:val="32"/>
          <w:szCs w:val="32"/>
          <w:highlight w:val="none"/>
        </w:rPr>
        <w:t>/</w:t>
      </w:r>
      <w:r>
        <w:rPr>
          <w:rFonts w:hint="eastAsia" w:ascii="宋体" w:hAnsi="宋体" w:cs="宋体"/>
          <w:bCs/>
          <w:color w:val="auto"/>
          <w:sz w:val="32"/>
          <w:szCs w:val="32"/>
          <w:highlight w:val="none"/>
        </w:rPr>
        <w:t>商务技术</w:t>
      </w:r>
      <w:r>
        <w:rPr>
          <w:rFonts w:ascii="宋体" w:hAnsi="宋体" w:cs="宋体"/>
          <w:bCs/>
          <w:color w:val="auto"/>
          <w:sz w:val="32"/>
          <w:szCs w:val="32"/>
          <w:highlight w:val="none"/>
        </w:rPr>
        <w:t>/</w:t>
      </w:r>
      <w:r>
        <w:rPr>
          <w:rFonts w:hint="eastAsia" w:ascii="宋体" w:hAnsi="宋体" w:cs="宋体"/>
          <w:bCs/>
          <w:color w:val="auto"/>
          <w:sz w:val="32"/>
          <w:szCs w:val="32"/>
          <w:highlight w:val="none"/>
        </w:rPr>
        <w:t>报价文件</w:t>
      </w:r>
    </w:p>
    <w:p w14:paraId="76F33E27">
      <w:pPr>
        <w:snapToGrid w:val="0"/>
        <w:spacing w:before="120" w:beforeLines="50" w:after="50" w:line="360" w:lineRule="auto"/>
        <w:rPr>
          <w:rFonts w:ascii="宋体" w:cs="宋体"/>
          <w:bCs/>
          <w:color w:val="auto"/>
          <w:sz w:val="32"/>
          <w:szCs w:val="32"/>
          <w:highlight w:val="none"/>
        </w:rPr>
      </w:pPr>
    </w:p>
    <w:p w14:paraId="7997F64B">
      <w:pPr>
        <w:snapToGrid w:val="0"/>
        <w:spacing w:before="120" w:beforeLines="50" w:after="50" w:line="360" w:lineRule="auto"/>
        <w:rPr>
          <w:rFonts w:ascii="宋体" w:cs="宋体"/>
          <w:bCs/>
          <w:color w:val="auto"/>
          <w:sz w:val="32"/>
          <w:szCs w:val="32"/>
          <w:highlight w:val="none"/>
        </w:rPr>
      </w:pPr>
    </w:p>
    <w:p w14:paraId="2F269040">
      <w:pPr>
        <w:snapToGrid w:val="0"/>
        <w:spacing w:before="120" w:beforeLines="50" w:after="50" w:line="360" w:lineRule="auto"/>
        <w:ind w:firstLine="1273" w:firstLineChars="398"/>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3A09989D">
      <w:pPr>
        <w:snapToGrid w:val="0"/>
        <w:spacing w:before="120" w:beforeLines="50" w:after="50" w:line="360" w:lineRule="auto"/>
        <w:ind w:firstLine="640" w:firstLineChars="200"/>
        <w:rPr>
          <w:rFonts w:ascii="宋体" w:hAnsi="宋体" w:cs="宋体"/>
          <w:bCs/>
          <w:color w:val="auto"/>
          <w:sz w:val="32"/>
          <w:szCs w:val="32"/>
          <w:highlight w:val="none"/>
        </w:rPr>
      </w:pPr>
    </w:p>
    <w:p w14:paraId="194FB13F">
      <w:pPr>
        <w:snapToGrid w:val="0"/>
        <w:spacing w:before="120" w:beforeLines="50" w:after="50" w:line="360" w:lineRule="auto"/>
        <w:ind w:firstLine="1280" w:firstLineChars="4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044FB75E">
      <w:pPr>
        <w:snapToGrid w:val="0"/>
        <w:spacing w:before="120" w:beforeLines="50" w:after="50" w:line="360" w:lineRule="auto"/>
        <w:ind w:firstLine="640" w:firstLineChars="200"/>
        <w:rPr>
          <w:rFonts w:ascii="宋体" w:cs="宋体"/>
          <w:bCs/>
          <w:color w:val="auto"/>
          <w:sz w:val="32"/>
          <w:szCs w:val="32"/>
          <w:highlight w:val="none"/>
        </w:rPr>
      </w:pPr>
    </w:p>
    <w:p w14:paraId="6D636C22">
      <w:pPr>
        <w:pStyle w:val="23"/>
        <w:snapToGrid w:val="0"/>
        <w:spacing w:before="50" w:after="50" w:line="360" w:lineRule="auto"/>
        <w:ind w:firstLine="1440" w:firstLineChars="450"/>
        <w:rPr>
          <w:rFonts w:cs="宋体"/>
          <w:bCs/>
          <w:color w:val="auto"/>
          <w:kern w:val="2"/>
          <w:sz w:val="32"/>
          <w:szCs w:val="32"/>
          <w:highlight w:val="none"/>
        </w:rPr>
      </w:pPr>
    </w:p>
    <w:p w14:paraId="588DE84A">
      <w:pPr>
        <w:pStyle w:val="23"/>
        <w:snapToGrid w:val="0"/>
        <w:spacing w:before="50" w:after="50" w:line="360" w:lineRule="auto"/>
        <w:ind w:firstLine="1440" w:firstLineChars="450"/>
        <w:rPr>
          <w:rFonts w:cs="宋体"/>
          <w:bCs/>
          <w:color w:val="auto"/>
          <w:kern w:val="2"/>
          <w:sz w:val="32"/>
          <w:szCs w:val="32"/>
          <w:highlight w:val="none"/>
        </w:rPr>
      </w:pPr>
      <w:r>
        <w:rPr>
          <w:rFonts w:hint="eastAsia" w:cs="宋体"/>
          <w:bCs/>
          <w:color w:val="auto"/>
          <w:kern w:val="2"/>
          <w:sz w:val="32"/>
          <w:szCs w:val="32"/>
          <w:highlight w:val="none"/>
        </w:rPr>
        <w:t>投标人名称：（盖章）</w:t>
      </w:r>
    </w:p>
    <w:p w14:paraId="606D2A4C">
      <w:pPr>
        <w:pStyle w:val="23"/>
        <w:snapToGrid w:val="0"/>
        <w:spacing w:before="50" w:after="50" w:line="360" w:lineRule="auto"/>
        <w:ind w:firstLine="1440" w:firstLineChars="450"/>
        <w:rPr>
          <w:rFonts w:cs="宋体"/>
          <w:bCs/>
          <w:color w:val="auto"/>
          <w:kern w:val="2"/>
          <w:sz w:val="32"/>
          <w:szCs w:val="32"/>
          <w:highlight w:val="none"/>
        </w:rPr>
      </w:pPr>
      <w:r>
        <w:rPr>
          <w:rFonts w:hint="eastAsia" w:cs="宋体"/>
          <w:bCs/>
          <w:color w:val="auto"/>
          <w:kern w:val="2"/>
          <w:sz w:val="32"/>
          <w:szCs w:val="32"/>
          <w:highlight w:val="none"/>
        </w:rPr>
        <w:t>投标人代表：（签字或盖章）</w:t>
      </w:r>
    </w:p>
    <w:p w14:paraId="1970804B">
      <w:pPr>
        <w:snapToGrid w:val="0"/>
        <w:spacing w:before="120" w:beforeLines="50" w:after="50" w:line="360" w:lineRule="auto"/>
        <w:ind w:firstLine="1418"/>
        <w:jc w:val="left"/>
        <w:rPr>
          <w:rFonts w:ascii="宋体" w:cs="宋体"/>
          <w:color w:val="auto"/>
          <w:sz w:val="32"/>
          <w:szCs w:val="32"/>
          <w:highlight w:val="none"/>
        </w:rPr>
      </w:pPr>
      <w:r>
        <w:rPr>
          <w:rFonts w:hint="eastAsia" w:cs="宋体"/>
          <w:bCs/>
          <w:color w:val="auto"/>
          <w:sz w:val="32"/>
          <w:szCs w:val="32"/>
          <w:highlight w:val="none"/>
        </w:rPr>
        <w:t>投标人地址：</w:t>
      </w:r>
    </w:p>
    <w:p w14:paraId="3747DE5E">
      <w:pPr>
        <w:snapToGrid w:val="0"/>
        <w:spacing w:before="120" w:beforeLines="50" w:after="50" w:line="360" w:lineRule="auto"/>
        <w:ind w:firstLine="645"/>
        <w:jc w:val="center"/>
        <w:rPr>
          <w:rFonts w:ascii="宋体" w:cs="宋体"/>
          <w:color w:val="auto"/>
          <w:sz w:val="32"/>
          <w:szCs w:val="32"/>
          <w:highlight w:val="none"/>
        </w:rPr>
      </w:pPr>
    </w:p>
    <w:p w14:paraId="2BBEFAAF">
      <w:pPr>
        <w:snapToGrid w:val="0"/>
        <w:spacing w:before="120" w:beforeLines="50" w:after="50" w:line="360" w:lineRule="auto"/>
        <w:ind w:firstLine="645"/>
        <w:jc w:val="center"/>
        <w:rPr>
          <w:rFonts w:ascii="宋体" w:cs="宋体"/>
          <w:color w:val="auto"/>
          <w:sz w:val="32"/>
          <w:szCs w:val="32"/>
          <w:highlight w:val="none"/>
        </w:rPr>
      </w:pPr>
    </w:p>
    <w:p w14:paraId="2F86A465">
      <w:pPr>
        <w:snapToGrid w:val="0"/>
        <w:spacing w:before="120" w:beforeLines="50" w:after="50" w:line="360" w:lineRule="auto"/>
        <w:ind w:firstLine="645"/>
        <w:jc w:val="center"/>
        <w:rPr>
          <w:rFonts w:ascii="宋体" w:cs="宋体"/>
          <w:color w:val="auto"/>
          <w:sz w:val="32"/>
          <w:szCs w:val="32"/>
          <w:highlight w:val="none"/>
        </w:rPr>
      </w:pPr>
      <w:r>
        <w:rPr>
          <w:rFonts w:hint="eastAsia" w:ascii="宋体" w:hAnsi="宋体" w:cs="宋体"/>
          <w:color w:val="auto"/>
          <w:sz w:val="32"/>
          <w:szCs w:val="32"/>
          <w:highlight w:val="none"/>
        </w:rPr>
        <w:t>年  月  日</w:t>
      </w:r>
    </w:p>
    <w:p w14:paraId="1CFB53BA">
      <w:pPr>
        <w:keepNext w:val="0"/>
        <w:keepLines w:val="0"/>
        <w:pageBreakBefore w:val="0"/>
        <w:widowControl w:val="0"/>
        <w:kinsoku/>
        <w:wordWrap/>
        <w:overflowPunct/>
        <w:topLinePunct w:val="0"/>
        <w:autoSpaceDE/>
        <w:autoSpaceDN/>
        <w:bidi w:val="0"/>
        <w:adjustRightInd/>
        <w:snapToGrid/>
        <w:spacing w:line="420" w:lineRule="exact"/>
        <w:ind w:right="532"/>
        <w:textAlignment w:val="auto"/>
        <w:rPr>
          <w:rStyle w:val="53"/>
          <w:rFonts w:cs="宋体"/>
          <w:color w:val="auto"/>
          <w:sz w:val="24"/>
          <w:highlight w:val="none"/>
        </w:rPr>
      </w:pPr>
      <w:r>
        <w:rPr>
          <w:rStyle w:val="53"/>
          <w:rFonts w:cs="宋体"/>
          <w:color w:val="auto"/>
          <w:sz w:val="24"/>
          <w:highlight w:val="none"/>
        </w:rPr>
        <w:br w:type="page"/>
      </w:r>
      <w:r>
        <w:rPr>
          <w:rStyle w:val="53"/>
          <w:rFonts w:hint="eastAsia" w:cs="宋体"/>
          <w:color w:val="auto"/>
          <w:sz w:val="24"/>
          <w:highlight w:val="none"/>
          <w:lang w:val="en-US" w:eastAsia="zh-CN"/>
        </w:rPr>
        <w:t xml:space="preserve"> </w:t>
      </w:r>
      <w:r>
        <w:rPr>
          <w:rStyle w:val="53"/>
          <w:rFonts w:hint="eastAsia" w:hAnsi="宋体" w:cs="宋体"/>
          <w:color w:val="auto"/>
          <w:sz w:val="24"/>
          <w:highlight w:val="none"/>
        </w:rPr>
        <w:t>资格文件目录</w:t>
      </w:r>
    </w:p>
    <w:p w14:paraId="61259691">
      <w:pPr>
        <w:spacing w:line="440" w:lineRule="exact"/>
        <w:ind w:firstLine="458" w:firstLineChars="200"/>
        <w:jc w:val="left"/>
        <w:rPr>
          <w:rFonts w:ascii="宋体" w:cs="宋体"/>
          <w:b/>
          <w:color w:val="auto"/>
          <w:spacing w:val="-6"/>
          <w:sz w:val="24"/>
          <w:highlight w:val="none"/>
        </w:rPr>
      </w:pPr>
      <w:r>
        <w:rPr>
          <w:rFonts w:ascii="宋体" w:hAnsi="宋体" w:cs="宋体"/>
          <w:b/>
          <w:color w:val="auto"/>
          <w:spacing w:val="-6"/>
          <w:sz w:val="24"/>
          <w:highlight w:val="none"/>
        </w:rPr>
        <w:t>1</w:t>
      </w:r>
      <w:r>
        <w:rPr>
          <w:rFonts w:hint="eastAsia" w:ascii="宋体" w:hAnsi="宋体" w:cs="宋体"/>
          <w:b/>
          <w:color w:val="auto"/>
          <w:spacing w:val="-6"/>
          <w:sz w:val="24"/>
          <w:highlight w:val="none"/>
        </w:rPr>
        <w:t>）有效的法人或者其他组织的营业执照等证明文件；</w:t>
      </w:r>
    </w:p>
    <w:p w14:paraId="5D23E9F6">
      <w:pPr>
        <w:pStyle w:val="9"/>
        <w:spacing w:line="288" w:lineRule="auto"/>
        <w:ind w:firstLine="458" w:firstLineChars="200"/>
        <w:jc w:val="left"/>
        <w:rPr>
          <w:rFonts w:hAnsi="宋体" w:cs="宋体"/>
          <w:b/>
          <w:color w:val="auto"/>
          <w:spacing w:val="-6"/>
          <w:sz w:val="24"/>
          <w:szCs w:val="24"/>
          <w:highlight w:val="none"/>
        </w:rPr>
      </w:pPr>
      <w:r>
        <w:rPr>
          <w:rFonts w:hint="eastAsia" w:hAnsi="宋体" w:cs="宋体"/>
          <w:b/>
          <w:color w:val="auto"/>
          <w:spacing w:val="-6"/>
          <w:sz w:val="24"/>
          <w:szCs w:val="24"/>
          <w:highlight w:val="none"/>
        </w:rPr>
        <w:t>2）法定代表人资格证明书或法定代表人授权委托书；</w:t>
      </w:r>
    </w:p>
    <w:p w14:paraId="0A2B1988">
      <w:pPr>
        <w:pStyle w:val="9"/>
        <w:spacing w:line="288" w:lineRule="auto"/>
        <w:ind w:firstLine="458" w:firstLineChars="200"/>
        <w:jc w:val="left"/>
        <w:rPr>
          <w:rFonts w:hAnsi="宋体" w:cs="宋体"/>
          <w:b/>
          <w:color w:val="auto"/>
          <w:spacing w:val="-6"/>
          <w:sz w:val="24"/>
          <w:szCs w:val="24"/>
          <w:highlight w:val="none"/>
        </w:rPr>
      </w:pPr>
      <w:r>
        <w:rPr>
          <w:rFonts w:hint="eastAsia" w:hAnsi="宋体" w:cs="宋体"/>
          <w:b/>
          <w:color w:val="auto"/>
          <w:spacing w:val="-6"/>
          <w:sz w:val="24"/>
          <w:szCs w:val="24"/>
          <w:highlight w:val="none"/>
        </w:rPr>
        <w:t>3）具有良好的商业信誉和健全的财务会计制度承诺函；</w:t>
      </w:r>
    </w:p>
    <w:p w14:paraId="247AB695">
      <w:pPr>
        <w:pStyle w:val="9"/>
        <w:spacing w:line="288" w:lineRule="auto"/>
        <w:ind w:firstLine="458" w:firstLineChars="200"/>
        <w:jc w:val="left"/>
        <w:rPr>
          <w:rFonts w:hAnsi="宋体" w:cs="宋体"/>
          <w:b/>
          <w:color w:val="auto"/>
          <w:spacing w:val="-6"/>
          <w:sz w:val="24"/>
          <w:szCs w:val="24"/>
          <w:highlight w:val="none"/>
        </w:rPr>
      </w:pPr>
      <w:r>
        <w:rPr>
          <w:rFonts w:hint="eastAsia" w:hAnsi="宋体" w:cs="宋体"/>
          <w:b/>
          <w:color w:val="auto"/>
          <w:spacing w:val="-6"/>
          <w:sz w:val="24"/>
          <w:szCs w:val="24"/>
          <w:highlight w:val="none"/>
        </w:rPr>
        <w:t>4）具有依法缴纳税收和社会保障资金的良好记录承诺函；</w:t>
      </w:r>
    </w:p>
    <w:p w14:paraId="664120DF">
      <w:pPr>
        <w:pStyle w:val="9"/>
        <w:spacing w:line="288" w:lineRule="auto"/>
        <w:ind w:firstLine="458" w:firstLineChars="200"/>
        <w:jc w:val="left"/>
        <w:rPr>
          <w:rFonts w:hAnsi="宋体" w:cs="宋体"/>
          <w:b/>
          <w:color w:val="auto"/>
          <w:spacing w:val="-6"/>
          <w:sz w:val="24"/>
          <w:szCs w:val="24"/>
          <w:highlight w:val="none"/>
        </w:rPr>
      </w:pPr>
      <w:r>
        <w:rPr>
          <w:rFonts w:hint="eastAsia" w:hAnsi="宋体" w:cs="宋体"/>
          <w:b/>
          <w:color w:val="auto"/>
          <w:spacing w:val="-6"/>
          <w:sz w:val="24"/>
          <w:szCs w:val="24"/>
          <w:highlight w:val="none"/>
        </w:rPr>
        <w:t>5）具有履行合同所必需的设备和专业技术能力的承诺函；</w:t>
      </w:r>
    </w:p>
    <w:p w14:paraId="2167E59A">
      <w:pPr>
        <w:pStyle w:val="9"/>
        <w:spacing w:line="288" w:lineRule="auto"/>
        <w:ind w:firstLine="458" w:firstLineChars="200"/>
        <w:jc w:val="left"/>
        <w:rPr>
          <w:rFonts w:hAnsi="宋体" w:cs="宋体"/>
          <w:b/>
          <w:color w:val="auto"/>
          <w:spacing w:val="-6"/>
          <w:sz w:val="24"/>
          <w:szCs w:val="24"/>
          <w:highlight w:val="none"/>
        </w:rPr>
      </w:pPr>
      <w:r>
        <w:rPr>
          <w:rFonts w:hint="eastAsia" w:hAnsi="宋体" w:cs="宋体"/>
          <w:b/>
          <w:color w:val="auto"/>
          <w:spacing w:val="-6"/>
          <w:sz w:val="24"/>
          <w:szCs w:val="24"/>
          <w:highlight w:val="none"/>
        </w:rPr>
        <w:t>6）参加政府采购活动前3年内在经营活动中没有重大违法记录的书面声明。</w:t>
      </w:r>
    </w:p>
    <w:p w14:paraId="0959B324">
      <w:pPr>
        <w:pStyle w:val="43"/>
        <w:rPr>
          <w:rFonts w:ascii="宋体" w:cs="宋体"/>
          <w:color w:val="auto"/>
          <w:highlight w:val="none"/>
        </w:rPr>
      </w:pPr>
    </w:p>
    <w:p w14:paraId="797965F1">
      <w:pPr>
        <w:pStyle w:val="43"/>
        <w:rPr>
          <w:rFonts w:ascii="宋体" w:cs="宋体"/>
          <w:color w:val="auto"/>
          <w:highlight w:val="none"/>
        </w:rPr>
      </w:pPr>
    </w:p>
    <w:p w14:paraId="217A8A53">
      <w:pPr>
        <w:pStyle w:val="43"/>
        <w:rPr>
          <w:rFonts w:ascii="宋体" w:cs="宋体"/>
          <w:color w:val="auto"/>
          <w:highlight w:val="none"/>
        </w:rPr>
      </w:pPr>
    </w:p>
    <w:p w14:paraId="492079A2">
      <w:pPr>
        <w:pStyle w:val="43"/>
        <w:rPr>
          <w:rFonts w:ascii="宋体" w:cs="宋体"/>
          <w:color w:val="auto"/>
          <w:highlight w:val="none"/>
        </w:rPr>
      </w:pPr>
    </w:p>
    <w:p w14:paraId="2569BC78">
      <w:pPr>
        <w:pStyle w:val="43"/>
        <w:rPr>
          <w:rFonts w:ascii="宋体" w:cs="宋体"/>
          <w:color w:val="auto"/>
          <w:highlight w:val="none"/>
        </w:rPr>
      </w:pPr>
    </w:p>
    <w:p w14:paraId="4AAD8003">
      <w:pPr>
        <w:pStyle w:val="43"/>
        <w:rPr>
          <w:rFonts w:ascii="宋体" w:cs="宋体"/>
          <w:color w:val="auto"/>
          <w:highlight w:val="none"/>
        </w:rPr>
      </w:pPr>
    </w:p>
    <w:p w14:paraId="2444F8F4">
      <w:pPr>
        <w:pStyle w:val="43"/>
        <w:rPr>
          <w:rFonts w:ascii="宋体" w:cs="宋体"/>
          <w:color w:val="auto"/>
          <w:highlight w:val="none"/>
        </w:rPr>
      </w:pPr>
    </w:p>
    <w:p w14:paraId="6690DBB2">
      <w:pPr>
        <w:pStyle w:val="43"/>
        <w:rPr>
          <w:rFonts w:ascii="宋体" w:cs="宋体"/>
          <w:color w:val="auto"/>
          <w:highlight w:val="none"/>
        </w:rPr>
      </w:pPr>
    </w:p>
    <w:p w14:paraId="294CCB83">
      <w:pPr>
        <w:pStyle w:val="43"/>
        <w:rPr>
          <w:rFonts w:ascii="宋体" w:cs="宋体"/>
          <w:color w:val="auto"/>
          <w:highlight w:val="none"/>
        </w:rPr>
      </w:pPr>
    </w:p>
    <w:p w14:paraId="5BFD56A5">
      <w:pPr>
        <w:pStyle w:val="43"/>
        <w:rPr>
          <w:rFonts w:ascii="宋体" w:cs="宋体"/>
          <w:color w:val="auto"/>
          <w:highlight w:val="none"/>
        </w:rPr>
      </w:pPr>
    </w:p>
    <w:p w14:paraId="291F2445">
      <w:pPr>
        <w:pStyle w:val="43"/>
        <w:rPr>
          <w:rFonts w:ascii="宋体" w:cs="宋体"/>
          <w:color w:val="auto"/>
          <w:highlight w:val="none"/>
        </w:rPr>
      </w:pPr>
    </w:p>
    <w:p w14:paraId="50421D6B">
      <w:pPr>
        <w:pStyle w:val="43"/>
        <w:rPr>
          <w:rFonts w:ascii="宋体" w:cs="宋体"/>
          <w:color w:val="auto"/>
          <w:highlight w:val="none"/>
        </w:rPr>
      </w:pPr>
    </w:p>
    <w:p w14:paraId="2FAD9F66">
      <w:pPr>
        <w:pStyle w:val="43"/>
        <w:rPr>
          <w:rFonts w:ascii="宋体" w:cs="宋体"/>
          <w:color w:val="auto"/>
          <w:highlight w:val="none"/>
        </w:rPr>
      </w:pPr>
    </w:p>
    <w:p w14:paraId="2B9E6AB4">
      <w:pPr>
        <w:pStyle w:val="43"/>
        <w:rPr>
          <w:rFonts w:ascii="宋体" w:cs="宋体"/>
          <w:color w:val="auto"/>
          <w:highlight w:val="none"/>
        </w:rPr>
      </w:pPr>
    </w:p>
    <w:p w14:paraId="60BD6C3E">
      <w:pPr>
        <w:pStyle w:val="43"/>
        <w:rPr>
          <w:rFonts w:ascii="宋体" w:cs="宋体"/>
          <w:color w:val="auto"/>
          <w:highlight w:val="none"/>
        </w:rPr>
      </w:pPr>
    </w:p>
    <w:p w14:paraId="4BA0A81C">
      <w:pPr>
        <w:pStyle w:val="43"/>
        <w:rPr>
          <w:rFonts w:ascii="宋体" w:cs="宋体"/>
          <w:color w:val="auto"/>
          <w:highlight w:val="none"/>
        </w:rPr>
      </w:pPr>
    </w:p>
    <w:p w14:paraId="147CC1CF">
      <w:pPr>
        <w:pStyle w:val="43"/>
        <w:rPr>
          <w:rFonts w:ascii="宋体" w:cs="宋体"/>
          <w:color w:val="auto"/>
          <w:highlight w:val="none"/>
        </w:rPr>
      </w:pPr>
    </w:p>
    <w:p w14:paraId="104CB435">
      <w:pPr>
        <w:pStyle w:val="43"/>
        <w:rPr>
          <w:rFonts w:ascii="宋体" w:cs="宋体"/>
          <w:color w:val="auto"/>
          <w:highlight w:val="none"/>
        </w:rPr>
      </w:pPr>
    </w:p>
    <w:p w14:paraId="19FE1BD9">
      <w:pPr>
        <w:pStyle w:val="43"/>
        <w:rPr>
          <w:rFonts w:ascii="宋体" w:cs="宋体"/>
          <w:color w:val="auto"/>
          <w:highlight w:val="none"/>
        </w:rPr>
      </w:pPr>
    </w:p>
    <w:p w14:paraId="727473DD">
      <w:pPr>
        <w:pStyle w:val="43"/>
        <w:rPr>
          <w:rFonts w:ascii="宋体" w:cs="宋体"/>
          <w:color w:val="auto"/>
          <w:highlight w:val="none"/>
        </w:rPr>
      </w:pPr>
    </w:p>
    <w:p w14:paraId="5C01A2D9">
      <w:pPr>
        <w:pStyle w:val="43"/>
        <w:rPr>
          <w:rFonts w:ascii="宋体" w:cs="宋体"/>
          <w:color w:val="auto"/>
          <w:highlight w:val="none"/>
        </w:rPr>
      </w:pPr>
    </w:p>
    <w:p w14:paraId="2D50A9FD">
      <w:pPr>
        <w:pStyle w:val="43"/>
        <w:rPr>
          <w:rFonts w:ascii="宋体" w:cs="宋体"/>
          <w:color w:val="auto"/>
          <w:highlight w:val="none"/>
        </w:rPr>
      </w:pPr>
    </w:p>
    <w:p w14:paraId="57CB0CF8">
      <w:pPr>
        <w:pStyle w:val="43"/>
        <w:rPr>
          <w:rFonts w:ascii="宋体" w:cs="宋体"/>
          <w:color w:val="auto"/>
          <w:highlight w:val="none"/>
        </w:rPr>
      </w:pPr>
    </w:p>
    <w:p w14:paraId="4A7D00D9">
      <w:pPr>
        <w:pStyle w:val="43"/>
        <w:rPr>
          <w:rFonts w:ascii="宋体" w:cs="宋体"/>
          <w:color w:val="auto"/>
          <w:highlight w:val="none"/>
        </w:rPr>
      </w:pPr>
    </w:p>
    <w:p w14:paraId="08B662D3">
      <w:pPr>
        <w:spacing w:line="360" w:lineRule="auto"/>
        <w:outlineLvl w:val="3"/>
        <w:rPr>
          <w:rFonts w:ascii="宋体" w:hAnsi="宋体" w:cs="宋体"/>
          <w:snapToGrid w:val="0"/>
          <w:color w:val="auto"/>
          <w:sz w:val="24"/>
          <w:highlight w:val="none"/>
        </w:rPr>
      </w:pPr>
      <w:r>
        <w:rPr>
          <w:rFonts w:hint="eastAsia" w:ascii="宋体" w:cs="宋体"/>
          <w:bCs/>
          <w:color w:val="auto"/>
          <w:spacing w:val="-6"/>
          <w:sz w:val="24"/>
          <w:highlight w:val="none"/>
        </w:rPr>
        <w:t>附件3：</w:t>
      </w:r>
      <w:r>
        <w:rPr>
          <w:rFonts w:hint="eastAsia" w:ascii="宋体" w:hAnsi="宋体" w:cs="宋体"/>
          <w:snapToGrid w:val="0"/>
          <w:color w:val="auto"/>
          <w:sz w:val="24"/>
          <w:highlight w:val="none"/>
        </w:rPr>
        <w:t>依法缴纳税收和社会保障资金的承诺函</w:t>
      </w:r>
    </w:p>
    <w:p w14:paraId="3698E093">
      <w:pPr>
        <w:spacing w:line="360" w:lineRule="auto"/>
        <w:jc w:val="center"/>
        <w:outlineLvl w:val="3"/>
        <w:rPr>
          <w:rFonts w:ascii="宋体" w:hAnsi="宋体" w:cs="宋体"/>
          <w:b/>
          <w:bCs/>
          <w:color w:val="auto"/>
          <w:spacing w:val="-6"/>
          <w:sz w:val="24"/>
          <w:highlight w:val="none"/>
        </w:rPr>
      </w:pPr>
    </w:p>
    <w:p w14:paraId="0F059D81">
      <w:pPr>
        <w:spacing w:line="360" w:lineRule="auto"/>
        <w:jc w:val="center"/>
        <w:rPr>
          <w:rFonts w:ascii="宋体" w:hAnsi="宋体" w:cs="宋体"/>
          <w:b/>
          <w:color w:val="auto"/>
          <w:spacing w:val="-6"/>
          <w:sz w:val="24"/>
          <w:highlight w:val="none"/>
          <w:lang w:val="zh-CN"/>
        </w:rPr>
      </w:pPr>
      <w:r>
        <w:rPr>
          <w:rFonts w:hint="eastAsia" w:ascii="宋体" w:hAnsi="宋体" w:cs="宋体"/>
          <w:b/>
          <w:color w:val="auto"/>
          <w:spacing w:val="-6"/>
          <w:sz w:val="24"/>
          <w:highlight w:val="none"/>
          <w:lang w:val="zh-CN"/>
        </w:rPr>
        <w:t>依法缴纳税收和社会保障资金的承诺函</w:t>
      </w:r>
    </w:p>
    <w:p w14:paraId="15DCF5EF">
      <w:pPr>
        <w:spacing w:line="360" w:lineRule="auto"/>
        <w:rPr>
          <w:rFonts w:ascii="宋体" w:hAnsi="宋体" w:cs="Arial"/>
          <w:b/>
          <w:color w:val="auto"/>
          <w:kern w:val="0"/>
          <w:sz w:val="22"/>
          <w:szCs w:val="22"/>
          <w:highlight w:val="none"/>
          <w:u w:val="single"/>
        </w:rPr>
      </w:pPr>
    </w:p>
    <w:p w14:paraId="7A6708F6">
      <w:pPr>
        <w:snapToGrid w:val="0"/>
        <w:spacing w:beforeLines="50" w:after="50" w:line="360" w:lineRule="auto"/>
        <w:jc w:val="left"/>
        <w:rPr>
          <w:rFonts w:hAnsi="宋体" w:cs="宋体"/>
          <w:bCs/>
          <w:color w:val="auto"/>
          <w:sz w:val="24"/>
          <w:highlight w:val="none"/>
        </w:rPr>
      </w:pPr>
      <w:r>
        <w:rPr>
          <w:rFonts w:hint="eastAsia" w:hAnsi="宋体" w:cs="宋体"/>
          <w:bCs/>
          <w:color w:val="auto"/>
          <w:sz w:val="24"/>
          <w:highlight w:val="none"/>
        </w:rPr>
        <w:t>致：</w:t>
      </w:r>
      <w:r>
        <w:rPr>
          <w:rFonts w:hint="eastAsia" w:hAnsi="宋体" w:cs="宋体"/>
          <w:bCs/>
          <w:color w:val="auto"/>
          <w:sz w:val="24"/>
          <w:highlight w:val="none"/>
          <w:lang w:eastAsia="zh-CN"/>
        </w:rPr>
        <w:t>衢州市公安局柯城分局</w:t>
      </w:r>
      <w:r>
        <w:rPr>
          <w:rFonts w:hint="eastAsia" w:hAnsi="宋体" w:cs="宋体"/>
          <w:bCs/>
          <w:color w:val="auto"/>
          <w:sz w:val="24"/>
          <w:highlight w:val="none"/>
        </w:rPr>
        <w:t>、</w:t>
      </w:r>
      <w:r>
        <w:rPr>
          <w:rFonts w:hint="eastAsia" w:hAnsi="宋体" w:cs="宋体"/>
          <w:bCs/>
          <w:color w:val="auto"/>
          <w:sz w:val="24"/>
          <w:highlight w:val="none"/>
          <w:lang w:eastAsia="zh-CN"/>
        </w:rPr>
        <w:t>衢州胜友如云工程咨询有限公司</w:t>
      </w:r>
      <w:r>
        <w:rPr>
          <w:rFonts w:hint="eastAsia" w:hAnsi="宋体" w:cs="宋体"/>
          <w:bCs/>
          <w:color w:val="auto"/>
          <w:sz w:val="24"/>
          <w:highlight w:val="none"/>
        </w:rPr>
        <w:t>：</w:t>
      </w:r>
    </w:p>
    <w:p w14:paraId="7E5DB72D">
      <w:pPr>
        <w:snapToGrid w:val="0"/>
        <w:spacing w:beforeLines="50" w:after="50" w:line="360" w:lineRule="auto"/>
        <w:ind w:firstLine="424" w:firstLineChars="177"/>
        <w:jc w:val="left"/>
        <w:rPr>
          <w:rFonts w:hAnsi="宋体" w:cs="宋体"/>
          <w:bCs/>
          <w:color w:val="auto"/>
          <w:sz w:val="24"/>
          <w:highlight w:val="none"/>
        </w:rPr>
      </w:pPr>
      <w:r>
        <w:rPr>
          <w:rFonts w:hint="eastAsia" w:hAnsi="宋体" w:cs="宋体"/>
          <w:bCs/>
          <w:color w:val="auto"/>
          <w:sz w:val="24"/>
          <w:highlight w:val="none"/>
        </w:rPr>
        <w:t>我公司郑重声明，我公司严格依法缴纳税收和社会保障资金，本文件中所提供的相关材料均真实有效，不存在虚假、造假行为。如有违反，愿承担一切责任。</w:t>
      </w:r>
    </w:p>
    <w:p w14:paraId="4D12E20B">
      <w:pPr>
        <w:snapToGrid w:val="0"/>
        <w:spacing w:beforeLines="50" w:after="50" w:line="360" w:lineRule="auto"/>
        <w:ind w:firstLine="424" w:firstLineChars="177"/>
        <w:jc w:val="left"/>
        <w:rPr>
          <w:rFonts w:hAnsi="宋体" w:cs="宋体"/>
          <w:bCs/>
          <w:color w:val="auto"/>
          <w:sz w:val="24"/>
          <w:highlight w:val="none"/>
        </w:rPr>
      </w:pPr>
    </w:p>
    <w:p w14:paraId="634016C8">
      <w:pPr>
        <w:snapToGrid w:val="0"/>
        <w:spacing w:beforeLines="50" w:after="50" w:line="360" w:lineRule="auto"/>
        <w:ind w:firstLine="424" w:firstLineChars="177"/>
        <w:jc w:val="left"/>
        <w:rPr>
          <w:rFonts w:hAnsi="宋体" w:cs="宋体"/>
          <w:bCs/>
          <w:color w:val="auto"/>
          <w:sz w:val="24"/>
          <w:highlight w:val="none"/>
        </w:rPr>
      </w:pPr>
      <w:r>
        <w:rPr>
          <w:rFonts w:hint="eastAsia" w:hAnsi="宋体" w:cs="宋体"/>
          <w:bCs/>
          <w:color w:val="auto"/>
          <w:sz w:val="24"/>
          <w:highlight w:val="none"/>
        </w:rPr>
        <w:t>特此承诺！</w:t>
      </w:r>
    </w:p>
    <w:p w14:paraId="22E0FB02">
      <w:pPr>
        <w:snapToGrid w:val="0"/>
        <w:spacing w:beforeLines="50" w:after="50" w:line="360" w:lineRule="auto"/>
        <w:ind w:firstLine="424" w:firstLineChars="177"/>
        <w:jc w:val="left"/>
        <w:rPr>
          <w:rFonts w:hAnsi="宋体" w:cs="宋体"/>
          <w:bCs/>
          <w:color w:val="auto"/>
          <w:sz w:val="24"/>
          <w:highlight w:val="none"/>
        </w:rPr>
      </w:pPr>
    </w:p>
    <w:p w14:paraId="175B027D">
      <w:pPr>
        <w:snapToGrid w:val="0"/>
        <w:spacing w:beforeLines="50" w:after="50" w:line="360" w:lineRule="auto"/>
        <w:ind w:firstLine="424" w:firstLineChars="177"/>
        <w:jc w:val="center"/>
        <w:rPr>
          <w:rFonts w:hAnsi="宋体" w:cs="宋体"/>
          <w:bCs/>
          <w:color w:val="auto"/>
          <w:sz w:val="24"/>
          <w:highlight w:val="none"/>
        </w:rPr>
      </w:pPr>
      <w:r>
        <w:rPr>
          <w:rFonts w:hint="eastAsia" w:hAnsi="宋体" w:cs="宋体"/>
          <w:bCs/>
          <w:color w:val="auto"/>
          <w:sz w:val="24"/>
          <w:highlight w:val="none"/>
          <w:lang w:eastAsia="zh-CN"/>
        </w:rPr>
        <w:t>投标人名称</w:t>
      </w:r>
      <w:r>
        <w:rPr>
          <w:rFonts w:hint="eastAsia" w:hAnsi="宋体" w:cs="宋体"/>
          <w:bCs/>
          <w:color w:val="auto"/>
          <w:sz w:val="24"/>
          <w:highlight w:val="none"/>
        </w:rPr>
        <w:t>（盖章） ：</w:t>
      </w:r>
    </w:p>
    <w:p w14:paraId="6322FB24">
      <w:pPr>
        <w:snapToGrid w:val="0"/>
        <w:spacing w:beforeLines="50" w:after="50" w:line="360" w:lineRule="auto"/>
        <w:ind w:firstLine="424" w:firstLineChars="177"/>
        <w:jc w:val="center"/>
        <w:rPr>
          <w:rFonts w:hAnsi="宋体" w:cs="宋体"/>
          <w:bCs/>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r>
        <w:rPr>
          <w:rFonts w:hint="eastAsia" w:hAnsi="宋体" w:cs="宋体"/>
          <w:bCs/>
          <w:color w:val="auto"/>
          <w:sz w:val="24"/>
          <w:highlight w:val="none"/>
        </w:rPr>
        <w:t>：</w:t>
      </w:r>
    </w:p>
    <w:p w14:paraId="457B2375">
      <w:pPr>
        <w:snapToGrid w:val="0"/>
        <w:spacing w:beforeLines="50" w:after="50" w:line="360" w:lineRule="auto"/>
        <w:ind w:firstLine="424" w:firstLineChars="177"/>
        <w:jc w:val="center"/>
        <w:rPr>
          <w:rFonts w:hAnsi="宋体" w:cs="宋体"/>
          <w:bCs/>
          <w:color w:val="auto"/>
          <w:sz w:val="24"/>
          <w:highlight w:val="none"/>
        </w:rPr>
      </w:pPr>
    </w:p>
    <w:p w14:paraId="166079AB">
      <w:pPr>
        <w:snapToGrid w:val="0"/>
        <w:spacing w:beforeLines="50" w:after="50" w:line="360" w:lineRule="auto"/>
        <w:ind w:firstLine="424" w:firstLineChars="177"/>
        <w:jc w:val="center"/>
        <w:rPr>
          <w:rFonts w:hAnsi="宋体" w:cs="宋体"/>
          <w:bCs/>
          <w:color w:val="auto"/>
          <w:sz w:val="24"/>
          <w:highlight w:val="none"/>
        </w:rPr>
      </w:pPr>
      <w:r>
        <w:rPr>
          <w:rFonts w:hint="eastAsia" w:hAnsi="宋体" w:cs="宋体"/>
          <w:bCs/>
          <w:color w:val="auto"/>
          <w:sz w:val="24"/>
          <w:highlight w:val="none"/>
        </w:rPr>
        <w:t>日</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期：     年  月  日</w:t>
      </w:r>
    </w:p>
    <w:p w14:paraId="57D60983">
      <w:pPr>
        <w:pStyle w:val="21"/>
        <w:spacing w:line="360" w:lineRule="auto"/>
        <w:ind w:left="169" w:hanging="168" w:hangingChars="74"/>
        <w:rPr>
          <w:rFonts w:ascii="宋体" w:cs="宋体"/>
          <w:bCs/>
          <w:color w:val="auto"/>
          <w:spacing w:val="-6"/>
          <w:sz w:val="24"/>
          <w:highlight w:val="none"/>
        </w:rPr>
      </w:pPr>
    </w:p>
    <w:p w14:paraId="0623C803">
      <w:pPr>
        <w:rPr>
          <w:rFonts w:ascii="宋体" w:hAnsi="宋体" w:cs="宋体"/>
          <w:snapToGrid w:val="0"/>
          <w:color w:val="auto"/>
          <w:sz w:val="24"/>
          <w:highlight w:val="none"/>
        </w:rPr>
      </w:pPr>
      <w:r>
        <w:rPr>
          <w:rFonts w:hint="eastAsia" w:ascii="宋体" w:hAnsi="宋体" w:cs="宋体"/>
          <w:snapToGrid w:val="0"/>
          <w:color w:val="auto"/>
          <w:sz w:val="24"/>
          <w:highlight w:val="none"/>
        </w:rPr>
        <w:br w:type="page"/>
      </w:r>
    </w:p>
    <w:p w14:paraId="7B7AB5F7">
      <w:pPr>
        <w:spacing w:line="360" w:lineRule="auto"/>
        <w:outlineLvl w:val="3"/>
        <w:rPr>
          <w:rFonts w:ascii="宋体" w:hAnsi="宋体" w:cs="宋体"/>
          <w:snapToGrid w:val="0"/>
          <w:color w:val="auto"/>
          <w:sz w:val="24"/>
          <w:highlight w:val="none"/>
        </w:rPr>
      </w:pPr>
      <w:r>
        <w:rPr>
          <w:rFonts w:hint="eastAsia" w:ascii="宋体" w:hAnsi="宋体" w:cs="宋体"/>
          <w:snapToGrid w:val="0"/>
          <w:color w:val="auto"/>
          <w:sz w:val="24"/>
          <w:highlight w:val="none"/>
        </w:rPr>
        <w:t>附件4：具有良好的商业信誉和健全的财务会计制度声明函</w:t>
      </w:r>
    </w:p>
    <w:p w14:paraId="4139633E">
      <w:pPr>
        <w:spacing w:line="360" w:lineRule="auto"/>
        <w:jc w:val="center"/>
        <w:outlineLvl w:val="3"/>
        <w:rPr>
          <w:rFonts w:ascii="宋体" w:hAnsi="宋体" w:cs="宋体"/>
          <w:b/>
          <w:bCs/>
          <w:color w:val="auto"/>
          <w:spacing w:val="-6"/>
          <w:sz w:val="24"/>
          <w:highlight w:val="none"/>
        </w:rPr>
      </w:pPr>
    </w:p>
    <w:p w14:paraId="678643B3">
      <w:pPr>
        <w:spacing w:line="360" w:lineRule="auto"/>
        <w:jc w:val="center"/>
        <w:rPr>
          <w:rFonts w:ascii="宋体" w:hAnsi="宋体" w:cs="宋体"/>
          <w:b/>
          <w:color w:val="auto"/>
          <w:spacing w:val="-6"/>
          <w:sz w:val="24"/>
          <w:highlight w:val="none"/>
        </w:rPr>
      </w:pPr>
      <w:r>
        <w:rPr>
          <w:rFonts w:hint="eastAsia" w:ascii="宋体" w:hAnsi="宋体" w:cs="宋体"/>
          <w:b/>
          <w:color w:val="auto"/>
          <w:spacing w:val="-6"/>
          <w:sz w:val="24"/>
          <w:highlight w:val="none"/>
          <w:lang w:val="zh-CN"/>
        </w:rPr>
        <w:t>具有良好的商业信誉和健全的财务会计制度声明函</w:t>
      </w:r>
    </w:p>
    <w:p w14:paraId="36898947">
      <w:pPr>
        <w:spacing w:line="324" w:lineRule="auto"/>
        <w:rPr>
          <w:rFonts w:ascii="宋体" w:hAnsi="宋体"/>
          <w:color w:val="auto"/>
          <w:sz w:val="24"/>
          <w:highlight w:val="none"/>
        </w:rPr>
      </w:pPr>
    </w:p>
    <w:p w14:paraId="118C13B1">
      <w:pPr>
        <w:shd w:val="clear" w:color="auto" w:fill="FFFFFF"/>
        <w:snapToGrid w:val="0"/>
        <w:spacing w:line="360" w:lineRule="auto"/>
        <w:rPr>
          <w:rFonts w:ascii="宋体" w:hAnsi="宋体" w:cs="宋体"/>
          <w:color w:val="auto"/>
          <w:sz w:val="22"/>
          <w:szCs w:val="22"/>
          <w:highlight w:val="none"/>
        </w:rPr>
      </w:pPr>
      <w:r>
        <w:rPr>
          <w:rFonts w:hint="eastAsia" w:hAnsi="宋体" w:cs="宋体"/>
          <w:bCs/>
          <w:color w:val="auto"/>
          <w:sz w:val="24"/>
          <w:highlight w:val="none"/>
          <w:lang w:eastAsia="zh-CN"/>
        </w:rPr>
        <w:t>衢州市公安局柯城分局</w:t>
      </w:r>
      <w:r>
        <w:rPr>
          <w:rFonts w:hint="eastAsia" w:ascii="宋体" w:hAnsi="宋体" w:cs="宋体"/>
          <w:color w:val="auto"/>
          <w:spacing w:val="-6"/>
          <w:sz w:val="24"/>
          <w:highlight w:val="none"/>
        </w:rPr>
        <w:t>、</w:t>
      </w:r>
      <w:r>
        <w:rPr>
          <w:rFonts w:hint="eastAsia" w:hAnsi="宋体" w:cs="宋体"/>
          <w:color w:val="auto"/>
          <w:spacing w:val="-6"/>
          <w:sz w:val="24"/>
          <w:highlight w:val="none"/>
          <w:lang w:eastAsia="zh-CN"/>
        </w:rPr>
        <w:t>衢州胜友如云工程咨询有限公司</w:t>
      </w:r>
      <w:r>
        <w:rPr>
          <w:rFonts w:hint="eastAsia" w:ascii="宋体" w:hAnsi="宋体" w:cs="宋体"/>
          <w:color w:val="auto"/>
          <w:kern w:val="0"/>
          <w:sz w:val="22"/>
          <w:szCs w:val="22"/>
          <w:highlight w:val="none"/>
        </w:rPr>
        <w:t>：</w:t>
      </w:r>
    </w:p>
    <w:p w14:paraId="6CC4E276">
      <w:pPr>
        <w:spacing w:line="360" w:lineRule="auto"/>
        <w:ind w:firstLine="480" w:firstLineChars="200"/>
        <w:rPr>
          <w:rFonts w:ascii="宋体" w:hAnsi="宋体"/>
          <w:color w:val="auto"/>
          <w:sz w:val="24"/>
          <w:highlight w:val="none"/>
        </w:rPr>
      </w:pPr>
    </w:p>
    <w:p w14:paraId="308C8402">
      <w:pPr>
        <w:spacing w:line="360" w:lineRule="auto"/>
        <w:ind w:firstLine="480" w:firstLineChars="200"/>
        <w:rPr>
          <w:rFonts w:ascii="宋体" w:hAnsi="宋体"/>
          <w:color w:val="auto"/>
          <w:sz w:val="24"/>
          <w:highlight w:val="none"/>
        </w:rPr>
      </w:pPr>
      <w:r>
        <w:rPr>
          <w:rFonts w:ascii="宋体" w:hAnsi="宋体"/>
          <w:color w:val="auto"/>
          <w:sz w:val="24"/>
          <w:highlight w:val="none"/>
        </w:rPr>
        <w:t>截至</w:t>
      </w:r>
      <w:r>
        <w:rPr>
          <w:rFonts w:hint="eastAsia" w:ascii="宋体" w:hAnsi="宋体"/>
          <w:color w:val="auto"/>
          <w:kern w:val="0"/>
          <w:sz w:val="24"/>
          <w:szCs w:val="22"/>
          <w:highlight w:val="none"/>
          <w:u w:val="single"/>
        </w:rPr>
        <w:t xml:space="preserve">                       </w:t>
      </w:r>
      <w:r>
        <w:rPr>
          <w:rFonts w:hint="eastAsia" w:ascii="宋体" w:hAnsi="宋体"/>
          <w:color w:val="auto"/>
          <w:kern w:val="0"/>
          <w:sz w:val="24"/>
          <w:szCs w:val="22"/>
          <w:highlight w:val="none"/>
        </w:rPr>
        <w:t>（采购人）</w:t>
      </w:r>
      <w:r>
        <w:rPr>
          <w:rFonts w:hint="eastAsia" w:ascii="宋体" w:hAnsi="宋体"/>
          <w:color w:val="auto"/>
          <w:kern w:val="0"/>
          <w:sz w:val="24"/>
          <w:szCs w:val="22"/>
          <w:highlight w:val="none"/>
          <w:u w:val="single"/>
        </w:rPr>
        <w:t xml:space="preserve">          项目名称           </w:t>
      </w:r>
      <w:r>
        <w:rPr>
          <w:rFonts w:hint="eastAsia" w:ascii="宋体" w:hAnsi="宋体"/>
          <w:color w:val="auto"/>
          <w:kern w:val="0"/>
          <w:sz w:val="24"/>
          <w:szCs w:val="22"/>
          <w:highlight w:val="none"/>
        </w:rPr>
        <w:t>（项目编号:</w:t>
      </w:r>
      <w:r>
        <w:rPr>
          <w:rFonts w:hint="eastAsia" w:ascii="宋体" w:hAnsi="宋体"/>
          <w:color w:val="auto"/>
          <w:kern w:val="0"/>
          <w:sz w:val="24"/>
          <w:szCs w:val="22"/>
          <w:highlight w:val="none"/>
          <w:u w:val="single"/>
        </w:rPr>
        <w:t xml:space="preserve">             </w:t>
      </w:r>
      <w:r>
        <w:rPr>
          <w:rFonts w:hint="eastAsia" w:ascii="宋体" w:hAnsi="宋体"/>
          <w:color w:val="auto"/>
          <w:kern w:val="0"/>
          <w:sz w:val="24"/>
          <w:szCs w:val="22"/>
          <w:highlight w:val="none"/>
        </w:rPr>
        <w:t>）</w:t>
      </w:r>
      <w:r>
        <w:rPr>
          <w:rFonts w:ascii="宋体" w:hAnsi="宋体"/>
          <w:color w:val="auto"/>
          <w:sz w:val="24"/>
          <w:highlight w:val="none"/>
        </w:rPr>
        <w:t>的</w:t>
      </w:r>
      <w:r>
        <w:rPr>
          <w:rFonts w:hint="eastAsia" w:ascii="宋体" w:hAnsi="宋体"/>
          <w:color w:val="auto"/>
          <w:sz w:val="24"/>
          <w:highlight w:val="none"/>
        </w:rPr>
        <w:t>采购响应</w:t>
      </w:r>
      <w:r>
        <w:rPr>
          <w:rFonts w:ascii="宋体" w:hAnsi="宋体"/>
          <w:color w:val="auto"/>
          <w:sz w:val="24"/>
          <w:highlight w:val="none"/>
        </w:rPr>
        <w:t>截止时间，我方</w:t>
      </w:r>
      <w:r>
        <w:rPr>
          <w:rFonts w:hint="eastAsia" w:ascii="宋体" w:hAnsi="宋体"/>
          <w:color w:val="auto"/>
          <w:sz w:val="24"/>
          <w:highlight w:val="none"/>
          <w:lang w:val="zh-CN"/>
        </w:rPr>
        <w:t>具有良好的商业信誉和健全的财务会计制度</w:t>
      </w:r>
      <w:r>
        <w:rPr>
          <w:rFonts w:hint="eastAsia" w:ascii="宋体" w:hAnsi="宋体"/>
          <w:color w:val="auto"/>
          <w:kern w:val="0"/>
          <w:sz w:val="24"/>
          <w:szCs w:val="22"/>
          <w:highlight w:val="none"/>
        </w:rPr>
        <w:t>，</w:t>
      </w:r>
      <w:r>
        <w:rPr>
          <w:rFonts w:hint="eastAsia" w:ascii="宋体" w:hAnsi="宋体"/>
          <w:color w:val="auto"/>
          <w:sz w:val="24"/>
          <w:highlight w:val="none"/>
        </w:rPr>
        <w:t>我</w:t>
      </w:r>
      <w:r>
        <w:rPr>
          <w:rFonts w:ascii="宋体" w:hAnsi="宋体"/>
          <w:color w:val="auto"/>
          <w:sz w:val="24"/>
          <w:highlight w:val="none"/>
        </w:rPr>
        <w:t>方对上述声明的真实性负责。如有虚假，</w:t>
      </w:r>
      <w:r>
        <w:rPr>
          <w:rFonts w:hint="eastAsia" w:ascii="宋体" w:hAnsi="宋体"/>
          <w:color w:val="auto"/>
          <w:sz w:val="24"/>
          <w:highlight w:val="none"/>
        </w:rPr>
        <w:t>采购人</w:t>
      </w:r>
      <w:r>
        <w:rPr>
          <w:rFonts w:ascii="宋体" w:hAnsi="宋体"/>
          <w:color w:val="auto"/>
          <w:sz w:val="24"/>
          <w:highlight w:val="none"/>
        </w:rPr>
        <w:t>可取消我方任何资格（</w:t>
      </w:r>
      <w:r>
        <w:rPr>
          <w:rFonts w:hint="eastAsia" w:ascii="宋体" w:hAnsi="宋体"/>
          <w:color w:val="auto"/>
          <w:sz w:val="24"/>
          <w:highlight w:val="none"/>
        </w:rPr>
        <w:t>采购响应</w:t>
      </w:r>
      <w:r>
        <w:rPr>
          <w:rFonts w:ascii="宋体" w:hAnsi="宋体"/>
          <w:color w:val="auto"/>
          <w:sz w:val="24"/>
          <w:highlight w:val="none"/>
        </w:rPr>
        <w:t>/</w:t>
      </w:r>
      <w:r>
        <w:rPr>
          <w:rFonts w:hint="eastAsia" w:ascii="宋体" w:hAnsi="宋体"/>
          <w:color w:val="auto"/>
          <w:sz w:val="24"/>
          <w:highlight w:val="none"/>
        </w:rPr>
        <w:t>成交</w:t>
      </w:r>
      <w:r>
        <w:rPr>
          <w:rFonts w:ascii="宋体" w:hAnsi="宋体"/>
          <w:color w:val="auto"/>
          <w:sz w:val="24"/>
          <w:highlight w:val="none"/>
        </w:rPr>
        <w:t>/签订合同），我方愿意承担相应责任，对此无任何异议。</w:t>
      </w:r>
    </w:p>
    <w:p w14:paraId="66DE7BA3">
      <w:pPr>
        <w:pStyle w:val="9"/>
        <w:spacing w:line="360" w:lineRule="auto"/>
        <w:rPr>
          <w:color w:val="auto"/>
          <w:highlight w:val="none"/>
        </w:rPr>
      </w:pPr>
    </w:p>
    <w:p w14:paraId="25354B87">
      <w:pPr>
        <w:widowControl/>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特此</w:t>
      </w:r>
      <w:r>
        <w:rPr>
          <w:rFonts w:hint="eastAsia" w:ascii="宋体" w:hAnsi="宋体"/>
          <w:color w:val="auto"/>
          <w:sz w:val="24"/>
          <w:highlight w:val="none"/>
        </w:rPr>
        <w:t>声明</w:t>
      </w:r>
      <w:r>
        <w:rPr>
          <w:rFonts w:ascii="宋体" w:hAnsi="宋体"/>
          <w:color w:val="auto"/>
          <w:sz w:val="24"/>
          <w:highlight w:val="none"/>
        </w:rPr>
        <w:t>！</w:t>
      </w:r>
    </w:p>
    <w:p w14:paraId="4BE22065">
      <w:pPr>
        <w:widowControl/>
        <w:adjustRightInd w:val="0"/>
        <w:snapToGrid w:val="0"/>
        <w:ind w:firstLine="480" w:firstLineChars="200"/>
        <w:jc w:val="left"/>
        <w:rPr>
          <w:rFonts w:ascii="宋体" w:hAnsi="宋体"/>
          <w:color w:val="auto"/>
          <w:kern w:val="0"/>
          <w:sz w:val="24"/>
          <w:szCs w:val="22"/>
          <w:highlight w:val="none"/>
        </w:rPr>
      </w:pPr>
    </w:p>
    <w:p w14:paraId="5C395581">
      <w:pPr>
        <w:pStyle w:val="26"/>
        <w:tabs>
          <w:tab w:val="left" w:pos="900"/>
        </w:tabs>
        <w:ind w:firstLine="0"/>
        <w:rPr>
          <w:color w:val="auto"/>
          <w:highlight w:val="none"/>
        </w:rPr>
      </w:pPr>
    </w:p>
    <w:p w14:paraId="6F548AB4">
      <w:pPr>
        <w:pStyle w:val="26"/>
        <w:tabs>
          <w:tab w:val="left" w:pos="900"/>
        </w:tabs>
        <w:rPr>
          <w:color w:val="auto"/>
          <w:highlight w:val="none"/>
        </w:rPr>
      </w:pPr>
    </w:p>
    <w:p w14:paraId="7983AA85">
      <w:pPr>
        <w:spacing w:beforeLines="100" w:afterLines="100" w:line="360" w:lineRule="auto"/>
        <w:ind w:firstLine="3648" w:firstLineChars="1600"/>
        <w:rPr>
          <w:rFonts w:ascii="宋体" w:cs="宋体"/>
          <w:color w:val="auto"/>
          <w:spacing w:val="-6"/>
          <w:sz w:val="24"/>
          <w:highlight w:val="none"/>
        </w:rPr>
      </w:pPr>
      <w:r>
        <w:rPr>
          <w:rFonts w:hint="eastAsia" w:ascii="宋体" w:hAnsi="宋体" w:cs="宋体"/>
          <w:color w:val="auto"/>
          <w:spacing w:val="-6"/>
          <w:sz w:val="24"/>
          <w:highlight w:val="none"/>
          <w:lang w:eastAsia="zh-CN"/>
        </w:rPr>
        <w:t>投标人名称</w:t>
      </w:r>
      <w:r>
        <w:rPr>
          <w:rFonts w:hint="eastAsia" w:ascii="宋体" w:hAnsi="宋体" w:cs="宋体"/>
          <w:color w:val="auto"/>
          <w:spacing w:val="-6"/>
          <w:sz w:val="24"/>
          <w:highlight w:val="none"/>
        </w:rPr>
        <w:t>（盖章）：</w:t>
      </w:r>
    </w:p>
    <w:p w14:paraId="780417B4">
      <w:pPr>
        <w:pStyle w:val="21"/>
        <w:spacing w:beforeLines="100" w:afterLines="100" w:line="360" w:lineRule="auto"/>
        <w:ind w:left="0" w:firstLine="3762" w:firstLineChars="1650"/>
        <w:rPr>
          <w:rFonts w:ascii="宋体" w:hAnsi="宋体" w:cs="宋体"/>
          <w:color w:val="auto"/>
          <w:sz w:val="22"/>
          <w:szCs w:val="22"/>
          <w:highlight w:val="none"/>
        </w:rPr>
      </w:pPr>
      <w:r>
        <w:rPr>
          <w:rFonts w:hint="eastAsia" w:ascii="宋体" w:hAnsi="宋体" w:cs="宋体"/>
          <w:color w:val="auto"/>
          <w:spacing w:val="-6"/>
          <w:sz w:val="24"/>
          <w:highlight w:val="none"/>
        </w:rPr>
        <w:t>日</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期：  年  月  日</w:t>
      </w:r>
    </w:p>
    <w:p w14:paraId="420B4764">
      <w:pPr>
        <w:rPr>
          <w:rFonts w:ascii="宋体" w:hAnsi="宋体" w:cs="宋体"/>
          <w:bCs/>
          <w:color w:val="auto"/>
          <w:spacing w:val="-6"/>
          <w:sz w:val="24"/>
          <w:highlight w:val="none"/>
        </w:rPr>
      </w:pPr>
      <w:r>
        <w:rPr>
          <w:rFonts w:hint="eastAsia" w:ascii="宋体" w:hAnsi="宋体" w:cs="宋体"/>
          <w:bCs/>
          <w:color w:val="auto"/>
          <w:spacing w:val="-6"/>
          <w:sz w:val="24"/>
          <w:highlight w:val="none"/>
        </w:rPr>
        <w:br w:type="page"/>
      </w:r>
    </w:p>
    <w:p w14:paraId="46CDD6BB">
      <w:pPr>
        <w:pStyle w:val="21"/>
        <w:spacing w:line="360" w:lineRule="auto"/>
        <w:ind w:left="169" w:hanging="168" w:hangingChars="74"/>
        <w:rPr>
          <w:rFonts w:ascii="宋体" w:hAnsi="宋体" w:cs="宋体"/>
          <w:bCs/>
          <w:color w:val="auto"/>
          <w:spacing w:val="-6"/>
          <w:sz w:val="24"/>
          <w:highlight w:val="none"/>
        </w:rPr>
      </w:pPr>
      <w:r>
        <w:rPr>
          <w:rFonts w:hint="eastAsia" w:ascii="宋体" w:hAnsi="宋体" w:cs="宋体"/>
          <w:bCs/>
          <w:color w:val="auto"/>
          <w:spacing w:val="-6"/>
          <w:sz w:val="24"/>
          <w:highlight w:val="none"/>
        </w:rPr>
        <w:t>附件5：具有履行合同所必需的设备和专业技术能力的承诺函</w:t>
      </w:r>
    </w:p>
    <w:p w14:paraId="77539E74">
      <w:pPr>
        <w:pStyle w:val="21"/>
        <w:spacing w:line="360" w:lineRule="auto"/>
        <w:ind w:left="0" w:firstLine="0" w:firstLineChars="0"/>
        <w:rPr>
          <w:rFonts w:ascii="宋体" w:cs="宋体"/>
          <w:bCs/>
          <w:color w:val="auto"/>
          <w:spacing w:val="-6"/>
          <w:sz w:val="24"/>
          <w:highlight w:val="none"/>
        </w:rPr>
      </w:pPr>
    </w:p>
    <w:p w14:paraId="4C679D80">
      <w:pPr>
        <w:pStyle w:val="21"/>
        <w:spacing w:line="360" w:lineRule="auto"/>
        <w:ind w:left="169" w:hanging="169" w:hangingChars="74"/>
        <w:jc w:val="center"/>
        <w:rPr>
          <w:rFonts w:ascii="宋体" w:hAnsi="宋体" w:cs="宋体"/>
          <w:b/>
          <w:color w:val="auto"/>
          <w:spacing w:val="-6"/>
          <w:sz w:val="24"/>
          <w:highlight w:val="none"/>
        </w:rPr>
      </w:pPr>
      <w:r>
        <w:rPr>
          <w:rFonts w:hint="eastAsia" w:ascii="宋体" w:hAnsi="宋体" w:cs="宋体"/>
          <w:b/>
          <w:color w:val="auto"/>
          <w:spacing w:val="-6"/>
          <w:sz w:val="24"/>
          <w:highlight w:val="none"/>
        </w:rPr>
        <w:t>具有履行合同所必需的设备和专业技术能力的承诺函</w:t>
      </w:r>
    </w:p>
    <w:p w14:paraId="527CD194">
      <w:pPr>
        <w:snapToGrid w:val="0"/>
        <w:spacing w:before="50" w:after="50"/>
        <w:jc w:val="center"/>
        <w:rPr>
          <w:rFonts w:ascii="宋体" w:hAnsi="宋体" w:cs="宋体"/>
          <w:b/>
          <w:color w:val="auto"/>
          <w:sz w:val="32"/>
          <w:szCs w:val="32"/>
          <w:highlight w:val="none"/>
        </w:rPr>
      </w:pPr>
    </w:p>
    <w:p w14:paraId="0C573E87">
      <w:pPr>
        <w:pStyle w:val="26"/>
        <w:spacing w:line="360" w:lineRule="auto"/>
        <w:ind w:firstLine="0"/>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致：</w:t>
      </w:r>
      <w:r>
        <w:rPr>
          <w:rFonts w:hint="eastAsia" w:hAnsi="宋体" w:cs="宋体"/>
          <w:color w:val="auto"/>
          <w:spacing w:val="-6"/>
          <w:sz w:val="24"/>
          <w:highlight w:val="none"/>
          <w:lang w:eastAsia="zh-CN"/>
        </w:rPr>
        <w:t>衢州市公安局柯城分局</w:t>
      </w:r>
    </w:p>
    <w:p w14:paraId="42DA7075">
      <w:pPr>
        <w:snapToGrid w:val="0"/>
        <w:spacing w:beforeLines="50" w:after="50" w:line="360" w:lineRule="auto"/>
        <w:ind w:firstLine="424" w:firstLineChars="177"/>
        <w:jc w:val="left"/>
        <w:rPr>
          <w:rFonts w:ascii="宋体" w:hAnsi="宋体" w:cs="宋体"/>
          <w:bCs/>
          <w:color w:val="auto"/>
          <w:sz w:val="32"/>
          <w:szCs w:val="32"/>
          <w:highlight w:val="none"/>
        </w:rPr>
      </w:pPr>
      <w:r>
        <w:rPr>
          <w:rFonts w:hint="eastAsia" w:hAnsi="宋体" w:cs="宋体"/>
          <w:bCs/>
          <w:color w:val="auto"/>
          <w:sz w:val="24"/>
          <w:highlight w:val="none"/>
        </w:rPr>
        <w:t>我公司</w:t>
      </w:r>
      <w:r>
        <w:rPr>
          <w:rFonts w:hAnsi="宋体" w:cs="宋体"/>
          <w:bCs/>
          <w:color w:val="auto"/>
          <w:sz w:val="24"/>
          <w:highlight w:val="none"/>
        </w:rPr>
        <w:t>参加</w:t>
      </w:r>
      <w:r>
        <w:rPr>
          <w:rFonts w:hint="eastAsia" w:hAnsi="宋体" w:cs="宋体"/>
          <w:bCs/>
          <w:color w:val="auto"/>
          <w:sz w:val="24"/>
          <w:highlight w:val="none"/>
        </w:rPr>
        <w:t>贵</w:t>
      </w:r>
      <w:r>
        <w:rPr>
          <w:rFonts w:hAnsi="宋体" w:cs="宋体"/>
          <w:bCs/>
          <w:color w:val="auto"/>
          <w:sz w:val="24"/>
          <w:highlight w:val="none"/>
        </w:rPr>
        <w:t>方组织的</w:t>
      </w:r>
      <w:r>
        <w:rPr>
          <w:rFonts w:hint="eastAsia" w:hAnsi="宋体" w:cs="宋体"/>
          <w:bCs/>
          <w:color w:val="auto"/>
          <w:sz w:val="24"/>
          <w:highlight w:val="none"/>
          <w:u w:val="single"/>
        </w:rPr>
        <w:t xml:space="preserve">                            </w:t>
      </w:r>
      <w:r>
        <w:rPr>
          <w:rFonts w:hint="eastAsia" w:hAnsi="宋体" w:cs="宋体"/>
          <w:bCs/>
          <w:color w:val="auto"/>
          <w:sz w:val="24"/>
          <w:highlight w:val="none"/>
        </w:rPr>
        <w:t>（项目编号：</w:t>
      </w:r>
      <w:r>
        <w:rPr>
          <w:rFonts w:hint="eastAsia" w:hAnsi="宋体" w:cs="宋体"/>
          <w:bCs/>
          <w:color w:val="auto"/>
          <w:sz w:val="24"/>
          <w:highlight w:val="none"/>
          <w:u w:val="single"/>
        </w:rPr>
        <w:t xml:space="preserve">             </w:t>
      </w:r>
      <w:r>
        <w:rPr>
          <w:rFonts w:hint="eastAsia" w:hAnsi="宋体" w:cs="宋体"/>
          <w:bCs/>
          <w:color w:val="auto"/>
          <w:sz w:val="24"/>
          <w:highlight w:val="none"/>
        </w:rPr>
        <w:t>）投标</w:t>
      </w:r>
      <w:r>
        <w:rPr>
          <w:rFonts w:hAnsi="宋体" w:cs="宋体"/>
          <w:bCs/>
          <w:color w:val="auto"/>
          <w:sz w:val="24"/>
          <w:highlight w:val="none"/>
        </w:rPr>
        <w:t>活动，在完全理解本项目</w:t>
      </w:r>
      <w:r>
        <w:rPr>
          <w:rFonts w:hint="eastAsia" w:hAnsi="宋体" w:cs="宋体"/>
          <w:bCs/>
          <w:color w:val="auto"/>
          <w:sz w:val="24"/>
          <w:highlight w:val="none"/>
        </w:rPr>
        <w:t>采购</w:t>
      </w:r>
      <w:r>
        <w:rPr>
          <w:rFonts w:hAnsi="宋体" w:cs="宋体"/>
          <w:bCs/>
          <w:color w:val="auto"/>
          <w:sz w:val="24"/>
          <w:highlight w:val="none"/>
        </w:rPr>
        <w:t>的技术要求、商务条款及其他内容后，决定参与该项目的投标活动</w:t>
      </w:r>
      <w:r>
        <w:rPr>
          <w:rFonts w:hint="eastAsia" w:hAnsi="宋体" w:cs="宋体"/>
          <w:bCs/>
          <w:color w:val="auto"/>
          <w:sz w:val="24"/>
          <w:highlight w:val="none"/>
        </w:rPr>
        <w:t>，</w:t>
      </w:r>
      <w:r>
        <w:rPr>
          <w:rFonts w:hAnsi="宋体" w:cs="宋体"/>
          <w:bCs/>
          <w:color w:val="auto"/>
          <w:sz w:val="24"/>
          <w:highlight w:val="none"/>
        </w:rPr>
        <w:t>并承诺，如</w:t>
      </w:r>
      <w:r>
        <w:rPr>
          <w:rFonts w:hint="eastAsia" w:hAnsi="宋体" w:cs="宋体"/>
          <w:bCs/>
          <w:color w:val="auto"/>
          <w:sz w:val="24"/>
          <w:highlight w:val="none"/>
        </w:rPr>
        <w:t>我公司</w:t>
      </w:r>
      <w:r>
        <w:rPr>
          <w:rFonts w:hAnsi="宋体" w:cs="宋体"/>
          <w:bCs/>
          <w:color w:val="auto"/>
          <w:sz w:val="24"/>
          <w:highlight w:val="none"/>
        </w:rPr>
        <w:t>获得中标</w:t>
      </w:r>
      <w:r>
        <w:rPr>
          <w:rFonts w:hint="eastAsia" w:hAnsi="宋体" w:cs="宋体"/>
          <w:bCs/>
          <w:color w:val="auto"/>
          <w:sz w:val="24"/>
          <w:highlight w:val="none"/>
        </w:rPr>
        <w:t>资格</w:t>
      </w:r>
      <w:r>
        <w:rPr>
          <w:rFonts w:hAnsi="宋体" w:cs="宋体"/>
          <w:bCs/>
          <w:color w:val="auto"/>
          <w:sz w:val="24"/>
          <w:highlight w:val="none"/>
        </w:rPr>
        <w:t>，将提供足够</w:t>
      </w:r>
      <w:r>
        <w:rPr>
          <w:rFonts w:hint="eastAsia" w:hAnsi="宋体" w:cs="宋体"/>
          <w:bCs/>
          <w:color w:val="auto"/>
          <w:sz w:val="24"/>
          <w:highlight w:val="none"/>
        </w:rPr>
        <w:t>的</w:t>
      </w:r>
      <w:r>
        <w:rPr>
          <w:rFonts w:hAnsi="宋体" w:cs="宋体"/>
          <w:bCs/>
          <w:color w:val="auto"/>
          <w:sz w:val="24"/>
          <w:highlight w:val="none"/>
        </w:rPr>
        <w:t>设备和专业技术能力保证本合同</w:t>
      </w:r>
      <w:r>
        <w:rPr>
          <w:rFonts w:hint="eastAsia" w:hAnsi="宋体" w:cs="宋体"/>
          <w:bCs/>
          <w:color w:val="auto"/>
          <w:sz w:val="24"/>
          <w:highlight w:val="none"/>
        </w:rPr>
        <w:t>的</w:t>
      </w:r>
      <w:r>
        <w:rPr>
          <w:rFonts w:hAnsi="宋体" w:cs="宋体"/>
          <w:bCs/>
          <w:color w:val="auto"/>
          <w:sz w:val="24"/>
          <w:highlight w:val="none"/>
        </w:rPr>
        <w:t>履行。</w:t>
      </w:r>
    </w:p>
    <w:p w14:paraId="5F013E8F">
      <w:pPr>
        <w:pStyle w:val="26"/>
        <w:spacing w:line="360" w:lineRule="auto"/>
        <w:ind w:firstLine="410" w:firstLineChars="177"/>
        <w:jc w:val="left"/>
        <w:rPr>
          <w:rFonts w:hAnsi="宋体" w:cs="宋体"/>
          <w:bCs/>
          <w:color w:val="auto"/>
          <w:sz w:val="24"/>
          <w:szCs w:val="24"/>
          <w:highlight w:val="none"/>
        </w:rPr>
      </w:pPr>
      <w:r>
        <w:rPr>
          <w:rFonts w:hint="eastAsia" w:hAnsi="宋体" w:cs="宋体"/>
          <w:bCs/>
          <w:color w:val="auto"/>
          <w:sz w:val="24"/>
          <w:szCs w:val="24"/>
          <w:highlight w:val="none"/>
        </w:rPr>
        <w:t>本</w:t>
      </w:r>
      <w:r>
        <w:rPr>
          <w:rFonts w:hAnsi="宋体" w:cs="宋体"/>
          <w:bCs/>
          <w:color w:val="auto"/>
          <w:sz w:val="24"/>
          <w:szCs w:val="24"/>
          <w:highlight w:val="none"/>
        </w:rPr>
        <w:t>公司对上述承诺的</w:t>
      </w:r>
      <w:r>
        <w:rPr>
          <w:rFonts w:hint="eastAsia" w:hAnsi="宋体" w:cs="宋体"/>
          <w:bCs/>
          <w:color w:val="auto"/>
          <w:sz w:val="24"/>
          <w:szCs w:val="24"/>
          <w:highlight w:val="none"/>
        </w:rPr>
        <w:t>真实</w:t>
      </w:r>
      <w:r>
        <w:rPr>
          <w:rFonts w:hAnsi="宋体" w:cs="宋体"/>
          <w:bCs/>
          <w:color w:val="auto"/>
          <w:sz w:val="24"/>
          <w:szCs w:val="24"/>
          <w:highlight w:val="none"/>
        </w:rPr>
        <w:t>性负责。如</w:t>
      </w:r>
      <w:r>
        <w:rPr>
          <w:rFonts w:hint="eastAsia" w:hAnsi="宋体" w:cs="宋体"/>
          <w:bCs/>
          <w:color w:val="auto"/>
          <w:sz w:val="24"/>
          <w:szCs w:val="24"/>
          <w:highlight w:val="none"/>
        </w:rPr>
        <w:t>有</w:t>
      </w:r>
      <w:r>
        <w:rPr>
          <w:rFonts w:hAnsi="宋体" w:cs="宋体"/>
          <w:bCs/>
          <w:color w:val="auto"/>
          <w:sz w:val="24"/>
          <w:szCs w:val="24"/>
          <w:highlight w:val="none"/>
        </w:rPr>
        <w:t>虚假，我公司同意按我方合同违约处理，并依法承担相应</w:t>
      </w:r>
      <w:r>
        <w:rPr>
          <w:rFonts w:hint="eastAsia" w:hAnsi="宋体" w:cs="宋体"/>
          <w:bCs/>
          <w:color w:val="auto"/>
          <w:sz w:val="24"/>
          <w:szCs w:val="24"/>
          <w:highlight w:val="none"/>
        </w:rPr>
        <w:t>法律</w:t>
      </w:r>
      <w:r>
        <w:rPr>
          <w:rFonts w:hAnsi="宋体" w:cs="宋体"/>
          <w:bCs/>
          <w:color w:val="auto"/>
          <w:sz w:val="24"/>
          <w:szCs w:val="24"/>
          <w:highlight w:val="none"/>
        </w:rPr>
        <w:t>责任。</w:t>
      </w:r>
    </w:p>
    <w:p w14:paraId="63EBBA97">
      <w:pPr>
        <w:pStyle w:val="26"/>
        <w:spacing w:line="360" w:lineRule="auto"/>
        <w:jc w:val="left"/>
        <w:rPr>
          <w:rFonts w:hAnsi="宋体" w:cs="宋体"/>
          <w:bCs/>
          <w:color w:val="auto"/>
          <w:sz w:val="24"/>
          <w:szCs w:val="24"/>
          <w:highlight w:val="none"/>
        </w:rPr>
      </w:pPr>
    </w:p>
    <w:p w14:paraId="705468AA">
      <w:pPr>
        <w:pStyle w:val="26"/>
        <w:spacing w:line="360" w:lineRule="auto"/>
        <w:jc w:val="left"/>
        <w:rPr>
          <w:rFonts w:hAnsi="宋体" w:cs="宋体"/>
          <w:bCs/>
          <w:color w:val="auto"/>
          <w:sz w:val="24"/>
          <w:szCs w:val="24"/>
          <w:highlight w:val="none"/>
        </w:rPr>
      </w:pPr>
    </w:p>
    <w:p w14:paraId="241691D4">
      <w:pPr>
        <w:pStyle w:val="26"/>
        <w:spacing w:line="360" w:lineRule="auto"/>
        <w:jc w:val="left"/>
        <w:rPr>
          <w:rFonts w:hAnsi="宋体" w:cs="宋体"/>
          <w:bCs/>
          <w:color w:val="auto"/>
          <w:sz w:val="24"/>
          <w:szCs w:val="24"/>
          <w:highlight w:val="none"/>
        </w:rPr>
      </w:pPr>
    </w:p>
    <w:p w14:paraId="0375CFED">
      <w:pPr>
        <w:pStyle w:val="26"/>
        <w:spacing w:line="360" w:lineRule="auto"/>
        <w:jc w:val="left"/>
        <w:rPr>
          <w:rFonts w:hAnsi="宋体" w:cs="宋体"/>
          <w:bCs/>
          <w:color w:val="auto"/>
          <w:sz w:val="24"/>
          <w:szCs w:val="24"/>
          <w:highlight w:val="none"/>
        </w:rPr>
      </w:pPr>
    </w:p>
    <w:p w14:paraId="6CD86DAB">
      <w:pPr>
        <w:spacing w:line="360" w:lineRule="auto"/>
        <w:ind w:firstLine="3638" w:firstLineChars="1516"/>
        <w:rPr>
          <w:rFonts w:asci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p>
    <w:p w14:paraId="33E2BEFE">
      <w:pPr>
        <w:spacing w:line="360" w:lineRule="auto"/>
        <w:ind w:firstLine="3638" w:firstLineChars="1516"/>
        <w:jc w:val="center"/>
        <w:rPr>
          <w:rFonts w:ascii="宋体" w:cs="宋体"/>
          <w:color w:val="auto"/>
          <w:sz w:val="24"/>
          <w:highlight w:val="none"/>
        </w:rPr>
      </w:pPr>
    </w:p>
    <w:p w14:paraId="057EE05E">
      <w:pPr>
        <w:spacing w:line="360" w:lineRule="auto"/>
        <w:ind w:firstLine="3682" w:firstLineChars="1615"/>
        <w:rPr>
          <w:rFonts w:ascii="宋体" w:cs="宋体"/>
          <w:color w:val="auto"/>
          <w:sz w:val="24"/>
          <w:highlight w:val="none"/>
        </w:rPr>
      </w:pPr>
      <w:r>
        <w:rPr>
          <w:rFonts w:hint="eastAsia" w:ascii="宋体" w:hAnsi="宋体" w:cs="宋体"/>
          <w:color w:val="auto"/>
          <w:spacing w:val="-6"/>
          <w:sz w:val="24"/>
          <w:highlight w:val="none"/>
          <w:lang w:eastAsia="zh-CN"/>
        </w:rPr>
        <w:t>投标人名称</w:t>
      </w:r>
      <w:r>
        <w:rPr>
          <w:rFonts w:hint="eastAsia" w:ascii="宋体" w:hAnsi="宋体" w:cs="宋体"/>
          <w:color w:val="auto"/>
          <w:spacing w:val="-6"/>
          <w:sz w:val="24"/>
          <w:highlight w:val="none"/>
        </w:rPr>
        <w:t>（盖章）</w:t>
      </w:r>
      <w:r>
        <w:rPr>
          <w:rFonts w:hint="eastAsia" w:ascii="宋体" w:hAnsi="宋体" w:cs="宋体"/>
          <w:color w:val="auto"/>
          <w:sz w:val="24"/>
          <w:highlight w:val="none"/>
        </w:rPr>
        <w:t>：</w:t>
      </w:r>
    </w:p>
    <w:p w14:paraId="45541901">
      <w:pPr>
        <w:widowControl/>
        <w:spacing w:line="360" w:lineRule="auto"/>
        <w:ind w:firstLine="3638" w:firstLineChars="1516"/>
        <w:rPr>
          <w:rFonts w:ascii="宋体" w:cs="宋体"/>
          <w:color w:val="auto"/>
          <w:sz w:val="24"/>
          <w:highlight w:val="none"/>
        </w:rPr>
      </w:pPr>
    </w:p>
    <w:p w14:paraId="3CCB9D1C">
      <w:pPr>
        <w:pStyle w:val="21"/>
        <w:spacing w:line="360" w:lineRule="auto"/>
        <w:ind w:left="0" w:firstLine="3638" w:firstLineChars="1516"/>
        <w:rPr>
          <w:rFonts w:hAnsi="宋体" w:cs="宋体"/>
          <w:color w:val="auto"/>
          <w:sz w:val="24"/>
          <w:highlight w:val="none"/>
        </w:rPr>
      </w:pPr>
      <w:r>
        <w:rPr>
          <w:rFonts w:hint="eastAsia" w:hAnsi="宋体" w:cs="宋体"/>
          <w:color w:val="auto"/>
          <w:sz w:val="24"/>
          <w:highlight w:val="none"/>
        </w:rPr>
        <w:t>日</w:t>
      </w:r>
      <w:r>
        <w:rPr>
          <w:rFonts w:hint="eastAsia" w:hAnsi="宋体" w:cs="宋体"/>
          <w:color w:val="auto"/>
          <w:sz w:val="24"/>
          <w:highlight w:val="none"/>
          <w:lang w:val="en-US" w:eastAsia="zh-CN"/>
        </w:rPr>
        <w:t xml:space="preserve">    </w:t>
      </w:r>
      <w:r>
        <w:rPr>
          <w:rFonts w:hint="eastAsia" w:hAnsi="宋体" w:cs="宋体"/>
          <w:color w:val="auto"/>
          <w:sz w:val="24"/>
          <w:highlight w:val="none"/>
        </w:rPr>
        <w:t>期：      年  月  日</w:t>
      </w:r>
    </w:p>
    <w:p w14:paraId="0F94D8F6">
      <w:pPr>
        <w:pStyle w:val="21"/>
        <w:spacing w:line="360" w:lineRule="auto"/>
        <w:ind w:left="0" w:firstLine="3638" w:firstLineChars="1516"/>
        <w:rPr>
          <w:rFonts w:hAnsi="宋体" w:cs="宋体"/>
          <w:color w:val="auto"/>
          <w:sz w:val="24"/>
          <w:highlight w:val="none"/>
        </w:rPr>
      </w:pPr>
    </w:p>
    <w:p w14:paraId="2C9CE4B1">
      <w:pPr>
        <w:rPr>
          <w:rFonts w:hAnsi="宋体" w:cs="宋体"/>
          <w:color w:val="auto"/>
          <w:sz w:val="24"/>
          <w:highlight w:val="none"/>
        </w:rPr>
      </w:pPr>
      <w:r>
        <w:rPr>
          <w:rFonts w:hAnsi="宋体" w:cs="宋体"/>
          <w:color w:val="auto"/>
          <w:sz w:val="24"/>
          <w:highlight w:val="none"/>
        </w:rPr>
        <w:br w:type="page"/>
      </w:r>
    </w:p>
    <w:p w14:paraId="6089DFA1">
      <w:pPr>
        <w:pStyle w:val="21"/>
        <w:spacing w:line="360" w:lineRule="auto"/>
        <w:ind w:left="0" w:firstLine="0" w:firstLineChars="0"/>
        <w:rPr>
          <w:rFonts w:ascii="宋体" w:cs="宋体"/>
          <w:b/>
          <w:color w:val="auto"/>
          <w:spacing w:val="-6"/>
          <w:sz w:val="24"/>
          <w:highlight w:val="none"/>
        </w:rPr>
      </w:pPr>
      <w:r>
        <w:rPr>
          <w:rFonts w:hint="eastAsia" w:ascii="宋体" w:hAnsi="宋体" w:cs="宋体"/>
          <w:bCs/>
          <w:color w:val="auto"/>
          <w:spacing w:val="-6"/>
          <w:sz w:val="24"/>
          <w:highlight w:val="none"/>
        </w:rPr>
        <w:t>附件6：参加政府采购活动前</w:t>
      </w:r>
      <w:r>
        <w:rPr>
          <w:rFonts w:ascii="宋体" w:hAnsi="宋体" w:cs="宋体"/>
          <w:bCs/>
          <w:color w:val="auto"/>
          <w:spacing w:val="-6"/>
          <w:sz w:val="24"/>
          <w:highlight w:val="none"/>
        </w:rPr>
        <w:t>3</w:t>
      </w:r>
      <w:r>
        <w:rPr>
          <w:rFonts w:hint="eastAsia" w:ascii="宋体" w:hAnsi="宋体" w:cs="宋体"/>
          <w:bCs/>
          <w:color w:val="auto"/>
          <w:spacing w:val="-6"/>
          <w:sz w:val="24"/>
          <w:highlight w:val="none"/>
        </w:rPr>
        <w:t>年内在经营活动中没有重大违法记录的书面声明</w:t>
      </w:r>
    </w:p>
    <w:p w14:paraId="47A33945">
      <w:pPr>
        <w:pStyle w:val="21"/>
        <w:spacing w:line="360" w:lineRule="auto"/>
        <w:ind w:left="169" w:hanging="169" w:hangingChars="74"/>
        <w:jc w:val="center"/>
        <w:rPr>
          <w:rFonts w:ascii="宋体" w:cs="宋体"/>
          <w:b/>
          <w:color w:val="auto"/>
          <w:spacing w:val="-6"/>
          <w:sz w:val="24"/>
          <w:highlight w:val="none"/>
        </w:rPr>
      </w:pPr>
    </w:p>
    <w:p w14:paraId="25544922">
      <w:pPr>
        <w:pStyle w:val="21"/>
        <w:spacing w:line="360" w:lineRule="auto"/>
        <w:ind w:left="169" w:hanging="169" w:hangingChars="74"/>
        <w:jc w:val="center"/>
        <w:rPr>
          <w:rFonts w:ascii="宋体" w:cs="宋体"/>
          <w:b/>
          <w:color w:val="auto"/>
          <w:spacing w:val="-6"/>
          <w:sz w:val="24"/>
          <w:highlight w:val="none"/>
        </w:rPr>
      </w:pPr>
      <w:r>
        <w:rPr>
          <w:rFonts w:hint="eastAsia" w:ascii="宋体" w:hAnsi="宋体" w:cs="宋体"/>
          <w:b/>
          <w:color w:val="auto"/>
          <w:spacing w:val="-6"/>
          <w:sz w:val="24"/>
          <w:highlight w:val="none"/>
        </w:rPr>
        <w:t>声明函</w:t>
      </w:r>
    </w:p>
    <w:p w14:paraId="07B0042E">
      <w:pPr>
        <w:spacing w:line="360" w:lineRule="auto"/>
        <w:rPr>
          <w:rFonts w:hint="eastAsia" w:ascii="宋体" w:eastAsia="宋体" w:cs="宋体"/>
          <w:color w:val="auto"/>
          <w:spacing w:val="-6"/>
          <w:sz w:val="24"/>
          <w:highlight w:val="none"/>
          <w:lang w:eastAsia="zh-CN"/>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lang w:eastAsia="zh-CN"/>
        </w:rPr>
        <w:t>衢州市公安局柯城分局</w:t>
      </w:r>
      <w:r>
        <w:rPr>
          <w:rFonts w:hint="eastAsia" w:ascii="宋体" w:hAnsi="宋体" w:cs="宋体"/>
          <w:color w:val="auto"/>
          <w:spacing w:val="-6"/>
          <w:sz w:val="24"/>
          <w:highlight w:val="none"/>
        </w:rPr>
        <w:t>、</w:t>
      </w:r>
      <w:r>
        <w:rPr>
          <w:rFonts w:hint="eastAsia" w:ascii="宋体" w:hAnsi="宋体" w:cs="宋体"/>
          <w:color w:val="auto"/>
          <w:spacing w:val="-6"/>
          <w:sz w:val="24"/>
          <w:highlight w:val="none"/>
          <w:lang w:eastAsia="zh-CN"/>
        </w:rPr>
        <w:t>衢州胜友如云工程咨询有限公司</w:t>
      </w:r>
    </w:p>
    <w:p w14:paraId="5F57732E">
      <w:pPr>
        <w:spacing w:line="360" w:lineRule="auto"/>
        <w:ind w:firstLine="456" w:firstLineChars="200"/>
        <w:rPr>
          <w:rFonts w:asci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w:t>
      </w:r>
      <w:r>
        <w:rPr>
          <w:rFonts w:hint="eastAsia" w:ascii="宋体" w:hAnsi="宋体" w:cs="宋体"/>
          <w:b/>
          <w:color w:val="auto"/>
          <w:spacing w:val="-6"/>
          <w:sz w:val="24"/>
          <w:highlight w:val="none"/>
        </w:rPr>
        <w:t>（填写“有”或“没有”，如实填写，如不填写视同未提供本声明函）</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78A00537">
      <w:pPr>
        <w:spacing w:line="360" w:lineRule="auto"/>
        <w:ind w:firstLine="456" w:firstLineChars="200"/>
        <w:rPr>
          <w:rFonts w:asci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14:paraId="61B4B234">
      <w:pPr>
        <w:spacing w:line="360" w:lineRule="auto"/>
        <w:ind w:firstLine="456" w:firstLineChars="200"/>
        <w:rPr>
          <w:rFonts w:ascii="宋体" w:cs="宋体"/>
          <w:color w:val="auto"/>
          <w:spacing w:val="-6"/>
          <w:sz w:val="24"/>
          <w:highlight w:val="none"/>
        </w:rPr>
      </w:pPr>
      <w:r>
        <w:rPr>
          <w:rFonts w:hint="eastAsia" w:ascii="宋体" w:hAnsi="宋体" w:cs="宋体"/>
          <w:color w:val="auto"/>
          <w:spacing w:val="-6"/>
          <w:sz w:val="24"/>
          <w:highlight w:val="none"/>
        </w:rPr>
        <w:t>特此声明。</w:t>
      </w:r>
    </w:p>
    <w:p w14:paraId="68DE579D">
      <w:pPr>
        <w:spacing w:line="360" w:lineRule="auto"/>
        <w:rPr>
          <w:rFonts w:ascii="宋体" w:cs="宋体"/>
          <w:color w:val="auto"/>
          <w:spacing w:val="-6"/>
          <w:sz w:val="24"/>
          <w:highlight w:val="none"/>
        </w:rPr>
      </w:pPr>
    </w:p>
    <w:p w14:paraId="2A772FC1">
      <w:pPr>
        <w:spacing w:line="360" w:lineRule="auto"/>
        <w:rPr>
          <w:rFonts w:ascii="宋体" w:cs="宋体"/>
          <w:color w:val="auto"/>
          <w:spacing w:val="-6"/>
          <w:sz w:val="24"/>
          <w:highlight w:val="none"/>
        </w:rPr>
      </w:pPr>
    </w:p>
    <w:p w14:paraId="102AF01C">
      <w:pPr>
        <w:rPr>
          <w:rFonts w:ascii="宋体" w:hAnsi="宋体" w:cs="宋体"/>
          <w:color w:val="auto"/>
          <w:sz w:val="24"/>
          <w:highlight w:val="none"/>
        </w:rPr>
      </w:pPr>
    </w:p>
    <w:p w14:paraId="5DB9795B">
      <w:pPr>
        <w:jc w:val="center"/>
        <w:rPr>
          <w:rFonts w:ascii="宋体" w:hAnsi="宋体" w:cs="宋体"/>
          <w:color w:val="auto"/>
          <w:sz w:val="24"/>
          <w:highlight w:val="none"/>
        </w:rPr>
      </w:pP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（盖章）：</w:t>
      </w:r>
    </w:p>
    <w:p w14:paraId="54CE32B8">
      <w:pPr>
        <w:jc w:val="center"/>
        <w:rPr>
          <w:rFonts w:ascii="宋体" w:hAnsi="宋体" w:cs="宋体"/>
          <w:color w:val="auto"/>
          <w:sz w:val="24"/>
          <w:highlight w:val="none"/>
        </w:rPr>
      </w:pPr>
    </w:p>
    <w:p w14:paraId="6167FA6F">
      <w:pPr>
        <w:jc w:val="center"/>
        <w:rPr>
          <w:rFonts w:ascii="宋体" w:hAns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p>
    <w:p w14:paraId="55B8E2EB">
      <w:pPr>
        <w:jc w:val="center"/>
        <w:rPr>
          <w:rFonts w:ascii="宋体" w:hAnsi="宋体" w:cs="宋体"/>
          <w:color w:val="auto"/>
          <w:sz w:val="24"/>
          <w:highlight w:val="none"/>
        </w:rPr>
      </w:pPr>
    </w:p>
    <w:p w14:paraId="7E5E47DF">
      <w:pPr>
        <w:jc w:val="center"/>
        <w:rPr>
          <w:rFonts w:ascii="宋体" w:hAns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     年   月   日</w:t>
      </w:r>
    </w:p>
    <w:p w14:paraId="6EF7D2E0">
      <w:pPr>
        <w:pStyle w:val="9"/>
        <w:spacing w:line="480" w:lineRule="auto"/>
        <w:ind w:firstLine="0"/>
        <w:rPr>
          <w:rFonts w:hint="eastAsia" w:eastAsia="宋体"/>
          <w:color w:val="auto"/>
          <w:highlight w:val="none"/>
          <w:lang w:val="en-US" w:eastAsia="zh-CN"/>
        </w:rPr>
      </w:pPr>
      <w:r>
        <w:rPr>
          <w:b/>
          <w:color w:val="auto"/>
          <w:spacing w:val="-6"/>
          <w:sz w:val="52"/>
          <w:szCs w:val="52"/>
          <w:highlight w:val="none"/>
        </w:rPr>
        <w:br w:type="page"/>
      </w:r>
      <w:r>
        <w:rPr>
          <w:rFonts w:hint="eastAsia" w:hAnsi="宋体" w:cs="宋体"/>
          <w:bCs/>
          <w:color w:val="auto"/>
          <w:spacing w:val="-6"/>
          <w:sz w:val="24"/>
          <w:szCs w:val="24"/>
          <w:highlight w:val="none"/>
        </w:rPr>
        <w:t>附件7：</w:t>
      </w:r>
      <w:r>
        <w:rPr>
          <w:rFonts w:hint="eastAsia" w:hAnsi="宋体" w:cs="宋体"/>
          <w:bCs/>
          <w:color w:val="auto"/>
          <w:spacing w:val="-6"/>
          <w:sz w:val="24"/>
          <w:szCs w:val="24"/>
          <w:highlight w:val="none"/>
          <w:lang w:eastAsia="zh-CN"/>
        </w:rPr>
        <w:t>开标一览表</w:t>
      </w:r>
    </w:p>
    <w:p w14:paraId="1E9B6B0C">
      <w:pPr>
        <w:snapToGrid w:val="0"/>
        <w:spacing w:line="600" w:lineRule="exact"/>
        <w:jc w:val="center"/>
        <w:rPr>
          <w:rFonts w:ascii="宋体" w:cs="宋体"/>
          <w:b/>
          <w:bCs w:val="0"/>
          <w:color w:val="auto"/>
          <w:sz w:val="24"/>
          <w:highlight w:val="none"/>
        </w:rPr>
      </w:pPr>
      <w:r>
        <w:rPr>
          <w:rFonts w:hint="eastAsia" w:ascii="宋体" w:hAnsi="宋体" w:cs="宋体"/>
          <w:b/>
          <w:bCs w:val="0"/>
          <w:color w:val="auto"/>
          <w:sz w:val="24"/>
          <w:highlight w:val="none"/>
        </w:rPr>
        <w:t>开标一览表</w:t>
      </w:r>
    </w:p>
    <w:p w14:paraId="4779C3CD">
      <w:pPr>
        <w:adjustRightInd w:val="0"/>
        <w:snapToGrid w:val="0"/>
        <w:spacing w:before="50" w:after="50" w:line="360" w:lineRule="auto"/>
        <w:jc w:val="left"/>
        <w:rPr>
          <w:rFonts w:ascii="宋体" w:hAnsi="宋体" w:cs="宋体"/>
          <w:color w:val="auto"/>
          <w:sz w:val="24"/>
          <w:highlight w:val="none"/>
        </w:rPr>
      </w:pPr>
      <w:bookmarkStart w:id="94" w:name="_Toc513456157"/>
      <w:r>
        <w:rPr>
          <w:rFonts w:hint="eastAsia" w:ascii="宋体" w:hAnsi="宋体" w:cs="宋体"/>
          <w:color w:val="auto"/>
          <w:sz w:val="24"/>
          <w:highlight w:val="none"/>
        </w:rPr>
        <w:t>项目名称：                                            项目编号：</w:t>
      </w:r>
    </w:p>
    <w:tbl>
      <w:tblPr>
        <w:tblStyle w:val="27"/>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66"/>
        <w:gridCol w:w="2639"/>
        <w:gridCol w:w="2393"/>
        <w:gridCol w:w="2163"/>
      </w:tblGrid>
      <w:tr w14:paraId="2C0A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783" w:type="dxa"/>
            <w:vAlign w:val="center"/>
          </w:tcPr>
          <w:p w14:paraId="5E1AB676">
            <w:pPr>
              <w:adjustRightInd w:val="0"/>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序号</w:t>
            </w:r>
          </w:p>
        </w:tc>
        <w:tc>
          <w:tcPr>
            <w:tcW w:w="4005" w:type="dxa"/>
            <w:gridSpan w:val="2"/>
            <w:vAlign w:val="center"/>
          </w:tcPr>
          <w:p w14:paraId="107B278C">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项目内容</w:t>
            </w:r>
          </w:p>
        </w:tc>
        <w:tc>
          <w:tcPr>
            <w:tcW w:w="2393" w:type="dxa"/>
            <w:vAlign w:val="center"/>
          </w:tcPr>
          <w:p w14:paraId="4BBD5502">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租赁</w:t>
            </w:r>
            <w:r>
              <w:rPr>
                <w:rFonts w:hint="eastAsia" w:ascii="宋体" w:hAnsi="宋体" w:cs="宋体"/>
                <w:color w:val="auto"/>
                <w:sz w:val="24"/>
                <w:highlight w:val="none"/>
                <w:lang w:eastAsia="zh-CN"/>
              </w:rPr>
              <w:t>期</w:t>
            </w:r>
          </w:p>
        </w:tc>
        <w:tc>
          <w:tcPr>
            <w:tcW w:w="2163" w:type="dxa"/>
            <w:vAlign w:val="center"/>
          </w:tcPr>
          <w:p w14:paraId="47D80530">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0377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trPr>
        <w:tc>
          <w:tcPr>
            <w:tcW w:w="783" w:type="dxa"/>
            <w:vAlign w:val="center"/>
          </w:tcPr>
          <w:p w14:paraId="1D12DB90">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005" w:type="dxa"/>
            <w:gridSpan w:val="2"/>
            <w:vAlign w:val="center"/>
          </w:tcPr>
          <w:p w14:paraId="01228554">
            <w:pPr>
              <w:adjustRightInd w:val="0"/>
              <w:snapToGrid w:val="0"/>
              <w:spacing w:before="50" w:after="50"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柯城区城区区域安防设备补盲一期租赁服务项目</w:t>
            </w:r>
          </w:p>
        </w:tc>
        <w:tc>
          <w:tcPr>
            <w:tcW w:w="2393" w:type="dxa"/>
            <w:vAlign w:val="center"/>
          </w:tcPr>
          <w:p w14:paraId="4E1D83AC">
            <w:pPr>
              <w:adjustRightInd w:val="0"/>
              <w:snapToGrid w:val="0"/>
              <w:spacing w:before="50" w:after="50" w:line="360" w:lineRule="auto"/>
              <w:jc w:val="left"/>
              <w:rPr>
                <w:rFonts w:ascii="宋体" w:hAnsi="宋体" w:cs="宋体"/>
                <w:color w:val="auto"/>
                <w:sz w:val="24"/>
                <w:highlight w:val="none"/>
              </w:rPr>
            </w:pPr>
          </w:p>
        </w:tc>
        <w:tc>
          <w:tcPr>
            <w:tcW w:w="2163" w:type="dxa"/>
            <w:vAlign w:val="center"/>
          </w:tcPr>
          <w:p w14:paraId="5146586F">
            <w:pPr>
              <w:adjustRightInd w:val="0"/>
              <w:snapToGrid w:val="0"/>
              <w:spacing w:before="50" w:after="50" w:line="360" w:lineRule="auto"/>
              <w:jc w:val="center"/>
              <w:rPr>
                <w:rFonts w:ascii="宋体" w:hAnsi="宋体" w:cs="宋体"/>
                <w:color w:val="auto"/>
                <w:sz w:val="24"/>
                <w:highlight w:val="none"/>
              </w:rPr>
            </w:pPr>
          </w:p>
        </w:tc>
      </w:tr>
      <w:tr w14:paraId="0AAA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49" w:type="dxa"/>
            <w:gridSpan w:val="2"/>
            <w:vMerge w:val="restart"/>
            <w:vAlign w:val="center"/>
          </w:tcPr>
          <w:p w14:paraId="589ACAE0">
            <w:pPr>
              <w:adjustRightInd w:val="0"/>
              <w:snapToGrid w:val="0"/>
              <w:spacing w:before="50" w:after="50"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总价</w:t>
            </w:r>
          </w:p>
        </w:tc>
        <w:tc>
          <w:tcPr>
            <w:tcW w:w="7195" w:type="dxa"/>
            <w:gridSpan w:val="3"/>
            <w:vAlign w:val="center"/>
          </w:tcPr>
          <w:p w14:paraId="12B6A02B">
            <w:pPr>
              <w:adjustRightInd w:val="0"/>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（小写）          元</w:t>
            </w:r>
          </w:p>
        </w:tc>
      </w:tr>
      <w:tr w14:paraId="4B8B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49" w:type="dxa"/>
            <w:gridSpan w:val="2"/>
            <w:vMerge w:val="continue"/>
            <w:vAlign w:val="center"/>
          </w:tcPr>
          <w:p w14:paraId="2EEED9F3">
            <w:pPr>
              <w:adjustRightInd w:val="0"/>
              <w:snapToGrid w:val="0"/>
              <w:spacing w:before="50" w:after="50" w:line="360" w:lineRule="auto"/>
              <w:ind w:firstLine="480" w:firstLineChars="200"/>
              <w:jc w:val="left"/>
              <w:rPr>
                <w:rFonts w:ascii="宋体" w:hAnsi="宋体" w:cs="宋体"/>
                <w:color w:val="auto"/>
                <w:sz w:val="24"/>
                <w:highlight w:val="none"/>
              </w:rPr>
            </w:pPr>
          </w:p>
        </w:tc>
        <w:tc>
          <w:tcPr>
            <w:tcW w:w="7195" w:type="dxa"/>
            <w:gridSpan w:val="3"/>
            <w:vAlign w:val="center"/>
          </w:tcPr>
          <w:p w14:paraId="27FC5641">
            <w:pPr>
              <w:adjustRightInd w:val="0"/>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（大写）         元</w:t>
            </w:r>
          </w:p>
        </w:tc>
      </w:tr>
    </w:tbl>
    <w:p w14:paraId="2ED6F8D1">
      <w:pPr>
        <w:adjustRightInd w:val="0"/>
        <w:snapToGrid w:val="0"/>
        <w:spacing w:before="50" w:after="50"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注：</w:t>
      </w:r>
    </w:p>
    <w:p w14:paraId="08D0769A">
      <w:pPr>
        <w:adjustRightInd w:val="0"/>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▲1.投标报价不得超出采购预算价（最高限价），否则不进入报价标评审，并不得推荐为预中标人。</w:t>
      </w:r>
    </w:p>
    <w:p w14:paraId="3E25B2EA">
      <w:pPr>
        <w:adjustRightInd w:val="0"/>
        <w:snapToGrid w:val="0"/>
        <w:spacing w:before="50" w:after="50"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2.报价一经涂改，应在涂改处加盖单位公章，否则不得推荐为成交候选人。</w:t>
      </w:r>
    </w:p>
    <w:p w14:paraId="05B9C83A">
      <w:pPr>
        <w:adjustRightInd w:val="0"/>
        <w:snapToGrid w:val="0"/>
        <w:spacing w:before="50" w:after="50"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3.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p w14:paraId="024BB53F">
      <w:pPr>
        <w:rPr>
          <w:rFonts w:ascii="宋体" w:cs="宋体"/>
          <w:color w:val="auto"/>
          <w:sz w:val="24"/>
          <w:highlight w:val="none"/>
        </w:rPr>
      </w:pPr>
    </w:p>
    <w:p w14:paraId="4260AA13">
      <w:pPr>
        <w:pStyle w:val="2"/>
        <w:rPr>
          <w:color w:val="auto"/>
          <w:highlight w:val="none"/>
        </w:rPr>
      </w:pPr>
    </w:p>
    <w:p w14:paraId="1C5778C2">
      <w:pPr>
        <w:jc w:val="center"/>
        <w:rPr>
          <w:rFonts w:asci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p>
    <w:p w14:paraId="37568DDF">
      <w:pPr>
        <w:jc w:val="center"/>
        <w:rPr>
          <w:rFonts w:ascii="宋体" w:cs="宋体"/>
          <w:color w:val="auto"/>
          <w:sz w:val="24"/>
          <w:highlight w:val="none"/>
        </w:rPr>
      </w:pPr>
    </w:p>
    <w:p w14:paraId="791136CB">
      <w:pPr>
        <w:jc w:val="center"/>
        <w:rPr>
          <w:rFonts w:ascii="宋体" w:cs="宋体"/>
          <w:color w:val="auto"/>
          <w:sz w:val="24"/>
          <w:highlight w:val="none"/>
        </w:rPr>
      </w:pPr>
      <w:r>
        <w:rPr>
          <w:rFonts w:hint="eastAsia" w:ascii="宋体" w:hAnsi="宋体" w:cs="宋体"/>
          <w:color w:val="auto"/>
          <w:spacing w:val="-6"/>
          <w:sz w:val="24"/>
          <w:highlight w:val="none"/>
          <w:lang w:eastAsia="zh-CN"/>
        </w:rPr>
        <w:t>投标人名称</w:t>
      </w:r>
      <w:r>
        <w:rPr>
          <w:rFonts w:hint="eastAsia" w:ascii="宋体" w:hAnsi="宋体" w:cs="宋体"/>
          <w:color w:val="auto"/>
          <w:spacing w:val="-6"/>
          <w:sz w:val="24"/>
          <w:highlight w:val="none"/>
        </w:rPr>
        <w:t>（盖章）</w:t>
      </w:r>
      <w:r>
        <w:rPr>
          <w:rFonts w:hint="eastAsia" w:ascii="宋体" w:hAnsi="宋体" w:cs="宋体"/>
          <w:color w:val="auto"/>
          <w:sz w:val="24"/>
          <w:highlight w:val="none"/>
        </w:rPr>
        <w:t>：</w:t>
      </w:r>
    </w:p>
    <w:p w14:paraId="0CC9C0B0">
      <w:pPr>
        <w:widowControl/>
        <w:jc w:val="center"/>
        <w:rPr>
          <w:rFonts w:ascii="宋体" w:cs="宋体"/>
          <w:color w:val="auto"/>
          <w:sz w:val="24"/>
          <w:highlight w:val="none"/>
        </w:rPr>
      </w:pPr>
    </w:p>
    <w:p w14:paraId="2E9E07FB">
      <w:pPr>
        <w:widowControl/>
        <w:jc w:val="center"/>
        <w:rPr>
          <w:rFonts w:asci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w:t>
      </w:r>
    </w:p>
    <w:p w14:paraId="703CA13A">
      <w:pPr>
        <w:snapToGrid w:val="0"/>
        <w:spacing w:line="600" w:lineRule="exact"/>
        <w:jc w:val="center"/>
        <w:rPr>
          <w:rFonts w:ascii="宋体" w:cs="宋体"/>
          <w:bCs/>
          <w:color w:val="auto"/>
          <w:sz w:val="24"/>
          <w:highlight w:val="none"/>
        </w:rPr>
      </w:pPr>
      <w:r>
        <w:rPr>
          <w:rFonts w:ascii="宋体" w:cs="宋体"/>
          <w:color w:val="auto"/>
          <w:sz w:val="21"/>
          <w:szCs w:val="21"/>
          <w:highlight w:val="none"/>
        </w:rPr>
        <w:br w:type="page"/>
      </w:r>
      <w:r>
        <w:rPr>
          <w:rFonts w:hint="eastAsia" w:ascii="宋体" w:hAnsi="宋体" w:cs="宋体"/>
          <w:b/>
          <w:bCs w:val="0"/>
          <w:color w:val="auto"/>
          <w:sz w:val="24"/>
          <w:highlight w:val="none"/>
        </w:rPr>
        <w:t>报价明细表</w:t>
      </w:r>
    </w:p>
    <w:p w14:paraId="1D629261">
      <w:pPr>
        <w:snapToGrid w:val="0"/>
        <w:spacing w:line="600" w:lineRule="exact"/>
        <w:jc w:val="center"/>
        <w:rPr>
          <w:rFonts w:ascii="宋体" w:cs="宋体"/>
          <w:bCs/>
          <w:color w:val="auto"/>
          <w:sz w:val="24"/>
          <w:highlight w:val="none"/>
        </w:rPr>
      </w:pPr>
    </w:p>
    <w:p w14:paraId="48B63A22">
      <w:pPr>
        <w:adjustRightInd w:val="0"/>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项目名称：                                            项目编号：</w:t>
      </w:r>
    </w:p>
    <w:p w14:paraId="7F53BBFD">
      <w:pPr>
        <w:pStyle w:val="70"/>
        <w:ind w:left="0" w:leftChars="0" w:firstLine="8119" w:firstLineChars="3383"/>
        <w:rPr>
          <w:color w:val="auto"/>
          <w:highlight w:val="none"/>
        </w:rPr>
      </w:pPr>
      <w:r>
        <w:rPr>
          <w:rFonts w:hint="eastAsia" w:ascii="宋体" w:hAnsi="宋体" w:cs="宋体"/>
          <w:color w:val="auto"/>
          <w:sz w:val="24"/>
          <w:highlight w:val="none"/>
        </w:rPr>
        <w:t>单位：元</w:t>
      </w:r>
    </w:p>
    <w:tbl>
      <w:tblPr>
        <w:tblStyle w:val="27"/>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31"/>
        <w:gridCol w:w="1129"/>
        <w:gridCol w:w="1200"/>
        <w:gridCol w:w="1536"/>
        <w:gridCol w:w="1606"/>
        <w:gridCol w:w="1341"/>
      </w:tblGrid>
      <w:tr w14:paraId="6132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783" w:type="dxa"/>
            <w:vAlign w:val="center"/>
          </w:tcPr>
          <w:p w14:paraId="1132BB2C">
            <w:pPr>
              <w:adjustRightInd w:val="0"/>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序号</w:t>
            </w:r>
          </w:p>
        </w:tc>
        <w:tc>
          <w:tcPr>
            <w:tcW w:w="1931" w:type="dxa"/>
            <w:vAlign w:val="center"/>
          </w:tcPr>
          <w:p w14:paraId="6A6EB4E0">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费用名称</w:t>
            </w:r>
          </w:p>
        </w:tc>
        <w:tc>
          <w:tcPr>
            <w:tcW w:w="1129" w:type="dxa"/>
            <w:vAlign w:val="center"/>
          </w:tcPr>
          <w:p w14:paraId="65D19F5D">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00" w:type="dxa"/>
            <w:vAlign w:val="center"/>
          </w:tcPr>
          <w:p w14:paraId="2098CB9F">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536" w:type="dxa"/>
            <w:vAlign w:val="center"/>
          </w:tcPr>
          <w:p w14:paraId="2CBA365D">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1606" w:type="dxa"/>
            <w:vAlign w:val="center"/>
          </w:tcPr>
          <w:p w14:paraId="3C70C78C">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总价</w:t>
            </w:r>
          </w:p>
        </w:tc>
        <w:tc>
          <w:tcPr>
            <w:tcW w:w="1341" w:type="dxa"/>
            <w:vAlign w:val="center"/>
          </w:tcPr>
          <w:p w14:paraId="61C2F6C8">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727D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vAlign w:val="center"/>
          </w:tcPr>
          <w:p w14:paraId="18F7084E">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31" w:type="dxa"/>
            <w:vAlign w:val="center"/>
          </w:tcPr>
          <w:p w14:paraId="6486989C">
            <w:pPr>
              <w:adjustRightInd w:val="0"/>
              <w:snapToGrid w:val="0"/>
              <w:spacing w:before="50" w:after="50" w:line="360" w:lineRule="auto"/>
              <w:jc w:val="left"/>
              <w:rPr>
                <w:rFonts w:ascii="宋体" w:hAnsi="宋体" w:cs="宋体"/>
                <w:color w:val="auto"/>
                <w:sz w:val="24"/>
                <w:highlight w:val="none"/>
              </w:rPr>
            </w:pPr>
          </w:p>
        </w:tc>
        <w:tc>
          <w:tcPr>
            <w:tcW w:w="1129" w:type="dxa"/>
            <w:vAlign w:val="center"/>
          </w:tcPr>
          <w:p w14:paraId="46DEF615">
            <w:pPr>
              <w:adjustRightInd w:val="0"/>
              <w:snapToGrid w:val="0"/>
              <w:spacing w:before="50" w:after="50" w:line="360" w:lineRule="auto"/>
              <w:jc w:val="left"/>
              <w:rPr>
                <w:rFonts w:ascii="宋体" w:hAnsi="宋体" w:cs="宋体"/>
                <w:color w:val="auto"/>
                <w:sz w:val="24"/>
                <w:highlight w:val="none"/>
              </w:rPr>
            </w:pPr>
          </w:p>
        </w:tc>
        <w:tc>
          <w:tcPr>
            <w:tcW w:w="1200" w:type="dxa"/>
            <w:vAlign w:val="center"/>
          </w:tcPr>
          <w:p w14:paraId="70B8521F">
            <w:pPr>
              <w:adjustRightInd w:val="0"/>
              <w:snapToGrid w:val="0"/>
              <w:spacing w:before="50" w:after="50" w:line="360" w:lineRule="auto"/>
              <w:jc w:val="center"/>
              <w:rPr>
                <w:rFonts w:ascii="宋体" w:hAnsi="宋体" w:cs="宋体"/>
                <w:color w:val="auto"/>
                <w:sz w:val="24"/>
                <w:highlight w:val="none"/>
              </w:rPr>
            </w:pPr>
          </w:p>
        </w:tc>
        <w:tc>
          <w:tcPr>
            <w:tcW w:w="1536" w:type="dxa"/>
            <w:vAlign w:val="center"/>
          </w:tcPr>
          <w:p w14:paraId="28E8E89A">
            <w:pPr>
              <w:adjustRightInd w:val="0"/>
              <w:snapToGrid w:val="0"/>
              <w:spacing w:before="50" w:after="50" w:line="360" w:lineRule="auto"/>
              <w:jc w:val="center"/>
              <w:rPr>
                <w:rFonts w:ascii="宋体" w:hAnsi="宋体" w:cs="宋体"/>
                <w:color w:val="auto"/>
                <w:sz w:val="24"/>
                <w:highlight w:val="none"/>
              </w:rPr>
            </w:pPr>
          </w:p>
        </w:tc>
        <w:tc>
          <w:tcPr>
            <w:tcW w:w="1606" w:type="dxa"/>
            <w:vAlign w:val="center"/>
          </w:tcPr>
          <w:p w14:paraId="1164C074">
            <w:pPr>
              <w:adjustRightInd w:val="0"/>
              <w:snapToGrid w:val="0"/>
              <w:spacing w:before="50" w:after="50" w:line="360" w:lineRule="auto"/>
              <w:jc w:val="center"/>
              <w:rPr>
                <w:rFonts w:ascii="宋体" w:hAnsi="宋体" w:cs="宋体"/>
                <w:color w:val="auto"/>
                <w:sz w:val="24"/>
                <w:highlight w:val="none"/>
              </w:rPr>
            </w:pPr>
          </w:p>
        </w:tc>
        <w:tc>
          <w:tcPr>
            <w:tcW w:w="1341" w:type="dxa"/>
            <w:vAlign w:val="center"/>
          </w:tcPr>
          <w:p w14:paraId="69A1F384">
            <w:pPr>
              <w:adjustRightInd w:val="0"/>
              <w:snapToGrid w:val="0"/>
              <w:spacing w:before="50" w:after="50" w:line="360" w:lineRule="auto"/>
              <w:jc w:val="center"/>
              <w:rPr>
                <w:rFonts w:ascii="宋体" w:hAnsi="宋体" w:cs="宋体"/>
                <w:color w:val="auto"/>
                <w:sz w:val="24"/>
                <w:highlight w:val="none"/>
              </w:rPr>
            </w:pPr>
          </w:p>
        </w:tc>
      </w:tr>
      <w:tr w14:paraId="6963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vAlign w:val="center"/>
          </w:tcPr>
          <w:p w14:paraId="6843F710">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31" w:type="dxa"/>
            <w:vAlign w:val="center"/>
          </w:tcPr>
          <w:p w14:paraId="6039217B">
            <w:pPr>
              <w:adjustRightInd w:val="0"/>
              <w:snapToGrid w:val="0"/>
              <w:spacing w:before="50" w:after="50" w:line="360" w:lineRule="auto"/>
              <w:jc w:val="left"/>
              <w:rPr>
                <w:rFonts w:ascii="宋体" w:hAnsi="宋体" w:cs="宋体"/>
                <w:color w:val="auto"/>
                <w:sz w:val="24"/>
                <w:highlight w:val="none"/>
              </w:rPr>
            </w:pPr>
          </w:p>
        </w:tc>
        <w:tc>
          <w:tcPr>
            <w:tcW w:w="1129" w:type="dxa"/>
            <w:vAlign w:val="center"/>
          </w:tcPr>
          <w:p w14:paraId="67EC3C91">
            <w:pPr>
              <w:adjustRightInd w:val="0"/>
              <w:snapToGrid w:val="0"/>
              <w:spacing w:before="50" w:after="50" w:line="360" w:lineRule="auto"/>
              <w:jc w:val="left"/>
              <w:rPr>
                <w:rFonts w:ascii="宋体" w:hAnsi="宋体" w:cs="宋体"/>
                <w:color w:val="auto"/>
                <w:sz w:val="24"/>
                <w:highlight w:val="none"/>
              </w:rPr>
            </w:pPr>
          </w:p>
        </w:tc>
        <w:tc>
          <w:tcPr>
            <w:tcW w:w="1200" w:type="dxa"/>
            <w:vAlign w:val="center"/>
          </w:tcPr>
          <w:p w14:paraId="2176CABB">
            <w:pPr>
              <w:adjustRightInd w:val="0"/>
              <w:snapToGrid w:val="0"/>
              <w:spacing w:before="50" w:after="50" w:line="360" w:lineRule="auto"/>
              <w:jc w:val="center"/>
              <w:rPr>
                <w:rFonts w:ascii="宋体" w:hAnsi="宋体" w:cs="宋体"/>
                <w:color w:val="auto"/>
                <w:sz w:val="24"/>
                <w:highlight w:val="none"/>
              </w:rPr>
            </w:pPr>
          </w:p>
        </w:tc>
        <w:tc>
          <w:tcPr>
            <w:tcW w:w="1536" w:type="dxa"/>
            <w:vAlign w:val="center"/>
          </w:tcPr>
          <w:p w14:paraId="7B25B8D8">
            <w:pPr>
              <w:adjustRightInd w:val="0"/>
              <w:snapToGrid w:val="0"/>
              <w:spacing w:before="50" w:after="50" w:line="360" w:lineRule="auto"/>
              <w:jc w:val="center"/>
              <w:rPr>
                <w:rFonts w:ascii="宋体" w:hAnsi="宋体" w:cs="宋体"/>
                <w:color w:val="auto"/>
                <w:sz w:val="24"/>
                <w:highlight w:val="none"/>
              </w:rPr>
            </w:pPr>
          </w:p>
        </w:tc>
        <w:tc>
          <w:tcPr>
            <w:tcW w:w="1606" w:type="dxa"/>
            <w:vAlign w:val="center"/>
          </w:tcPr>
          <w:p w14:paraId="15A3585C">
            <w:pPr>
              <w:adjustRightInd w:val="0"/>
              <w:snapToGrid w:val="0"/>
              <w:spacing w:before="50" w:after="50" w:line="360" w:lineRule="auto"/>
              <w:jc w:val="center"/>
              <w:rPr>
                <w:rFonts w:ascii="宋体" w:hAnsi="宋体" w:cs="宋体"/>
                <w:color w:val="auto"/>
                <w:sz w:val="24"/>
                <w:highlight w:val="none"/>
              </w:rPr>
            </w:pPr>
          </w:p>
        </w:tc>
        <w:tc>
          <w:tcPr>
            <w:tcW w:w="1341" w:type="dxa"/>
            <w:vAlign w:val="center"/>
          </w:tcPr>
          <w:p w14:paraId="721E6E17">
            <w:pPr>
              <w:adjustRightInd w:val="0"/>
              <w:snapToGrid w:val="0"/>
              <w:spacing w:before="50" w:after="50" w:line="360" w:lineRule="auto"/>
              <w:jc w:val="center"/>
              <w:rPr>
                <w:rFonts w:ascii="宋体" w:hAnsi="宋体" w:cs="宋体"/>
                <w:color w:val="auto"/>
                <w:sz w:val="24"/>
                <w:highlight w:val="none"/>
              </w:rPr>
            </w:pPr>
          </w:p>
        </w:tc>
      </w:tr>
      <w:tr w14:paraId="2E77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vAlign w:val="center"/>
          </w:tcPr>
          <w:p w14:paraId="14974B3F">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931" w:type="dxa"/>
            <w:vAlign w:val="center"/>
          </w:tcPr>
          <w:p w14:paraId="6BA53DD1">
            <w:pPr>
              <w:adjustRightInd w:val="0"/>
              <w:snapToGrid w:val="0"/>
              <w:spacing w:before="50" w:after="50" w:line="360" w:lineRule="auto"/>
              <w:jc w:val="left"/>
              <w:rPr>
                <w:rFonts w:ascii="宋体" w:hAnsi="宋体" w:cs="宋体"/>
                <w:color w:val="auto"/>
                <w:sz w:val="24"/>
                <w:highlight w:val="none"/>
              </w:rPr>
            </w:pPr>
          </w:p>
        </w:tc>
        <w:tc>
          <w:tcPr>
            <w:tcW w:w="1129" w:type="dxa"/>
            <w:vAlign w:val="center"/>
          </w:tcPr>
          <w:p w14:paraId="4BA5DDAC">
            <w:pPr>
              <w:adjustRightInd w:val="0"/>
              <w:snapToGrid w:val="0"/>
              <w:spacing w:before="50" w:after="50" w:line="360" w:lineRule="auto"/>
              <w:jc w:val="left"/>
              <w:rPr>
                <w:rFonts w:ascii="宋体" w:hAnsi="宋体" w:cs="宋体"/>
                <w:color w:val="auto"/>
                <w:sz w:val="24"/>
                <w:highlight w:val="none"/>
              </w:rPr>
            </w:pPr>
          </w:p>
        </w:tc>
        <w:tc>
          <w:tcPr>
            <w:tcW w:w="1200" w:type="dxa"/>
            <w:vAlign w:val="center"/>
          </w:tcPr>
          <w:p w14:paraId="2420A663">
            <w:pPr>
              <w:adjustRightInd w:val="0"/>
              <w:snapToGrid w:val="0"/>
              <w:spacing w:before="50" w:after="50" w:line="360" w:lineRule="auto"/>
              <w:jc w:val="center"/>
              <w:rPr>
                <w:rFonts w:ascii="宋体" w:hAnsi="宋体" w:cs="宋体"/>
                <w:color w:val="auto"/>
                <w:sz w:val="24"/>
                <w:highlight w:val="none"/>
              </w:rPr>
            </w:pPr>
          </w:p>
        </w:tc>
        <w:tc>
          <w:tcPr>
            <w:tcW w:w="1536" w:type="dxa"/>
            <w:vAlign w:val="center"/>
          </w:tcPr>
          <w:p w14:paraId="0236C25C">
            <w:pPr>
              <w:adjustRightInd w:val="0"/>
              <w:snapToGrid w:val="0"/>
              <w:spacing w:before="50" w:after="50" w:line="360" w:lineRule="auto"/>
              <w:jc w:val="center"/>
              <w:rPr>
                <w:rFonts w:ascii="宋体" w:hAnsi="宋体" w:cs="宋体"/>
                <w:color w:val="auto"/>
                <w:sz w:val="24"/>
                <w:highlight w:val="none"/>
              </w:rPr>
            </w:pPr>
          </w:p>
        </w:tc>
        <w:tc>
          <w:tcPr>
            <w:tcW w:w="1606" w:type="dxa"/>
            <w:vAlign w:val="center"/>
          </w:tcPr>
          <w:p w14:paraId="45ABAF9A">
            <w:pPr>
              <w:adjustRightInd w:val="0"/>
              <w:snapToGrid w:val="0"/>
              <w:spacing w:before="50" w:after="50" w:line="360" w:lineRule="auto"/>
              <w:jc w:val="center"/>
              <w:rPr>
                <w:rFonts w:ascii="宋体" w:hAnsi="宋体" w:cs="宋体"/>
                <w:color w:val="auto"/>
                <w:sz w:val="24"/>
                <w:highlight w:val="none"/>
              </w:rPr>
            </w:pPr>
          </w:p>
        </w:tc>
        <w:tc>
          <w:tcPr>
            <w:tcW w:w="1341" w:type="dxa"/>
            <w:vAlign w:val="center"/>
          </w:tcPr>
          <w:p w14:paraId="209A44AF">
            <w:pPr>
              <w:adjustRightInd w:val="0"/>
              <w:snapToGrid w:val="0"/>
              <w:spacing w:before="50" w:after="50" w:line="360" w:lineRule="auto"/>
              <w:jc w:val="center"/>
              <w:rPr>
                <w:rFonts w:ascii="宋体" w:hAnsi="宋体" w:cs="宋体"/>
                <w:color w:val="auto"/>
                <w:sz w:val="24"/>
                <w:highlight w:val="none"/>
              </w:rPr>
            </w:pPr>
          </w:p>
        </w:tc>
      </w:tr>
      <w:tr w14:paraId="2376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vAlign w:val="center"/>
          </w:tcPr>
          <w:p w14:paraId="45F8D2E0">
            <w:pPr>
              <w:adjustRightInd w:val="0"/>
              <w:snapToGrid w:val="0"/>
              <w:spacing w:before="50" w:after="50" w:line="360" w:lineRule="auto"/>
              <w:jc w:val="center"/>
              <w:rPr>
                <w:rFonts w:ascii="宋体" w:hAnsi="宋体" w:cs="宋体"/>
                <w:color w:val="auto"/>
                <w:sz w:val="24"/>
                <w:highlight w:val="none"/>
              </w:rPr>
            </w:pPr>
          </w:p>
        </w:tc>
        <w:tc>
          <w:tcPr>
            <w:tcW w:w="1931" w:type="dxa"/>
            <w:vAlign w:val="center"/>
          </w:tcPr>
          <w:p w14:paraId="2A75908C">
            <w:pPr>
              <w:adjustRightInd w:val="0"/>
              <w:snapToGrid w:val="0"/>
              <w:spacing w:before="50" w:after="50" w:line="360" w:lineRule="auto"/>
              <w:jc w:val="left"/>
              <w:rPr>
                <w:rFonts w:ascii="宋体" w:hAnsi="宋体" w:cs="宋体"/>
                <w:color w:val="auto"/>
                <w:sz w:val="24"/>
                <w:highlight w:val="none"/>
              </w:rPr>
            </w:pPr>
          </w:p>
        </w:tc>
        <w:tc>
          <w:tcPr>
            <w:tcW w:w="1129" w:type="dxa"/>
            <w:vAlign w:val="center"/>
          </w:tcPr>
          <w:p w14:paraId="16A66662">
            <w:pPr>
              <w:adjustRightInd w:val="0"/>
              <w:snapToGrid w:val="0"/>
              <w:spacing w:before="50" w:after="50" w:line="360" w:lineRule="auto"/>
              <w:jc w:val="left"/>
              <w:rPr>
                <w:rFonts w:ascii="宋体" w:hAnsi="宋体" w:cs="宋体"/>
                <w:color w:val="auto"/>
                <w:sz w:val="24"/>
                <w:highlight w:val="none"/>
              </w:rPr>
            </w:pPr>
          </w:p>
        </w:tc>
        <w:tc>
          <w:tcPr>
            <w:tcW w:w="1200" w:type="dxa"/>
            <w:vAlign w:val="center"/>
          </w:tcPr>
          <w:p w14:paraId="5447A22B">
            <w:pPr>
              <w:adjustRightInd w:val="0"/>
              <w:snapToGrid w:val="0"/>
              <w:spacing w:before="50" w:after="50" w:line="360" w:lineRule="auto"/>
              <w:jc w:val="center"/>
              <w:rPr>
                <w:rFonts w:ascii="宋体" w:hAnsi="宋体" w:cs="宋体"/>
                <w:color w:val="auto"/>
                <w:sz w:val="24"/>
                <w:highlight w:val="none"/>
              </w:rPr>
            </w:pPr>
          </w:p>
        </w:tc>
        <w:tc>
          <w:tcPr>
            <w:tcW w:w="1536" w:type="dxa"/>
            <w:vAlign w:val="center"/>
          </w:tcPr>
          <w:p w14:paraId="55BE6857">
            <w:pPr>
              <w:adjustRightInd w:val="0"/>
              <w:snapToGrid w:val="0"/>
              <w:spacing w:before="50" w:after="50" w:line="360" w:lineRule="auto"/>
              <w:jc w:val="center"/>
              <w:rPr>
                <w:rFonts w:ascii="宋体" w:hAnsi="宋体" w:cs="宋体"/>
                <w:color w:val="auto"/>
                <w:sz w:val="24"/>
                <w:highlight w:val="none"/>
              </w:rPr>
            </w:pPr>
          </w:p>
        </w:tc>
        <w:tc>
          <w:tcPr>
            <w:tcW w:w="1606" w:type="dxa"/>
            <w:vAlign w:val="center"/>
          </w:tcPr>
          <w:p w14:paraId="7AC6CA40">
            <w:pPr>
              <w:adjustRightInd w:val="0"/>
              <w:snapToGrid w:val="0"/>
              <w:spacing w:before="50" w:after="50" w:line="360" w:lineRule="auto"/>
              <w:jc w:val="center"/>
              <w:rPr>
                <w:rFonts w:ascii="宋体" w:hAnsi="宋体" w:cs="宋体"/>
                <w:color w:val="auto"/>
                <w:sz w:val="24"/>
                <w:highlight w:val="none"/>
              </w:rPr>
            </w:pPr>
          </w:p>
        </w:tc>
        <w:tc>
          <w:tcPr>
            <w:tcW w:w="1341" w:type="dxa"/>
            <w:vAlign w:val="center"/>
          </w:tcPr>
          <w:p w14:paraId="0A8E1FA1">
            <w:pPr>
              <w:adjustRightInd w:val="0"/>
              <w:snapToGrid w:val="0"/>
              <w:spacing w:before="50" w:after="50" w:line="360" w:lineRule="auto"/>
              <w:jc w:val="center"/>
              <w:rPr>
                <w:rFonts w:ascii="宋体" w:hAnsi="宋体" w:cs="宋体"/>
                <w:color w:val="auto"/>
                <w:sz w:val="24"/>
                <w:highlight w:val="none"/>
              </w:rPr>
            </w:pPr>
          </w:p>
        </w:tc>
      </w:tr>
      <w:tr w14:paraId="6270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vAlign w:val="center"/>
          </w:tcPr>
          <w:p w14:paraId="714B8938">
            <w:pPr>
              <w:adjustRightInd w:val="0"/>
              <w:snapToGrid w:val="0"/>
              <w:spacing w:before="50" w:after="50" w:line="360" w:lineRule="auto"/>
              <w:jc w:val="center"/>
              <w:rPr>
                <w:rFonts w:ascii="宋体" w:hAnsi="宋体" w:cs="宋体"/>
                <w:color w:val="auto"/>
                <w:sz w:val="24"/>
                <w:highlight w:val="none"/>
              </w:rPr>
            </w:pPr>
          </w:p>
        </w:tc>
        <w:tc>
          <w:tcPr>
            <w:tcW w:w="1931" w:type="dxa"/>
            <w:vAlign w:val="center"/>
          </w:tcPr>
          <w:p w14:paraId="47A8C6AA">
            <w:pPr>
              <w:adjustRightInd w:val="0"/>
              <w:snapToGrid w:val="0"/>
              <w:spacing w:before="50" w:after="50" w:line="360" w:lineRule="auto"/>
              <w:jc w:val="left"/>
              <w:rPr>
                <w:rFonts w:ascii="宋体" w:hAnsi="宋体" w:cs="宋体"/>
                <w:color w:val="auto"/>
                <w:sz w:val="24"/>
                <w:highlight w:val="none"/>
              </w:rPr>
            </w:pPr>
          </w:p>
        </w:tc>
        <w:tc>
          <w:tcPr>
            <w:tcW w:w="1129" w:type="dxa"/>
            <w:vAlign w:val="center"/>
          </w:tcPr>
          <w:p w14:paraId="21D3A7CB">
            <w:pPr>
              <w:adjustRightInd w:val="0"/>
              <w:snapToGrid w:val="0"/>
              <w:spacing w:before="50" w:after="50" w:line="360" w:lineRule="auto"/>
              <w:jc w:val="left"/>
              <w:rPr>
                <w:rFonts w:ascii="宋体" w:hAnsi="宋体" w:cs="宋体"/>
                <w:color w:val="auto"/>
                <w:sz w:val="24"/>
                <w:highlight w:val="none"/>
              </w:rPr>
            </w:pPr>
          </w:p>
        </w:tc>
        <w:tc>
          <w:tcPr>
            <w:tcW w:w="1200" w:type="dxa"/>
            <w:vAlign w:val="center"/>
          </w:tcPr>
          <w:p w14:paraId="70DFE085">
            <w:pPr>
              <w:adjustRightInd w:val="0"/>
              <w:snapToGrid w:val="0"/>
              <w:spacing w:before="50" w:after="50" w:line="360" w:lineRule="auto"/>
              <w:jc w:val="center"/>
              <w:rPr>
                <w:rFonts w:ascii="宋体" w:hAnsi="宋体" w:cs="宋体"/>
                <w:color w:val="auto"/>
                <w:sz w:val="24"/>
                <w:highlight w:val="none"/>
              </w:rPr>
            </w:pPr>
          </w:p>
        </w:tc>
        <w:tc>
          <w:tcPr>
            <w:tcW w:w="1536" w:type="dxa"/>
            <w:vAlign w:val="center"/>
          </w:tcPr>
          <w:p w14:paraId="3D085735">
            <w:pPr>
              <w:adjustRightInd w:val="0"/>
              <w:snapToGrid w:val="0"/>
              <w:spacing w:before="50" w:after="50" w:line="360" w:lineRule="auto"/>
              <w:jc w:val="center"/>
              <w:rPr>
                <w:rFonts w:ascii="宋体" w:hAnsi="宋体" w:cs="宋体"/>
                <w:color w:val="auto"/>
                <w:sz w:val="24"/>
                <w:highlight w:val="none"/>
              </w:rPr>
            </w:pPr>
          </w:p>
        </w:tc>
        <w:tc>
          <w:tcPr>
            <w:tcW w:w="1606" w:type="dxa"/>
            <w:vAlign w:val="center"/>
          </w:tcPr>
          <w:p w14:paraId="29E04224">
            <w:pPr>
              <w:adjustRightInd w:val="0"/>
              <w:snapToGrid w:val="0"/>
              <w:spacing w:before="50" w:after="50" w:line="360" w:lineRule="auto"/>
              <w:jc w:val="center"/>
              <w:rPr>
                <w:rFonts w:ascii="宋体" w:hAnsi="宋体" w:cs="宋体"/>
                <w:color w:val="auto"/>
                <w:sz w:val="24"/>
                <w:highlight w:val="none"/>
              </w:rPr>
            </w:pPr>
          </w:p>
        </w:tc>
        <w:tc>
          <w:tcPr>
            <w:tcW w:w="1341" w:type="dxa"/>
            <w:vAlign w:val="center"/>
          </w:tcPr>
          <w:p w14:paraId="29877F39">
            <w:pPr>
              <w:adjustRightInd w:val="0"/>
              <w:snapToGrid w:val="0"/>
              <w:spacing w:before="50" w:after="50" w:line="360" w:lineRule="auto"/>
              <w:jc w:val="center"/>
              <w:rPr>
                <w:rFonts w:ascii="宋体" w:hAnsi="宋体" w:cs="宋体"/>
                <w:color w:val="auto"/>
                <w:sz w:val="24"/>
                <w:highlight w:val="none"/>
              </w:rPr>
            </w:pPr>
          </w:p>
        </w:tc>
      </w:tr>
      <w:tr w14:paraId="1E10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vAlign w:val="center"/>
          </w:tcPr>
          <w:p w14:paraId="6EBBBDB2">
            <w:pPr>
              <w:adjustRightInd w:val="0"/>
              <w:snapToGrid w:val="0"/>
              <w:spacing w:before="50" w:after="50" w:line="360" w:lineRule="auto"/>
              <w:jc w:val="center"/>
              <w:rPr>
                <w:rFonts w:ascii="宋体" w:hAnsi="宋体" w:cs="宋体"/>
                <w:color w:val="auto"/>
                <w:sz w:val="24"/>
                <w:highlight w:val="none"/>
              </w:rPr>
            </w:pPr>
          </w:p>
        </w:tc>
        <w:tc>
          <w:tcPr>
            <w:tcW w:w="1931" w:type="dxa"/>
            <w:vAlign w:val="center"/>
          </w:tcPr>
          <w:p w14:paraId="6594F2A8">
            <w:pPr>
              <w:adjustRightInd w:val="0"/>
              <w:snapToGrid w:val="0"/>
              <w:spacing w:before="50" w:after="50" w:line="360" w:lineRule="auto"/>
              <w:jc w:val="left"/>
              <w:rPr>
                <w:rFonts w:ascii="宋体" w:hAnsi="宋体" w:cs="宋体"/>
                <w:color w:val="auto"/>
                <w:sz w:val="24"/>
                <w:highlight w:val="none"/>
              </w:rPr>
            </w:pPr>
          </w:p>
        </w:tc>
        <w:tc>
          <w:tcPr>
            <w:tcW w:w="1129" w:type="dxa"/>
            <w:vAlign w:val="center"/>
          </w:tcPr>
          <w:p w14:paraId="685BD23F">
            <w:pPr>
              <w:adjustRightInd w:val="0"/>
              <w:snapToGrid w:val="0"/>
              <w:spacing w:before="50" w:after="50" w:line="360" w:lineRule="auto"/>
              <w:jc w:val="left"/>
              <w:rPr>
                <w:rFonts w:ascii="宋体" w:hAnsi="宋体" w:cs="宋体"/>
                <w:color w:val="auto"/>
                <w:sz w:val="24"/>
                <w:highlight w:val="none"/>
              </w:rPr>
            </w:pPr>
          </w:p>
        </w:tc>
        <w:tc>
          <w:tcPr>
            <w:tcW w:w="1200" w:type="dxa"/>
            <w:vAlign w:val="center"/>
          </w:tcPr>
          <w:p w14:paraId="058596F0">
            <w:pPr>
              <w:adjustRightInd w:val="0"/>
              <w:snapToGrid w:val="0"/>
              <w:spacing w:before="50" w:after="50" w:line="360" w:lineRule="auto"/>
              <w:jc w:val="center"/>
              <w:rPr>
                <w:rFonts w:ascii="宋体" w:hAnsi="宋体" w:cs="宋体"/>
                <w:color w:val="auto"/>
                <w:sz w:val="24"/>
                <w:highlight w:val="none"/>
              </w:rPr>
            </w:pPr>
          </w:p>
        </w:tc>
        <w:tc>
          <w:tcPr>
            <w:tcW w:w="1536" w:type="dxa"/>
            <w:vAlign w:val="center"/>
          </w:tcPr>
          <w:p w14:paraId="22C90FF1">
            <w:pPr>
              <w:adjustRightInd w:val="0"/>
              <w:snapToGrid w:val="0"/>
              <w:spacing w:before="50" w:after="50" w:line="360" w:lineRule="auto"/>
              <w:jc w:val="center"/>
              <w:rPr>
                <w:rFonts w:ascii="宋体" w:hAnsi="宋体" w:cs="宋体"/>
                <w:color w:val="auto"/>
                <w:sz w:val="24"/>
                <w:highlight w:val="none"/>
              </w:rPr>
            </w:pPr>
          </w:p>
        </w:tc>
        <w:tc>
          <w:tcPr>
            <w:tcW w:w="1606" w:type="dxa"/>
            <w:vAlign w:val="center"/>
          </w:tcPr>
          <w:p w14:paraId="3A14359F">
            <w:pPr>
              <w:adjustRightInd w:val="0"/>
              <w:snapToGrid w:val="0"/>
              <w:spacing w:before="50" w:after="50" w:line="360" w:lineRule="auto"/>
              <w:jc w:val="center"/>
              <w:rPr>
                <w:rFonts w:ascii="宋体" w:hAnsi="宋体" w:cs="宋体"/>
                <w:color w:val="auto"/>
                <w:sz w:val="24"/>
                <w:highlight w:val="none"/>
              </w:rPr>
            </w:pPr>
          </w:p>
        </w:tc>
        <w:tc>
          <w:tcPr>
            <w:tcW w:w="1341" w:type="dxa"/>
            <w:vAlign w:val="center"/>
          </w:tcPr>
          <w:p w14:paraId="50266FFB">
            <w:pPr>
              <w:adjustRightInd w:val="0"/>
              <w:snapToGrid w:val="0"/>
              <w:spacing w:before="50" w:after="50" w:line="360" w:lineRule="auto"/>
              <w:jc w:val="center"/>
              <w:rPr>
                <w:rFonts w:ascii="宋体" w:hAnsi="宋体" w:cs="宋体"/>
                <w:color w:val="auto"/>
                <w:sz w:val="24"/>
                <w:highlight w:val="none"/>
              </w:rPr>
            </w:pPr>
          </w:p>
        </w:tc>
      </w:tr>
    </w:tbl>
    <w:p w14:paraId="3AF363C8">
      <w:pPr>
        <w:adjustRightInd w:val="0"/>
        <w:snapToGrid w:val="0"/>
        <w:spacing w:before="50" w:after="50"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注：</w:t>
      </w:r>
    </w:p>
    <w:p w14:paraId="0FF5C01C">
      <w:pPr>
        <w:adjustRightInd w:val="0"/>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1、报价与《</w:t>
      </w:r>
      <w:r>
        <w:rPr>
          <w:rFonts w:hint="eastAsia" w:ascii="宋体" w:hAnsi="宋体" w:cs="宋体"/>
          <w:color w:val="auto"/>
          <w:sz w:val="24"/>
          <w:highlight w:val="none"/>
          <w:lang w:eastAsia="zh-CN"/>
        </w:rPr>
        <w:t>开标一览表</w:t>
      </w:r>
      <w:r>
        <w:rPr>
          <w:rFonts w:hint="eastAsia" w:ascii="宋体" w:hAnsi="宋体" w:cs="宋体"/>
          <w:color w:val="auto"/>
          <w:sz w:val="24"/>
          <w:highlight w:val="none"/>
        </w:rPr>
        <w:t>》中报价一致。</w:t>
      </w:r>
    </w:p>
    <w:p w14:paraId="39282B15">
      <w:pPr>
        <w:adjustRightInd w:val="0"/>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2、报价中包含为完成本项目全部工作内容所需的费用。</w:t>
      </w:r>
    </w:p>
    <w:p w14:paraId="42A1D360">
      <w:pPr>
        <w:pStyle w:val="26"/>
        <w:rPr>
          <w:color w:val="auto"/>
          <w:highlight w:val="none"/>
        </w:rPr>
      </w:pPr>
      <w:r>
        <w:rPr>
          <w:rFonts w:hint="eastAsia" w:hAnsi="宋体" w:cs="宋体"/>
          <w:color w:val="auto"/>
          <w:sz w:val="24"/>
          <w:highlight w:val="none"/>
        </w:rPr>
        <w:t>3、本表可在不改变格式的情况下根据具体需要自行增加。</w:t>
      </w:r>
    </w:p>
    <w:p w14:paraId="3DF7E810">
      <w:pPr>
        <w:pStyle w:val="2"/>
        <w:rPr>
          <w:color w:val="auto"/>
          <w:highlight w:val="none"/>
        </w:rPr>
      </w:pPr>
    </w:p>
    <w:p w14:paraId="417C861B">
      <w:pPr>
        <w:jc w:val="center"/>
        <w:rPr>
          <w:rFonts w:asci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p>
    <w:p w14:paraId="205D4823">
      <w:pPr>
        <w:jc w:val="center"/>
        <w:rPr>
          <w:rFonts w:ascii="宋体" w:cs="宋体"/>
          <w:color w:val="auto"/>
          <w:sz w:val="24"/>
          <w:highlight w:val="none"/>
        </w:rPr>
      </w:pPr>
    </w:p>
    <w:p w14:paraId="01EB12AC">
      <w:pPr>
        <w:jc w:val="center"/>
        <w:rPr>
          <w:rFonts w:ascii="宋体" w:cs="宋体"/>
          <w:color w:val="auto"/>
          <w:sz w:val="24"/>
          <w:highlight w:val="none"/>
        </w:rPr>
      </w:pPr>
      <w:r>
        <w:rPr>
          <w:rFonts w:hint="eastAsia" w:ascii="宋体" w:hAnsi="宋体" w:cs="宋体"/>
          <w:color w:val="auto"/>
          <w:spacing w:val="-6"/>
          <w:sz w:val="24"/>
          <w:highlight w:val="none"/>
          <w:lang w:eastAsia="zh-CN"/>
        </w:rPr>
        <w:t>投标人名称</w:t>
      </w:r>
      <w:r>
        <w:rPr>
          <w:rFonts w:hint="eastAsia" w:ascii="宋体" w:hAnsi="宋体" w:cs="宋体"/>
          <w:color w:val="auto"/>
          <w:spacing w:val="-6"/>
          <w:sz w:val="24"/>
          <w:highlight w:val="none"/>
        </w:rPr>
        <w:t>（盖章）</w:t>
      </w:r>
      <w:r>
        <w:rPr>
          <w:rFonts w:hint="eastAsia" w:ascii="宋体" w:hAnsi="宋体" w:cs="宋体"/>
          <w:color w:val="auto"/>
          <w:sz w:val="24"/>
          <w:highlight w:val="none"/>
        </w:rPr>
        <w:t>：</w:t>
      </w:r>
    </w:p>
    <w:p w14:paraId="45F840F1">
      <w:pPr>
        <w:widowControl/>
        <w:jc w:val="center"/>
        <w:rPr>
          <w:rFonts w:ascii="宋体" w:cs="宋体"/>
          <w:color w:val="auto"/>
          <w:sz w:val="24"/>
          <w:highlight w:val="none"/>
        </w:rPr>
      </w:pPr>
    </w:p>
    <w:p w14:paraId="4771C5C7">
      <w:pPr>
        <w:widowControl/>
        <w:jc w:val="center"/>
        <w:rPr>
          <w:rFonts w:asci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w:t>
      </w:r>
    </w:p>
    <w:p w14:paraId="69AC3D70">
      <w:pPr>
        <w:jc w:val="left"/>
        <w:rPr>
          <w:rFonts w:ascii="宋体" w:cs="宋体"/>
          <w:b/>
          <w:color w:val="auto"/>
          <w:highlight w:val="none"/>
        </w:rPr>
      </w:pPr>
      <w:r>
        <w:rPr>
          <w:rFonts w:ascii="宋体" w:cs="宋体"/>
          <w:color w:val="auto"/>
          <w:sz w:val="21"/>
          <w:szCs w:val="21"/>
          <w:highlight w:val="none"/>
        </w:rPr>
        <w:br w:type="page"/>
      </w:r>
      <w:r>
        <w:rPr>
          <w:rFonts w:hint="eastAsia" w:ascii="宋体" w:hAnsi="宋体" w:cs="宋体"/>
          <w:bCs/>
          <w:color w:val="auto"/>
          <w:sz w:val="24"/>
          <w:szCs w:val="21"/>
          <w:highlight w:val="none"/>
        </w:rPr>
        <w:t>附件</w:t>
      </w:r>
      <w:bookmarkEnd w:id="94"/>
      <w:r>
        <w:rPr>
          <w:rFonts w:hint="eastAsia" w:ascii="宋体" w:hAnsi="宋体" w:cs="宋体"/>
          <w:bCs/>
          <w:color w:val="auto"/>
          <w:sz w:val="24"/>
          <w:szCs w:val="21"/>
          <w:highlight w:val="none"/>
        </w:rPr>
        <w:t>8：中小企业声明函</w:t>
      </w:r>
    </w:p>
    <w:p w14:paraId="468DBD1D">
      <w:pPr>
        <w:jc w:val="left"/>
        <w:rPr>
          <w:rFonts w:ascii="宋体" w:cs="宋体"/>
          <w:b/>
          <w:color w:val="auto"/>
          <w:highlight w:val="none"/>
        </w:rPr>
      </w:pPr>
    </w:p>
    <w:p w14:paraId="5AEC1A5A">
      <w:pPr>
        <w:pStyle w:val="72"/>
        <w:spacing w:after="120" w:line="240" w:lineRule="auto"/>
        <w:ind w:firstLine="482"/>
        <w:rPr>
          <w:b/>
          <w:color w:val="auto"/>
          <w:sz w:val="24"/>
          <w:szCs w:val="22"/>
          <w:highlight w:val="none"/>
          <w:lang w:val="en-US" w:eastAsia="zh-CN" w:bidi="ar-SA"/>
        </w:rPr>
      </w:pPr>
      <w:bookmarkStart w:id="95" w:name="bookmark32"/>
      <w:bookmarkStart w:id="96" w:name="bookmark33"/>
      <w:r>
        <w:rPr>
          <w:rFonts w:hint="eastAsia"/>
          <w:b/>
          <w:color w:val="auto"/>
          <w:sz w:val="24"/>
          <w:szCs w:val="22"/>
          <w:highlight w:val="none"/>
          <w:lang w:val="en-US" w:eastAsia="zh-CN" w:bidi="ar-SA"/>
        </w:rPr>
        <w:t>中小企业声明函（服务）</w:t>
      </w:r>
      <w:bookmarkEnd w:id="95"/>
      <w:bookmarkEnd w:id="96"/>
    </w:p>
    <w:p w14:paraId="452CB3ED">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本公司（联合体）郑重声明，根据《政府采购促进中小企业发展管理办法》 （财库﹝2021﹞46 号）的规定，本公司参加</w:t>
      </w:r>
      <w:r>
        <w:rPr>
          <w:rFonts w:hint="eastAsia" w:ascii="宋体" w:hAnsi="宋体" w:eastAsia="宋体" w:cs="宋体"/>
          <w:sz w:val="24"/>
          <w:szCs w:val="22"/>
          <w:highlight w:val="none"/>
          <w:u w:val="single"/>
        </w:rPr>
        <w:t xml:space="preserve">          （采购单位）</w:t>
      </w:r>
      <w:r>
        <w:rPr>
          <w:rFonts w:hint="eastAsia" w:ascii="宋体" w:hAnsi="宋体" w:eastAsia="宋体" w:cs="宋体"/>
          <w:sz w:val="24"/>
          <w:szCs w:val="22"/>
          <w:highlight w:val="none"/>
        </w:rPr>
        <w:t>的</w:t>
      </w:r>
      <w:r>
        <w:rPr>
          <w:rFonts w:hint="eastAsia" w:ascii="宋体" w:hAnsi="宋体" w:eastAsia="宋体" w:cs="宋体"/>
          <w:sz w:val="24"/>
          <w:szCs w:val="22"/>
          <w:highlight w:val="none"/>
          <w:u w:val="single"/>
        </w:rPr>
        <w:t xml:space="preserve">                    项目</w:t>
      </w:r>
      <w:r>
        <w:rPr>
          <w:rFonts w:hint="eastAsia" w:ascii="宋体" w:hAnsi="宋体" w:eastAsia="宋体" w:cs="宋体"/>
          <w:sz w:val="24"/>
          <w:szCs w:val="22"/>
          <w:highlight w:val="none"/>
        </w:rPr>
        <w:t>采购活动，服务全部由符合政策要求的中小企业承接。相关企业的具体情况如下：</w:t>
      </w:r>
    </w:p>
    <w:p w14:paraId="30730B37">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w:t>
      </w:r>
      <w:r>
        <w:rPr>
          <w:rFonts w:hint="eastAsia" w:ascii="宋体" w:hAnsi="宋体" w:eastAsia="宋体" w:cs="宋体"/>
          <w:sz w:val="24"/>
          <w:szCs w:val="22"/>
          <w:highlight w:val="none"/>
          <w:u w:val="single"/>
        </w:rPr>
        <w:t xml:space="preserve">        （标的名称）</w:t>
      </w:r>
      <w:r>
        <w:rPr>
          <w:rFonts w:hint="eastAsia" w:ascii="宋体" w:hAnsi="宋体" w:eastAsia="宋体" w:cs="宋体"/>
          <w:sz w:val="24"/>
          <w:szCs w:val="22"/>
          <w:highlight w:val="none"/>
        </w:rPr>
        <w:t>，属于</w:t>
      </w:r>
      <w:r>
        <w:rPr>
          <w:rFonts w:hint="eastAsia" w:ascii="宋体" w:hAnsi="宋体" w:eastAsia="宋体" w:cs="宋体"/>
          <w:sz w:val="24"/>
          <w:szCs w:val="22"/>
          <w:highlight w:val="none"/>
          <w:u w:val="single"/>
        </w:rPr>
        <w:t xml:space="preserve">                  （采购文件中明确的所属行业）</w:t>
      </w:r>
      <w:r>
        <w:rPr>
          <w:rFonts w:hint="eastAsia" w:ascii="宋体" w:hAnsi="宋体" w:eastAsia="宋体" w:cs="宋体"/>
          <w:sz w:val="24"/>
          <w:szCs w:val="22"/>
          <w:highlight w:val="none"/>
        </w:rPr>
        <w:t>；承接企业为</w:t>
      </w:r>
      <w:r>
        <w:rPr>
          <w:rFonts w:hint="eastAsia" w:ascii="宋体" w:hAnsi="宋体" w:eastAsia="宋体" w:cs="宋体"/>
          <w:sz w:val="24"/>
          <w:szCs w:val="22"/>
          <w:highlight w:val="none"/>
          <w:u w:val="single"/>
        </w:rPr>
        <w:t xml:space="preserve">           （企业名称） </w:t>
      </w:r>
      <w:r>
        <w:rPr>
          <w:rFonts w:hint="eastAsia" w:ascii="宋体" w:hAnsi="宋体" w:eastAsia="宋体" w:cs="宋体"/>
          <w:sz w:val="24"/>
          <w:szCs w:val="22"/>
          <w:highlight w:val="none"/>
        </w:rPr>
        <w:t>，从业人员</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人，营业收入为</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万元，资产总额为</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万元 ，属于</w:t>
      </w:r>
      <w:r>
        <w:rPr>
          <w:rFonts w:hint="eastAsia" w:ascii="宋体" w:hAnsi="宋体" w:eastAsia="宋体" w:cs="宋体"/>
          <w:sz w:val="24"/>
          <w:szCs w:val="22"/>
          <w:highlight w:val="none"/>
          <w:u w:val="single"/>
        </w:rPr>
        <w:t xml:space="preserve">       （中型企业、小型企业、微型企业）</w:t>
      </w:r>
      <w:r>
        <w:rPr>
          <w:rFonts w:hint="eastAsia" w:ascii="宋体" w:hAnsi="宋体" w:eastAsia="宋体" w:cs="宋体"/>
          <w:sz w:val="24"/>
          <w:szCs w:val="22"/>
          <w:highlight w:val="none"/>
        </w:rPr>
        <w:t xml:space="preserve"> ；</w:t>
      </w:r>
    </w:p>
    <w:p w14:paraId="375D76A8">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2.</w:t>
      </w:r>
      <w:r>
        <w:rPr>
          <w:rFonts w:hint="eastAsia" w:ascii="宋体" w:hAnsi="宋体" w:eastAsia="宋体" w:cs="宋体"/>
          <w:sz w:val="24"/>
          <w:szCs w:val="22"/>
          <w:highlight w:val="none"/>
          <w:u w:val="single"/>
        </w:rPr>
        <w:t xml:space="preserve">        （标的名称）</w:t>
      </w:r>
      <w:r>
        <w:rPr>
          <w:rFonts w:hint="eastAsia" w:ascii="宋体" w:hAnsi="宋体" w:eastAsia="宋体" w:cs="宋体"/>
          <w:sz w:val="24"/>
          <w:szCs w:val="22"/>
          <w:highlight w:val="none"/>
        </w:rPr>
        <w:t>，属于</w:t>
      </w:r>
      <w:r>
        <w:rPr>
          <w:rFonts w:hint="eastAsia" w:ascii="宋体" w:hAnsi="宋体" w:eastAsia="宋体" w:cs="宋体"/>
          <w:sz w:val="24"/>
          <w:szCs w:val="22"/>
          <w:highlight w:val="none"/>
          <w:u w:val="single"/>
        </w:rPr>
        <w:t xml:space="preserve">                  （采购文件中明确的所属行业）</w:t>
      </w:r>
      <w:r>
        <w:rPr>
          <w:rFonts w:hint="eastAsia" w:ascii="宋体" w:hAnsi="宋体" w:eastAsia="宋体" w:cs="宋体"/>
          <w:sz w:val="24"/>
          <w:szCs w:val="22"/>
          <w:highlight w:val="none"/>
        </w:rPr>
        <w:t>；承接企业为</w:t>
      </w:r>
      <w:r>
        <w:rPr>
          <w:rFonts w:hint="eastAsia" w:ascii="宋体" w:hAnsi="宋体" w:eastAsia="宋体" w:cs="宋体"/>
          <w:sz w:val="24"/>
          <w:szCs w:val="22"/>
          <w:highlight w:val="none"/>
          <w:u w:val="single"/>
        </w:rPr>
        <w:t xml:space="preserve">           （企业名称） </w:t>
      </w:r>
      <w:r>
        <w:rPr>
          <w:rFonts w:hint="eastAsia" w:ascii="宋体" w:hAnsi="宋体" w:eastAsia="宋体" w:cs="宋体"/>
          <w:sz w:val="24"/>
          <w:szCs w:val="22"/>
          <w:highlight w:val="none"/>
        </w:rPr>
        <w:t>，从业人员</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人，营业收入为</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万元，资产总额为</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万元 ，属于</w:t>
      </w:r>
      <w:r>
        <w:rPr>
          <w:rFonts w:hint="eastAsia" w:ascii="宋体" w:hAnsi="宋体" w:eastAsia="宋体" w:cs="宋体"/>
          <w:sz w:val="24"/>
          <w:szCs w:val="22"/>
          <w:highlight w:val="none"/>
          <w:u w:val="single"/>
        </w:rPr>
        <w:t xml:space="preserve">       （中型企业、小型企业、微型企业）</w:t>
      </w:r>
      <w:r>
        <w:rPr>
          <w:rFonts w:hint="eastAsia" w:ascii="宋体" w:hAnsi="宋体" w:eastAsia="宋体" w:cs="宋体"/>
          <w:sz w:val="24"/>
          <w:szCs w:val="22"/>
          <w:highlight w:val="none"/>
        </w:rPr>
        <w:t xml:space="preserve"> ；</w:t>
      </w:r>
    </w:p>
    <w:p w14:paraId="26DB98DD">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w:t>
      </w:r>
    </w:p>
    <w:p w14:paraId="02EE7851">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以上企业，不属于大企业的分支机构，不存在控股股东为大企业的情形，也不存在与大企业的负责人为同一人的情形。</w:t>
      </w:r>
    </w:p>
    <w:p w14:paraId="3D6B64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80" w:lineRule="exact"/>
        <w:ind w:left="0" w:right="0"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sz w:val="24"/>
          <w:szCs w:val="22"/>
          <w:highlight w:val="none"/>
        </w:rPr>
        <w:t>本企业对上述声明内容的真实性负责。如有虚假，将依法承担相应责任。</w:t>
      </w:r>
    </w:p>
    <w:p w14:paraId="178DD042">
      <w:pPr>
        <w:keepNext w:val="0"/>
        <w:keepLines w:val="0"/>
        <w:widowControl w:val="0"/>
        <w:suppressLineNumbers w:val="0"/>
        <w:adjustRightInd w:val="0"/>
        <w:snapToGrid w:val="0"/>
        <w:spacing w:before="0" w:beforeAutospacing="0" w:after="0" w:afterAutospacing="0" w:line="560" w:lineRule="exact"/>
        <w:ind w:left="0" w:right="0" w:firstLine="720" w:firstLineChars="3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14:paraId="1F0D3188">
      <w:pPr>
        <w:keepNext w:val="0"/>
        <w:keepLines w:val="0"/>
        <w:widowControl w:val="0"/>
        <w:suppressLineNumbers w:val="0"/>
        <w:adjustRightInd w:val="0"/>
        <w:snapToGrid w:val="0"/>
        <w:spacing w:before="0" w:beforeAutospacing="0" w:after="0" w:afterAutospacing="0" w:line="560" w:lineRule="exact"/>
        <w:ind w:left="0" w:right="0" w:firstLine="720" w:firstLineChars="3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投标人名称（盖单位公章）：</w:t>
      </w:r>
    </w:p>
    <w:p w14:paraId="73C12F0D">
      <w:pPr>
        <w:keepNext w:val="0"/>
        <w:keepLines w:val="0"/>
        <w:widowControl w:val="0"/>
        <w:suppressLineNumbers w:val="0"/>
        <w:adjustRightInd w:val="0"/>
        <w:snapToGrid w:val="0"/>
        <w:spacing w:before="0" w:beforeAutospacing="0" w:after="0" w:afterAutospacing="0" w:line="560" w:lineRule="exact"/>
        <w:ind w:left="0" w:right="0" w:firstLine="720" w:firstLineChars="3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投标人代表</w:t>
      </w:r>
      <w:r>
        <w:rPr>
          <w:rFonts w:hint="eastAsia" w:ascii="宋体" w:hAnsi="宋体" w:cs="宋体"/>
          <w:color w:val="000000"/>
          <w:kern w:val="2"/>
          <w:sz w:val="24"/>
          <w:szCs w:val="24"/>
          <w:highlight w:val="none"/>
          <w:lang w:val="en-US" w:eastAsia="zh-CN" w:bidi="ar"/>
        </w:rPr>
        <w:t>(</w:t>
      </w:r>
      <w:r>
        <w:rPr>
          <w:rFonts w:hint="eastAsia" w:ascii="宋体" w:hAnsi="宋体" w:eastAsia="宋体" w:cs="宋体"/>
          <w:color w:val="000000"/>
          <w:kern w:val="2"/>
          <w:sz w:val="24"/>
          <w:szCs w:val="24"/>
          <w:highlight w:val="none"/>
          <w:lang w:val="en-US" w:eastAsia="zh-CN" w:bidi="ar"/>
        </w:rPr>
        <w:t>签字或盖章）：</w:t>
      </w:r>
    </w:p>
    <w:p w14:paraId="041BD4CF">
      <w:pPr>
        <w:keepNext w:val="0"/>
        <w:keepLines w:val="0"/>
        <w:widowControl w:val="0"/>
        <w:suppressLineNumbers w:val="0"/>
        <w:spacing w:before="0" w:beforeAutospacing="0" w:after="0" w:afterAutospacing="0" w:line="560" w:lineRule="exact"/>
        <w:ind w:left="0" w:right="0" w:firstLine="720" w:firstLineChars="30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日</w:t>
      </w:r>
      <w:r>
        <w:rPr>
          <w:rFonts w:hint="eastAsia" w:ascii="宋体" w:hAnsi="宋体" w:cs="宋体"/>
          <w:color w:val="000000"/>
          <w:kern w:val="2"/>
          <w:sz w:val="24"/>
          <w:szCs w:val="24"/>
          <w:highlight w:val="none"/>
          <w:lang w:val="en-US" w:eastAsia="zh-CN" w:bidi="ar"/>
        </w:rPr>
        <w:t xml:space="preserve">    </w:t>
      </w:r>
      <w:r>
        <w:rPr>
          <w:rFonts w:hint="eastAsia" w:ascii="宋体" w:hAnsi="宋体" w:eastAsia="宋体" w:cs="宋体"/>
          <w:color w:val="000000"/>
          <w:kern w:val="2"/>
          <w:sz w:val="24"/>
          <w:szCs w:val="24"/>
          <w:highlight w:val="none"/>
          <w:lang w:val="en-US" w:eastAsia="zh-CN" w:bidi="ar"/>
        </w:rPr>
        <w:t>期：   年   月   日</w:t>
      </w:r>
    </w:p>
    <w:p w14:paraId="6A80FF26">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eastAsia="宋体" w:cs="Times New Roman"/>
          <w:color w:val="000000"/>
          <w:kern w:val="2"/>
          <w:sz w:val="24"/>
          <w:szCs w:val="24"/>
          <w:highlight w:val="none"/>
        </w:rPr>
      </w:pPr>
      <w:r>
        <w:rPr>
          <w:rFonts w:hint="default" w:ascii="Times New Roman" w:hAnsi="Times New Roman" w:eastAsia="宋体" w:cs="Times New Roman"/>
          <w:color w:val="000000"/>
          <w:kern w:val="2"/>
          <w:sz w:val="24"/>
          <w:szCs w:val="24"/>
          <w:highlight w:val="none"/>
          <w:lang w:val="en-US" w:eastAsia="zh-CN" w:bidi="ar"/>
        </w:rPr>
        <w:t xml:space="preserve"> </w:t>
      </w:r>
    </w:p>
    <w:p w14:paraId="20D1CA49">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注：从业人员、营业收入、资产总额填报上一年度数据，无上一年度数据的新成立企业可不填报。</w:t>
      </w:r>
    </w:p>
    <w:p w14:paraId="0E1008CC">
      <w:pPr>
        <w:spacing w:line="440" w:lineRule="atLeast"/>
        <w:rPr>
          <w:rFonts w:ascii="宋体" w:cs="宋体"/>
          <w:b/>
          <w:color w:val="auto"/>
          <w:highlight w:val="none"/>
        </w:rPr>
      </w:pPr>
    </w:p>
    <w:p w14:paraId="1611E3A7">
      <w:pPr>
        <w:rPr>
          <w:rFonts w:ascii="宋体" w:hAnsi="宋体" w:cs="宋体"/>
          <w:bCs/>
          <w:color w:val="auto"/>
          <w:sz w:val="24"/>
          <w:szCs w:val="21"/>
          <w:highlight w:val="none"/>
        </w:rPr>
      </w:pPr>
      <w:r>
        <w:rPr>
          <w:rFonts w:hint="eastAsia" w:ascii="宋体" w:hAnsi="宋体" w:cs="宋体"/>
          <w:bCs/>
          <w:color w:val="auto"/>
          <w:sz w:val="24"/>
          <w:szCs w:val="21"/>
          <w:highlight w:val="none"/>
        </w:rPr>
        <w:br w:type="page"/>
      </w:r>
    </w:p>
    <w:p w14:paraId="7107243B">
      <w:pPr>
        <w:rPr>
          <w:rFonts w:ascii="宋体" w:cs="宋体"/>
          <w:b/>
          <w:color w:val="auto"/>
          <w:sz w:val="24"/>
          <w:szCs w:val="22"/>
          <w:highlight w:val="none"/>
        </w:rPr>
      </w:pPr>
      <w:r>
        <w:rPr>
          <w:rFonts w:hint="eastAsia" w:ascii="宋体" w:hAnsi="宋体" w:cs="宋体"/>
          <w:bCs/>
          <w:color w:val="auto"/>
          <w:sz w:val="24"/>
          <w:szCs w:val="21"/>
          <w:highlight w:val="none"/>
        </w:rPr>
        <w:t>附件9：残疾人福利性单位声明函</w:t>
      </w:r>
    </w:p>
    <w:p w14:paraId="6C0A1914">
      <w:pPr>
        <w:rPr>
          <w:rFonts w:ascii="宋体" w:cs="宋体"/>
          <w:color w:val="auto"/>
          <w:highlight w:val="none"/>
        </w:rPr>
      </w:pPr>
    </w:p>
    <w:p w14:paraId="296EB71C">
      <w:pPr>
        <w:spacing w:line="588" w:lineRule="exact"/>
        <w:jc w:val="center"/>
        <w:rPr>
          <w:rFonts w:ascii="宋体" w:cs="宋体"/>
          <w:b/>
          <w:bCs/>
          <w:color w:val="auto"/>
          <w:spacing w:val="5"/>
          <w:sz w:val="24"/>
          <w:szCs w:val="28"/>
          <w:highlight w:val="none"/>
        </w:rPr>
      </w:pPr>
      <w:r>
        <w:rPr>
          <w:rFonts w:hint="eastAsia" w:ascii="宋体" w:hAnsi="宋体" w:cs="宋体"/>
          <w:b/>
          <w:bCs/>
          <w:color w:val="auto"/>
          <w:spacing w:val="5"/>
          <w:sz w:val="24"/>
          <w:szCs w:val="28"/>
          <w:highlight w:val="none"/>
        </w:rPr>
        <w:t>残疾人福利性单位声明函</w:t>
      </w:r>
    </w:p>
    <w:p w14:paraId="6EDAFB36">
      <w:pPr>
        <w:spacing w:line="588" w:lineRule="exact"/>
        <w:rPr>
          <w:rFonts w:ascii="宋体" w:cs="宋体"/>
          <w:b/>
          <w:bCs/>
          <w:color w:val="auto"/>
          <w:spacing w:val="6"/>
          <w:sz w:val="24"/>
          <w:szCs w:val="28"/>
          <w:highlight w:val="none"/>
        </w:rPr>
      </w:pPr>
    </w:p>
    <w:p w14:paraId="0BCBD819">
      <w:pPr>
        <w:spacing w:line="588" w:lineRule="exact"/>
        <w:ind w:firstLine="624"/>
        <w:rPr>
          <w:rFonts w:ascii="宋体" w:cs="宋体"/>
          <w:bCs/>
          <w:color w:val="auto"/>
          <w:spacing w:val="6"/>
          <w:sz w:val="24"/>
          <w:highlight w:val="none"/>
        </w:rPr>
      </w:pPr>
      <w:r>
        <w:rPr>
          <w:rFonts w:hint="eastAsia" w:ascii="宋体" w:hAnsi="宋体" w:cs="宋体"/>
          <w:bCs/>
          <w:color w:val="auto"/>
          <w:spacing w:val="5"/>
          <w:sz w:val="24"/>
          <w:highlight w:val="none"/>
        </w:rPr>
        <w:t>本单位郑重声明，根据《财政部民政部中国残疾人联合会关于促进残疾人就业政府采购政策的通知》（财库</w:t>
      </w:r>
      <w:r>
        <w:rPr>
          <w:rFonts w:hint="eastAsia" w:ascii="宋体" w:hAnsi="宋体" w:cs="宋体"/>
          <w:bCs/>
          <w:color w:val="auto"/>
          <w:sz w:val="24"/>
          <w:highlight w:val="none"/>
        </w:rPr>
        <w:t>〔</w:t>
      </w:r>
      <w:r>
        <w:rPr>
          <w:rFonts w:ascii="宋体" w:hAnsi="宋体" w:cs="宋体"/>
          <w:bCs/>
          <w:color w:val="auto"/>
          <w:sz w:val="24"/>
          <w:highlight w:val="none"/>
        </w:rPr>
        <w:t>2017</w:t>
      </w:r>
      <w:r>
        <w:rPr>
          <w:rFonts w:hint="eastAsia" w:ascii="宋体" w:hAnsi="宋体" w:cs="宋体"/>
          <w:bCs/>
          <w:color w:val="auto"/>
          <w:sz w:val="24"/>
          <w:highlight w:val="none"/>
        </w:rPr>
        <w:t>〕</w:t>
      </w:r>
      <w:r>
        <w:rPr>
          <w:rFonts w:ascii="宋体" w:hAnsi="宋体" w:cs="宋体"/>
          <w:bCs/>
          <w:color w:val="auto"/>
          <w:sz w:val="24"/>
          <w:highlight w:val="none"/>
        </w:rPr>
        <w:t xml:space="preserve"> 141</w:t>
      </w:r>
      <w:r>
        <w:rPr>
          <w:rFonts w:hint="eastAsia" w:ascii="宋体" w:hAnsi="宋体" w:cs="宋体"/>
          <w:bCs/>
          <w:color w:val="auto"/>
          <w:spacing w:val="5"/>
          <w:sz w:val="24"/>
          <w:highlight w:val="none"/>
        </w:rPr>
        <w:t>号）的规定，本单位为符合条件的残疾人福利性单位，且本单位参加</w:t>
      </w:r>
      <w:r>
        <w:rPr>
          <w:rFonts w:ascii="宋体" w:hAnsi="宋体" w:cs="宋体"/>
          <w:bCs/>
          <w:color w:val="auto"/>
          <w:spacing w:val="6"/>
          <w:sz w:val="24"/>
          <w:highlight w:val="none"/>
        </w:rPr>
        <w:t>______</w:t>
      </w:r>
      <w:r>
        <w:rPr>
          <w:rFonts w:hint="eastAsia" w:ascii="宋体" w:hAnsi="宋体" w:cs="宋体"/>
          <w:bCs/>
          <w:color w:val="auto"/>
          <w:spacing w:val="5"/>
          <w:sz w:val="24"/>
          <w:highlight w:val="none"/>
        </w:rPr>
        <w:t>单位的</w:t>
      </w:r>
      <w:r>
        <w:rPr>
          <w:rFonts w:ascii="宋体" w:hAnsi="宋体" w:cs="宋体"/>
          <w:bCs/>
          <w:color w:val="auto"/>
          <w:spacing w:val="6"/>
          <w:sz w:val="24"/>
          <w:highlight w:val="none"/>
        </w:rPr>
        <w:t>______</w:t>
      </w:r>
      <w:r>
        <w:rPr>
          <w:rFonts w:hint="eastAsia" w:ascii="宋体" w:hAnsi="宋体" w:cs="宋体"/>
          <w:bCs/>
          <w:color w:val="auto"/>
          <w:spacing w:val="5"/>
          <w:sz w:val="24"/>
          <w:highlight w:val="none"/>
        </w:rPr>
        <w:t>项目采购活动提供本单位制造的货物（由本单位承担工程</w:t>
      </w:r>
      <w:r>
        <w:rPr>
          <w:rFonts w:ascii="宋体" w:hAnsi="宋体" w:cs="宋体"/>
          <w:bCs/>
          <w:color w:val="auto"/>
          <w:spacing w:val="6"/>
          <w:sz w:val="24"/>
          <w:highlight w:val="none"/>
        </w:rPr>
        <w:t>/</w:t>
      </w:r>
      <w:r>
        <w:rPr>
          <w:rFonts w:hint="eastAsia" w:ascii="宋体" w:hAnsi="宋体" w:cs="宋体"/>
          <w:bCs/>
          <w:color w:val="auto"/>
          <w:spacing w:val="5"/>
          <w:sz w:val="24"/>
          <w:highlight w:val="none"/>
        </w:rPr>
        <w:t>提供服务），或者提供其他残疾人福利性单位制造的货物（不包括使用非残疾人福利性单位注册商标的货物）。</w:t>
      </w:r>
    </w:p>
    <w:p w14:paraId="5DB1DB16">
      <w:pPr>
        <w:spacing w:line="588" w:lineRule="exact"/>
        <w:ind w:firstLine="624"/>
        <w:rPr>
          <w:rFonts w:ascii="宋体" w:cs="宋体"/>
          <w:bCs/>
          <w:color w:val="auto"/>
          <w:spacing w:val="6"/>
          <w:sz w:val="24"/>
          <w:highlight w:val="none"/>
        </w:rPr>
      </w:pPr>
      <w:r>
        <w:rPr>
          <w:rFonts w:hint="eastAsia" w:ascii="宋体" w:hAnsi="宋体" w:cs="宋体"/>
          <w:bCs/>
          <w:color w:val="auto"/>
          <w:spacing w:val="5"/>
          <w:sz w:val="24"/>
          <w:highlight w:val="none"/>
        </w:rPr>
        <w:t>本单位对上述声明的真实性负责。如有虚假，将依法承担相应责任。</w:t>
      </w:r>
    </w:p>
    <w:p w14:paraId="59717C22">
      <w:pPr>
        <w:spacing w:line="588" w:lineRule="exact"/>
        <w:ind w:firstLine="624"/>
        <w:rPr>
          <w:rFonts w:ascii="宋体" w:cs="宋体"/>
          <w:bCs/>
          <w:color w:val="auto"/>
          <w:spacing w:val="6"/>
          <w:sz w:val="24"/>
          <w:highlight w:val="none"/>
        </w:rPr>
      </w:pPr>
    </w:p>
    <w:p w14:paraId="6B5B2543">
      <w:pPr>
        <w:spacing w:line="588" w:lineRule="exact"/>
        <w:ind w:firstLine="624"/>
        <w:rPr>
          <w:rFonts w:ascii="宋体" w:cs="宋体"/>
          <w:b/>
          <w:bCs/>
          <w:color w:val="auto"/>
          <w:spacing w:val="6"/>
          <w:sz w:val="24"/>
          <w:highlight w:val="none"/>
        </w:rPr>
      </w:pPr>
    </w:p>
    <w:p w14:paraId="597B42DB">
      <w:pPr>
        <w:tabs>
          <w:tab w:val="left" w:pos="4860"/>
        </w:tabs>
        <w:spacing w:line="588" w:lineRule="exact"/>
        <w:ind w:right="1560" w:firstLine="624"/>
        <w:rPr>
          <w:rFonts w:ascii="宋体" w:cs="宋体"/>
          <w:b/>
          <w:bCs/>
          <w:color w:val="auto"/>
          <w:spacing w:val="6"/>
          <w:sz w:val="24"/>
          <w:highlight w:val="none"/>
        </w:rPr>
      </w:pPr>
      <w:r>
        <w:rPr>
          <w:rFonts w:ascii="宋体" w:hAnsi="宋体" w:cs="宋体"/>
          <w:b/>
          <w:bCs/>
          <w:color w:val="auto"/>
          <w:spacing w:val="5"/>
          <w:sz w:val="24"/>
          <w:highlight w:val="none"/>
        </w:rPr>
        <w:t xml:space="preserve">      </w:t>
      </w:r>
      <w:r>
        <w:rPr>
          <w:rFonts w:hint="eastAsia" w:ascii="宋体" w:hAnsi="宋体" w:cs="宋体"/>
          <w:color w:val="auto"/>
          <w:spacing w:val="-6"/>
          <w:sz w:val="24"/>
          <w:highlight w:val="none"/>
          <w:lang w:eastAsia="zh-CN"/>
        </w:rPr>
        <w:t>投标人名称</w:t>
      </w:r>
      <w:r>
        <w:rPr>
          <w:rFonts w:hint="eastAsia" w:ascii="宋体" w:hAnsi="宋体" w:cs="宋体"/>
          <w:color w:val="auto"/>
          <w:spacing w:val="-6"/>
          <w:sz w:val="24"/>
          <w:highlight w:val="none"/>
        </w:rPr>
        <w:t>（盖章）</w:t>
      </w:r>
      <w:r>
        <w:rPr>
          <w:rFonts w:hint="eastAsia" w:ascii="宋体" w:hAnsi="宋体" w:cs="宋体"/>
          <w:b/>
          <w:bCs/>
          <w:color w:val="auto"/>
          <w:spacing w:val="5"/>
          <w:sz w:val="24"/>
          <w:highlight w:val="none"/>
        </w:rPr>
        <w:t>：</w:t>
      </w:r>
    </w:p>
    <w:p w14:paraId="392F663E">
      <w:pPr>
        <w:tabs>
          <w:tab w:val="left" w:pos="4860"/>
        </w:tabs>
        <w:spacing w:line="588" w:lineRule="exact"/>
        <w:ind w:right="1560" w:firstLine="624"/>
        <w:rPr>
          <w:rFonts w:ascii="宋体" w:cs="宋体"/>
          <w:b/>
          <w:bCs/>
          <w:color w:val="auto"/>
          <w:spacing w:val="6"/>
          <w:sz w:val="24"/>
          <w:highlight w:val="none"/>
        </w:rPr>
      </w:pPr>
      <w:r>
        <w:rPr>
          <w:rFonts w:ascii="宋体" w:hAnsi="宋体" w:cs="宋体"/>
          <w:b/>
          <w:bCs/>
          <w:color w:val="auto"/>
          <w:spacing w:val="5"/>
          <w:sz w:val="24"/>
          <w:highlight w:val="none"/>
        </w:rPr>
        <w:t xml:space="preserve">             </w:t>
      </w:r>
      <w:r>
        <w:rPr>
          <w:rFonts w:hint="eastAsia" w:ascii="宋体" w:hAnsi="宋体" w:cs="宋体"/>
          <w:b w:val="0"/>
          <w:bCs w:val="0"/>
          <w:color w:val="auto"/>
          <w:spacing w:val="5"/>
          <w:sz w:val="24"/>
          <w:highlight w:val="none"/>
        </w:rPr>
        <w:t>日</w:t>
      </w:r>
      <w:r>
        <w:rPr>
          <w:rFonts w:ascii="宋体" w:hAnsi="宋体" w:cs="宋体"/>
          <w:b w:val="0"/>
          <w:bCs w:val="0"/>
          <w:color w:val="auto"/>
          <w:spacing w:val="5"/>
          <w:sz w:val="24"/>
          <w:highlight w:val="none"/>
        </w:rPr>
        <w:t xml:space="preserve">   </w:t>
      </w:r>
      <w:r>
        <w:rPr>
          <w:rFonts w:hint="eastAsia" w:ascii="宋体" w:hAnsi="宋体" w:cs="宋体"/>
          <w:b w:val="0"/>
          <w:bCs w:val="0"/>
          <w:color w:val="auto"/>
          <w:spacing w:val="5"/>
          <w:sz w:val="24"/>
          <w:highlight w:val="none"/>
        </w:rPr>
        <w:t>期：</w:t>
      </w:r>
    </w:p>
    <w:p w14:paraId="72AC30BE">
      <w:pPr>
        <w:tabs>
          <w:tab w:val="left" w:pos="4860"/>
        </w:tabs>
        <w:spacing w:line="588" w:lineRule="exact"/>
        <w:ind w:right="1560" w:firstLine="624"/>
        <w:jc w:val="center"/>
        <w:rPr>
          <w:rFonts w:ascii="宋体" w:cs="宋体"/>
          <w:b/>
          <w:bCs/>
          <w:color w:val="auto"/>
          <w:spacing w:val="6"/>
          <w:sz w:val="24"/>
          <w:highlight w:val="none"/>
        </w:rPr>
      </w:pPr>
    </w:p>
    <w:p w14:paraId="58547451">
      <w:pPr>
        <w:tabs>
          <w:tab w:val="left" w:pos="4860"/>
        </w:tabs>
        <w:spacing w:line="588" w:lineRule="exact"/>
        <w:ind w:right="140"/>
        <w:jc w:val="left"/>
        <w:rPr>
          <w:rFonts w:ascii="宋体" w:cs="宋体"/>
          <w:b/>
          <w:color w:val="auto"/>
          <w:sz w:val="24"/>
          <w:highlight w:val="none"/>
        </w:rPr>
      </w:pPr>
      <w:r>
        <w:rPr>
          <w:rFonts w:hint="eastAsia" w:ascii="宋体" w:hAnsi="宋体" w:cs="宋体"/>
          <w:b/>
          <w:color w:val="auto"/>
          <w:sz w:val="24"/>
          <w:highlight w:val="none"/>
        </w:rPr>
        <w:t>备注说明：</w:t>
      </w:r>
    </w:p>
    <w:p w14:paraId="74C12D20">
      <w:pPr>
        <w:tabs>
          <w:tab w:val="left" w:pos="4860"/>
        </w:tabs>
        <w:spacing w:line="588" w:lineRule="exact"/>
        <w:ind w:right="140"/>
        <w:jc w:val="left"/>
        <w:rPr>
          <w:rFonts w:ascii="宋体" w:cs="宋体"/>
          <w:b/>
          <w:color w:val="auto"/>
          <w:sz w:val="24"/>
          <w:szCs w:val="22"/>
          <w:highlight w:val="none"/>
        </w:rPr>
      </w:pPr>
      <w:r>
        <w:rPr>
          <w:rFonts w:ascii="宋体" w:hAnsi="宋体" w:cs="宋体"/>
          <w:b/>
          <w:color w:val="auto"/>
          <w:sz w:val="24"/>
          <w:szCs w:val="22"/>
          <w:highlight w:val="none"/>
        </w:rPr>
        <w:t>1</w:t>
      </w:r>
      <w:r>
        <w:rPr>
          <w:rFonts w:hint="eastAsia" w:ascii="宋体" w:hAnsi="宋体" w:cs="宋体"/>
          <w:b/>
          <w:color w:val="auto"/>
          <w:sz w:val="24"/>
          <w:szCs w:val="22"/>
          <w:highlight w:val="none"/>
        </w:rPr>
        <w:t>、如中标，将在中标公示中将此残疾人福利性单位声明函予以公示，接受社会监督；</w:t>
      </w:r>
    </w:p>
    <w:p w14:paraId="02752722">
      <w:pPr>
        <w:tabs>
          <w:tab w:val="left" w:pos="4860"/>
        </w:tabs>
        <w:spacing w:line="588" w:lineRule="exact"/>
        <w:ind w:right="140"/>
        <w:jc w:val="left"/>
        <w:rPr>
          <w:rFonts w:ascii="宋体" w:cs="宋体"/>
          <w:b/>
          <w:color w:val="auto"/>
          <w:sz w:val="24"/>
          <w:szCs w:val="22"/>
          <w:highlight w:val="none"/>
        </w:rPr>
      </w:pPr>
      <w:r>
        <w:rPr>
          <w:rFonts w:ascii="宋体" w:hAnsi="宋体" w:cs="宋体"/>
          <w:b/>
          <w:color w:val="auto"/>
          <w:sz w:val="24"/>
          <w:szCs w:val="22"/>
          <w:highlight w:val="none"/>
        </w:rPr>
        <w:t>2</w:t>
      </w:r>
      <w:r>
        <w:rPr>
          <w:rFonts w:hint="eastAsia" w:ascii="宋体" w:hAnsi="宋体" w:cs="宋体"/>
          <w:b/>
          <w:color w:val="auto"/>
          <w:sz w:val="24"/>
          <w:szCs w:val="22"/>
          <w:highlight w:val="none"/>
        </w:rPr>
        <w:t>、供应商提供的《残疾人福利性单位声明函》与事实不符的，依照《政府采购法》第七十七条第一款的规定追究法律责任。</w:t>
      </w:r>
    </w:p>
    <w:p w14:paraId="4BED5B0F">
      <w:pPr>
        <w:tabs>
          <w:tab w:val="left" w:pos="4860"/>
        </w:tabs>
        <w:spacing w:line="588" w:lineRule="exact"/>
        <w:ind w:right="1560" w:firstLine="560" w:firstLineChars="200"/>
        <w:jc w:val="center"/>
        <w:rPr>
          <w:rFonts w:ascii="宋体" w:cs="宋体"/>
          <w:color w:val="auto"/>
          <w:highlight w:val="none"/>
        </w:rPr>
      </w:pPr>
    </w:p>
    <w:p w14:paraId="3E85F2C8">
      <w:pPr>
        <w:spacing w:line="440" w:lineRule="exact"/>
        <w:jc w:val="left"/>
        <w:rPr>
          <w:rFonts w:ascii="宋体" w:cs="宋体"/>
          <w:color w:val="auto"/>
          <w:highlight w:val="none"/>
        </w:rPr>
      </w:pPr>
    </w:p>
    <w:p w14:paraId="5165625F">
      <w:pPr>
        <w:pStyle w:val="43"/>
        <w:rPr>
          <w:rFonts w:ascii="宋体" w:cs="宋体"/>
          <w:color w:val="auto"/>
          <w:highlight w:val="none"/>
        </w:rPr>
      </w:pPr>
    </w:p>
    <w:p w14:paraId="4CE5F015">
      <w:pPr>
        <w:pStyle w:val="43"/>
        <w:rPr>
          <w:rFonts w:ascii="宋体" w:cs="宋体"/>
          <w:color w:val="auto"/>
          <w:highlight w:val="none"/>
        </w:rPr>
      </w:pPr>
    </w:p>
    <w:p w14:paraId="321BE95F">
      <w:pPr>
        <w:pStyle w:val="43"/>
        <w:rPr>
          <w:rFonts w:ascii="宋体" w:cs="宋体"/>
          <w:color w:val="auto"/>
          <w:highlight w:val="none"/>
        </w:rPr>
      </w:pPr>
    </w:p>
    <w:p w14:paraId="03B0D267">
      <w:pPr>
        <w:pStyle w:val="43"/>
        <w:rPr>
          <w:rFonts w:ascii="宋体" w:cs="宋体"/>
          <w:color w:val="auto"/>
          <w:highlight w:val="none"/>
        </w:rPr>
      </w:pPr>
    </w:p>
    <w:p w14:paraId="1EE283BB">
      <w:pPr>
        <w:jc w:val="left"/>
        <w:rPr>
          <w:rFonts w:ascii="宋体" w:cs="宋体"/>
          <w:color w:val="auto"/>
          <w:szCs w:val="21"/>
          <w:highlight w:val="none"/>
        </w:rPr>
      </w:pPr>
    </w:p>
    <w:p w14:paraId="7AA59291">
      <w:pPr>
        <w:spacing w:line="360" w:lineRule="auto"/>
        <w:jc w:val="center"/>
        <w:outlineLvl w:val="2"/>
        <w:rPr>
          <w:rFonts w:ascii="宋体" w:cs="宋体"/>
          <w:b/>
          <w:bCs/>
          <w:color w:val="auto"/>
          <w:sz w:val="24"/>
          <w:highlight w:val="none"/>
        </w:rPr>
      </w:pPr>
      <w:r>
        <w:rPr>
          <w:rFonts w:ascii="宋体" w:cs="宋体"/>
          <w:b/>
          <w:bCs/>
          <w:color w:val="auto"/>
          <w:sz w:val="24"/>
          <w:highlight w:val="none"/>
        </w:rPr>
        <w:br w:type="page"/>
      </w:r>
      <w:r>
        <w:rPr>
          <w:rFonts w:hint="eastAsia" w:ascii="宋体" w:hAnsi="宋体" w:cs="宋体"/>
          <w:b/>
          <w:bCs/>
          <w:color w:val="auto"/>
          <w:sz w:val="24"/>
          <w:highlight w:val="none"/>
        </w:rPr>
        <w:t>监狱企业资格证明材料</w:t>
      </w:r>
    </w:p>
    <w:p w14:paraId="1F6EF2AF">
      <w:pPr>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【省级以上监狱管理局、戒毒管理局（含新疆生产建设兵团）出具的属于监狱企业的证明文件】</w:t>
      </w:r>
    </w:p>
    <w:p w14:paraId="1FA930E0">
      <w:pPr>
        <w:pStyle w:val="9"/>
        <w:spacing w:line="480" w:lineRule="auto"/>
        <w:ind w:firstLine="0"/>
        <w:rPr>
          <w:rFonts w:hAnsi="宋体" w:cs="宋体"/>
          <w:bCs/>
          <w:color w:val="auto"/>
          <w:spacing w:val="-6"/>
          <w:sz w:val="24"/>
          <w:highlight w:val="none"/>
        </w:rPr>
      </w:pPr>
      <w:r>
        <w:rPr>
          <w:rFonts w:hAnsi="宋体" w:cs="宋体"/>
          <w:color w:val="auto"/>
          <w:spacing w:val="-6"/>
          <w:highlight w:val="none"/>
        </w:rPr>
        <w:br w:type="page"/>
      </w:r>
    </w:p>
    <w:p w14:paraId="1FC1CDC4">
      <w:pPr>
        <w:spacing w:line="360" w:lineRule="auto"/>
        <w:outlineLvl w:val="3"/>
        <w:rPr>
          <w:rFonts w:hint="eastAsia" w:ascii="宋体" w:eastAsia="宋体" w:cs="宋体"/>
          <w:bCs/>
          <w:color w:val="auto"/>
          <w:spacing w:val="-6"/>
          <w:sz w:val="24"/>
          <w:highlight w:val="none"/>
          <w:lang w:eastAsia="zh-CN"/>
        </w:rPr>
      </w:pPr>
      <w:r>
        <w:rPr>
          <w:rFonts w:hint="eastAsia" w:ascii="宋体" w:hAnsi="宋体" w:cs="宋体"/>
          <w:bCs/>
          <w:color w:val="auto"/>
          <w:spacing w:val="-6"/>
          <w:sz w:val="24"/>
          <w:highlight w:val="none"/>
        </w:rPr>
        <w:t>附件10：</w:t>
      </w:r>
      <w:r>
        <w:rPr>
          <w:rFonts w:hint="eastAsia" w:ascii="宋体" w:hAnsi="宋体" w:cs="宋体"/>
          <w:bCs/>
          <w:color w:val="auto"/>
          <w:spacing w:val="-6"/>
          <w:sz w:val="24"/>
          <w:highlight w:val="none"/>
          <w:lang w:eastAsia="zh-CN"/>
        </w:rPr>
        <w:t>投标函</w:t>
      </w:r>
    </w:p>
    <w:p w14:paraId="436A6FB6">
      <w:pPr>
        <w:jc w:val="center"/>
        <w:rPr>
          <w:rFonts w:hint="eastAsia" w:ascii="宋体" w:hAnsi="宋体" w:eastAsia="宋体" w:cs="宋体"/>
          <w:b/>
          <w:color w:val="auto"/>
          <w:kern w:val="0"/>
          <w:sz w:val="36"/>
          <w:szCs w:val="20"/>
          <w:highlight w:val="none"/>
        </w:rPr>
      </w:pPr>
      <w:r>
        <w:rPr>
          <w:rFonts w:hint="eastAsia" w:ascii="宋体" w:hAnsi="宋体" w:eastAsia="宋体" w:cs="宋体"/>
          <w:b/>
          <w:color w:val="auto"/>
          <w:kern w:val="0"/>
          <w:sz w:val="36"/>
          <w:szCs w:val="20"/>
          <w:highlight w:val="none"/>
        </w:rPr>
        <w:t>投  标  函</w:t>
      </w:r>
    </w:p>
    <w:p w14:paraId="3DF5E4DE">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none"/>
        </w:rPr>
        <w:t>____________</w:t>
      </w:r>
      <w:r>
        <w:rPr>
          <w:rFonts w:hint="eastAsia" w:ascii="宋体" w:hAnsi="宋体" w:eastAsia="宋体" w:cs="宋体"/>
          <w:color w:val="auto"/>
          <w:sz w:val="24"/>
          <w:highlight w:val="none"/>
        </w:rPr>
        <w:t>（采购人名称）：</w:t>
      </w:r>
    </w:p>
    <w:p w14:paraId="5734BE03">
      <w:pPr>
        <w:snapToGrid w:val="0"/>
        <w:spacing w:line="360" w:lineRule="auto"/>
        <w:ind w:firstLine="48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项目的招标公告（项目编号：___</w:t>
      </w:r>
      <w:r>
        <w:rPr>
          <w:rFonts w:hint="eastAsia" w:ascii="宋体" w:hAnsi="宋体" w:eastAsia="宋体" w:cs="宋体"/>
          <w:color w:val="auto"/>
          <w:sz w:val="24"/>
          <w:highlight w:val="none"/>
          <w:u w:val="none"/>
        </w:rPr>
        <w:t>______</w:t>
      </w:r>
      <w:r>
        <w:rPr>
          <w:rFonts w:hint="eastAsia" w:ascii="宋体" w:hAnsi="宋体" w:eastAsia="宋体" w:cs="宋体"/>
          <w:color w:val="auto"/>
          <w:sz w:val="24"/>
          <w:highlight w:val="none"/>
        </w:rPr>
        <w:t>），签字代表__</w:t>
      </w:r>
      <w:r>
        <w:rPr>
          <w:rFonts w:hint="eastAsia" w:ascii="宋体" w:hAnsi="宋体" w:eastAsia="宋体" w:cs="宋体"/>
          <w:color w:val="auto"/>
          <w:sz w:val="24"/>
          <w:highlight w:val="none"/>
          <w:u w:val="none"/>
        </w:rPr>
        <w:t>_________</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none"/>
        </w:rPr>
        <w:t>_______________</w:t>
      </w: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lang w:val="en-US" w:eastAsia="zh-CN"/>
        </w:rPr>
        <w:t>参与本次投标</w:t>
      </w:r>
      <w:r>
        <w:rPr>
          <w:rFonts w:hint="eastAsia" w:ascii="宋体" w:hAnsi="宋体" w:eastAsia="宋体" w:cs="宋体"/>
          <w:color w:val="auto"/>
          <w:sz w:val="24"/>
          <w:highlight w:val="none"/>
        </w:rPr>
        <w:t>。</w:t>
      </w:r>
    </w:p>
    <w:p w14:paraId="03885626">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据此函，签字代表宣布同意如下：</w:t>
      </w:r>
    </w:p>
    <w:p w14:paraId="45ABC8FF">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D78C341">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14:paraId="1D060813">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3.本投标有效期自开标日起 ______日。</w:t>
      </w:r>
    </w:p>
    <w:p w14:paraId="64B0F9F0">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14:paraId="69DC9CCE">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5.投标人同意按照贵方要求提供与投标有关的一切数据或资料。</w:t>
      </w:r>
    </w:p>
    <w:p w14:paraId="25ED9B05">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6.与本投标有关的一切正式往来信函请寄：</w:t>
      </w:r>
    </w:p>
    <w:p w14:paraId="36A805A3">
      <w:pPr>
        <w:snapToGrid w:val="0"/>
        <w:spacing w:line="360" w:lineRule="auto"/>
        <w:rPr>
          <w:rFonts w:hint="eastAsia" w:ascii="宋体" w:hAnsi="宋体" w:eastAsia="宋体" w:cs="宋体"/>
          <w:color w:val="auto"/>
          <w:sz w:val="24"/>
          <w:highlight w:val="none"/>
        </w:rPr>
      </w:pPr>
    </w:p>
    <w:p w14:paraId="3FE6B6DA">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地址：_________</w:t>
      </w:r>
      <w:r>
        <w:rPr>
          <w:rFonts w:hint="eastAsia" w:ascii="宋体" w:hAnsi="宋体" w:eastAsia="宋体" w:cs="宋体"/>
          <w:color w:val="auto"/>
          <w:sz w:val="24"/>
          <w:highlight w:val="none"/>
          <w:u w:val="none"/>
        </w:rPr>
        <w:t>______</w:t>
      </w:r>
      <w:r>
        <w:rPr>
          <w:rFonts w:hint="eastAsia" w:ascii="宋体" w:hAnsi="宋体" w:eastAsia="宋体" w:cs="宋体"/>
          <w:color w:val="auto"/>
          <w:sz w:val="24"/>
          <w:highlight w:val="none"/>
        </w:rPr>
        <w:t>___邮编：__________   电话：_________</w:t>
      </w:r>
      <w:r>
        <w:rPr>
          <w:rFonts w:hint="eastAsia" w:ascii="宋体" w:hAnsi="宋体" w:eastAsia="宋体" w:cs="宋体"/>
          <w:color w:val="auto"/>
          <w:sz w:val="24"/>
          <w:highlight w:val="none"/>
          <w:u w:val="none"/>
        </w:rPr>
        <w:t>___</w:t>
      </w:r>
      <w:r>
        <w:rPr>
          <w:rFonts w:hint="eastAsia" w:ascii="宋体" w:hAnsi="宋体" w:eastAsia="宋体" w:cs="宋体"/>
          <w:color w:val="auto"/>
          <w:sz w:val="24"/>
          <w:highlight w:val="none"/>
        </w:rPr>
        <w:t>____</w:t>
      </w:r>
    </w:p>
    <w:p w14:paraId="474BE288">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传真：______________投标人代表姓名 ___________  职务：____</w:t>
      </w:r>
      <w:r>
        <w:rPr>
          <w:rFonts w:hint="eastAsia" w:ascii="宋体" w:hAnsi="宋体" w:eastAsia="宋体" w:cs="宋体"/>
          <w:color w:val="auto"/>
          <w:sz w:val="24"/>
          <w:highlight w:val="none"/>
          <w:u w:val="none"/>
        </w:rPr>
        <w:t>___</w:t>
      </w:r>
      <w:r>
        <w:rPr>
          <w:rFonts w:hint="eastAsia" w:ascii="宋体" w:hAnsi="宋体" w:eastAsia="宋体" w:cs="宋体"/>
          <w:color w:val="auto"/>
          <w:sz w:val="24"/>
          <w:highlight w:val="none"/>
        </w:rPr>
        <w:t>____</w:t>
      </w:r>
    </w:p>
    <w:p w14:paraId="14B67D29">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投标人名称(公章):___________________</w:t>
      </w:r>
    </w:p>
    <w:p w14:paraId="269F62A2">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银行帐号：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224F2A0">
      <w:pPr>
        <w:snapToGrid w:val="0"/>
        <w:spacing w:line="360" w:lineRule="auto"/>
        <w:rPr>
          <w:rFonts w:hint="eastAsia" w:ascii="宋体" w:hAnsi="宋体" w:eastAsia="宋体" w:cs="宋体"/>
          <w:color w:val="auto"/>
          <w:sz w:val="24"/>
          <w:highlight w:val="none"/>
        </w:rPr>
      </w:pPr>
    </w:p>
    <w:p w14:paraId="5D204DB3">
      <w:pPr>
        <w:spacing w:line="360" w:lineRule="auto"/>
        <w:rPr>
          <w:rFonts w:ascii="宋体" w:cs="宋体"/>
          <w:color w:val="auto"/>
          <w:spacing w:val="-6"/>
          <w:sz w:val="24"/>
          <w:highlight w:val="none"/>
        </w:rPr>
      </w:pPr>
    </w:p>
    <w:p w14:paraId="03C01A0E">
      <w:pPr>
        <w:rPr>
          <w:rFonts w:ascii="宋体" w:hAnsi="宋体" w:cs="宋体"/>
          <w:color w:val="auto"/>
          <w:sz w:val="24"/>
          <w:highlight w:val="none"/>
        </w:rPr>
      </w:pP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（盖章）：</w:t>
      </w:r>
    </w:p>
    <w:p w14:paraId="6D3D6D32">
      <w:pPr>
        <w:rPr>
          <w:rFonts w:ascii="宋体" w:hAnsi="宋体" w:cs="宋体"/>
          <w:color w:val="auto"/>
          <w:sz w:val="24"/>
          <w:highlight w:val="none"/>
        </w:rPr>
      </w:pPr>
    </w:p>
    <w:p w14:paraId="3FDB674A">
      <w:pPr>
        <w:rPr>
          <w:rFonts w:ascii="宋体" w:hAns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p>
    <w:p w14:paraId="2E30B013">
      <w:pPr>
        <w:rPr>
          <w:rFonts w:ascii="宋体" w:hAnsi="宋体" w:cs="宋体"/>
          <w:color w:val="auto"/>
          <w:sz w:val="24"/>
          <w:highlight w:val="none"/>
        </w:rPr>
      </w:pPr>
    </w:p>
    <w:p w14:paraId="170B02AC">
      <w:pPr>
        <w:rPr>
          <w:rFonts w:ascii="宋体" w:hAns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     年   月   日</w:t>
      </w:r>
    </w:p>
    <w:p w14:paraId="5AF10B91">
      <w:pPr>
        <w:spacing w:line="360" w:lineRule="auto"/>
        <w:outlineLvl w:val="3"/>
        <w:rPr>
          <w:rFonts w:ascii="宋体" w:cs="宋体"/>
          <w:bCs/>
          <w:color w:val="auto"/>
          <w:spacing w:val="-6"/>
          <w:sz w:val="24"/>
          <w:highlight w:val="none"/>
        </w:rPr>
      </w:pPr>
      <w:r>
        <w:rPr>
          <w:rFonts w:ascii="宋体" w:cs="宋体"/>
          <w:b/>
          <w:color w:val="auto"/>
          <w:spacing w:val="-6"/>
          <w:sz w:val="24"/>
          <w:highlight w:val="none"/>
        </w:rPr>
        <w:br w:type="page"/>
      </w:r>
      <w:r>
        <w:rPr>
          <w:rFonts w:hint="eastAsia" w:ascii="宋体" w:hAnsi="宋体" w:cs="宋体"/>
          <w:bCs/>
          <w:color w:val="auto"/>
          <w:spacing w:val="-6"/>
          <w:sz w:val="24"/>
          <w:highlight w:val="none"/>
        </w:rPr>
        <w:t>附件11：法定代表人资格证明书或法定代表人授权委托书</w:t>
      </w:r>
    </w:p>
    <w:p w14:paraId="1660B107">
      <w:pPr>
        <w:spacing w:line="360" w:lineRule="auto"/>
        <w:jc w:val="center"/>
        <w:outlineLvl w:val="3"/>
        <w:rPr>
          <w:rFonts w:ascii="宋体" w:cs="宋体"/>
          <w:b/>
          <w:color w:val="auto"/>
          <w:spacing w:val="-6"/>
          <w:sz w:val="24"/>
          <w:highlight w:val="none"/>
        </w:rPr>
      </w:pPr>
    </w:p>
    <w:p w14:paraId="6196666A">
      <w:pPr>
        <w:spacing w:line="360" w:lineRule="auto"/>
        <w:jc w:val="center"/>
        <w:outlineLvl w:val="3"/>
        <w:rPr>
          <w:rFonts w:ascii="宋体" w:cs="宋体"/>
          <w:b/>
          <w:color w:val="auto"/>
          <w:spacing w:val="-6"/>
          <w:sz w:val="24"/>
          <w:highlight w:val="none"/>
        </w:rPr>
      </w:pPr>
      <w:r>
        <w:rPr>
          <w:rFonts w:hint="eastAsia" w:ascii="宋体" w:hAnsi="宋体" w:cs="宋体"/>
          <w:b/>
          <w:color w:val="auto"/>
          <w:spacing w:val="-6"/>
          <w:sz w:val="24"/>
          <w:highlight w:val="none"/>
        </w:rPr>
        <w:t>法定代表人资格证明书</w:t>
      </w:r>
    </w:p>
    <w:p w14:paraId="7D44A912">
      <w:pPr>
        <w:spacing w:line="360" w:lineRule="auto"/>
        <w:rPr>
          <w:rFonts w:hint="eastAsia" w:ascii="宋体" w:eastAsia="宋体" w:cs="宋体"/>
          <w:bCs/>
          <w:color w:val="auto"/>
          <w:spacing w:val="-6"/>
          <w:sz w:val="24"/>
          <w:highlight w:val="none"/>
          <w:lang w:eastAsia="zh-CN"/>
        </w:rPr>
      </w:pPr>
      <w:r>
        <w:rPr>
          <w:rFonts w:hint="eastAsia" w:ascii="宋体" w:hAnsi="宋体" w:cs="宋体"/>
          <w:bCs/>
          <w:color w:val="auto"/>
          <w:spacing w:val="-6"/>
          <w:sz w:val="24"/>
          <w:highlight w:val="none"/>
        </w:rPr>
        <w:t>致：</w:t>
      </w:r>
      <w:r>
        <w:rPr>
          <w:rFonts w:hint="eastAsia" w:hAnsi="宋体" w:cs="宋体"/>
          <w:bCs/>
          <w:color w:val="auto"/>
          <w:sz w:val="24"/>
          <w:highlight w:val="none"/>
          <w:lang w:eastAsia="zh-CN"/>
        </w:rPr>
        <w:t>衢州市公安局柯城分局</w:t>
      </w:r>
      <w:r>
        <w:rPr>
          <w:rFonts w:hint="eastAsia" w:ascii="宋体" w:hAnsi="宋体" w:cs="宋体"/>
          <w:bCs/>
          <w:color w:val="auto"/>
          <w:spacing w:val="-6"/>
          <w:sz w:val="24"/>
          <w:highlight w:val="none"/>
        </w:rPr>
        <w:t>、</w:t>
      </w:r>
      <w:r>
        <w:rPr>
          <w:rFonts w:hint="eastAsia" w:ascii="宋体" w:hAnsi="宋体" w:cs="宋体"/>
          <w:bCs/>
          <w:color w:val="auto"/>
          <w:spacing w:val="-6"/>
          <w:sz w:val="24"/>
          <w:highlight w:val="none"/>
          <w:lang w:eastAsia="zh-CN"/>
        </w:rPr>
        <w:t>衢州胜友如云工程咨询有限公司</w:t>
      </w:r>
    </w:p>
    <w:p w14:paraId="6B2F268F">
      <w:pPr>
        <w:spacing w:line="360" w:lineRule="auto"/>
        <w:ind w:firstLine="456" w:firstLineChars="200"/>
        <w:rPr>
          <w:rFonts w:ascii="宋体" w:cs="宋体"/>
          <w:bCs/>
          <w:color w:val="auto"/>
          <w:spacing w:val="-6"/>
          <w:sz w:val="24"/>
          <w:highlight w:val="none"/>
        </w:rPr>
      </w:pPr>
      <w:r>
        <w:rPr>
          <w:rFonts w:hint="eastAsia" w:ascii="宋体" w:hAnsi="宋体" w:cs="宋体"/>
          <w:bCs/>
          <w:color w:val="auto"/>
          <w:spacing w:val="-6"/>
          <w:sz w:val="24"/>
          <w:highlight w:val="none"/>
        </w:rPr>
        <w:t>我</w:t>
      </w:r>
      <w:r>
        <w:rPr>
          <w:rFonts w:ascii="宋体" w:hAnsi="宋体" w:cs="宋体"/>
          <w:color w:val="auto"/>
          <w:spacing w:val="-6"/>
          <w:sz w:val="24"/>
          <w:highlight w:val="none"/>
        </w:rPr>
        <w:t>________________</w:t>
      </w:r>
      <w:r>
        <w:rPr>
          <w:rFonts w:hint="eastAsia" w:ascii="宋体" w:hAnsi="宋体" w:cs="宋体"/>
          <w:color w:val="auto"/>
          <w:spacing w:val="-6"/>
          <w:sz w:val="24"/>
          <w:highlight w:val="none"/>
        </w:rPr>
        <w:t>（</w:t>
      </w:r>
      <w:r>
        <w:rPr>
          <w:rFonts w:hint="eastAsia" w:ascii="宋体" w:hAnsi="宋体" w:cs="宋体"/>
          <w:bCs/>
          <w:color w:val="auto"/>
          <w:spacing w:val="-6"/>
          <w:sz w:val="24"/>
          <w:highlight w:val="none"/>
        </w:rPr>
        <w:t>姓名）系</w:t>
      </w:r>
      <w:r>
        <w:rPr>
          <w:rFonts w:ascii="宋体" w:hAnsi="宋体" w:cs="宋体"/>
          <w:bCs/>
          <w:color w:val="auto"/>
          <w:spacing w:val="-6"/>
          <w:sz w:val="24"/>
          <w:highlight w:val="none"/>
        </w:rPr>
        <w:t>_________________________</w:t>
      </w:r>
      <w:r>
        <w:rPr>
          <w:rFonts w:hint="eastAsia" w:ascii="宋体" w:hAnsi="宋体" w:cs="宋体"/>
          <w:bCs/>
          <w:color w:val="auto"/>
          <w:spacing w:val="-6"/>
          <w:sz w:val="24"/>
          <w:highlight w:val="none"/>
        </w:rPr>
        <w:t>（</w:t>
      </w:r>
      <w:r>
        <w:rPr>
          <w:rFonts w:hint="eastAsia" w:ascii="宋体" w:hAnsi="宋体" w:cs="宋体"/>
          <w:bCs/>
          <w:color w:val="auto"/>
          <w:spacing w:val="-6"/>
          <w:sz w:val="24"/>
          <w:highlight w:val="none"/>
          <w:lang w:eastAsia="zh-CN"/>
        </w:rPr>
        <w:t>投标人名称</w:t>
      </w:r>
      <w:r>
        <w:rPr>
          <w:rFonts w:hint="eastAsia" w:ascii="宋体" w:hAnsi="宋体" w:cs="宋体"/>
          <w:bCs/>
          <w:color w:val="auto"/>
          <w:spacing w:val="-6"/>
          <w:sz w:val="24"/>
          <w:highlight w:val="none"/>
        </w:rPr>
        <w:t>）的法定代表人，身份证号码：</w:t>
      </w:r>
      <w:r>
        <w:rPr>
          <w:rFonts w:ascii="宋体" w:hAnsi="宋体" w:cs="宋体"/>
          <w:bCs/>
          <w:color w:val="auto"/>
          <w:spacing w:val="-6"/>
          <w:sz w:val="24"/>
          <w:highlight w:val="none"/>
        </w:rPr>
        <w:t>_________________________________</w:t>
      </w:r>
      <w:r>
        <w:rPr>
          <w:rFonts w:hint="eastAsia" w:ascii="宋体" w:hAnsi="宋体" w:cs="宋体"/>
          <w:bCs/>
          <w:color w:val="auto"/>
          <w:spacing w:val="-6"/>
          <w:sz w:val="24"/>
          <w:highlight w:val="none"/>
        </w:rPr>
        <w:t>。</w:t>
      </w:r>
    </w:p>
    <w:p w14:paraId="758FC113">
      <w:pPr>
        <w:spacing w:line="360" w:lineRule="auto"/>
        <w:ind w:firstLine="456" w:firstLineChars="200"/>
        <w:rPr>
          <w:rFonts w:ascii="宋体" w:cs="宋体"/>
          <w:bCs/>
          <w:color w:val="auto"/>
          <w:spacing w:val="-6"/>
          <w:sz w:val="24"/>
          <w:highlight w:val="none"/>
        </w:rPr>
      </w:pPr>
      <w:r>
        <w:rPr>
          <w:rFonts w:hint="eastAsia" w:ascii="宋体" w:hAnsi="宋体" w:cs="宋体"/>
          <w:bCs/>
          <w:color w:val="auto"/>
          <w:spacing w:val="-6"/>
          <w:sz w:val="24"/>
          <w:highlight w:val="none"/>
        </w:rPr>
        <w:t>特此证明。</w:t>
      </w:r>
    </w:p>
    <w:p w14:paraId="25394851">
      <w:pPr>
        <w:spacing w:line="360" w:lineRule="auto"/>
        <w:rPr>
          <w:rFonts w:ascii="宋体" w:cs="宋体"/>
          <w:bCs/>
          <w:color w:val="auto"/>
          <w:spacing w:val="-6"/>
          <w:sz w:val="24"/>
          <w:highlight w:val="none"/>
        </w:rPr>
      </w:pPr>
    </w:p>
    <w:tbl>
      <w:tblPr>
        <w:tblStyle w:val="2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270A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498" w:type="dxa"/>
          </w:tcPr>
          <w:p w14:paraId="19C7D028">
            <w:pPr>
              <w:spacing w:line="360" w:lineRule="auto"/>
              <w:rPr>
                <w:rFonts w:ascii="宋体" w:cs="宋体"/>
                <w:color w:val="auto"/>
                <w:sz w:val="24"/>
                <w:highlight w:val="none"/>
              </w:rPr>
            </w:pPr>
            <w:r>
              <w:rPr>
                <w:rFonts w:hint="eastAsia" w:ascii="宋体" w:hAnsi="宋体" w:cs="宋体"/>
                <w:color w:val="auto"/>
                <w:sz w:val="24"/>
                <w:highlight w:val="none"/>
              </w:rPr>
              <w:t>法定代表人身份证：</w:t>
            </w:r>
          </w:p>
          <w:p w14:paraId="2A3B883B">
            <w:pPr>
              <w:spacing w:line="360" w:lineRule="auto"/>
              <w:rPr>
                <w:rFonts w:ascii="宋体" w:cs="宋体"/>
                <w:color w:val="auto"/>
                <w:sz w:val="24"/>
                <w:highlight w:val="none"/>
              </w:rPr>
            </w:pPr>
          </w:p>
          <w:p w14:paraId="1B2AA812">
            <w:pPr>
              <w:spacing w:line="360" w:lineRule="auto"/>
              <w:rPr>
                <w:rFonts w:ascii="宋体" w:cs="宋体"/>
                <w:color w:val="auto"/>
                <w:sz w:val="24"/>
                <w:highlight w:val="none"/>
              </w:rPr>
            </w:pPr>
          </w:p>
          <w:p w14:paraId="42797CA8">
            <w:pPr>
              <w:spacing w:line="360" w:lineRule="auto"/>
              <w:rPr>
                <w:rFonts w:ascii="宋体" w:cs="宋体"/>
                <w:color w:val="auto"/>
                <w:sz w:val="24"/>
                <w:highlight w:val="none"/>
              </w:rPr>
            </w:pPr>
          </w:p>
          <w:p w14:paraId="0CF7D901">
            <w:pPr>
              <w:spacing w:line="360" w:lineRule="auto"/>
              <w:rPr>
                <w:rFonts w:ascii="宋体" w:cs="宋体"/>
                <w:color w:val="auto"/>
                <w:sz w:val="24"/>
                <w:highlight w:val="none"/>
              </w:rPr>
            </w:pPr>
          </w:p>
          <w:p w14:paraId="76DB19F5">
            <w:pPr>
              <w:spacing w:line="360" w:lineRule="auto"/>
              <w:rPr>
                <w:rFonts w:ascii="宋体" w:cs="宋体"/>
                <w:bCs/>
                <w:color w:val="auto"/>
                <w:spacing w:val="-6"/>
                <w:sz w:val="24"/>
                <w:highlight w:val="none"/>
              </w:rPr>
            </w:pPr>
            <w:r>
              <w:rPr>
                <w:rFonts w:hint="eastAsia" w:ascii="宋体" w:hAnsi="宋体" w:cs="宋体"/>
                <w:color w:val="auto"/>
                <w:sz w:val="24"/>
                <w:highlight w:val="none"/>
              </w:rPr>
              <w:t>复印件粘贴处</w:t>
            </w:r>
          </w:p>
        </w:tc>
      </w:tr>
    </w:tbl>
    <w:p w14:paraId="2D5DC5DD">
      <w:pPr>
        <w:spacing w:line="360" w:lineRule="auto"/>
        <w:rPr>
          <w:rFonts w:ascii="宋体" w:cs="宋体"/>
          <w:bCs/>
          <w:color w:val="auto"/>
          <w:spacing w:val="-6"/>
          <w:sz w:val="24"/>
          <w:highlight w:val="none"/>
        </w:rPr>
      </w:pPr>
    </w:p>
    <w:p w14:paraId="2E5730F8">
      <w:pPr>
        <w:spacing w:line="360" w:lineRule="auto"/>
        <w:rPr>
          <w:rFonts w:ascii="宋体" w:cs="宋体"/>
          <w:b/>
          <w:bCs/>
          <w:color w:val="auto"/>
          <w:spacing w:val="-6"/>
          <w:sz w:val="24"/>
          <w:highlight w:val="none"/>
        </w:rPr>
      </w:pPr>
    </w:p>
    <w:p w14:paraId="2EFE4F28">
      <w:pPr>
        <w:rPr>
          <w:rFonts w:ascii="宋体" w:hAnsi="宋体" w:cs="宋体"/>
          <w:color w:val="auto"/>
          <w:sz w:val="24"/>
          <w:highlight w:val="none"/>
        </w:rPr>
      </w:pPr>
    </w:p>
    <w:p w14:paraId="67FB2EE2">
      <w:pPr>
        <w:rPr>
          <w:rFonts w:ascii="宋体" w:hAnsi="宋体" w:cs="宋体"/>
          <w:color w:val="auto"/>
          <w:sz w:val="24"/>
          <w:highlight w:val="none"/>
        </w:rPr>
      </w:pP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（盖章）：</w:t>
      </w:r>
    </w:p>
    <w:p w14:paraId="0DF34D59">
      <w:pPr>
        <w:rPr>
          <w:rFonts w:ascii="宋体" w:hAnsi="宋体" w:cs="宋体"/>
          <w:color w:val="auto"/>
          <w:sz w:val="24"/>
          <w:highlight w:val="none"/>
        </w:rPr>
      </w:pPr>
    </w:p>
    <w:p w14:paraId="0BA05B8B">
      <w:pPr>
        <w:rPr>
          <w:rFonts w:ascii="宋体" w:hAns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     年   月   日</w:t>
      </w:r>
    </w:p>
    <w:p w14:paraId="079EAA90">
      <w:pPr>
        <w:spacing w:line="360" w:lineRule="auto"/>
        <w:jc w:val="center"/>
        <w:outlineLvl w:val="3"/>
        <w:rPr>
          <w:rFonts w:ascii="宋体" w:cs="宋体"/>
          <w:b/>
          <w:color w:val="auto"/>
          <w:spacing w:val="-6"/>
          <w:sz w:val="24"/>
          <w:highlight w:val="none"/>
        </w:rPr>
      </w:pPr>
      <w:r>
        <w:rPr>
          <w:rFonts w:ascii="宋体" w:cs="宋体"/>
          <w:b/>
          <w:color w:val="auto"/>
          <w:spacing w:val="-6"/>
          <w:sz w:val="24"/>
          <w:highlight w:val="none"/>
        </w:rPr>
        <w:br w:type="page"/>
      </w:r>
      <w:r>
        <w:rPr>
          <w:rFonts w:hint="eastAsia" w:ascii="宋体" w:hAnsi="宋体" w:cs="宋体"/>
          <w:b/>
          <w:color w:val="auto"/>
          <w:spacing w:val="-6"/>
          <w:sz w:val="24"/>
          <w:highlight w:val="none"/>
        </w:rPr>
        <w:t>法定代表人授权委托书</w:t>
      </w:r>
    </w:p>
    <w:p w14:paraId="563095AC">
      <w:pPr>
        <w:spacing w:line="360" w:lineRule="auto"/>
        <w:rPr>
          <w:rFonts w:hint="eastAsia" w:ascii="宋体" w:eastAsia="宋体" w:cs="宋体"/>
          <w:b/>
          <w:bCs/>
          <w:color w:val="auto"/>
          <w:spacing w:val="-6"/>
          <w:sz w:val="24"/>
          <w:highlight w:val="none"/>
          <w:lang w:eastAsia="zh-CN"/>
        </w:rPr>
      </w:pPr>
      <w:r>
        <w:rPr>
          <w:rFonts w:hint="eastAsia" w:ascii="宋体" w:hAnsi="宋体" w:cs="宋体"/>
          <w:bCs/>
          <w:color w:val="auto"/>
          <w:spacing w:val="-6"/>
          <w:sz w:val="24"/>
          <w:highlight w:val="none"/>
        </w:rPr>
        <w:t>致：</w:t>
      </w:r>
      <w:r>
        <w:rPr>
          <w:rFonts w:hint="eastAsia" w:ascii="宋体" w:hAnsi="宋体" w:cs="宋体"/>
          <w:bCs/>
          <w:color w:val="auto"/>
          <w:spacing w:val="-6"/>
          <w:sz w:val="24"/>
          <w:highlight w:val="none"/>
          <w:lang w:eastAsia="zh-CN"/>
        </w:rPr>
        <w:t>衢州市公安局柯城分局</w:t>
      </w:r>
      <w:r>
        <w:rPr>
          <w:rFonts w:hint="eastAsia" w:ascii="宋体" w:hAnsi="宋体" w:cs="宋体"/>
          <w:bCs/>
          <w:color w:val="auto"/>
          <w:spacing w:val="-6"/>
          <w:sz w:val="24"/>
          <w:highlight w:val="none"/>
        </w:rPr>
        <w:t>、</w:t>
      </w:r>
      <w:r>
        <w:rPr>
          <w:rFonts w:hint="eastAsia" w:ascii="宋体" w:hAnsi="宋体" w:cs="宋体"/>
          <w:bCs/>
          <w:color w:val="auto"/>
          <w:spacing w:val="-6"/>
          <w:sz w:val="24"/>
          <w:highlight w:val="none"/>
          <w:lang w:eastAsia="zh-CN"/>
        </w:rPr>
        <w:t>衢州胜友如云工程咨询有限公司</w:t>
      </w:r>
    </w:p>
    <w:p w14:paraId="381CEDDF">
      <w:pPr>
        <w:spacing w:line="360" w:lineRule="auto"/>
        <w:ind w:firstLine="456" w:firstLineChars="200"/>
        <w:rPr>
          <w:rFonts w:ascii="宋体" w:cs="宋体"/>
          <w:color w:val="auto"/>
          <w:spacing w:val="-6"/>
          <w:sz w:val="24"/>
          <w:highlight w:val="none"/>
        </w:rPr>
      </w:pPr>
      <w:r>
        <w:rPr>
          <w:rFonts w:hint="eastAsia" w:ascii="宋体" w:hAnsi="宋体" w:cs="宋体"/>
          <w:color w:val="auto"/>
          <w:spacing w:val="-6"/>
          <w:sz w:val="24"/>
          <w:highlight w:val="none"/>
        </w:rPr>
        <w:t>我</w:t>
      </w:r>
      <w:r>
        <w:rPr>
          <w:rFonts w:ascii="宋体" w:hAnsi="宋体" w:cs="宋体"/>
          <w:color w:val="auto"/>
          <w:spacing w:val="-6"/>
          <w:sz w:val="24"/>
          <w:highlight w:val="none"/>
        </w:rPr>
        <w:t>____________</w:t>
      </w:r>
      <w:r>
        <w:rPr>
          <w:rFonts w:hint="eastAsia" w:ascii="宋体" w:hAnsi="宋体" w:cs="宋体"/>
          <w:color w:val="auto"/>
          <w:spacing w:val="-6"/>
          <w:sz w:val="24"/>
          <w:highlight w:val="none"/>
        </w:rPr>
        <w:t>（姓名）系</w:t>
      </w:r>
      <w:r>
        <w:rPr>
          <w:rFonts w:ascii="宋体" w:hAnsi="宋体" w:cs="宋体"/>
          <w:color w:val="auto"/>
          <w:spacing w:val="-6"/>
          <w:sz w:val="24"/>
          <w:highlight w:val="none"/>
        </w:rPr>
        <w:t>__________________________</w:t>
      </w:r>
      <w:r>
        <w:rPr>
          <w:rFonts w:hint="eastAsia" w:ascii="宋体" w:hAnsi="宋体" w:cs="宋体"/>
          <w:color w:val="auto"/>
          <w:spacing w:val="-6"/>
          <w:sz w:val="24"/>
          <w:highlight w:val="none"/>
        </w:rPr>
        <w:t>（</w:t>
      </w:r>
      <w:r>
        <w:rPr>
          <w:rFonts w:hint="eastAsia" w:ascii="宋体" w:hAnsi="宋体" w:cs="宋体"/>
          <w:color w:val="auto"/>
          <w:spacing w:val="-6"/>
          <w:sz w:val="24"/>
          <w:highlight w:val="none"/>
          <w:lang w:eastAsia="zh-CN"/>
        </w:rPr>
        <w:t>投标人名称</w:t>
      </w:r>
      <w:r>
        <w:rPr>
          <w:rFonts w:hint="eastAsia" w:ascii="宋体" w:hAnsi="宋体" w:cs="宋体"/>
          <w:color w:val="auto"/>
          <w:spacing w:val="-6"/>
          <w:sz w:val="24"/>
          <w:highlight w:val="none"/>
        </w:rPr>
        <w:t>）的法定代表人，现授权委托本单位在职职工：</w:t>
      </w:r>
      <w:r>
        <w:rPr>
          <w:rFonts w:ascii="宋体" w:hAnsi="宋体" w:cs="宋体"/>
          <w:color w:val="auto"/>
          <w:spacing w:val="-6"/>
          <w:sz w:val="24"/>
          <w:highlight w:val="none"/>
        </w:rPr>
        <w:t>_________</w:t>
      </w:r>
      <w:r>
        <w:rPr>
          <w:rFonts w:hint="eastAsia" w:ascii="宋体" w:hAnsi="宋体" w:cs="宋体"/>
          <w:color w:val="auto"/>
          <w:spacing w:val="-6"/>
          <w:sz w:val="24"/>
          <w:highlight w:val="none"/>
        </w:rPr>
        <w:t>（姓名），身份证号码：</w:t>
      </w:r>
      <w:r>
        <w:rPr>
          <w:rFonts w:ascii="宋体" w:hAnsi="宋体" w:cs="宋体"/>
          <w:color w:val="auto"/>
          <w:spacing w:val="-6"/>
          <w:sz w:val="24"/>
          <w:highlight w:val="none"/>
        </w:rPr>
        <w:t>_________________________</w:t>
      </w:r>
      <w:r>
        <w:rPr>
          <w:rFonts w:hint="eastAsia" w:ascii="宋体" w:hAnsi="宋体" w:cs="宋体"/>
          <w:color w:val="auto"/>
          <w:spacing w:val="-6"/>
          <w:sz w:val="24"/>
          <w:highlight w:val="none"/>
        </w:rPr>
        <w:t>以我方的名义参加</w:t>
      </w:r>
      <w:r>
        <w:rPr>
          <w:rFonts w:ascii="宋体" w:hAnsi="宋体" w:cs="宋体"/>
          <w:color w:val="auto"/>
          <w:spacing w:val="-6"/>
          <w:sz w:val="24"/>
          <w:highlight w:val="none"/>
        </w:rPr>
        <w:t>__________________________</w:t>
      </w:r>
      <w:r>
        <w:rPr>
          <w:rFonts w:hint="eastAsia" w:ascii="宋体" w:hAnsi="宋体" w:cs="宋体"/>
          <w:bCs/>
          <w:color w:val="auto"/>
          <w:spacing w:val="-6"/>
          <w:sz w:val="24"/>
          <w:highlight w:val="none"/>
        </w:rPr>
        <w:t>项目（项目名称）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lang w:eastAsia="zh-CN"/>
        </w:rPr>
        <w:t>采购</w:t>
      </w:r>
      <w:r>
        <w:rPr>
          <w:rFonts w:hint="eastAsia" w:ascii="宋体" w:hAnsi="宋体" w:cs="宋体"/>
          <w:color w:val="auto"/>
          <w:spacing w:val="-6"/>
          <w:sz w:val="24"/>
          <w:highlight w:val="none"/>
        </w:rPr>
        <w:t>活动，并代表我方全权办理针对上述项目的投标、开标、评标、签约等具体事务和签署相关文件。</w:t>
      </w:r>
    </w:p>
    <w:p w14:paraId="34541F48">
      <w:pPr>
        <w:spacing w:line="360" w:lineRule="auto"/>
        <w:ind w:firstLine="456" w:firstLineChars="200"/>
        <w:rPr>
          <w:rFonts w:ascii="宋体" w:cs="宋体"/>
          <w:color w:val="auto"/>
          <w:spacing w:val="-6"/>
          <w:sz w:val="24"/>
          <w:highlight w:val="none"/>
        </w:rPr>
      </w:pPr>
      <w:r>
        <w:rPr>
          <w:rFonts w:hint="eastAsia" w:ascii="宋体" w:hAnsi="宋体" w:cs="宋体"/>
          <w:color w:val="auto"/>
          <w:spacing w:val="-6"/>
          <w:sz w:val="24"/>
          <w:highlight w:val="none"/>
        </w:rPr>
        <w:t>我方对被授权人的签名负全部责任。</w:t>
      </w:r>
    </w:p>
    <w:p w14:paraId="4BA8142B">
      <w:pPr>
        <w:spacing w:line="360" w:lineRule="auto"/>
        <w:ind w:firstLine="456" w:firstLineChars="200"/>
        <w:rPr>
          <w:rFonts w:ascii="宋体" w:cs="宋体"/>
          <w:color w:val="auto"/>
          <w:spacing w:val="-6"/>
          <w:sz w:val="24"/>
          <w:highlight w:val="none"/>
        </w:rPr>
      </w:pPr>
      <w:r>
        <w:rPr>
          <w:rFonts w:hint="eastAsia" w:ascii="宋体" w:hAnsi="宋体" w:cs="宋体"/>
          <w:color w:val="auto"/>
          <w:spacing w:val="-6"/>
          <w:sz w:val="24"/>
          <w:highlight w:val="none"/>
        </w:rPr>
        <w:t>在撤销授权的书面通知以前，本授权书一直有效。被授权人在授权书有效期内签署的所有文件不因授权的撤销而失效。</w:t>
      </w:r>
    </w:p>
    <w:p w14:paraId="0776032D">
      <w:pPr>
        <w:spacing w:line="360" w:lineRule="auto"/>
        <w:ind w:firstLine="456" w:firstLineChars="200"/>
        <w:rPr>
          <w:rFonts w:ascii="宋体" w:cs="宋体"/>
          <w:color w:val="auto"/>
          <w:spacing w:val="-6"/>
          <w:sz w:val="24"/>
          <w:highlight w:val="none"/>
        </w:rPr>
      </w:pPr>
      <w:r>
        <w:rPr>
          <w:rFonts w:hint="eastAsia" w:ascii="宋体" w:hAnsi="宋体" w:cs="宋体"/>
          <w:color w:val="auto"/>
          <w:spacing w:val="-6"/>
          <w:sz w:val="24"/>
          <w:highlight w:val="none"/>
        </w:rPr>
        <w:t>被授权人无转委托权，特此委托。</w:t>
      </w:r>
    </w:p>
    <w:p w14:paraId="5146C9D2">
      <w:pPr>
        <w:spacing w:line="360" w:lineRule="auto"/>
        <w:ind w:firstLine="424" w:firstLineChars="186"/>
        <w:rPr>
          <w:rFonts w:ascii="宋体" w:cs="宋体"/>
          <w:color w:val="auto"/>
          <w:spacing w:val="-6"/>
          <w:sz w:val="24"/>
          <w:highlight w:val="none"/>
        </w:rPr>
      </w:pPr>
    </w:p>
    <w:p w14:paraId="30F3147E">
      <w:pPr>
        <w:rPr>
          <w:rFonts w:ascii="宋体" w:hAnsi="宋体" w:cs="宋体"/>
          <w:color w:val="auto"/>
          <w:sz w:val="24"/>
          <w:highlight w:val="none"/>
        </w:rPr>
      </w:pPr>
      <w:r>
        <w:rPr>
          <w:rFonts w:hint="eastAsia" w:ascii="宋体" w:hAnsi="宋体" w:cs="宋体"/>
          <w:color w:val="auto"/>
          <w:sz w:val="24"/>
          <w:highlight w:val="none"/>
        </w:rPr>
        <w:t>法定代表人（签字或盖章）：</w:t>
      </w:r>
    </w:p>
    <w:p w14:paraId="6EDFC90C">
      <w:pPr>
        <w:rPr>
          <w:rFonts w:ascii="宋体" w:hAnsi="宋体" w:cs="宋体"/>
          <w:color w:val="auto"/>
          <w:sz w:val="24"/>
          <w:highlight w:val="none"/>
        </w:rPr>
      </w:pPr>
    </w:p>
    <w:p w14:paraId="0A62C532">
      <w:pPr>
        <w:rPr>
          <w:rFonts w:ascii="宋体" w:hAnsi="宋体" w:cs="宋体"/>
          <w:color w:val="auto"/>
          <w:sz w:val="24"/>
          <w:highlight w:val="none"/>
        </w:rPr>
      </w:pP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（盖章）：</w:t>
      </w:r>
    </w:p>
    <w:p w14:paraId="2CCB1619">
      <w:pPr>
        <w:rPr>
          <w:rFonts w:ascii="宋体" w:hAnsi="宋体" w:cs="宋体"/>
          <w:color w:val="auto"/>
          <w:sz w:val="24"/>
          <w:highlight w:val="none"/>
        </w:rPr>
      </w:pPr>
    </w:p>
    <w:p w14:paraId="3C1790AF">
      <w:pPr>
        <w:rPr>
          <w:rFonts w:ascii="宋体" w:hAns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     年   月   日</w:t>
      </w:r>
    </w:p>
    <w:p w14:paraId="220E58CF">
      <w:pPr>
        <w:pStyle w:val="4"/>
        <w:keepNext w:val="0"/>
        <w:keepLines w:val="0"/>
        <w:rPr>
          <w:color w:val="auto"/>
          <w:highlight w:val="none"/>
        </w:rPr>
      </w:pPr>
    </w:p>
    <w:tbl>
      <w:tblPr>
        <w:tblStyle w:val="2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355F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39" w:type="dxa"/>
          </w:tcPr>
          <w:p w14:paraId="40D03C66">
            <w:pPr>
              <w:spacing w:line="360" w:lineRule="auto"/>
              <w:rPr>
                <w:rFonts w:ascii="宋体" w:cs="宋体"/>
                <w:color w:val="auto"/>
                <w:sz w:val="24"/>
                <w:highlight w:val="none"/>
              </w:rPr>
            </w:pPr>
            <w:r>
              <w:rPr>
                <w:rFonts w:hint="eastAsia" w:ascii="宋体" w:hAnsi="宋体" w:cs="宋体"/>
                <w:color w:val="auto"/>
                <w:sz w:val="24"/>
                <w:highlight w:val="none"/>
              </w:rPr>
              <w:t>授权代表身份证：</w:t>
            </w:r>
          </w:p>
          <w:p w14:paraId="166B904E">
            <w:pPr>
              <w:spacing w:line="360" w:lineRule="auto"/>
              <w:rPr>
                <w:rFonts w:ascii="宋体" w:cs="宋体"/>
                <w:color w:val="auto"/>
                <w:sz w:val="24"/>
                <w:highlight w:val="none"/>
              </w:rPr>
            </w:pPr>
          </w:p>
          <w:p w14:paraId="5387AA1F">
            <w:pPr>
              <w:spacing w:line="360" w:lineRule="auto"/>
              <w:rPr>
                <w:rFonts w:ascii="宋体" w:cs="宋体"/>
                <w:color w:val="auto"/>
                <w:sz w:val="24"/>
                <w:highlight w:val="none"/>
              </w:rPr>
            </w:pPr>
          </w:p>
          <w:p w14:paraId="4D1B03DC">
            <w:pPr>
              <w:spacing w:line="360" w:lineRule="auto"/>
              <w:rPr>
                <w:rFonts w:ascii="宋体" w:cs="宋体"/>
                <w:color w:val="auto"/>
                <w:sz w:val="24"/>
                <w:highlight w:val="none"/>
              </w:rPr>
            </w:pPr>
          </w:p>
          <w:p w14:paraId="3AC14AB1">
            <w:pPr>
              <w:spacing w:line="360" w:lineRule="auto"/>
              <w:rPr>
                <w:rFonts w:ascii="宋体" w:cs="宋体"/>
                <w:color w:val="auto"/>
                <w:sz w:val="24"/>
                <w:highlight w:val="none"/>
              </w:rPr>
            </w:pPr>
          </w:p>
          <w:p w14:paraId="1D3C76F9">
            <w:pPr>
              <w:spacing w:line="360" w:lineRule="auto"/>
              <w:rPr>
                <w:rFonts w:ascii="宋体" w:cs="宋体"/>
                <w:color w:val="auto"/>
                <w:sz w:val="24"/>
                <w:highlight w:val="none"/>
              </w:rPr>
            </w:pPr>
            <w:r>
              <w:rPr>
                <w:rFonts w:hint="eastAsia" w:ascii="宋体" w:hAnsi="宋体" w:cs="宋体"/>
                <w:color w:val="auto"/>
                <w:sz w:val="24"/>
                <w:highlight w:val="none"/>
              </w:rPr>
              <w:t>复印件粘贴处</w:t>
            </w:r>
          </w:p>
        </w:tc>
      </w:tr>
    </w:tbl>
    <w:p w14:paraId="3372ECE5">
      <w:pPr>
        <w:pStyle w:val="16"/>
        <w:spacing w:beforeLines="0" w:afterLines="0" w:line="360" w:lineRule="auto"/>
        <w:rPr>
          <w:rFonts w:hAnsi="宋体" w:cs="宋体"/>
          <w:b/>
          <w:color w:val="auto"/>
          <w:spacing w:val="-6"/>
          <w:highlight w:val="none"/>
        </w:rPr>
      </w:pPr>
    </w:p>
    <w:p w14:paraId="104C0BBE">
      <w:pPr>
        <w:spacing w:line="360" w:lineRule="auto"/>
        <w:rPr>
          <w:rFonts w:ascii="宋体" w:cs="宋体"/>
          <w:b/>
          <w:bCs/>
          <w:color w:val="auto"/>
          <w:spacing w:val="-6"/>
          <w:sz w:val="21"/>
          <w:szCs w:val="21"/>
          <w:highlight w:val="none"/>
        </w:rPr>
      </w:pPr>
      <w:r>
        <w:rPr>
          <w:rFonts w:hint="eastAsia" w:ascii="宋体" w:hAnsi="宋体" w:cs="宋体"/>
          <w:b/>
          <w:bCs/>
          <w:color w:val="auto"/>
          <w:spacing w:val="-6"/>
          <w:sz w:val="21"/>
          <w:szCs w:val="21"/>
          <w:highlight w:val="none"/>
        </w:rPr>
        <w:t>说明：</w:t>
      </w:r>
    </w:p>
    <w:p w14:paraId="64093DF3">
      <w:pPr>
        <w:spacing w:line="360" w:lineRule="auto"/>
        <w:rPr>
          <w:rFonts w:ascii="宋体" w:cs="宋体"/>
          <w:b/>
          <w:bCs/>
          <w:color w:val="auto"/>
          <w:spacing w:val="-6"/>
          <w:sz w:val="21"/>
          <w:szCs w:val="21"/>
          <w:highlight w:val="none"/>
        </w:rPr>
      </w:pPr>
      <w:r>
        <w:rPr>
          <w:rFonts w:ascii="宋体" w:hAnsi="宋体" w:cs="宋体"/>
          <w:b/>
          <w:bCs/>
          <w:color w:val="auto"/>
          <w:spacing w:val="-6"/>
          <w:sz w:val="21"/>
          <w:szCs w:val="21"/>
          <w:highlight w:val="none"/>
        </w:rPr>
        <w:t>1.</w:t>
      </w:r>
      <w:r>
        <w:rPr>
          <w:rFonts w:hint="eastAsia" w:ascii="宋体" w:hAnsi="宋体" w:cs="宋体"/>
          <w:b/>
          <w:bCs/>
          <w:color w:val="auto"/>
          <w:spacing w:val="-6"/>
          <w:sz w:val="21"/>
          <w:szCs w:val="21"/>
          <w:highlight w:val="none"/>
        </w:rPr>
        <w:t>供应商的法定代表人参加投标，须在</w:t>
      </w:r>
      <w:r>
        <w:rPr>
          <w:rFonts w:hint="eastAsia" w:ascii="宋体" w:hAnsi="宋体" w:cs="宋体"/>
          <w:b/>
          <w:bCs/>
          <w:color w:val="auto"/>
          <w:spacing w:val="-6"/>
          <w:sz w:val="21"/>
          <w:szCs w:val="21"/>
          <w:highlight w:val="none"/>
          <w:lang w:eastAsia="zh-CN"/>
        </w:rPr>
        <w:t>投标</w:t>
      </w:r>
      <w:r>
        <w:rPr>
          <w:rFonts w:hint="eastAsia" w:ascii="宋体" w:hAnsi="宋体" w:cs="宋体"/>
          <w:b/>
          <w:bCs/>
          <w:color w:val="auto"/>
          <w:spacing w:val="-6"/>
          <w:sz w:val="21"/>
          <w:szCs w:val="21"/>
          <w:highlight w:val="none"/>
        </w:rPr>
        <w:t>文件中提供：法定代表人资格证明书；</w:t>
      </w:r>
    </w:p>
    <w:p w14:paraId="039BEEB2">
      <w:pPr>
        <w:spacing w:line="360" w:lineRule="auto"/>
        <w:rPr>
          <w:rFonts w:ascii="宋体" w:cs="宋体"/>
          <w:b/>
          <w:bCs/>
          <w:color w:val="auto"/>
          <w:spacing w:val="-6"/>
          <w:sz w:val="21"/>
          <w:szCs w:val="21"/>
          <w:highlight w:val="none"/>
        </w:rPr>
      </w:pPr>
      <w:r>
        <w:rPr>
          <w:rFonts w:ascii="宋体" w:hAnsi="宋体" w:cs="宋体"/>
          <w:b/>
          <w:bCs/>
          <w:color w:val="auto"/>
          <w:spacing w:val="-6"/>
          <w:sz w:val="21"/>
          <w:szCs w:val="21"/>
          <w:highlight w:val="none"/>
        </w:rPr>
        <w:t>2.</w:t>
      </w:r>
      <w:r>
        <w:rPr>
          <w:rFonts w:hint="eastAsia" w:ascii="宋体" w:hAnsi="宋体" w:cs="宋体"/>
          <w:b/>
          <w:bCs/>
          <w:color w:val="auto"/>
          <w:spacing w:val="-6"/>
          <w:sz w:val="21"/>
          <w:szCs w:val="21"/>
          <w:highlight w:val="none"/>
        </w:rPr>
        <w:t>供应商的法定代表人委托授权代表参加投标，须在</w:t>
      </w:r>
      <w:r>
        <w:rPr>
          <w:rFonts w:hint="eastAsia" w:ascii="宋体" w:hAnsi="宋体" w:cs="宋体"/>
          <w:b/>
          <w:bCs/>
          <w:color w:val="auto"/>
          <w:spacing w:val="-6"/>
          <w:sz w:val="21"/>
          <w:szCs w:val="21"/>
          <w:highlight w:val="none"/>
          <w:lang w:eastAsia="zh-CN"/>
        </w:rPr>
        <w:t>投标</w:t>
      </w:r>
      <w:r>
        <w:rPr>
          <w:rFonts w:hint="eastAsia" w:ascii="宋体" w:hAnsi="宋体" w:cs="宋体"/>
          <w:b/>
          <w:bCs/>
          <w:color w:val="auto"/>
          <w:spacing w:val="-6"/>
          <w:sz w:val="21"/>
          <w:szCs w:val="21"/>
          <w:highlight w:val="none"/>
        </w:rPr>
        <w:t>文件中提供：法定代表人资格证明书及法定代表人授权委托书。</w:t>
      </w:r>
    </w:p>
    <w:p w14:paraId="03C612DA">
      <w:pPr>
        <w:spacing w:line="360" w:lineRule="auto"/>
        <w:jc w:val="center"/>
        <w:outlineLvl w:val="3"/>
        <w:rPr>
          <w:rFonts w:ascii="宋体" w:cs="宋体"/>
          <w:b/>
          <w:color w:val="auto"/>
          <w:spacing w:val="-6"/>
          <w:sz w:val="24"/>
          <w:szCs w:val="20"/>
          <w:highlight w:val="none"/>
        </w:rPr>
      </w:pPr>
      <w:r>
        <w:rPr>
          <w:rFonts w:ascii="宋体" w:cs="宋体"/>
          <w:b/>
          <w:color w:val="auto"/>
          <w:spacing w:val="-6"/>
          <w:sz w:val="24"/>
          <w:highlight w:val="none"/>
        </w:rPr>
        <w:br w:type="page"/>
      </w:r>
      <w:r>
        <w:rPr>
          <w:rFonts w:hint="eastAsia" w:ascii="宋体" w:hAnsi="宋体" w:cs="宋体"/>
          <w:b/>
          <w:color w:val="auto"/>
          <w:spacing w:val="-6"/>
          <w:sz w:val="24"/>
          <w:highlight w:val="none"/>
          <w:lang w:eastAsia="zh-CN"/>
        </w:rPr>
        <w:t>202</w:t>
      </w:r>
      <w:r>
        <w:rPr>
          <w:rFonts w:hint="eastAsia" w:ascii="宋体" w:hAnsi="宋体" w:cs="宋体"/>
          <w:b/>
          <w:color w:val="auto"/>
          <w:spacing w:val="-6"/>
          <w:sz w:val="24"/>
          <w:highlight w:val="none"/>
          <w:lang w:val="en-US" w:eastAsia="zh-CN"/>
        </w:rPr>
        <w:t>5</w:t>
      </w:r>
      <w:r>
        <w:rPr>
          <w:rFonts w:hint="eastAsia" w:ascii="宋体" w:hAnsi="宋体" w:cs="宋体"/>
          <w:b/>
          <w:color w:val="auto"/>
          <w:spacing w:val="-6"/>
          <w:sz w:val="24"/>
          <w:highlight w:val="none"/>
          <w:lang w:eastAsia="zh-CN"/>
        </w:rPr>
        <w:t>年1月</w:t>
      </w:r>
      <w:r>
        <w:rPr>
          <w:rFonts w:hint="eastAsia" w:ascii="宋体" w:hAnsi="宋体" w:cs="宋体"/>
          <w:b/>
          <w:color w:val="auto"/>
          <w:spacing w:val="-6"/>
          <w:sz w:val="24"/>
          <w:highlight w:val="none"/>
        </w:rPr>
        <w:t>至今任意一月的</w:t>
      </w:r>
      <w:r>
        <w:rPr>
          <w:rFonts w:hint="eastAsia" w:ascii="宋体" w:hAnsi="宋体" w:cs="宋体"/>
          <w:b/>
          <w:color w:val="auto"/>
          <w:spacing w:val="-6"/>
          <w:sz w:val="24"/>
          <w:szCs w:val="20"/>
          <w:highlight w:val="none"/>
        </w:rPr>
        <w:t>投标授权代表社保缴纳证明</w:t>
      </w:r>
    </w:p>
    <w:p w14:paraId="63517ED3">
      <w:pPr>
        <w:pStyle w:val="26"/>
        <w:jc w:val="center"/>
        <w:rPr>
          <w:rFonts w:hAnsi="宋体" w:cs="宋体"/>
          <w:b/>
          <w:color w:val="auto"/>
          <w:highlight w:val="none"/>
        </w:rPr>
      </w:pPr>
      <w:r>
        <w:rPr>
          <w:rFonts w:hint="eastAsia" w:hAnsi="宋体" w:cs="宋体"/>
          <w:b/>
          <w:color w:val="auto"/>
          <w:spacing w:val="-6"/>
          <w:sz w:val="21"/>
          <w:szCs w:val="21"/>
          <w:highlight w:val="none"/>
        </w:rPr>
        <w:t>（授权代表为法定代表人可不提供）</w:t>
      </w:r>
    </w:p>
    <w:p w14:paraId="288390FF">
      <w:pPr>
        <w:spacing w:line="360" w:lineRule="auto"/>
        <w:outlineLvl w:val="3"/>
        <w:rPr>
          <w:rFonts w:ascii="宋体" w:cs="宋体"/>
          <w:color w:val="auto"/>
          <w:spacing w:val="-6"/>
          <w:sz w:val="24"/>
          <w:highlight w:val="none"/>
        </w:rPr>
      </w:pPr>
      <w:r>
        <w:rPr>
          <w:rFonts w:ascii="宋体" w:cs="宋体"/>
          <w:b/>
          <w:color w:val="auto"/>
          <w:spacing w:val="-6"/>
          <w:sz w:val="24"/>
          <w:highlight w:val="none"/>
        </w:rPr>
        <w:br w:type="page"/>
      </w:r>
      <w:r>
        <w:rPr>
          <w:rFonts w:hint="eastAsia" w:ascii="宋体" w:hAnsi="宋体" w:cs="宋体"/>
          <w:color w:val="auto"/>
          <w:spacing w:val="-6"/>
          <w:sz w:val="24"/>
          <w:highlight w:val="none"/>
        </w:rPr>
        <w:t>附件12：投标声明书</w:t>
      </w:r>
    </w:p>
    <w:p w14:paraId="2D42E807">
      <w:pPr>
        <w:spacing w:line="360" w:lineRule="auto"/>
        <w:jc w:val="center"/>
        <w:outlineLvl w:val="3"/>
        <w:rPr>
          <w:rFonts w:ascii="宋体" w:cs="宋体"/>
          <w:b/>
          <w:color w:val="auto"/>
          <w:spacing w:val="-6"/>
          <w:sz w:val="24"/>
          <w:highlight w:val="none"/>
        </w:rPr>
      </w:pPr>
      <w:r>
        <w:rPr>
          <w:rFonts w:hint="eastAsia" w:ascii="宋体" w:hAnsi="宋体" w:cs="宋体"/>
          <w:b/>
          <w:color w:val="auto"/>
          <w:spacing w:val="-6"/>
          <w:sz w:val="24"/>
          <w:highlight w:val="none"/>
        </w:rPr>
        <w:t>投标声明书</w:t>
      </w:r>
    </w:p>
    <w:p w14:paraId="535229BB">
      <w:pPr>
        <w:spacing w:line="360" w:lineRule="auto"/>
        <w:rPr>
          <w:rFonts w:hint="eastAsia" w:ascii="宋体" w:eastAsia="宋体" w:cs="宋体"/>
          <w:color w:val="auto"/>
          <w:spacing w:val="-6"/>
          <w:sz w:val="24"/>
          <w:highlight w:val="none"/>
          <w:lang w:eastAsia="zh-CN"/>
        </w:rPr>
      </w:pPr>
      <w:r>
        <w:rPr>
          <w:rFonts w:hint="eastAsia" w:ascii="宋体" w:hAnsi="宋体" w:cs="宋体"/>
          <w:color w:val="auto"/>
          <w:spacing w:val="-6"/>
          <w:sz w:val="24"/>
          <w:highlight w:val="none"/>
        </w:rPr>
        <w:t>致：</w:t>
      </w:r>
      <w:r>
        <w:rPr>
          <w:rFonts w:hint="eastAsia" w:ascii="宋体" w:hAnsi="宋体" w:cs="宋体"/>
          <w:bCs/>
          <w:color w:val="auto"/>
          <w:spacing w:val="-6"/>
          <w:sz w:val="24"/>
          <w:highlight w:val="none"/>
          <w:lang w:eastAsia="zh-CN"/>
        </w:rPr>
        <w:t>衢州市公安局柯城分局</w:t>
      </w:r>
      <w:r>
        <w:rPr>
          <w:rFonts w:hint="eastAsia" w:ascii="宋体" w:hAnsi="宋体" w:cs="宋体"/>
          <w:bCs/>
          <w:color w:val="auto"/>
          <w:spacing w:val="-6"/>
          <w:sz w:val="24"/>
          <w:highlight w:val="none"/>
        </w:rPr>
        <w:t>、</w:t>
      </w:r>
      <w:r>
        <w:rPr>
          <w:rFonts w:hint="eastAsia" w:ascii="宋体" w:hAnsi="宋体" w:cs="宋体"/>
          <w:color w:val="auto"/>
          <w:spacing w:val="-6"/>
          <w:sz w:val="24"/>
          <w:highlight w:val="none"/>
          <w:lang w:eastAsia="zh-CN"/>
        </w:rPr>
        <w:t>衢州胜友如云工程咨询有限公司</w:t>
      </w:r>
    </w:p>
    <w:p w14:paraId="3438EC1F">
      <w:pPr>
        <w:spacing w:line="360" w:lineRule="auto"/>
        <w:ind w:firstLine="456" w:firstLineChars="200"/>
        <w:rPr>
          <w:rFonts w:ascii="宋体" w:cs="宋体"/>
          <w:color w:val="auto"/>
          <w:spacing w:val="-6"/>
          <w:sz w:val="24"/>
          <w:highlight w:val="none"/>
        </w:rPr>
      </w:pPr>
      <w:r>
        <w:rPr>
          <w:rFonts w:ascii="宋体" w:hAnsi="宋体" w:cs="宋体"/>
          <w:color w:val="auto"/>
          <w:spacing w:val="-6"/>
          <w:sz w:val="24"/>
          <w:highlight w:val="none"/>
        </w:rPr>
        <w:t>___________________________________</w:t>
      </w:r>
      <w:r>
        <w:rPr>
          <w:rFonts w:hint="eastAsia" w:ascii="宋体" w:hAnsi="宋体" w:cs="宋体"/>
          <w:color w:val="auto"/>
          <w:spacing w:val="-6"/>
          <w:sz w:val="24"/>
          <w:highlight w:val="none"/>
        </w:rPr>
        <w:t>（</w:t>
      </w:r>
      <w:r>
        <w:rPr>
          <w:rFonts w:hint="eastAsia" w:ascii="宋体" w:hAnsi="宋体" w:cs="宋体"/>
          <w:color w:val="auto"/>
          <w:spacing w:val="-6"/>
          <w:sz w:val="24"/>
          <w:highlight w:val="none"/>
          <w:lang w:eastAsia="zh-CN"/>
        </w:rPr>
        <w:t>投标人名称</w:t>
      </w:r>
      <w:r>
        <w:rPr>
          <w:rFonts w:hint="eastAsia" w:ascii="宋体" w:hAnsi="宋体" w:cs="宋体"/>
          <w:color w:val="auto"/>
          <w:spacing w:val="-6"/>
          <w:sz w:val="24"/>
          <w:highlight w:val="none"/>
        </w:rPr>
        <w:t>）系中华人民共和国合法企业，经营地址</w:t>
      </w:r>
      <w:r>
        <w:rPr>
          <w:rFonts w:ascii="宋体" w:hAnsi="宋体" w:cs="宋体"/>
          <w:color w:val="auto"/>
          <w:spacing w:val="-6"/>
          <w:sz w:val="24"/>
          <w:highlight w:val="none"/>
        </w:rPr>
        <w:t>___________________________________</w:t>
      </w:r>
      <w:r>
        <w:rPr>
          <w:rFonts w:hint="eastAsia" w:ascii="宋体" w:hAnsi="宋体" w:cs="宋体"/>
          <w:color w:val="auto"/>
          <w:spacing w:val="-6"/>
          <w:sz w:val="24"/>
          <w:highlight w:val="none"/>
        </w:rPr>
        <w:t>。</w:t>
      </w:r>
    </w:p>
    <w:p w14:paraId="7E2D27E5">
      <w:pPr>
        <w:spacing w:line="360" w:lineRule="auto"/>
        <w:ind w:firstLine="456" w:firstLineChars="200"/>
        <w:rPr>
          <w:rFonts w:ascii="宋体" w:cs="宋体"/>
          <w:color w:val="auto"/>
          <w:spacing w:val="-6"/>
          <w:sz w:val="24"/>
          <w:highlight w:val="none"/>
        </w:rPr>
      </w:pPr>
      <w:r>
        <w:rPr>
          <w:rFonts w:hint="eastAsia" w:ascii="宋体" w:hAnsi="宋体" w:cs="宋体"/>
          <w:color w:val="auto"/>
          <w:spacing w:val="-6"/>
          <w:sz w:val="24"/>
          <w:highlight w:val="none"/>
        </w:rPr>
        <w:t>我方愿意参加贵方组织的</w:t>
      </w:r>
      <w:r>
        <w:rPr>
          <w:rFonts w:hint="eastAsia" w:ascii="宋体" w:hAnsi="宋体" w:cs="宋体"/>
          <w:color w:val="auto"/>
          <w:spacing w:val="-6"/>
          <w:sz w:val="24"/>
          <w:highlight w:val="none"/>
          <w:u w:val="single"/>
        </w:rPr>
        <w:t xml:space="preserve">    </w:t>
      </w:r>
      <w:r>
        <w:rPr>
          <w:rFonts w:ascii="宋体" w:hAnsi="宋体" w:cs="宋体"/>
          <w:color w:val="auto"/>
          <w:spacing w:val="-6"/>
          <w:sz w:val="24"/>
          <w:highlight w:val="none"/>
          <w:u w:val="single"/>
        </w:rPr>
        <w:t xml:space="preserve">                                    </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采购的投标，为便于贵方公正、择优地确定中标人及其产品和服务，我方就本次投标有关事项郑重声明如下：</w:t>
      </w:r>
    </w:p>
    <w:p w14:paraId="3C63A358">
      <w:pPr>
        <w:spacing w:line="360" w:lineRule="auto"/>
        <w:ind w:firstLine="456" w:firstLineChars="200"/>
        <w:rPr>
          <w:rFonts w:ascii="宋体" w:cs="宋体"/>
          <w:color w:val="auto"/>
          <w:spacing w:val="-6"/>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我方向贵方提交的所有</w:t>
      </w:r>
      <w:r>
        <w:rPr>
          <w:rFonts w:hint="eastAsia" w:ascii="宋体" w:hAnsi="宋体" w:cs="宋体"/>
          <w:color w:val="auto"/>
          <w:spacing w:val="-6"/>
          <w:sz w:val="24"/>
          <w:highlight w:val="none"/>
          <w:lang w:eastAsia="zh-CN"/>
        </w:rPr>
        <w:t>投标</w:t>
      </w:r>
      <w:r>
        <w:rPr>
          <w:rFonts w:hint="eastAsia" w:ascii="宋体" w:hAnsi="宋体" w:cs="宋体"/>
          <w:color w:val="auto"/>
          <w:spacing w:val="-6"/>
          <w:sz w:val="24"/>
          <w:highlight w:val="none"/>
        </w:rPr>
        <w:t>文件、资料都是准确的和真实的；</w:t>
      </w:r>
    </w:p>
    <w:p w14:paraId="23B78813">
      <w:pPr>
        <w:spacing w:line="360" w:lineRule="auto"/>
        <w:ind w:firstLine="456" w:firstLineChars="200"/>
        <w:rPr>
          <w:rFonts w:ascii="宋体" w:cs="宋体"/>
          <w:color w:val="auto"/>
          <w:spacing w:val="-6"/>
          <w:sz w:val="24"/>
          <w:highlight w:val="none"/>
        </w:rPr>
      </w:pPr>
      <w:r>
        <w:rPr>
          <w:rFonts w:ascii="宋体" w:hAnsi="宋体" w:cs="宋体"/>
          <w:color w:val="auto"/>
          <w:spacing w:val="-6"/>
          <w:sz w:val="24"/>
          <w:highlight w:val="none"/>
        </w:rPr>
        <w:t>2.</w:t>
      </w:r>
      <w:r>
        <w:rPr>
          <w:rFonts w:hint="eastAsia" w:ascii="宋体" w:hAnsi="宋体" w:cs="宋体"/>
          <w:color w:val="auto"/>
          <w:spacing w:val="-6"/>
          <w:sz w:val="24"/>
          <w:highlight w:val="none"/>
        </w:rPr>
        <w:t>我方不是采购人的附属机构；在获知本项目采购信息后，与采购人聘请的为此项目提供咨询服务的公司及其附属机构没有任何联系。</w:t>
      </w:r>
    </w:p>
    <w:p w14:paraId="3923B3CB">
      <w:pPr>
        <w:pStyle w:val="9"/>
        <w:spacing w:line="360" w:lineRule="auto"/>
        <w:ind w:firstLine="456" w:firstLineChars="200"/>
        <w:rPr>
          <w:rFonts w:hAnsi="宋体" w:cs="宋体"/>
          <w:color w:val="auto"/>
          <w:spacing w:val="-6"/>
          <w:sz w:val="24"/>
          <w:szCs w:val="24"/>
          <w:highlight w:val="none"/>
        </w:rPr>
      </w:pPr>
      <w:r>
        <w:rPr>
          <w:rFonts w:hAnsi="宋体" w:cs="宋体"/>
          <w:color w:val="auto"/>
          <w:spacing w:val="-6"/>
          <w:sz w:val="24"/>
          <w:szCs w:val="24"/>
          <w:highlight w:val="none"/>
        </w:rPr>
        <w:t>3.</w:t>
      </w:r>
      <w:r>
        <w:rPr>
          <w:rFonts w:hint="eastAsia" w:hAnsi="宋体" w:cs="宋体"/>
          <w:color w:val="auto"/>
          <w:spacing w:val="-6"/>
          <w:sz w:val="24"/>
          <w:szCs w:val="24"/>
          <w:highlight w:val="none"/>
        </w:rPr>
        <w:t>我方在参加政府采购活动前</w:t>
      </w:r>
      <w:r>
        <w:rPr>
          <w:rFonts w:hAnsi="宋体" w:cs="宋体"/>
          <w:color w:val="auto"/>
          <w:spacing w:val="-6"/>
          <w:sz w:val="24"/>
          <w:szCs w:val="24"/>
          <w:highlight w:val="none"/>
        </w:rPr>
        <w:t>3</w:t>
      </w:r>
      <w:r>
        <w:rPr>
          <w:rFonts w:hint="eastAsia" w:hAnsi="宋体" w:cs="宋体"/>
          <w:color w:val="auto"/>
          <w:spacing w:val="-6"/>
          <w:sz w:val="24"/>
          <w:szCs w:val="24"/>
          <w:highlight w:val="none"/>
        </w:rPr>
        <w:t>年内：</w:t>
      </w:r>
      <w:r>
        <w:rPr>
          <w:rFonts w:hint="eastAsia" w:hAnsi="宋体" w:cs="宋体"/>
          <w:b/>
          <w:color w:val="auto"/>
          <w:spacing w:val="-6"/>
          <w:sz w:val="24"/>
          <w:szCs w:val="24"/>
          <w:highlight w:val="none"/>
        </w:rPr>
        <w:t>（填写“有”或“没有”，如实填写，如不填写视同未按要求填写）</w:t>
      </w:r>
      <w:r>
        <w:rPr>
          <w:rFonts w:hint="eastAsia" w:hAnsi="宋体" w:cs="宋体"/>
          <w:color w:val="auto"/>
          <w:spacing w:val="-6"/>
          <w:sz w:val="24"/>
          <w:szCs w:val="24"/>
          <w:highlight w:val="none"/>
        </w:rPr>
        <w:t>因违法经营被禁止在一定期限内参加政府采购活动</w:t>
      </w:r>
      <w:r>
        <w:rPr>
          <w:rFonts w:hAnsi="宋体" w:cs="宋体"/>
          <w:color w:val="auto"/>
          <w:spacing w:val="-6"/>
          <w:sz w:val="24"/>
          <w:szCs w:val="24"/>
          <w:highlight w:val="none"/>
        </w:rPr>
        <w:t>,</w:t>
      </w:r>
      <w:r>
        <w:rPr>
          <w:rFonts w:hint="eastAsia" w:hAnsi="宋体" w:cs="宋体"/>
          <w:color w:val="auto"/>
          <w:spacing w:val="-6"/>
          <w:sz w:val="24"/>
          <w:szCs w:val="24"/>
          <w:highlight w:val="none"/>
        </w:rPr>
        <w:t>且期限未满的情形。</w:t>
      </w:r>
    </w:p>
    <w:p w14:paraId="21DED3F8">
      <w:pPr>
        <w:pStyle w:val="9"/>
        <w:spacing w:line="360" w:lineRule="auto"/>
        <w:ind w:firstLine="456" w:firstLineChars="200"/>
        <w:rPr>
          <w:rFonts w:hAnsi="宋体" w:cs="宋体"/>
          <w:color w:val="auto"/>
          <w:spacing w:val="-6"/>
          <w:sz w:val="24"/>
          <w:szCs w:val="24"/>
          <w:highlight w:val="none"/>
        </w:rPr>
      </w:pPr>
      <w:r>
        <w:rPr>
          <w:rFonts w:hAnsi="宋体" w:cs="宋体"/>
          <w:color w:val="auto"/>
          <w:spacing w:val="-6"/>
          <w:sz w:val="24"/>
          <w:szCs w:val="24"/>
          <w:highlight w:val="none"/>
        </w:rPr>
        <w:t>4.</w:t>
      </w:r>
      <w:r>
        <w:rPr>
          <w:rFonts w:hint="eastAsia" w:hAnsi="宋体" w:cs="宋体"/>
          <w:color w:val="auto"/>
          <w:spacing w:val="-6"/>
          <w:sz w:val="24"/>
          <w:szCs w:val="24"/>
          <w:highlight w:val="none"/>
        </w:rPr>
        <w:t>以上事项如有虚假或隐瞒，我方愿意承担一切后果和责任。</w:t>
      </w:r>
    </w:p>
    <w:p w14:paraId="65BEC6AF">
      <w:pPr>
        <w:pStyle w:val="58"/>
        <w:spacing w:line="360" w:lineRule="auto"/>
        <w:rPr>
          <w:rFonts w:ascii="宋体" w:cs="宋体"/>
          <w:color w:val="auto"/>
          <w:spacing w:val="-6"/>
          <w:szCs w:val="24"/>
          <w:highlight w:val="none"/>
        </w:rPr>
      </w:pPr>
    </w:p>
    <w:p w14:paraId="469106F5">
      <w:pPr>
        <w:pStyle w:val="58"/>
        <w:spacing w:line="360" w:lineRule="auto"/>
        <w:rPr>
          <w:rFonts w:ascii="宋体" w:cs="宋体"/>
          <w:color w:val="auto"/>
          <w:spacing w:val="-6"/>
          <w:szCs w:val="24"/>
          <w:highlight w:val="none"/>
        </w:rPr>
      </w:pPr>
    </w:p>
    <w:p w14:paraId="27E3149E">
      <w:pPr>
        <w:pStyle w:val="58"/>
        <w:spacing w:line="360" w:lineRule="auto"/>
        <w:rPr>
          <w:rFonts w:ascii="宋体" w:cs="宋体"/>
          <w:color w:val="auto"/>
          <w:spacing w:val="-6"/>
          <w:szCs w:val="24"/>
          <w:highlight w:val="none"/>
        </w:rPr>
      </w:pPr>
    </w:p>
    <w:p w14:paraId="66CAC7A8">
      <w:pPr>
        <w:rPr>
          <w:rFonts w:ascii="宋体" w:hAnsi="宋体" w:cs="宋体"/>
          <w:color w:val="auto"/>
          <w:sz w:val="24"/>
          <w:highlight w:val="none"/>
        </w:rPr>
      </w:pP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（盖章）：</w:t>
      </w:r>
    </w:p>
    <w:p w14:paraId="7CEAF748">
      <w:pPr>
        <w:rPr>
          <w:rFonts w:ascii="宋体" w:hAnsi="宋体" w:cs="宋体"/>
          <w:color w:val="auto"/>
          <w:sz w:val="24"/>
          <w:highlight w:val="none"/>
        </w:rPr>
      </w:pPr>
    </w:p>
    <w:p w14:paraId="6B46DB41">
      <w:pPr>
        <w:rPr>
          <w:rFonts w:ascii="宋体" w:hAns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p>
    <w:p w14:paraId="2D6BF170">
      <w:pPr>
        <w:rPr>
          <w:rFonts w:ascii="宋体" w:hAnsi="宋体" w:cs="宋体"/>
          <w:color w:val="auto"/>
          <w:sz w:val="24"/>
          <w:highlight w:val="none"/>
        </w:rPr>
      </w:pPr>
    </w:p>
    <w:p w14:paraId="1AEF414F">
      <w:pPr>
        <w:rPr>
          <w:rFonts w:ascii="宋体" w:hAns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期：  </w:t>
      </w:r>
    </w:p>
    <w:p w14:paraId="6A3BF3C1">
      <w:pPr>
        <w:spacing w:line="360" w:lineRule="auto"/>
        <w:rPr>
          <w:rFonts w:ascii="宋体" w:cs="宋体"/>
          <w:bCs/>
          <w:color w:val="auto"/>
          <w:sz w:val="24"/>
          <w:highlight w:val="none"/>
        </w:rPr>
      </w:pPr>
      <w:r>
        <w:rPr>
          <w:rFonts w:ascii="宋体" w:cs="宋体"/>
          <w:b/>
          <w:color w:val="auto"/>
          <w:spacing w:val="-6"/>
          <w:sz w:val="24"/>
          <w:highlight w:val="none"/>
        </w:rPr>
        <w:br w:type="page"/>
      </w:r>
      <w:r>
        <w:rPr>
          <w:rFonts w:hint="eastAsia" w:ascii="宋体" w:hAnsi="宋体" w:cs="宋体"/>
          <w:bCs/>
          <w:color w:val="auto"/>
          <w:sz w:val="24"/>
          <w:highlight w:val="none"/>
        </w:rPr>
        <w:t>附件</w:t>
      </w:r>
      <w:r>
        <w:rPr>
          <w:rFonts w:ascii="宋体" w:hAnsi="宋体" w:cs="宋体"/>
          <w:bCs/>
          <w:color w:val="auto"/>
          <w:sz w:val="24"/>
          <w:highlight w:val="none"/>
        </w:rPr>
        <w:t>1</w:t>
      </w:r>
      <w:r>
        <w:rPr>
          <w:rFonts w:hint="eastAsia" w:ascii="宋体" w:hAnsi="宋体" w:cs="宋体"/>
          <w:bCs/>
          <w:color w:val="auto"/>
          <w:sz w:val="24"/>
          <w:highlight w:val="none"/>
        </w:rPr>
        <w:t>3：供应商基本情况表</w:t>
      </w:r>
    </w:p>
    <w:p w14:paraId="5EDCED7F">
      <w:pPr>
        <w:snapToGrid w:val="0"/>
        <w:spacing w:beforeLines="50" w:after="50" w:line="360" w:lineRule="auto"/>
        <w:jc w:val="center"/>
        <w:rPr>
          <w:rFonts w:ascii="宋体" w:cs="宋体"/>
          <w:bCs/>
          <w:color w:val="auto"/>
          <w:sz w:val="24"/>
          <w:highlight w:val="none"/>
        </w:rPr>
      </w:pPr>
      <w:r>
        <w:rPr>
          <w:rFonts w:hint="eastAsia" w:ascii="宋体" w:hAnsi="宋体" w:cs="宋体"/>
          <w:bCs/>
          <w:color w:val="auto"/>
          <w:sz w:val="24"/>
          <w:highlight w:val="none"/>
        </w:rPr>
        <w:t>供应商基本情况表</w:t>
      </w:r>
    </w:p>
    <w:p w14:paraId="60FB339C">
      <w:pPr>
        <w:spacing w:line="400" w:lineRule="atLeast"/>
        <w:jc w:val="center"/>
        <w:rPr>
          <w:rFonts w:ascii="宋体" w:cs="宋体"/>
          <w:b/>
          <w:color w:val="auto"/>
          <w:sz w:val="24"/>
          <w:highlight w:val="none"/>
        </w:rPr>
      </w:pPr>
    </w:p>
    <w:tbl>
      <w:tblPr>
        <w:tblStyle w:val="27"/>
        <w:tblW w:w="8851" w:type="dxa"/>
        <w:jc w:val="center"/>
        <w:tblLayout w:type="fixed"/>
        <w:tblCellMar>
          <w:top w:w="0" w:type="dxa"/>
          <w:left w:w="28" w:type="dxa"/>
          <w:bottom w:w="0" w:type="dxa"/>
          <w:right w:w="28" w:type="dxa"/>
        </w:tblCellMar>
      </w:tblPr>
      <w:tblGrid>
        <w:gridCol w:w="2487"/>
        <w:gridCol w:w="1800"/>
        <w:gridCol w:w="2700"/>
        <w:gridCol w:w="1864"/>
      </w:tblGrid>
      <w:tr w14:paraId="20D29430">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290D6211">
            <w:pPr>
              <w:widowControl/>
              <w:autoSpaceDE w:val="0"/>
              <w:autoSpaceDN w:val="0"/>
              <w:spacing w:line="400" w:lineRule="atLeast"/>
              <w:ind w:left="113"/>
              <w:jc w:val="center"/>
              <w:textAlignment w:val="bottom"/>
              <w:rPr>
                <w:rFonts w:ascii="宋体" w:cs="宋体"/>
                <w:color w:val="auto"/>
                <w:sz w:val="24"/>
                <w:highlight w:val="none"/>
              </w:rPr>
            </w:pPr>
            <w:r>
              <w:rPr>
                <w:rFonts w:hint="eastAsia" w:ascii="宋体" w:hAnsi="宋体" w:cs="宋体"/>
                <w:color w:val="auto"/>
                <w:sz w:val="24"/>
                <w:highlight w:val="none"/>
              </w:rPr>
              <w:t>供应商全称</w:t>
            </w:r>
          </w:p>
        </w:tc>
        <w:tc>
          <w:tcPr>
            <w:tcW w:w="1800" w:type="dxa"/>
            <w:tcBorders>
              <w:top w:val="single" w:color="auto" w:sz="6" w:space="0"/>
              <w:left w:val="single" w:color="auto" w:sz="6" w:space="0"/>
              <w:bottom w:val="single" w:color="auto" w:sz="6" w:space="0"/>
              <w:right w:val="single" w:color="auto" w:sz="6" w:space="0"/>
            </w:tcBorders>
            <w:vAlign w:val="center"/>
          </w:tcPr>
          <w:p w14:paraId="45EEDA81">
            <w:pPr>
              <w:widowControl/>
              <w:autoSpaceDE w:val="0"/>
              <w:autoSpaceDN w:val="0"/>
              <w:spacing w:line="400" w:lineRule="atLeast"/>
              <w:jc w:val="center"/>
              <w:textAlignment w:val="bottom"/>
              <w:rPr>
                <w:rFonts w:ascii="宋体" w:cs="宋体"/>
                <w:b/>
                <w:bCs/>
                <w:color w:val="auto"/>
                <w:sz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1BE7AB6">
            <w:pPr>
              <w:widowControl/>
              <w:autoSpaceDE w:val="0"/>
              <w:autoSpaceDN w:val="0"/>
              <w:spacing w:line="400" w:lineRule="atLeast"/>
              <w:jc w:val="center"/>
              <w:textAlignment w:val="bottom"/>
              <w:rPr>
                <w:rFonts w:ascii="宋体" w:cs="宋体"/>
                <w:color w:val="auto"/>
                <w:sz w:val="24"/>
                <w:highlight w:val="none"/>
              </w:rPr>
            </w:pPr>
            <w:r>
              <w:rPr>
                <w:rFonts w:hint="eastAsia" w:ascii="宋体" w:hAnsi="宋体" w:cs="宋体"/>
                <w:color w:val="auto"/>
                <w:sz w:val="24"/>
                <w:highlight w:val="none"/>
              </w:rPr>
              <w:t>法定代表人</w:t>
            </w:r>
          </w:p>
        </w:tc>
        <w:tc>
          <w:tcPr>
            <w:tcW w:w="1864" w:type="dxa"/>
            <w:tcBorders>
              <w:top w:val="single" w:color="auto" w:sz="6" w:space="0"/>
              <w:left w:val="single" w:color="auto" w:sz="6" w:space="0"/>
              <w:bottom w:val="single" w:color="auto" w:sz="6" w:space="0"/>
              <w:right w:val="single" w:color="auto" w:sz="6" w:space="0"/>
            </w:tcBorders>
            <w:vAlign w:val="center"/>
          </w:tcPr>
          <w:p w14:paraId="614ADB42">
            <w:pPr>
              <w:widowControl/>
              <w:autoSpaceDE w:val="0"/>
              <w:autoSpaceDN w:val="0"/>
              <w:jc w:val="center"/>
              <w:textAlignment w:val="bottom"/>
              <w:rPr>
                <w:rFonts w:ascii="宋体" w:cs="宋体"/>
                <w:b/>
                <w:bCs/>
                <w:color w:val="auto"/>
                <w:sz w:val="24"/>
                <w:highlight w:val="none"/>
              </w:rPr>
            </w:pPr>
          </w:p>
        </w:tc>
      </w:tr>
      <w:tr w14:paraId="0DD8C942">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1712E32E">
            <w:pPr>
              <w:widowControl/>
              <w:autoSpaceDE w:val="0"/>
              <w:autoSpaceDN w:val="0"/>
              <w:spacing w:line="400" w:lineRule="atLeast"/>
              <w:ind w:left="113"/>
              <w:jc w:val="center"/>
              <w:textAlignment w:val="bottom"/>
              <w:rPr>
                <w:rFonts w:ascii="宋体" w:cs="宋体"/>
                <w:color w:val="auto"/>
                <w:sz w:val="24"/>
                <w:highlight w:val="none"/>
              </w:rPr>
            </w:pPr>
            <w:r>
              <w:rPr>
                <w:rFonts w:hint="eastAsia" w:ascii="宋体" w:hAnsi="宋体" w:cs="宋体"/>
                <w:color w:val="auto"/>
                <w:sz w:val="24"/>
                <w:highlight w:val="none"/>
              </w:rPr>
              <w:t>企业相关资质</w:t>
            </w:r>
          </w:p>
        </w:tc>
        <w:tc>
          <w:tcPr>
            <w:tcW w:w="1800" w:type="dxa"/>
            <w:tcBorders>
              <w:top w:val="single" w:color="auto" w:sz="6" w:space="0"/>
              <w:left w:val="single" w:color="auto" w:sz="6" w:space="0"/>
              <w:bottom w:val="single" w:color="auto" w:sz="6" w:space="0"/>
              <w:right w:val="single" w:color="auto" w:sz="6" w:space="0"/>
            </w:tcBorders>
            <w:vAlign w:val="center"/>
          </w:tcPr>
          <w:p w14:paraId="1E09189F">
            <w:pPr>
              <w:widowControl/>
              <w:autoSpaceDE w:val="0"/>
              <w:autoSpaceDN w:val="0"/>
              <w:spacing w:line="400" w:lineRule="atLeast"/>
              <w:jc w:val="center"/>
              <w:textAlignment w:val="bottom"/>
              <w:rPr>
                <w:rFonts w:ascii="宋体" w:cs="宋体"/>
                <w:b/>
                <w:bCs/>
                <w:color w:val="auto"/>
                <w:sz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EB7EA08">
            <w:pPr>
              <w:widowControl/>
              <w:autoSpaceDE w:val="0"/>
              <w:autoSpaceDN w:val="0"/>
              <w:spacing w:line="400" w:lineRule="atLeast"/>
              <w:ind w:left="113"/>
              <w:jc w:val="center"/>
              <w:textAlignment w:val="bottom"/>
              <w:rPr>
                <w:rFonts w:ascii="宋体" w:cs="宋体"/>
                <w:color w:val="auto"/>
                <w:sz w:val="24"/>
                <w:highlight w:val="none"/>
              </w:rPr>
            </w:pPr>
            <w:r>
              <w:rPr>
                <w:rFonts w:hint="eastAsia" w:ascii="宋体" w:hAnsi="宋体" w:cs="宋体"/>
                <w:color w:val="auto"/>
                <w:sz w:val="24"/>
                <w:highlight w:val="none"/>
              </w:rPr>
              <w:t>营业执照编号</w:t>
            </w:r>
          </w:p>
        </w:tc>
        <w:tc>
          <w:tcPr>
            <w:tcW w:w="1864" w:type="dxa"/>
            <w:tcBorders>
              <w:top w:val="single" w:color="auto" w:sz="6" w:space="0"/>
              <w:left w:val="single" w:color="auto" w:sz="6" w:space="0"/>
              <w:bottom w:val="single" w:color="auto" w:sz="6" w:space="0"/>
              <w:right w:val="single" w:color="auto" w:sz="6" w:space="0"/>
            </w:tcBorders>
            <w:vAlign w:val="center"/>
          </w:tcPr>
          <w:p w14:paraId="1D3D5BE1">
            <w:pPr>
              <w:widowControl/>
              <w:autoSpaceDE w:val="0"/>
              <w:autoSpaceDN w:val="0"/>
              <w:spacing w:line="400" w:lineRule="atLeast"/>
              <w:jc w:val="center"/>
              <w:textAlignment w:val="bottom"/>
              <w:rPr>
                <w:rFonts w:ascii="宋体" w:cs="宋体"/>
                <w:b/>
                <w:bCs/>
                <w:color w:val="auto"/>
                <w:sz w:val="24"/>
                <w:highlight w:val="none"/>
              </w:rPr>
            </w:pPr>
          </w:p>
        </w:tc>
      </w:tr>
      <w:tr w14:paraId="29EA4B9D">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7ABEC261">
            <w:pPr>
              <w:widowControl/>
              <w:autoSpaceDE w:val="0"/>
              <w:autoSpaceDN w:val="0"/>
              <w:spacing w:line="400" w:lineRule="atLeast"/>
              <w:ind w:left="113"/>
              <w:jc w:val="center"/>
              <w:textAlignment w:val="bottom"/>
              <w:rPr>
                <w:rFonts w:ascii="宋体" w:cs="宋体"/>
                <w:color w:val="auto"/>
                <w:sz w:val="24"/>
                <w:highlight w:val="none"/>
              </w:rPr>
            </w:pPr>
            <w:r>
              <w:rPr>
                <w:rFonts w:hint="eastAsia" w:ascii="宋体" w:hAnsi="宋体" w:cs="宋体"/>
                <w:color w:val="auto"/>
                <w:sz w:val="24"/>
                <w:highlight w:val="none"/>
              </w:rPr>
              <w:t>单位性质</w:t>
            </w:r>
          </w:p>
        </w:tc>
        <w:tc>
          <w:tcPr>
            <w:tcW w:w="1800" w:type="dxa"/>
            <w:tcBorders>
              <w:top w:val="single" w:color="auto" w:sz="6" w:space="0"/>
              <w:left w:val="single" w:color="auto" w:sz="6" w:space="0"/>
              <w:bottom w:val="single" w:color="auto" w:sz="6" w:space="0"/>
              <w:right w:val="single" w:color="auto" w:sz="6" w:space="0"/>
            </w:tcBorders>
            <w:vAlign w:val="center"/>
          </w:tcPr>
          <w:p w14:paraId="5B8093A4">
            <w:pPr>
              <w:widowControl/>
              <w:autoSpaceDE w:val="0"/>
              <w:autoSpaceDN w:val="0"/>
              <w:spacing w:line="400" w:lineRule="atLeast"/>
              <w:jc w:val="center"/>
              <w:textAlignment w:val="bottom"/>
              <w:rPr>
                <w:rFonts w:ascii="宋体" w:cs="宋体"/>
                <w:b/>
                <w:bCs/>
                <w:color w:val="auto"/>
                <w:sz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A73496B">
            <w:pPr>
              <w:widowControl/>
              <w:autoSpaceDE w:val="0"/>
              <w:autoSpaceDN w:val="0"/>
              <w:jc w:val="center"/>
              <w:textAlignment w:val="bottom"/>
              <w:rPr>
                <w:rFonts w:ascii="宋体" w:cs="宋体"/>
                <w:color w:val="auto"/>
                <w:sz w:val="24"/>
                <w:highlight w:val="none"/>
              </w:rPr>
            </w:pPr>
            <w:r>
              <w:rPr>
                <w:rFonts w:hint="eastAsia" w:ascii="宋体" w:hAnsi="宋体" w:cs="宋体"/>
                <w:color w:val="auto"/>
                <w:sz w:val="24"/>
                <w:highlight w:val="none"/>
              </w:rPr>
              <w:t>隶属</w:t>
            </w:r>
          </w:p>
        </w:tc>
        <w:tc>
          <w:tcPr>
            <w:tcW w:w="1864" w:type="dxa"/>
            <w:tcBorders>
              <w:top w:val="single" w:color="auto" w:sz="6" w:space="0"/>
              <w:left w:val="single" w:color="auto" w:sz="6" w:space="0"/>
              <w:bottom w:val="single" w:color="auto" w:sz="6" w:space="0"/>
              <w:right w:val="single" w:color="auto" w:sz="6" w:space="0"/>
            </w:tcBorders>
            <w:vAlign w:val="center"/>
          </w:tcPr>
          <w:p w14:paraId="0C8F5D42">
            <w:pPr>
              <w:widowControl/>
              <w:autoSpaceDE w:val="0"/>
              <w:autoSpaceDN w:val="0"/>
              <w:spacing w:line="400" w:lineRule="atLeast"/>
              <w:jc w:val="center"/>
              <w:textAlignment w:val="bottom"/>
              <w:rPr>
                <w:rFonts w:ascii="宋体" w:cs="宋体"/>
                <w:b/>
                <w:bCs/>
                <w:color w:val="auto"/>
                <w:sz w:val="24"/>
                <w:highlight w:val="none"/>
              </w:rPr>
            </w:pPr>
          </w:p>
        </w:tc>
      </w:tr>
      <w:tr w14:paraId="443D9C67">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0754289E">
            <w:pPr>
              <w:widowControl/>
              <w:autoSpaceDE w:val="0"/>
              <w:autoSpaceDN w:val="0"/>
              <w:spacing w:line="400" w:lineRule="atLeast"/>
              <w:ind w:left="113"/>
              <w:jc w:val="center"/>
              <w:textAlignment w:val="bottom"/>
              <w:rPr>
                <w:rFonts w:ascii="宋体" w:cs="宋体"/>
                <w:color w:val="auto"/>
                <w:sz w:val="24"/>
                <w:highlight w:val="none"/>
              </w:rPr>
            </w:pPr>
            <w:r>
              <w:rPr>
                <w:rFonts w:hint="eastAsia" w:ascii="宋体" w:hAnsi="宋体" w:cs="宋体"/>
                <w:color w:val="auto"/>
                <w:sz w:val="24"/>
                <w:highlight w:val="none"/>
              </w:rPr>
              <w:t>主要业务</w:t>
            </w:r>
          </w:p>
        </w:tc>
        <w:tc>
          <w:tcPr>
            <w:tcW w:w="1800" w:type="dxa"/>
            <w:tcBorders>
              <w:top w:val="single" w:color="auto" w:sz="6" w:space="0"/>
              <w:left w:val="single" w:color="auto" w:sz="6" w:space="0"/>
              <w:bottom w:val="single" w:color="auto" w:sz="6" w:space="0"/>
              <w:right w:val="single" w:color="auto" w:sz="6" w:space="0"/>
            </w:tcBorders>
            <w:vAlign w:val="center"/>
          </w:tcPr>
          <w:p w14:paraId="16631A66">
            <w:pPr>
              <w:widowControl/>
              <w:autoSpaceDE w:val="0"/>
              <w:autoSpaceDN w:val="0"/>
              <w:spacing w:line="400" w:lineRule="atLeast"/>
              <w:jc w:val="center"/>
              <w:textAlignment w:val="bottom"/>
              <w:rPr>
                <w:rFonts w:ascii="宋体" w:cs="宋体"/>
                <w:b/>
                <w:bCs/>
                <w:color w:val="auto"/>
                <w:sz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CFCA3A6">
            <w:pPr>
              <w:widowControl/>
              <w:autoSpaceDE w:val="0"/>
              <w:autoSpaceDN w:val="0"/>
              <w:jc w:val="center"/>
              <w:textAlignment w:val="bottom"/>
              <w:rPr>
                <w:rFonts w:ascii="宋体" w:cs="宋体"/>
                <w:color w:val="auto"/>
                <w:sz w:val="24"/>
                <w:highlight w:val="none"/>
              </w:rPr>
            </w:pPr>
            <w:r>
              <w:rPr>
                <w:rFonts w:hint="eastAsia" w:ascii="宋体" w:hAnsi="宋体" w:cs="宋体"/>
                <w:color w:val="auto"/>
                <w:sz w:val="24"/>
                <w:highlight w:val="none"/>
              </w:rPr>
              <w:t>固定资产净值</w:t>
            </w:r>
            <w:r>
              <w:rPr>
                <w:rFonts w:ascii="宋体" w:hAnsi="宋体" w:cs="宋体"/>
                <w:color w:val="auto"/>
                <w:sz w:val="24"/>
                <w:highlight w:val="none"/>
              </w:rPr>
              <w:t>(</w:t>
            </w:r>
            <w:r>
              <w:rPr>
                <w:rFonts w:hint="eastAsia" w:ascii="宋体" w:hAnsi="宋体" w:cs="宋体"/>
                <w:color w:val="auto"/>
                <w:sz w:val="24"/>
                <w:highlight w:val="none"/>
              </w:rPr>
              <w:t>万元</w:t>
            </w:r>
            <w:r>
              <w:rPr>
                <w:rFonts w:ascii="宋体" w:hAnsi="宋体" w:cs="宋体"/>
                <w:color w:val="auto"/>
                <w:sz w:val="24"/>
                <w:highlight w:val="none"/>
              </w:rPr>
              <w:t>)</w:t>
            </w:r>
          </w:p>
        </w:tc>
        <w:tc>
          <w:tcPr>
            <w:tcW w:w="1864" w:type="dxa"/>
            <w:tcBorders>
              <w:top w:val="single" w:color="auto" w:sz="6" w:space="0"/>
              <w:left w:val="single" w:color="auto" w:sz="6" w:space="0"/>
              <w:bottom w:val="single" w:color="auto" w:sz="6" w:space="0"/>
              <w:right w:val="single" w:color="auto" w:sz="6" w:space="0"/>
            </w:tcBorders>
            <w:vAlign w:val="center"/>
          </w:tcPr>
          <w:p w14:paraId="41355B43">
            <w:pPr>
              <w:widowControl/>
              <w:autoSpaceDE w:val="0"/>
              <w:autoSpaceDN w:val="0"/>
              <w:spacing w:line="400" w:lineRule="atLeast"/>
              <w:jc w:val="center"/>
              <w:textAlignment w:val="bottom"/>
              <w:rPr>
                <w:rFonts w:ascii="宋体" w:cs="宋体"/>
                <w:b/>
                <w:bCs/>
                <w:color w:val="auto"/>
                <w:sz w:val="24"/>
                <w:highlight w:val="none"/>
              </w:rPr>
            </w:pPr>
          </w:p>
        </w:tc>
      </w:tr>
      <w:tr w14:paraId="71FC5894">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3A7662D2">
            <w:pPr>
              <w:widowControl/>
              <w:autoSpaceDE w:val="0"/>
              <w:autoSpaceDN w:val="0"/>
              <w:spacing w:line="400" w:lineRule="atLeast"/>
              <w:ind w:left="113"/>
              <w:jc w:val="center"/>
              <w:textAlignment w:val="bottom"/>
              <w:rPr>
                <w:rFonts w:ascii="宋体" w:cs="宋体"/>
                <w:color w:val="auto"/>
                <w:sz w:val="24"/>
                <w:highlight w:val="none"/>
              </w:rPr>
            </w:pPr>
            <w:r>
              <w:rPr>
                <w:rFonts w:hint="eastAsia" w:ascii="宋体" w:hAnsi="宋体" w:cs="宋体"/>
                <w:color w:val="auto"/>
                <w:sz w:val="24"/>
                <w:highlight w:val="none"/>
              </w:rPr>
              <w:t>现有职工总人数</w:t>
            </w:r>
          </w:p>
        </w:tc>
        <w:tc>
          <w:tcPr>
            <w:tcW w:w="1800" w:type="dxa"/>
            <w:tcBorders>
              <w:top w:val="single" w:color="auto" w:sz="6" w:space="0"/>
              <w:left w:val="single" w:color="auto" w:sz="6" w:space="0"/>
              <w:bottom w:val="single" w:color="auto" w:sz="6" w:space="0"/>
              <w:right w:val="single" w:color="auto" w:sz="6" w:space="0"/>
            </w:tcBorders>
            <w:vAlign w:val="center"/>
          </w:tcPr>
          <w:p w14:paraId="456671D6">
            <w:pPr>
              <w:widowControl/>
              <w:autoSpaceDE w:val="0"/>
              <w:autoSpaceDN w:val="0"/>
              <w:spacing w:line="400" w:lineRule="atLeast"/>
              <w:jc w:val="center"/>
              <w:textAlignment w:val="bottom"/>
              <w:rPr>
                <w:rFonts w:ascii="宋体" w:cs="宋体"/>
                <w:b/>
                <w:bCs/>
                <w:color w:val="auto"/>
                <w:sz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3EC6171">
            <w:pPr>
              <w:widowControl/>
              <w:autoSpaceDE w:val="0"/>
              <w:autoSpaceDN w:val="0"/>
              <w:spacing w:line="400" w:lineRule="atLeast"/>
              <w:jc w:val="center"/>
              <w:textAlignment w:val="bottom"/>
              <w:rPr>
                <w:rFonts w:ascii="宋体" w:cs="宋体"/>
                <w:color w:val="auto"/>
                <w:sz w:val="24"/>
                <w:highlight w:val="none"/>
              </w:rPr>
            </w:pPr>
            <w:r>
              <w:rPr>
                <w:rFonts w:hint="eastAsia" w:ascii="宋体" w:hAnsi="宋体" w:cs="宋体"/>
                <w:color w:val="auto"/>
                <w:sz w:val="24"/>
                <w:highlight w:val="none"/>
              </w:rPr>
              <w:t>单位成立日期</w:t>
            </w:r>
          </w:p>
        </w:tc>
        <w:tc>
          <w:tcPr>
            <w:tcW w:w="1864" w:type="dxa"/>
            <w:tcBorders>
              <w:top w:val="single" w:color="auto" w:sz="6" w:space="0"/>
              <w:left w:val="single" w:color="auto" w:sz="6" w:space="0"/>
              <w:bottom w:val="single" w:color="auto" w:sz="6" w:space="0"/>
              <w:right w:val="single" w:color="auto" w:sz="6" w:space="0"/>
            </w:tcBorders>
            <w:vAlign w:val="center"/>
          </w:tcPr>
          <w:p w14:paraId="1486A06D">
            <w:pPr>
              <w:widowControl/>
              <w:autoSpaceDE w:val="0"/>
              <w:autoSpaceDN w:val="0"/>
              <w:spacing w:line="400" w:lineRule="atLeast"/>
              <w:jc w:val="center"/>
              <w:textAlignment w:val="bottom"/>
              <w:rPr>
                <w:rFonts w:ascii="宋体" w:cs="宋体"/>
                <w:b/>
                <w:bCs/>
                <w:color w:val="auto"/>
                <w:sz w:val="24"/>
                <w:highlight w:val="none"/>
              </w:rPr>
            </w:pPr>
          </w:p>
        </w:tc>
      </w:tr>
      <w:tr w14:paraId="134BE817">
        <w:tblPrEx>
          <w:tblCellMar>
            <w:top w:w="0" w:type="dxa"/>
            <w:left w:w="28" w:type="dxa"/>
            <w:bottom w:w="0" w:type="dxa"/>
            <w:right w:w="28" w:type="dxa"/>
          </w:tblCellMar>
        </w:tblPrEx>
        <w:trPr>
          <w:cantSplit/>
          <w:trHeight w:val="655"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14:paraId="3AE37786">
            <w:pPr>
              <w:widowControl/>
              <w:autoSpaceDE w:val="0"/>
              <w:autoSpaceDN w:val="0"/>
              <w:spacing w:line="400" w:lineRule="atLeast"/>
              <w:ind w:left="113"/>
              <w:jc w:val="center"/>
              <w:textAlignment w:val="bottom"/>
              <w:rPr>
                <w:rFonts w:ascii="宋体" w:cs="宋体"/>
                <w:color w:val="auto"/>
                <w:sz w:val="24"/>
                <w:highlight w:val="none"/>
              </w:rPr>
            </w:pPr>
            <w:r>
              <w:rPr>
                <w:rFonts w:hint="eastAsia" w:ascii="宋体" w:hAnsi="宋体" w:cs="宋体"/>
                <w:color w:val="auto"/>
                <w:sz w:val="24"/>
                <w:highlight w:val="none"/>
              </w:rPr>
              <w:t>法定代表人</w:t>
            </w:r>
          </w:p>
        </w:tc>
        <w:tc>
          <w:tcPr>
            <w:tcW w:w="6364" w:type="dxa"/>
            <w:gridSpan w:val="3"/>
            <w:tcBorders>
              <w:top w:val="single" w:color="auto" w:sz="6" w:space="0"/>
              <w:left w:val="single" w:color="auto" w:sz="6" w:space="0"/>
              <w:bottom w:val="single" w:color="auto" w:sz="6" w:space="0"/>
              <w:right w:val="single" w:color="auto" w:sz="6" w:space="0"/>
            </w:tcBorders>
          </w:tcPr>
          <w:p w14:paraId="002138EF">
            <w:pPr>
              <w:widowControl/>
              <w:autoSpaceDE w:val="0"/>
              <w:autoSpaceDN w:val="0"/>
              <w:spacing w:line="400" w:lineRule="atLeast"/>
              <w:textAlignment w:val="bottom"/>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姓名：</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2.</w:t>
            </w:r>
            <w:r>
              <w:rPr>
                <w:rFonts w:hint="eastAsia" w:ascii="宋体" w:hAnsi="宋体" w:cs="宋体"/>
                <w:color w:val="auto"/>
                <w:sz w:val="24"/>
                <w:highlight w:val="none"/>
                <w:lang w:eastAsia="zh-CN"/>
              </w:rPr>
              <w:t>身份证号码</w:t>
            </w:r>
            <w:r>
              <w:rPr>
                <w:rFonts w:hint="eastAsia" w:ascii="宋体" w:hAnsi="宋体" w:cs="宋体"/>
                <w:color w:val="auto"/>
                <w:sz w:val="24"/>
                <w:highlight w:val="none"/>
              </w:rPr>
              <w:t>：</w:t>
            </w:r>
          </w:p>
        </w:tc>
      </w:tr>
      <w:tr w14:paraId="4435AC04">
        <w:tblPrEx>
          <w:tblCellMar>
            <w:top w:w="0" w:type="dxa"/>
            <w:left w:w="28" w:type="dxa"/>
            <w:bottom w:w="0" w:type="dxa"/>
            <w:right w:w="28" w:type="dxa"/>
          </w:tblCellMar>
        </w:tblPrEx>
        <w:trPr>
          <w:cantSplit/>
          <w:jc w:val="center"/>
        </w:trPr>
        <w:tc>
          <w:tcPr>
            <w:tcW w:w="2487" w:type="dxa"/>
            <w:tcBorders>
              <w:top w:val="single" w:color="auto" w:sz="6" w:space="0"/>
              <w:left w:val="single" w:color="auto" w:sz="6" w:space="0"/>
              <w:bottom w:val="single" w:color="auto" w:sz="6" w:space="0"/>
              <w:right w:val="single" w:color="auto" w:sz="6" w:space="0"/>
            </w:tcBorders>
            <w:vAlign w:val="center"/>
          </w:tcPr>
          <w:p w14:paraId="53F78B39">
            <w:pPr>
              <w:widowControl/>
              <w:autoSpaceDE w:val="0"/>
              <w:autoSpaceDN w:val="0"/>
              <w:spacing w:line="400" w:lineRule="atLeast"/>
              <w:ind w:left="113"/>
              <w:jc w:val="center"/>
              <w:textAlignment w:val="bottom"/>
              <w:rPr>
                <w:rFonts w:ascii="宋体" w:cs="宋体"/>
                <w:color w:val="auto"/>
                <w:sz w:val="24"/>
                <w:highlight w:val="none"/>
              </w:rPr>
            </w:pPr>
            <w:r>
              <w:rPr>
                <w:rFonts w:hint="eastAsia" w:ascii="宋体" w:hAnsi="宋体" w:cs="宋体"/>
                <w:color w:val="auto"/>
                <w:sz w:val="24"/>
                <w:highlight w:val="none"/>
              </w:rPr>
              <w:t>联系方式</w:t>
            </w:r>
          </w:p>
        </w:tc>
        <w:tc>
          <w:tcPr>
            <w:tcW w:w="6364" w:type="dxa"/>
            <w:gridSpan w:val="3"/>
            <w:tcBorders>
              <w:top w:val="single" w:color="auto" w:sz="6" w:space="0"/>
              <w:left w:val="single" w:color="auto" w:sz="6" w:space="0"/>
              <w:bottom w:val="single" w:color="auto" w:sz="6" w:space="0"/>
              <w:right w:val="single" w:color="auto" w:sz="6" w:space="0"/>
            </w:tcBorders>
          </w:tcPr>
          <w:p w14:paraId="6FF20F05">
            <w:pPr>
              <w:widowControl/>
              <w:autoSpaceDE w:val="0"/>
              <w:autoSpaceDN w:val="0"/>
              <w:spacing w:line="400" w:lineRule="atLeast"/>
              <w:textAlignment w:val="bottom"/>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2.</w:t>
            </w:r>
            <w:r>
              <w:rPr>
                <w:rFonts w:hint="eastAsia" w:ascii="宋体" w:hAnsi="宋体" w:cs="宋体"/>
                <w:color w:val="auto"/>
                <w:sz w:val="24"/>
                <w:highlight w:val="none"/>
              </w:rPr>
              <w:t>邮编：</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3.</w:t>
            </w:r>
            <w:r>
              <w:rPr>
                <w:rFonts w:hint="eastAsia" w:ascii="宋体" w:hAnsi="宋体" w:cs="宋体"/>
                <w:color w:val="auto"/>
                <w:sz w:val="24"/>
                <w:highlight w:val="none"/>
              </w:rPr>
              <w:t>电话：</w:t>
            </w:r>
          </w:p>
          <w:p w14:paraId="264EBA72">
            <w:pPr>
              <w:widowControl/>
              <w:autoSpaceDE w:val="0"/>
              <w:autoSpaceDN w:val="0"/>
              <w:spacing w:line="400" w:lineRule="atLeast"/>
              <w:textAlignment w:val="bottom"/>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传真：</w:t>
            </w:r>
            <w:r>
              <w:rPr>
                <w:rFonts w:ascii="宋体" w:hAnsi="宋体" w:cs="宋体"/>
                <w:color w:val="auto"/>
                <w:sz w:val="24"/>
                <w:highlight w:val="none"/>
              </w:rPr>
              <w:t xml:space="preserve">         5.</w:t>
            </w:r>
            <w:r>
              <w:rPr>
                <w:rFonts w:hint="eastAsia" w:ascii="宋体" w:hAnsi="宋体" w:cs="宋体"/>
                <w:color w:val="auto"/>
                <w:sz w:val="24"/>
                <w:highlight w:val="none"/>
              </w:rPr>
              <w:t>联系人：</w:t>
            </w:r>
          </w:p>
        </w:tc>
      </w:tr>
      <w:tr w14:paraId="40D65584">
        <w:tblPrEx>
          <w:tblCellMar>
            <w:top w:w="0" w:type="dxa"/>
            <w:left w:w="28" w:type="dxa"/>
            <w:bottom w:w="0" w:type="dxa"/>
            <w:right w:w="28" w:type="dxa"/>
          </w:tblCellMar>
        </w:tblPrEx>
        <w:trPr>
          <w:cantSplit/>
          <w:jc w:val="center"/>
        </w:trPr>
        <w:tc>
          <w:tcPr>
            <w:tcW w:w="2487" w:type="dxa"/>
            <w:tcBorders>
              <w:top w:val="single" w:color="auto" w:sz="6" w:space="0"/>
              <w:left w:val="single" w:color="auto" w:sz="6" w:space="0"/>
              <w:bottom w:val="single" w:color="auto" w:sz="6" w:space="0"/>
              <w:right w:val="single" w:color="auto" w:sz="6" w:space="0"/>
            </w:tcBorders>
            <w:vAlign w:val="center"/>
          </w:tcPr>
          <w:p w14:paraId="015D798B">
            <w:pPr>
              <w:widowControl/>
              <w:autoSpaceDE w:val="0"/>
              <w:autoSpaceDN w:val="0"/>
              <w:spacing w:line="400" w:lineRule="atLeast"/>
              <w:ind w:left="113"/>
              <w:jc w:val="center"/>
              <w:textAlignment w:val="bottom"/>
              <w:rPr>
                <w:rFonts w:ascii="宋体" w:cs="宋体"/>
                <w:color w:val="auto"/>
                <w:sz w:val="24"/>
                <w:highlight w:val="none"/>
              </w:rPr>
            </w:pPr>
            <w:r>
              <w:rPr>
                <w:rFonts w:hint="eastAsia" w:ascii="宋体" w:hAnsi="宋体" w:cs="宋体"/>
                <w:color w:val="auto"/>
                <w:sz w:val="24"/>
                <w:highlight w:val="none"/>
              </w:rPr>
              <w:t>开户银行</w:t>
            </w:r>
          </w:p>
        </w:tc>
        <w:tc>
          <w:tcPr>
            <w:tcW w:w="6364" w:type="dxa"/>
            <w:gridSpan w:val="3"/>
            <w:tcBorders>
              <w:top w:val="single" w:color="auto" w:sz="6" w:space="0"/>
              <w:left w:val="single" w:color="auto" w:sz="6" w:space="0"/>
              <w:bottom w:val="single" w:color="auto" w:sz="6" w:space="0"/>
              <w:right w:val="single" w:color="auto" w:sz="6" w:space="0"/>
            </w:tcBorders>
          </w:tcPr>
          <w:p w14:paraId="6DD7A95C">
            <w:pPr>
              <w:widowControl/>
              <w:autoSpaceDE w:val="0"/>
              <w:autoSpaceDN w:val="0"/>
              <w:spacing w:line="400" w:lineRule="atLeast"/>
              <w:textAlignment w:val="bottom"/>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、名称：</w:t>
            </w:r>
          </w:p>
          <w:p w14:paraId="48ECAECE">
            <w:pPr>
              <w:widowControl/>
              <w:autoSpaceDE w:val="0"/>
              <w:autoSpaceDN w:val="0"/>
              <w:spacing w:line="400" w:lineRule="atLeast"/>
              <w:textAlignment w:val="bottom"/>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、账号：</w:t>
            </w:r>
          </w:p>
        </w:tc>
      </w:tr>
    </w:tbl>
    <w:p w14:paraId="76EC3452">
      <w:pPr>
        <w:tabs>
          <w:tab w:val="left" w:pos="2310"/>
        </w:tabs>
        <w:spacing w:line="360" w:lineRule="auto"/>
        <w:rPr>
          <w:rFonts w:ascii="宋体" w:cs="宋体"/>
          <w:color w:val="auto"/>
          <w:sz w:val="24"/>
          <w:highlight w:val="none"/>
        </w:rPr>
      </w:pPr>
    </w:p>
    <w:p w14:paraId="3A9E4BC7">
      <w:pPr>
        <w:rPr>
          <w:rFonts w:ascii="宋体" w:hAnsi="宋体" w:cs="宋体"/>
          <w:color w:val="auto"/>
          <w:sz w:val="24"/>
          <w:highlight w:val="none"/>
        </w:rPr>
      </w:pP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（盖章）：</w:t>
      </w:r>
    </w:p>
    <w:p w14:paraId="364FB6D7">
      <w:pPr>
        <w:rPr>
          <w:rFonts w:ascii="宋体" w:hAnsi="宋体" w:cs="宋体"/>
          <w:color w:val="auto"/>
          <w:sz w:val="24"/>
          <w:highlight w:val="none"/>
        </w:rPr>
      </w:pPr>
    </w:p>
    <w:p w14:paraId="3B93E5D5">
      <w:pPr>
        <w:rPr>
          <w:rFonts w:ascii="宋体" w:hAnsi="宋体" w:cs="宋体"/>
          <w:color w:val="auto"/>
          <w:sz w:val="24"/>
          <w:highlight w:val="none"/>
        </w:rPr>
      </w:pPr>
      <w:r>
        <w:rPr>
          <w:rFonts w:hint="eastAsia" w:ascii="宋体" w:hAnsi="宋体" w:cs="宋体"/>
          <w:color w:val="auto"/>
          <w:sz w:val="24"/>
          <w:highlight w:val="none"/>
        </w:rPr>
        <w:t>法定代表人或委托代理人:（盖章或签字）</w:t>
      </w:r>
    </w:p>
    <w:p w14:paraId="7A2C08D0">
      <w:pPr>
        <w:rPr>
          <w:rFonts w:ascii="宋体" w:hAnsi="宋体" w:cs="宋体"/>
          <w:color w:val="auto"/>
          <w:sz w:val="24"/>
          <w:highlight w:val="none"/>
        </w:rPr>
      </w:pPr>
    </w:p>
    <w:p w14:paraId="448937E5">
      <w:pPr>
        <w:rPr>
          <w:rFonts w:ascii="宋体" w:hAns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w:t>
      </w:r>
    </w:p>
    <w:p w14:paraId="0B458EC0">
      <w:pPr>
        <w:spacing w:line="480" w:lineRule="exact"/>
        <w:rPr>
          <w:rFonts w:ascii="宋体" w:cs="宋体"/>
          <w:color w:val="auto"/>
          <w:szCs w:val="21"/>
          <w:highlight w:val="none"/>
        </w:rPr>
      </w:pPr>
    </w:p>
    <w:p w14:paraId="1A5D5365">
      <w:pPr>
        <w:pStyle w:val="9"/>
        <w:ind w:firstLine="0"/>
        <w:rPr>
          <w:rFonts w:hAnsi="宋体" w:cs="宋体"/>
          <w:b/>
          <w:color w:val="auto"/>
          <w:spacing w:val="-6"/>
          <w:sz w:val="24"/>
          <w:highlight w:val="none"/>
        </w:rPr>
      </w:pPr>
    </w:p>
    <w:p w14:paraId="5304824B">
      <w:pPr>
        <w:spacing w:line="360" w:lineRule="auto"/>
        <w:rPr>
          <w:color w:val="auto"/>
          <w:highlight w:val="none"/>
        </w:rPr>
      </w:pPr>
      <w:r>
        <w:rPr>
          <w:color w:val="auto"/>
          <w:spacing w:val="-6"/>
          <w:highlight w:val="none"/>
        </w:rPr>
        <w:br w:type="page"/>
      </w:r>
      <w:r>
        <w:rPr>
          <w:rFonts w:hint="eastAsia" w:ascii="宋体" w:hAnsi="宋体" w:cs="宋体"/>
          <w:color w:val="auto"/>
          <w:spacing w:val="-6"/>
          <w:sz w:val="24"/>
          <w:highlight w:val="none"/>
        </w:rPr>
        <w:t>附件</w:t>
      </w:r>
      <w:r>
        <w:rPr>
          <w:rFonts w:ascii="宋体" w:hAnsi="宋体" w:cs="宋体"/>
          <w:color w:val="auto"/>
          <w:spacing w:val="-6"/>
          <w:sz w:val="24"/>
          <w:highlight w:val="none"/>
        </w:rPr>
        <w:t>1</w:t>
      </w:r>
      <w:r>
        <w:rPr>
          <w:rFonts w:hint="eastAsia" w:ascii="宋体" w:hAnsi="宋体" w:cs="宋体"/>
          <w:color w:val="auto"/>
          <w:spacing w:val="-6"/>
          <w:sz w:val="24"/>
          <w:highlight w:val="none"/>
        </w:rPr>
        <w:t>4：供应商类似项目实施情况一览表</w:t>
      </w:r>
    </w:p>
    <w:p w14:paraId="52EC7D3F">
      <w:pPr>
        <w:snapToGrid w:val="0"/>
        <w:spacing w:beforeLines="50" w:after="50" w:line="360" w:lineRule="auto"/>
        <w:jc w:val="center"/>
        <w:rPr>
          <w:rFonts w:ascii="宋体" w:cs="宋体"/>
          <w:bCs/>
          <w:color w:val="auto"/>
          <w:sz w:val="24"/>
          <w:highlight w:val="none"/>
        </w:rPr>
      </w:pPr>
      <w:r>
        <w:rPr>
          <w:rFonts w:hint="eastAsia" w:ascii="宋体" w:hAnsi="宋体" w:cs="宋体"/>
          <w:bCs/>
          <w:color w:val="auto"/>
          <w:sz w:val="24"/>
          <w:highlight w:val="none"/>
        </w:rPr>
        <w:t>供应商类似项目实施情况一览表</w:t>
      </w:r>
    </w:p>
    <w:tbl>
      <w:tblPr>
        <w:tblStyle w:val="27"/>
        <w:tblW w:w="10206"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1"/>
        <w:gridCol w:w="1500"/>
        <w:gridCol w:w="2460"/>
        <w:gridCol w:w="1845"/>
        <w:gridCol w:w="2400"/>
      </w:tblGrid>
      <w:tr w14:paraId="15147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7" w:hRule="atLeast"/>
        </w:trPr>
        <w:tc>
          <w:tcPr>
            <w:tcW w:w="2001" w:type="dxa"/>
            <w:tcBorders>
              <w:top w:val="single" w:color="auto" w:sz="4" w:space="0"/>
              <w:bottom w:val="single" w:color="auto" w:sz="4" w:space="0"/>
              <w:right w:val="single" w:color="auto" w:sz="4" w:space="0"/>
            </w:tcBorders>
            <w:vAlign w:val="center"/>
          </w:tcPr>
          <w:p w14:paraId="4779C0A1">
            <w:pPr>
              <w:snapToGrid w:val="0"/>
              <w:spacing w:line="360" w:lineRule="auto"/>
              <w:jc w:val="center"/>
              <w:rPr>
                <w:rFonts w:ascii="宋体" w:cs="宋体"/>
                <w:color w:val="auto"/>
                <w:sz w:val="24"/>
                <w:highlight w:val="none"/>
              </w:rPr>
            </w:pPr>
            <w:r>
              <w:rPr>
                <w:rFonts w:hint="eastAsia" w:ascii="宋体" w:hAnsi="宋体" w:cs="宋体"/>
                <w:color w:val="auto"/>
                <w:sz w:val="24"/>
                <w:highlight w:val="none"/>
              </w:rPr>
              <w:t>采购单位</w:t>
            </w:r>
          </w:p>
          <w:p w14:paraId="3295C416">
            <w:pPr>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名称</w:t>
            </w:r>
          </w:p>
        </w:tc>
        <w:tc>
          <w:tcPr>
            <w:tcW w:w="1500" w:type="dxa"/>
            <w:tcBorders>
              <w:top w:val="single" w:color="auto" w:sz="4" w:space="0"/>
              <w:left w:val="single" w:color="auto" w:sz="4" w:space="0"/>
              <w:bottom w:val="single" w:color="auto" w:sz="4" w:space="0"/>
              <w:right w:val="single" w:color="auto" w:sz="4" w:space="0"/>
            </w:tcBorders>
            <w:vAlign w:val="center"/>
          </w:tcPr>
          <w:p w14:paraId="3E03D7F6">
            <w:pPr>
              <w:snapToGrid w:val="0"/>
              <w:spacing w:line="360" w:lineRule="auto"/>
              <w:jc w:val="center"/>
              <w:rPr>
                <w:rFonts w:ascii="宋体" w:cs="宋体"/>
                <w:color w:val="auto"/>
                <w:sz w:val="24"/>
                <w:highlight w:val="none"/>
              </w:rPr>
            </w:pPr>
            <w:r>
              <w:rPr>
                <w:rFonts w:hint="eastAsia" w:ascii="宋体" w:hAnsi="宋体" w:cs="宋体"/>
                <w:color w:val="auto"/>
                <w:sz w:val="24"/>
                <w:highlight w:val="none"/>
              </w:rPr>
              <w:t>项目名称</w:t>
            </w:r>
          </w:p>
        </w:tc>
        <w:tc>
          <w:tcPr>
            <w:tcW w:w="2460" w:type="dxa"/>
            <w:tcBorders>
              <w:top w:val="single" w:color="auto" w:sz="4" w:space="0"/>
              <w:left w:val="single" w:color="auto" w:sz="4" w:space="0"/>
              <w:bottom w:val="single" w:color="auto" w:sz="4" w:space="0"/>
              <w:right w:val="single" w:color="auto" w:sz="4" w:space="0"/>
            </w:tcBorders>
            <w:vAlign w:val="center"/>
          </w:tcPr>
          <w:p w14:paraId="79F6DCF8">
            <w:pPr>
              <w:snapToGrid w:val="0"/>
              <w:spacing w:line="360" w:lineRule="auto"/>
              <w:jc w:val="center"/>
              <w:rPr>
                <w:rFonts w:ascii="宋体" w:cs="宋体"/>
                <w:color w:val="auto"/>
                <w:sz w:val="24"/>
                <w:highlight w:val="none"/>
              </w:rPr>
            </w:pPr>
            <w:r>
              <w:rPr>
                <w:rFonts w:hint="eastAsia" w:ascii="宋体" w:hAnsi="宋体" w:cs="宋体"/>
                <w:color w:val="auto"/>
                <w:sz w:val="24"/>
                <w:highlight w:val="none"/>
              </w:rPr>
              <w:t>项目起止时间</w:t>
            </w:r>
          </w:p>
        </w:tc>
        <w:tc>
          <w:tcPr>
            <w:tcW w:w="1845" w:type="dxa"/>
            <w:tcBorders>
              <w:top w:val="single" w:color="auto" w:sz="4" w:space="0"/>
              <w:left w:val="single" w:color="auto" w:sz="4" w:space="0"/>
              <w:bottom w:val="single" w:color="auto" w:sz="4" w:space="0"/>
              <w:right w:val="single" w:color="auto" w:sz="4" w:space="0"/>
            </w:tcBorders>
            <w:vAlign w:val="center"/>
          </w:tcPr>
          <w:p w14:paraId="2285502D">
            <w:pPr>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合同规模</w:t>
            </w:r>
          </w:p>
        </w:tc>
        <w:tc>
          <w:tcPr>
            <w:tcW w:w="2400" w:type="dxa"/>
            <w:tcBorders>
              <w:top w:val="single" w:color="auto" w:sz="4" w:space="0"/>
              <w:left w:val="single" w:color="auto" w:sz="4" w:space="0"/>
              <w:bottom w:val="single" w:color="auto" w:sz="4" w:space="0"/>
            </w:tcBorders>
            <w:vAlign w:val="center"/>
          </w:tcPr>
          <w:p w14:paraId="1C6B7B16">
            <w:pPr>
              <w:snapToGrid w:val="0"/>
              <w:spacing w:line="360" w:lineRule="auto"/>
              <w:jc w:val="center"/>
              <w:rPr>
                <w:rFonts w:ascii="宋体" w:cs="宋体"/>
                <w:color w:val="auto"/>
                <w:sz w:val="24"/>
                <w:highlight w:val="none"/>
              </w:rPr>
            </w:pPr>
            <w:r>
              <w:rPr>
                <w:rFonts w:hint="eastAsia" w:ascii="宋体" w:hAnsi="宋体" w:cs="宋体"/>
                <w:color w:val="auto"/>
                <w:sz w:val="24"/>
                <w:highlight w:val="none"/>
              </w:rPr>
              <w:t>采购单位联系人</w:t>
            </w:r>
          </w:p>
          <w:p w14:paraId="0AB3BE74">
            <w:pPr>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及联系电话</w:t>
            </w:r>
          </w:p>
        </w:tc>
      </w:tr>
      <w:tr w14:paraId="65474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bottom w:val="single" w:color="auto" w:sz="4" w:space="0"/>
              <w:right w:val="single" w:color="auto" w:sz="4" w:space="0"/>
            </w:tcBorders>
            <w:vAlign w:val="center"/>
          </w:tcPr>
          <w:p w14:paraId="380A6356">
            <w:pPr>
              <w:snapToGrid w:val="0"/>
              <w:spacing w:before="50" w:afterLines="50" w:line="360" w:lineRule="auto"/>
              <w:rPr>
                <w:rFonts w:ascii="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65CAC7B4">
            <w:pPr>
              <w:snapToGrid w:val="0"/>
              <w:spacing w:before="50" w:afterLines="50" w:line="360" w:lineRule="auto"/>
              <w:rPr>
                <w:rFonts w:ascii="宋体" w:cs="宋体"/>
                <w:color w:val="auto"/>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14:paraId="1C403F16">
            <w:pPr>
              <w:snapToGrid w:val="0"/>
              <w:spacing w:before="50" w:afterLines="50" w:line="360" w:lineRule="auto"/>
              <w:rPr>
                <w:rFonts w:asci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56864154">
            <w:pPr>
              <w:snapToGrid w:val="0"/>
              <w:spacing w:before="50" w:afterLines="50" w:line="360" w:lineRule="auto"/>
              <w:rPr>
                <w:rFonts w:ascii="宋体" w:cs="宋体"/>
                <w:color w:val="auto"/>
                <w:sz w:val="24"/>
                <w:highlight w:val="none"/>
              </w:rPr>
            </w:pPr>
          </w:p>
        </w:tc>
        <w:tc>
          <w:tcPr>
            <w:tcW w:w="2400" w:type="dxa"/>
            <w:tcBorders>
              <w:top w:val="single" w:color="auto" w:sz="4" w:space="0"/>
              <w:left w:val="single" w:color="auto" w:sz="4" w:space="0"/>
              <w:bottom w:val="single" w:color="auto" w:sz="4" w:space="0"/>
            </w:tcBorders>
            <w:vAlign w:val="center"/>
          </w:tcPr>
          <w:p w14:paraId="69B861E9">
            <w:pPr>
              <w:snapToGrid w:val="0"/>
              <w:spacing w:before="50" w:afterLines="50" w:line="360" w:lineRule="auto"/>
              <w:rPr>
                <w:rFonts w:ascii="宋体" w:cs="宋体"/>
                <w:color w:val="auto"/>
                <w:sz w:val="24"/>
                <w:highlight w:val="none"/>
              </w:rPr>
            </w:pPr>
          </w:p>
        </w:tc>
      </w:tr>
      <w:tr w14:paraId="364F5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001" w:type="dxa"/>
            <w:tcBorders>
              <w:top w:val="single" w:color="auto" w:sz="4" w:space="0"/>
              <w:bottom w:val="single" w:color="auto" w:sz="4" w:space="0"/>
              <w:right w:val="single" w:color="auto" w:sz="4" w:space="0"/>
            </w:tcBorders>
            <w:vAlign w:val="center"/>
          </w:tcPr>
          <w:p w14:paraId="46C0D0AD">
            <w:pPr>
              <w:snapToGrid w:val="0"/>
              <w:spacing w:before="50" w:afterLines="50" w:line="360" w:lineRule="auto"/>
              <w:rPr>
                <w:rFonts w:ascii="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2945E106">
            <w:pPr>
              <w:snapToGrid w:val="0"/>
              <w:spacing w:before="50" w:afterLines="50" w:line="360" w:lineRule="auto"/>
              <w:rPr>
                <w:rFonts w:ascii="宋体" w:cs="宋体"/>
                <w:color w:val="auto"/>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14:paraId="4D88FACD">
            <w:pPr>
              <w:snapToGrid w:val="0"/>
              <w:spacing w:before="50" w:afterLines="50" w:line="360" w:lineRule="auto"/>
              <w:rPr>
                <w:rFonts w:asci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61EAAE58">
            <w:pPr>
              <w:snapToGrid w:val="0"/>
              <w:spacing w:before="50" w:afterLines="50" w:line="360" w:lineRule="auto"/>
              <w:rPr>
                <w:rFonts w:ascii="宋体" w:cs="宋体"/>
                <w:color w:val="auto"/>
                <w:sz w:val="24"/>
                <w:highlight w:val="none"/>
              </w:rPr>
            </w:pPr>
          </w:p>
        </w:tc>
        <w:tc>
          <w:tcPr>
            <w:tcW w:w="2400" w:type="dxa"/>
            <w:tcBorders>
              <w:top w:val="single" w:color="auto" w:sz="4" w:space="0"/>
              <w:left w:val="single" w:color="auto" w:sz="4" w:space="0"/>
              <w:bottom w:val="single" w:color="auto" w:sz="4" w:space="0"/>
            </w:tcBorders>
            <w:vAlign w:val="center"/>
          </w:tcPr>
          <w:p w14:paraId="191570EF">
            <w:pPr>
              <w:snapToGrid w:val="0"/>
              <w:spacing w:before="50" w:afterLines="50" w:line="360" w:lineRule="auto"/>
              <w:rPr>
                <w:rFonts w:ascii="宋体" w:cs="宋体"/>
                <w:color w:val="auto"/>
                <w:sz w:val="24"/>
                <w:highlight w:val="none"/>
              </w:rPr>
            </w:pPr>
          </w:p>
        </w:tc>
      </w:tr>
      <w:tr w14:paraId="62A35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bottom w:val="single" w:color="auto" w:sz="4" w:space="0"/>
              <w:right w:val="single" w:color="auto" w:sz="4" w:space="0"/>
            </w:tcBorders>
            <w:vAlign w:val="center"/>
          </w:tcPr>
          <w:p w14:paraId="1AC82D0D">
            <w:pPr>
              <w:snapToGrid w:val="0"/>
              <w:spacing w:before="50" w:afterLines="50" w:line="360" w:lineRule="auto"/>
              <w:rPr>
                <w:rFonts w:ascii="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581FB80F">
            <w:pPr>
              <w:snapToGrid w:val="0"/>
              <w:spacing w:before="50" w:afterLines="50" w:line="360" w:lineRule="auto"/>
              <w:rPr>
                <w:rFonts w:ascii="宋体" w:cs="宋体"/>
                <w:color w:val="auto"/>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14:paraId="67673EC6">
            <w:pPr>
              <w:snapToGrid w:val="0"/>
              <w:spacing w:before="50" w:afterLines="50" w:line="360" w:lineRule="auto"/>
              <w:rPr>
                <w:rFonts w:asci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4C43EA12">
            <w:pPr>
              <w:snapToGrid w:val="0"/>
              <w:spacing w:before="50" w:afterLines="50" w:line="360" w:lineRule="auto"/>
              <w:rPr>
                <w:rFonts w:ascii="宋体" w:cs="宋体"/>
                <w:color w:val="auto"/>
                <w:sz w:val="24"/>
                <w:highlight w:val="none"/>
              </w:rPr>
            </w:pPr>
          </w:p>
        </w:tc>
        <w:tc>
          <w:tcPr>
            <w:tcW w:w="2400" w:type="dxa"/>
            <w:tcBorders>
              <w:top w:val="single" w:color="auto" w:sz="4" w:space="0"/>
              <w:left w:val="single" w:color="auto" w:sz="4" w:space="0"/>
              <w:bottom w:val="single" w:color="auto" w:sz="4" w:space="0"/>
            </w:tcBorders>
            <w:vAlign w:val="center"/>
          </w:tcPr>
          <w:p w14:paraId="5FEF063F">
            <w:pPr>
              <w:snapToGrid w:val="0"/>
              <w:spacing w:before="50" w:afterLines="50" w:line="360" w:lineRule="auto"/>
              <w:rPr>
                <w:rFonts w:ascii="宋体" w:cs="宋体"/>
                <w:color w:val="auto"/>
                <w:sz w:val="24"/>
                <w:highlight w:val="none"/>
              </w:rPr>
            </w:pPr>
          </w:p>
        </w:tc>
      </w:tr>
      <w:tr w14:paraId="23298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bottom w:val="single" w:color="auto" w:sz="4" w:space="0"/>
              <w:right w:val="single" w:color="auto" w:sz="4" w:space="0"/>
            </w:tcBorders>
            <w:vAlign w:val="center"/>
          </w:tcPr>
          <w:p w14:paraId="5AD3E95B">
            <w:pPr>
              <w:snapToGrid w:val="0"/>
              <w:spacing w:before="50" w:afterLines="50" w:line="360" w:lineRule="auto"/>
              <w:rPr>
                <w:rFonts w:ascii="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2107B344">
            <w:pPr>
              <w:snapToGrid w:val="0"/>
              <w:spacing w:before="50" w:afterLines="50" w:line="360" w:lineRule="auto"/>
              <w:rPr>
                <w:rFonts w:ascii="宋体" w:cs="宋体"/>
                <w:color w:val="auto"/>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14:paraId="18F492D6">
            <w:pPr>
              <w:snapToGrid w:val="0"/>
              <w:spacing w:before="50" w:afterLines="50" w:line="360" w:lineRule="auto"/>
              <w:rPr>
                <w:rFonts w:asci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1A39421C">
            <w:pPr>
              <w:snapToGrid w:val="0"/>
              <w:spacing w:before="50" w:afterLines="50" w:line="360" w:lineRule="auto"/>
              <w:rPr>
                <w:rFonts w:ascii="宋体" w:cs="宋体"/>
                <w:color w:val="auto"/>
                <w:sz w:val="24"/>
                <w:highlight w:val="none"/>
              </w:rPr>
            </w:pPr>
          </w:p>
        </w:tc>
        <w:tc>
          <w:tcPr>
            <w:tcW w:w="2400" w:type="dxa"/>
            <w:tcBorders>
              <w:top w:val="single" w:color="auto" w:sz="4" w:space="0"/>
              <w:left w:val="single" w:color="auto" w:sz="4" w:space="0"/>
              <w:bottom w:val="single" w:color="auto" w:sz="4" w:space="0"/>
            </w:tcBorders>
            <w:vAlign w:val="center"/>
          </w:tcPr>
          <w:p w14:paraId="7B54B2F5">
            <w:pPr>
              <w:snapToGrid w:val="0"/>
              <w:spacing w:before="50" w:afterLines="50" w:line="360" w:lineRule="auto"/>
              <w:rPr>
                <w:rFonts w:ascii="宋体" w:cs="宋体"/>
                <w:color w:val="auto"/>
                <w:sz w:val="24"/>
                <w:highlight w:val="none"/>
              </w:rPr>
            </w:pPr>
          </w:p>
        </w:tc>
      </w:tr>
      <w:tr w14:paraId="239BD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bottom w:val="single" w:color="auto" w:sz="4" w:space="0"/>
              <w:right w:val="single" w:color="auto" w:sz="4" w:space="0"/>
            </w:tcBorders>
            <w:vAlign w:val="center"/>
          </w:tcPr>
          <w:p w14:paraId="72F66C58">
            <w:pPr>
              <w:snapToGrid w:val="0"/>
              <w:spacing w:before="50" w:afterLines="50" w:line="360" w:lineRule="auto"/>
              <w:rPr>
                <w:rFonts w:ascii="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79FBE1F4">
            <w:pPr>
              <w:snapToGrid w:val="0"/>
              <w:spacing w:before="50" w:afterLines="50" w:line="360" w:lineRule="auto"/>
              <w:rPr>
                <w:rFonts w:ascii="宋体" w:cs="宋体"/>
                <w:color w:val="auto"/>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14:paraId="4F3C5ADF">
            <w:pPr>
              <w:snapToGrid w:val="0"/>
              <w:spacing w:before="50" w:afterLines="50" w:line="360" w:lineRule="auto"/>
              <w:rPr>
                <w:rFonts w:asci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6A4676FB">
            <w:pPr>
              <w:snapToGrid w:val="0"/>
              <w:spacing w:before="50" w:afterLines="50" w:line="360" w:lineRule="auto"/>
              <w:rPr>
                <w:rFonts w:ascii="宋体" w:cs="宋体"/>
                <w:color w:val="auto"/>
                <w:sz w:val="24"/>
                <w:highlight w:val="none"/>
              </w:rPr>
            </w:pPr>
          </w:p>
        </w:tc>
        <w:tc>
          <w:tcPr>
            <w:tcW w:w="2400" w:type="dxa"/>
            <w:tcBorders>
              <w:top w:val="single" w:color="auto" w:sz="4" w:space="0"/>
              <w:left w:val="single" w:color="auto" w:sz="4" w:space="0"/>
              <w:bottom w:val="single" w:color="auto" w:sz="4" w:space="0"/>
            </w:tcBorders>
            <w:vAlign w:val="center"/>
          </w:tcPr>
          <w:p w14:paraId="1C5F6420">
            <w:pPr>
              <w:snapToGrid w:val="0"/>
              <w:spacing w:before="50" w:afterLines="50" w:line="360" w:lineRule="auto"/>
              <w:rPr>
                <w:rFonts w:ascii="宋体" w:cs="宋体"/>
                <w:color w:val="auto"/>
                <w:sz w:val="24"/>
                <w:highlight w:val="none"/>
              </w:rPr>
            </w:pPr>
          </w:p>
        </w:tc>
      </w:tr>
      <w:tr w14:paraId="75D93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bottom w:val="single" w:color="auto" w:sz="4" w:space="0"/>
              <w:right w:val="single" w:color="auto" w:sz="4" w:space="0"/>
            </w:tcBorders>
            <w:vAlign w:val="center"/>
          </w:tcPr>
          <w:p w14:paraId="157C2F90">
            <w:pPr>
              <w:snapToGrid w:val="0"/>
              <w:spacing w:before="50" w:afterLines="50" w:line="360" w:lineRule="auto"/>
              <w:rPr>
                <w:rFonts w:ascii="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18330F1C">
            <w:pPr>
              <w:snapToGrid w:val="0"/>
              <w:spacing w:before="50" w:afterLines="50" w:line="360" w:lineRule="auto"/>
              <w:rPr>
                <w:rFonts w:ascii="宋体" w:cs="宋体"/>
                <w:color w:val="auto"/>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14:paraId="39306E1A">
            <w:pPr>
              <w:snapToGrid w:val="0"/>
              <w:spacing w:before="50" w:afterLines="50" w:line="360" w:lineRule="auto"/>
              <w:rPr>
                <w:rFonts w:asci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5FE9943C">
            <w:pPr>
              <w:snapToGrid w:val="0"/>
              <w:spacing w:before="50" w:afterLines="50" w:line="360" w:lineRule="auto"/>
              <w:rPr>
                <w:rFonts w:ascii="宋体" w:cs="宋体"/>
                <w:color w:val="auto"/>
                <w:sz w:val="24"/>
                <w:highlight w:val="none"/>
              </w:rPr>
            </w:pPr>
          </w:p>
        </w:tc>
        <w:tc>
          <w:tcPr>
            <w:tcW w:w="2400" w:type="dxa"/>
            <w:tcBorders>
              <w:top w:val="single" w:color="auto" w:sz="4" w:space="0"/>
              <w:left w:val="single" w:color="auto" w:sz="4" w:space="0"/>
              <w:bottom w:val="single" w:color="auto" w:sz="4" w:space="0"/>
            </w:tcBorders>
            <w:vAlign w:val="center"/>
          </w:tcPr>
          <w:p w14:paraId="3EE7361D">
            <w:pPr>
              <w:snapToGrid w:val="0"/>
              <w:spacing w:before="50" w:afterLines="50" w:line="360" w:lineRule="auto"/>
              <w:rPr>
                <w:rFonts w:ascii="宋体" w:cs="宋体"/>
                <w:color w:val="auto"/>
                <w:sz w:val="24"/>
                <w:highlight w:val="none"/>
              </w:rPr>
            </w:pPr>
          </w:p>
        </w:tc>
      </w:tr>
      <w:tr w14:paraId="1CCDF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bottom w:val="single" w:color="auto" w:sz="4" w:space="0"/>
              <w:right w:val="single" w:color="auto" w:sz="4" w:space="0"/>
            </w:tcBorders>
            <w:vAlign w:val="center"/>
          </w:tcPr>
          <w:p w14:paraId="4FE82979">
            <w:pPr>
              <w:snapToGrid w:val="0"/>
              <w:spacing w:before="50" w:afterLines="50" w:line="360" w:lineRule="auto"/>
              <w:rPr>
                <w:rFonts w:ascii="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6EE3ABE7">
            <w:pPr>
              <w:snapToGrid w:val="0"/>
              <w:spacing w:before="50" w:afterLines="50" w:line="360" w:lineRule="auto"/>
              <w:rPr>
                <w:rFonts w:ascii="宋体" w:cs="宋体"/>
                <w:color w:val="auto"/>
                <w:sz w:val="24"/>
                <w:highlight w:val="none"/>
              </w:rPr>
            </w:pPr>
          </w:p>
        </w:tc>
        <w:tc>
          <w:tcPr>
            <w:tcW w:w="2460" w:type="dxa"/>
            <w:tcBorders>
              <w:top w:val="single" w:color="auto" w:sz="4" w:space="0"/>
              <w:left w:val="single" w:color="auto" w:sz="4" w:space="0"/>
              <w:bottom w:val="single" w:color="auto" w:sz="4" w:space="0"/>
              <w:right w:val="single" w:color="auto" w:sz="4" w:space="0"/>
            </w:tcBorders>
            <w:vAlign w:val="center"/>
          </w:tcPr>
          <w:p w14:paraId="1181E27F">
            <w:pPr>
              <w:snapToGrid w:val="0"/>
              <w:spacing w:before="50" w:afterLines="50" w:line="360" w:lineRule="auto"/>
              <w:rPr>
                <w:rFonts w:asci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1291E05B">
            <w:pPr>
              <w:snapToGrid w:val="0"/>
              <w:spacing w:before="50" w:afterLines="50" w:line="360" w:lineRule="auto"/>
              <w:rPr>
                <w:rFonts w:ascii="宋体" w:cs="宋体"/>
                <w:color w:val="auto"/>
                <w:sz w:val="24"/>
                <w:highlight w:val="none"/>
              </w:rPr>
            </w:pPr>
          </w:p>
        </w:tc>
        <w:tc>
          <w:tcPr>
            <w:tcW w:w="2400" w:type="dxa"/>
            <w:tcBorders>
              <w:top w:val="single" w:color="auto" w:sz="4" w:space="0"/>
              <w:left w:val="single" w:color="auto" w:sz="4" w:space="0"/>
              <w:bottom w:val="single" w:color="auto" w:sz="4" w:space="0"/>
            </w:tcBorders>
            <w:vAlign w:val="center"/>
          </w:tcPr>
          <w:p w14:paraId="3091494E">
            <w:pPr>
              <w:snapToGrid w:val="0"/>
              <w:spacing w:before="50" w:afterLines="50" w:line="360" w:lineRule="auto"/>
              <w:rPr>
                <w:rFonts w:ascii="宋体" w:cs="宋体"/>
                <w:color w:val="auto"/>
                <w:sz w:val="24"/>
                <w:highlight w:val="none"/>
              </w:rPr>
            </w:pPr>
          </w:p>
        </w:tc>
      </w:tr>
      <w:tr w14:paraId="647D5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01" w:type="dxa"/>
            <w:tcBorders>
              <w:top w:val="single" w:color="auto" w:sz="4" w:space="0"/>
              <w:bottom w:val="single" w:color="auto" w:sz="4" w:space="0"/>
              <w:right w:val="single" w:color="auto" w:sz="4" w:space="0"/>
            </w:tcBorders>
            <w:vAlign w:val="center"/>
          </w:tcPr>
          <w:p w14:paraId="1799FAC6">
            <w:pPr>
              <w:snapToGrid w:val="0"/>
              <w:spacing w:before="50" w:afterLines="50" w:line="360" w:lineRule="auto"/>
              <w:jc w:val="center"/>
              <w:rPr>
                <w:rFonts w:ascii="宋体" w:cs="宋体"/>
                <w:color w:val="auto"/>
                <w:sz w:val="24"/>
                <w:highlight w:val="none"/>
              </w:rPr>
            </w:pPr>
            <w:r>
              <w:rPr>
                <w:rFonts w:hint="eastAsia" w:ascii="宋体" w:hAnsi="宋体" w:cs="宋体"/>
                <w:color w:val="auto"/>
                <w:sz w:val="24"/>
                <w:highlight w:val="none"/>
              </w:rPr>
              <w:t>备注</w:t>
            </w:r>
          </w:p>
        </w:tc>
        <w:tc>
          <w:tcPr>
            <w:tcW w:w="8205" w:type="dxa"/>
            <w:gridSpan w:val="4"/>
            <w:tcBorders>
              <w:top w:val="single" w:color="auto" w:sz="4" w:space="0"/>
              <w:left w:val="single" w:color="auto" w:sz="4" w:space="0"/>
              <w:bottom w:val="single" w:color="auto" w:sz="4" w:space="0"/>
            </w:tcBorders>
            <w:vAlign w:val="center"/>
          </w:tcPr>
          <w:p w14:paraId="0C7F0552">
            <w:pPr>
              <w:snapToGrid w:val="0"/>
              <w:spacing w:before="50" w:afterLines="50" w:line="360" w:lineRule="auto"/>
              <w:rPr>
                <w:rFonts w:ascii="宋体" w:cs="宋体"/>
                <w:color w:val="auto"/>
                <w:sz w:val="24"/>
                <w:highlight w:val="none"/>
              </w:rPr>
            </w:pPr>
            <w:r>
              <w:rPr>
                <w:rFonts w:hint="eastAsia" w:ascii="宋体" w:hAnsi="宋体" w:cs="宋体"/>
                <w:color w:val="auto"/>
                <w:sz w:val="24"/>
                <w:highlight w:val="none"/>
                <w:lang w:val="zh-CN"/>
              </w:rPr>
              <w:t>按采购文件要求提供证明资料。</w:t>
            </w:r>
          </w:p>
        </w:tc>
      </w:tr>
    </w:tbl>
    <w:p w14:paraId="3BED7DB9">
      <w:pPr>
        <w:pStyle w:val="21"/>
        <w:snapToGrid w:val="0"/>
        <w:spacing w:line="360" w:lineRule="auto"/>
        <w:ind w:left="395" w:leftChars="-85" w:hanging="633" w:hangingChars="264"/>
        <w:rPr>
          <w:rFonts w:ascii="宋体" w:cs="宋体"/>
          <w:color w:val="auto"/>
          <w:sz w:val="24"/>
          <w:highlight w:val="none"/>
        </w:rPr>
      </w:pPr>
    </w:p>
    <w:p w14:paraId="5071301B">
      <w:pPr>
        <w:rPr>
          <w:rFonts w:ascii="宋体" w:hAnsi="宋体" w:cs="宋体"/>
          <w:color w:val="auto"/>
          <w:sz w:val="24"/>
          <w:highlight w:val="none"/>
        </w:rPr>
      </w:pP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（盖章）：</w:t>
      </w:r>
    </w:p>
    <w:p w14:paraId="2BD4A0CE">
      <w:pPr>
        <w:rPr>
          <w:rFonts w:ascii="宋体" w:hAnsi="宋体" w:cs="宋体"/>
          <w:color w:val="auto"/>
          <w:sz w:val="24"/>
          <w:highlight w:val="none"/>
        </w:rPr>
      </w:pPr>
    </w:p>
    <w:p w14:paraId="3FC00B29">
      <w:pPr>
        <w:rPr>
          <w:rFonts w:ascii="宋体" w:hAns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p>
    <w:p w14:paraId="5E40E48D">
      <w:pPr>
        <w:rPr>
          <w:rFonts w:ascii="宋体" w:hAnsi="宋体" w:cs="宋体"/>
          <w:color w:val="auto"/>
          <w:sz w:val="24"/>
          <w:highlight w:val="none"/>
        </w:rPr>
      </w:pPr>
    </w:p>
    <w:p w14:paraId="7005ACC7">
      <w:pPr>
        <w:rPr>
          <w:rFonts w:ascii="宋体" w:hAnsi="宋体" w:cs="宋体"/>
          <w:color w:val="auto"/>
          <w:sz w:val="24"/>
          <w:highlight w:val="none"/>
        </w:rPr>
      </w:pPr>
      <w:r>
        <w:rPr>
          <w:rFonts w:hint="eastAsia" w:ascii="宋体" w:hAnsi="宋体" w:cs="宋体"/>
          <w:color w:val="auto"/>
          <w:sz w:val="24"/>
          <w:highlight w:val="none"/>
        </w:rPr>
        <w:t>日    期：</w:t>
      </w:r>
    </w:p>
    <w:p w14:paraId="1D0A78A9">
      <w:pPr>
        <w:spacing w:line="360" w:lineRule="auto"/>
        <w:rPr>
          <w:rFonts w:ascii="宋体" w:hAnsi="宋体" w:cs="宋体"/>
          <w:b/>
          <w:bCs/>
          <w:color w:val="auto"/>
          <w:sz w:val="24"/>
          <w:highlight w:val="none"/>
        </w:rPr>
      </w:pPr>
    </w:p>
    <w:p w14:paraId="0E6A5E22">
      <w:pPr>
        <w:spacing w:line="360" w:lineRule="auto"/>
        <w:rPr>
          <w:rFonts w:ascii="宋体" w:cs="宋体"/>
          <w:b/>
          <w:bCs/>
          <w:color w:val="auto"/>
          <w:sz w:val="24"/>
          <w:highlight w:val="none"/>
        </w:rPr>
      </w:pPr>
      <w:r>
        <w:rPr>
          <w:rFonts w:hint="eastAsia" w:ascii="宋体" w:hAnsi="宋体" w:cs="宋体"/>
          <w:b/>
          <w:bCs/>
          <w:color w:val="auto"/>
          <w:sz w:val="24"/>
          <w:highlight w:val="none"/>
        </w:rPr>
        <w:t>注：此表仅提供了表格形式，供应商可按此表格格式进行扩展。</w:t>
      </w:r>
    </w:p>
    <w:p w14:paraId="35B1AACC">
      <w:pPr>
        <w:spacing w:line="360" w:lineRule="auto"/>
        <w:rPr>
          <w:color w:val="auto"/>
          <w:highlight w:val="none"/>
        </w:rPr>
      </w:pPr>
      <w:r>
        <w:rPr>
          <w:color w:val="auto"/>
          <w:spacing w:val="-6"/>
          <w:highlight w:val="none"/>
        </w:rPr>
        <w:br w:type="page"/>
      </w:r>
      <w:r>
        <w:rPr>
          <w:rFonts w:hint="eastAsia" w:ascii="宋体" w:hAnsi="宋体" w:cs="宋体"/>
          <w:bCs/>
          <w:color w:val="auto"/>
          <w:sz w:val="24"/>
          <w:highlight w:val="none"/>
          <w:lang w:val="zh-CN"/>
        </w:rPr>
        <w:t>附件</w:t>
      </w:r>
      <w:r>
        <w:rPr>
          <w:rFonts w:ascii="宋体" w:hAnsi="宋体" w:cs="宋体"/>
          <w:bCs/>
          <w:color w:val="auto"/>
          <w:sz w:val="24"/>
          <w:highlight w:val="none"/>
          <w:lang w:val="zh-CN"/>
        </w:rPr>
        <w:t>1</w:t>
      </w:r>
      <w:r>
        <w:rPr>
          <w:rFonts w:hint="eastAsia" w:ascii="宋体" w:hAnsi="宋体" w:cs="宋体"/>
          <w:bCs/>
          <w:color w:val="auto"/>
          <w:sz w:val="24"/>
          <w:highlight w:val="none"/>
        </w:rPr>
        <w:t>5</w:t>
      </w:r>
      <w:r>
        <w:rPr>
          <w:rFonts w:hint="eastAsia" w:ascii="宋体" w:hAnsi="宋体" w:cs="宋体"/>
          <w:bCs/>
          <w:color w:val="auto"/>
          <w:sz w:val="24"/>
          <w:highlight w:val="none"/>
          <w:lang w:val="zh-CN"/>
        </w:rPr>
        <w:t>：拟投入本项目人员配备表</w:t>
      </w:r>
    </w:p>
    <w:p w14:paraId="196DF23C">
      <w:pPr>
        <w:snapToGrid w:val="0"/>
        <w:spacing w:beforeLines="50" w:after="50" w:line="360" w:lineRule="auto"/>
        <w:jc w:val="center"/>
        <w:rPr>
          <w:rFonts w:ascii="宋体" w:cs="宋体"/>
          <w:bCs/>
          <w:color w:val="auto"/>
          <w:sz w:val="24"/>
          <w:highlight w:val="none"/>
          <w:lang w:val="zh-CN"/>
        </w:rPr>
      </w:pPr>
      <w:r>
        <w:rPr>
          <w:rFonts w:hint="eastAsia" w:ascii="宋体" w:hAnsi="宋体" w:cs="宋体"/>
          <w:bCs/>
          <w:color w:val="auto"/>
          <w:sz w:val="24"/>
          <w:highlight w:val="none"/>
          <w:lang w:val="zh-CN"/>
        </w:rPr>
        <w:t>拟投入本项目的人员配备表</w:t>
      </w:r>
    </w:p>
    <w:tbl>
      <w:tblPr>
        <w:tblStyle w:val="27"/>
        <w:tblW w:w="10236" w:type="dxa"/>
        <w:jc w:val="center"/>
        <w:tblLayout w:type="fixed"/>
        <w:tblCellMar>
          <w:top w:w="0" w:type="dxa"/>
          <w:left w:w="0" w:type="dxa"/>
          <w:bottom w:w="0" w:type="dxa"/>
          <w:right w:w="0" w:type="dxa"/>
        </w:tblCellMar>
      </w:tblPr>
      <w:tblGrid>
        <w:gridCol w:w="866"/>
        <w:gridCol w:w="1420"/>
        <w:gridCol w:w="1000"/>
        <w:gridCol w:w="1002"/>
        <w:gridCol w:w="1126"/>
        <w:gridCol w:w="1369"/>
        <w:gridCol w:w="1516"/>
        <w:gridCol w:w="1317"/>
        <w:gridCol w:w="620"/>
      </w:tblGrid>
      <w:tr w14:paraId="13777F68">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14:paraId="61B9B401">
            <w:pPr>
              <w:autoSpaceDE w:val="0"/>
              <w:autoSpaceDN w:val="0"/>
              <w:jc w:val="center"/>
              <w:rPr>
                <w:rFonts w:ascii="宋体" w:cs="宋体"/>
                <w:color w:val="auto"/>
                <w:kern w:val="0"/>
                <w:sz w:val="24"/>
                <w:highlight w:val="none"/>
              </w:rPr>
            </w:pPr>
            <w:r>
              <w:rPr>
                <w:rFonts w:hint="eastAsia" w:ascii="宋体" w:hAnsi="宋体" w:cs="宋体"/>
                <w:color w:val="auto"/>
                <w:kern w:val="0"/>
                <w:sz w:val="24"/>
                <w:highlight w:val="none"/>
              </w:rPr>
              <w:t>序号</w:t>
            </w:r>
          </w:p>
        </w:tc>
        <w:tc>
          <w:tcPr>
            <w:tcW w:w="1420" w:type="dxa"/>
            <w:tcBorders>
              <w:top w:val="single" w:color="auto" w:sz="8" w:space="0"/>
              <w:left w:val="single" w:color="auto" w:sz="8" w:space="0"/>
              <w:bottom w:val="single" w:color="auto" w:sz="8" w:space="0"/>
              <w:right w:val="single" w:color="auto" w:sz="8" w:space="0"/>
            </w:tcBorders>
            <w:vAlign w:val="center"/>
          </w:tcPr>
          <w:p w14:paraId="46ADCDA3">
            <w:pPr>
              <w:autoSpaceDE w:val="0"/>
              <w:autoSpaceDN w:val="0"/>
              <w:jc w:val="center"/>
              <w:rPr>
                <w:rFonts w:ascii="宋体" w:cs="宋体"/>
                <w:color w:val="auto"/>
                <w:kern w:val="0"/>
                <w:sz w:val="24"/>
                <w:highlight w:val="none"/>
              </w:rPr>
            </w:pPr>
            <w:r>
              <w:rPr>
                <w:rFonts w:hint="eastAsia" w:ascii="宋体" w:hAnsi="宋体" w:cs="宋体"/>
                <w:color w:val="auto"/>
                <w:kern w:val="0"/>
                <w:sz w:val="24"/>
                <w:highlight w:val="none"/>
              </w:rPr>
              <w:t>职位名称</w:t>
            </w:r>
          </w:p>
        </w:tc>
        <w:tc>
          <w:tcPr>
            <w:tcW w:w="1000" w:type="dxa"/>
            <w:tcBorders>
              <w:top w:val="single" w:color="auto" w:sz="8" w:space="0"/>
              <w:left w:val="single" w:color="auto" w:sz="8" w:space="0"/>
              <w:bottom w:val="single" w:color="auto" w:sz="8" w:space="0"/>
              <w:right w:val="single" w:color="auto" w:sz="8" w:space="0"/>
            </w:tcBorders>
            <w:vAlign w:val="center"/>
          </w:tcPr>
          <w:p w14:paraId="3CAF6E69">
            <w:pPr>
              <w:autoSpaceDE w:val="0"/>
              <w:autoSpaceDN w:val="0"/>
              <w:jc w:val="center"/>
              <w:rPr>
                <w:rFonts w:ascii="宋体" w:cs="宋体"/>
                <w:color w:val="auto"/>
                <w:kern w:val="0"/>
                <w:sz w:val="24"/>
                <w:highlight w:val="none"/>
              </w:rPr>
            </w:pPr>
            <w:r>
              <w:rPr>
                <w:rFonts w:hint="eastAsia" w:ascii="宋体" w:hAnsi="宋体" w:cs="宋体"/>
                <w:color w:val="auto"/>
                <w:kern w:val="0"/>
                <w:sz w:val="24"/>
                <w:highlight w:val="none"/>
              </w:rPr>
              <w:t>姓</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名</w:t>
            </w:r>
          </w:p>
        </w:tc>
        <w:tc>
          <w:tcPr>
            <w:tcW w:w="1002" w:type="dxa"/>
            <w:tcBorders>
              <w:top w:val="single" w:color="auto" w:sz="8" w:space="0"/>
              <w:left w:val="single" w:color="auto" w:sz="8" w:space="0"/>
              <w:bottom w:val="single" w:color="auto" w:sz="8" w:space="0"/>
              <w:right w:val="single" w:color="auto" w:sz="8" w:space="0"/>
            </w:tcBorders>
            <w:vAlign w:val="center"/>
          </w:tcPr>
          <w:p w14:paraId="50DB2AF0">
            <w:pPr>
              <w:autoSpaceDE w:val="0"/>
              <w:autoSpaceDN w:val="0"/>
              <w:jc w:val="center"/>
              <w:rPr>
                <w:rFonts w:ascii="宋体" w:cs="宋体"/>
                <w:color w:val="auto"/>
                <w:kern w:val="0"/>
                <w:sz w:val="24"/>
                <w:highlight w:val="none"/>
              </w:rPr>
            </w:pPr>
            <w:r>
              <w:rPr>
                <w:rFonts w:hint="eastAsia" w:ascii="宋体" w:hAnsi="宋体" w:cs="宋体"/>
                <w:color w:val="auto"/>
                <w:kern w:val="0"/>
                <w:sz w:val="24"/>
                <w:highlight w:val="none"/>
              </w:rPr>
              <w:t>学历</w:t>
            </w:r>
          </w:p>
        </w:tc>
        <w:tc>
          <w:tcPr>
            <w:tcW w:w="1126" w:type="dxa"/>
            <w:tcBorders>
              <w:top w:val="single" w:color="auto" w:sz="8" w:space="0"/>
              <w:left w:val="single" w:color="auto" w:sz="8" w:space="0"/>
              <w:bottom w:val="single" w:color="auto" w:sz="8" w:space="0"/>
              <w:right w:val="single" w:color="auto" w:sz="8" w:space="0"/>
            </w:tcBorders>
            <w:vAlign w:val="center"/>
          </w:tcPr>
          <w:p w14:paraId="102EA415">
            <w:pPr>
              <w:autoSpaceDE w:val="0"/>
              <w:autoSpaceDN w:val="0"/>
              <w:jc w:val="center"/>
              <w:rPr>
                <w:rFonts w:ascii="宋体" w:cs="宋体"/>
                <w:color w:val="auto"/>
                <w:kern w:val="0"/>
                <w:sz w:val="24"/>
                <w:highlight w:val="none"/>
              </w:rPr>
            </w:pPr>
            <w:r>
              <w:rPr>
                <w:rFonts w:hint="eastAsia" w:ascii="宋体" w:hAnsi="宋体" w:cs="宋体"/>
                <w:color w:val="auto"/>
                <w:kern w:val="0"/>
                <w:sz w:val="24"/>
                <w:highlight w:val="none"/>
              </w:rPr>
              <w:t>相关资质</w:t>
            </w:r>
          </w:p>
          <w:p w14:paraId="5F9C11FC">
            <w:pPr>
              <w:autoSpaceDE w:val="0"/>
              <w:autoSpaceDN w:val="0"/>
              <w:jc w:val="center"/>
              <w:rPr>
                <w:rFonts w:ascii="宋体" w:cs="宋体"/>
                <w:color w:val="auto"/>
                <w:kern w:val="0"/>
                <w:sz w:val="24"/>
                <w:highlight w:val="none"/>
              </w:rPr>
            </w:pPr>
            <w:r>
              <w:rPr>
                <w:rFonts w:hint="eastAsia" w:ascii="宋体" w:hAnsi="宋体" w:cs="宋体"/>
                <w:color w:val="auto"/>
                <w:kern w:val="0"/>
                <w:sz w:val="24"/>
                <w:highlight w:val="none"/>
              </w:rPr>
              <w:t>证书</w:t>
            </w:r>
          </w:p>
        </w:tc>
        <w:tc>
          <w:tcPr>
            <w:tcW w:w="1369" w:type="dxa"/>
            <w:tcBorders>
              <w:top w:val="single" w:color="auto" w:sz="8" w:space="0"/>
              <w:left w:val="single" w:color="auto" w:sz="8" w:space="0"/>
              <w:bottom w:val="single" w:color="auto" w:sz="8" w:space="0"/>
              <w:right w:val="single" w:color="auto" w:sz="8" w:space="0"/>
            </w:tcBorders>
            <w:vAlign w:val="center"/>
          </w:tcPr>
          <w:p w14:paraId="602746E1">
            <w:pPr>
              <w:autoSpaceDE w:val="0"/>
              <w:autoSpaceDN w:val="0"/>
              <w:jc w:val="center"/>
              <w:rPr>
                <w:rFonts w:ascii="宋体" w:cs="宋体"/>
                <w:color w:val="auto"/>
                <w:kern w:val="0"/>
                <w:sz w:val="24"/>
                <w:highlight w:val="none"/>
              </w:rPr>
            </w:pPr>
            <w:r>
              <w:rPr>
                <w:rFonts w:hint="eastAsia" w:ascii="宋体" w:hAnsi="宋体" w:cs="宋体"/>
                <w:color w:val="auto"/>
                <w:kern w:val="0"/>
                <w:sz w:val="24"/>
                <w:highlight w:val="none"/>
              </w:rPr>
              <w:t>证书编号</w:t>
            </w:r>
          </w:p>
        </w:tc>
        <w:tc>
          <w:tcPr>
            <w:tcW w:w="1516" w:type="dxa"/>
            <w:tcBorders>
              <w:top w:val="single" w:color="auto" w:sz="8" w:space="0"/>
              <w:left w:val="single" w:color="auto" w:sz="8" w:space="0"/>
              <w:bottom w:val="single" w:color="auto" w:sz="8" w:space="0"/>
              <w:right w:val="single" w:color="auto" w:sz="8" w:space="0"/>
            </w:tcBorders>
            <w:vAlign w:val="center"/>
          </w:tcPr>
          <w:p w14:paraId="05C5C1E4">
            <w:pPr>
              <w:autoSpaceDE w:val="0"/>
              <w:autoSpaceDN w:val="0"/>
              <w:jc w:val="center"/>
              <w:rPr>
                <w:rFonts w:ascii="宋体" w:cs="宋体"/>
                <w:color w:val="auto"/>
                <w:kern w:val="0"/>
                <w:sz w:val="24"/>
                <w:highlight w:val="none"/>
              </w:rPr>
            </w:pPr>
            <w:r>
              <w:rPr>
                <w:rFonts w:hint="eastAsia" w:ascii="宋体" w:hAnsi="宋体" w:cs="宋体"/>
                <w:color w:val="auto"/>
                <w:kern w:val="0"/>
                <w:sz w:val="24"/>
                <w:highlight w:val="none"/>
              </w:rPr>
              <w:t>工作／业务经历年限</w:t>
            </w:r>
          </w:p>
        </w:tc>
        <w:tc>
          <w:tcPr>
            <w:tcW w:w="1317" w:type="dxa"/>
            <w:tcBorders>
              <w:top w:val="single" w:color="auto" w:sz="8" w:space="0"/>
              <w:left w:val="single" w:color="auto" w:sz="8" w:space="0"/>
              <w:bottom w:val="single" w:color="auto" w:sz="8" w:space="0"/>
              <w:right w:val="single" w:color="auto" w:sz="8" w:space="0"/>
            </w:tcBorders>
            <w:vAlign w:val="center"/>
          </w:tcPr>
          <w:p w14:paraId="5B0EEADC">
            <w:pPr>
              <w:autoSpaceDE w:val="0"/>
              <w:autoSpaceDN w:val="0"/>
              <w:jc w:val="center"/>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岗位</w:t>
            </w:r>
          </w:p>
        </w:tc>
        <w:tc>
          <w:tcPr>
            <w:tcW w:w="620" w:type="dxa"/>
            <w:tcBorders>
              <w:top w:val="single" w:color="auto" w:sz="8" w:space="0"/>
              <w:left w:val="single" w:color="auto" w:sz="8" w:space="0"/>
              <w:bottom w:val="single" w:color="auto" w:sz="8" w:space="0"/>
              <w:right w:val="single" w:color="auto" w:sz="8" w:space="0"/>
            </w:tcBorders>
            <w:vAlign w:val="center"/>
          </w:tcPr>
          <w:p w14:paraId="003EDF20">
            <w:pPr>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备注</w:t>
            </w:r>
          </w:p>
        </w:tc>
      </w:tr>
      <w:tr w14:paraId="5B82E3AD">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14:paraId="19CB7EFC">
            <w:pPr>
              <w:autoSpaceDE w:val="0"/>
              <w:autoSpaceDN w:val="0"/>
              <w:jc w:val="center"/>
              <w:rPr>
                <w:rFonts w:ascii="宋体" w:cs="宋体"/>
                <w:color w:val="auto"/>
                <w:kern w:val="0"/>
                <w:sz w:val="24"/>
                <w:highlight w:val="none"/>
              </w:rPr>
            </w:pPr>
          </w:p>
        </w:tc>
        <w:tc>
          <w:tcPr>
            <w:tcW w:w="1420" w:type="dxa"/>
            <w:tcBorders>
              <w:top w:val="single" w:color="auto" w:sz="8" w:space="0"/>
              <w:left w:val="single" w:color="auto" w:sz="8" w:space="0"/>
              <w:bottom w:val="single" w:color="auto" w:sz="8" w:space="0"/>
              <w:right w:val="single" w:color="auto" w:sz="8" w:space="0"/>
            </w:tcBorders>
            <w:vAlign w:val="center"/>
          </w:tcPr>
          <w:p w14:paraId="5F46E9C8">
            <w:pPr>
              <w:autoSpaceDE w:val="0"/>
              <w:autoSpaceDN w:val="0"/>
              <w:jc w:val="center"/>
              <w:rPr>
                <w:rFonts w:ascii="宋体" w:cs="宋体"/>
                <w:color w:val="auto"/>
                <w:kern w:val="0"/>
                <w:sz w:val="24"/>
                <w:highlight w:val="none"/>
              </w:rPr>
            </w:pPr>
          </w:p>
        </w:tc>
        <w:tc>
          <w:tcPr>
            <w:tcW w:w="1000" w:type="dxa"/>
            <w:tcBorders>
              <w:top w:val="single" w:color="auto" w:sz="8" w:space="0"/>
              <w:left w:val="single" w:color="auto" w:sz="8" w:space="0"/>
              <w:bottom w:val="single" w:color="auto" w:sz="8" w:space="0"/>
              <w:right w:val="single" w:color="auto" w:sz="8" w:space="0"/>
            </w:tcBorders>
            <w:vAlign w:val="center"/>
          </w:tcPr>
          <w:p w14:paraId="1E94740F">
            <w:pPr>
              <w:autoSpaceDE w:val="0"/>
              <w:autoSpaceDN w:val="0"/>
              <w:jc w:val="center"/>
              <w:rPr>
                <w:rFonts w:ascii="宋体" w:cs="宋体"/>
                <w:color w:val="auto"/>
                <w:kern w:val="0"/>
                <w:sz w:val="24"/>
                <w:highlight w:val="none"/>
              </w:rPr>
            </w:pPr>
          </w:p>
        </w:tc>
        <w:tc>
          <w:tcPr>
            <w:tcW w:w="1002" w:type="dxa"/>
            <w:tcBorders>
              <w:top w:val="single" w:color="auto" w:sz="8" w:space="0"/>
              <w:left w:val="single" w:color="auto" w:sz="8" w:space="0"/>
              <w:bottom w:val="single" w:color="auto" w:sz="8" w:space="0"/>
              <w:right w:val="single" w:color="auto" w:sz="8" w:space="0"/>
            </w:tcBorders>
            <w:vAlign w:val="center"/>
          </w:tcPr>
          <w:p w14:paraId="32595A45">
            <w:pPr>
              <w:autoSpaceDE w:val="0"/>
              <w:autoSpaceDN w:val="0"/>
              <w:jc w:val="center"/>
              <w:rPr>
                <w:rFonts w:ascii="宋体" w:cs="宋体"/>
                <w:color w:val="auto"/>
                <w:kern w:val="0"/>
                <w:sz w:val="24"/>
                <w:highlight w:val="none"/>
              </w:rPr>
            </w:pPr>
          </w:p>
        </w:tc>
        <w:tc>
          <w:tcPr>
            <w:tcW w:w="1126" w:type="dxa"/>
            <w:tcBorders>
              <w:top w:val="single" w:color="auto" w:sz="8" w:space="0"/>
              <w:left w:val="single" w:color="auto" w:sz="8" w:space="0"/>
              <w:bottom w:val="single" w:color="auto" w:sz="8" w:space="0"/>
              <w:right w:val="single" w:color="auto" w:sz="8" w:space="0"/>
            </w:tcBorders>
            <w:vAlign w:val="center"/>
          </w:tcPr>
          <w:p w14:paraId="0D06257C">
            <w:pPr>
              <w:autoSpaceDE w:val="0"/>
              <w:autoSpaceDN w:val="0"/>
              <w:jc w:val="center"/>
              <w:rPr>
                <w:rFonts w:ascii="宋体" w:cs="宋体"/>
                <w:color w:val="auto"/>
                <w:kern w:val="0"/>
                <w:sz w:val="24"/>
                <w:highlight w:val="none"/>
              </w:rPr>
            </w:pPr>
          </w:p>
        </w:tc>
        <w:tc>
          <w:tcPr>
            <w:tcW w:w="1369" w:type="dxa"/>
            <w:tcBorders>
              <w:top w:val="single" w:color="auto" w:sz="8" w:space="0"/>
              <w:left w:val="single" w:color="auto" w:sz="8" w:space="0"/>
              <w:bottom w:val="single" w:color="auto" w:sz="8" w:space="0"/>
              <w:right w:val="single" w:color="auto" w:sz="8" w:space="0"/>
            </w:tcBorders>
            <w:vAlign w:val="center"/>
          </w:tcPr>
          <w:p w14:paraId="71F9AF8D">
            <w:pPr>
              <w:autoSpaceDE w:val="0"/>
              <w:autoSpaceDN w:val="0"/>
              <w:jc w:val="center"/>
              <w:rPr>
                <w:rFonts w:ascii="宋体" w:cs="宋体"/>
                <w:color w:val="auto"/>
                <w:kern w:val="0"/>
                <w:sz w:val="24"/>
                <w:highlight w:val="none"/>
              </w:rPr>
            </w:pPr>
          </w:p>
        </w:tc>
        <w:tc>
          <w:tcPr>
            <w:tcW w:w="1516" w:type="dxa"/>
            <w:tcBorders>
              <w:top w:val="single" w:color="auto" w:sz="8" w:space="0"/>
              <w:left w:val="single" w:color="auto" w:sz="8" w:space="0"/>
              <w:bottom w:val="single" w:color="auto" w:sz="8" w:space="0"/>
              <w:right w:val="single" w:color="auto" w:sz="8" w:space="0"/>
            </w:tcBorders>
            <w:vAlign w:val="center"/>
          </w:tcPr>
          <w:p w14:paraId="6265BCB3">
            <w:pPr>
              <w:autoSpaceDE w:val="0"/>
              <w:autoSpaceDN w:val="0"/>
              <w:jc w:val="center"/>
              <w:rPr>
                <w:rFonts w:ascii="宋体" w:cs="宋体"/>
                <w:color w:val="auto"/>
                <w:kern w:val="0"/>
                <w:sz w:val="24"/>
                <w:highlight w:val="none"/>
              </w:rPr>
            </w:pPr>
          </w:p>
        </w:tc>
        <w:tc>
          <w:tcPr>
            <w:tcW w:w="1317" w:type="dxa"/>
            <w:tcBorders>
              <w:top w:val="single" w:color="auto" w:sz="8" w:space="0"/>
              <w:left w:val="single" w:color="auto" w:sz="8" w:space="0"/>
              <w:bottom w:val="single" w:color="auto" w:sz="8" w:space="0"/>
              <w:right w:val="single" w:color="auto" w:sz="8" w:space="0"/>
            </w:tcBorders>
            <w:vAlign w:val="center"/>
          </w:tcPr>
          <w:p w14:paraId="1AF6DBB1">
            <w:pPr>
              <w:autoSpaceDE w:val="0"/>
              <w:autoSpaceDN w:val="0"/>
              <w:jc w:val="center"/>
              <w:rPr>
                <w:rFonts w:ascii="宋体" w:cs="宋体"/>
                <w:color w:val="auto"/>
                <w:kern w:val="0"/>
                <w:sz w:val="24"/>
                <w:highlight w:val="none"/>
              </w:rPr>
            </w:pPr>
          </w:p>
        </w:tc>
        <w:tc>
          <w:tcPr>
            <w:tcW w:w="620" w:type="dxa"/>
            <w:tcBorders>
              <w:top w:val="single" w:color="auto" w:sz="8" w:space="0"/>
              <w:left w:val="single" w:color="auto" w:sz="8" w:space="0"/>
              <w:bottom w:val="single" w:color="auto" w:sz="8" w:space="0"/>
              <w:right w:val="single" w:color="auto" w:sz="8" w:space="0"/>
            </w:tcBorders>
            <w:vAlign w:val="center"/>
          </w:tcPr>
          <w:p w14:paraId="3E4D1FDE">
            <w:pPr>
              <w:autoSpaceDE w:val="0"/>
              <w:autoSpaceDN w:val="0"/>
              <w:jc w:val="center"/>
              <w:rPr>
                <w:rFonts w:ascii="宋体" w:cs="宋体"/>
                <w:color w:val="auto"/>
                <w:kern w:val="0"/>
                <w:sz w:val="24"/>
                <w:highlight w:val="none"/>
              </w:rPr>
            </w:pPr>
          </w:p>
        </w:tc>
      </w:tr>
      <w:tr w14:paraId="05578815">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14:paraId="3DD187D4">
            <w:pPr>
              <w:autoSpaceDE w:val="0"/>
              <w:autoSpaceDN w:val="0"/>
              <w:jc w:val="center"/>
              <w:rPr>
                <w:rFonts w:ascii="宋体" w:cs="宋体"/>
                <w:color w:val="auto"/>
                <w:kern w:val="0"/>
                <w:sz w:val="24"/>
                <w:highlight w:val="none"/>
              </w:rPr>
            </w:pPr>
          </w:p>
        </w:tc>
        <w:tc>
          <w:tcPr>
            <w:tcW w:w="1420" w:type="dxa"/>
            <w:tcBorders>
              <w:top w:val="single" w:color="auto" w:sz="8" w:space="0"/>
              <w:left w:val="single" w:color="auto" w:sz="8" w:space="0"/>
              <w:bottom w:val="single" w:color="auto" w:sz="8" w:space="0"/>
              <w:right w:val="single" w:color="auto" w:sz="8" w:space="0"/>
            </w:tcBorders>
            <w:vAlign w:val="center"/>
          </w:tcPr>
          <w:p w14:paraId="76C17A12">
            <w:pPr>
              <w:autoSpaceDE w:val="0"/>
              <w:autoSpaceDN w:val="0"/>
              <w:jc w:val="center"/>
              <w:rPr>
                <w:rFonts w:ascii="宋体" w:cs="宋体"/>
                <w:color w:val="auto"/>
                <w:kern w:val="0"/>
                <w:sz w:val="24"/>
                <w:highlight w:val="none"/>
              </w:rPr>
            </w:pPr>
          </w:p>
        </w:tc>
        <w:tc>
          <w:tcPr>
            <w:tcW w:w="1000" w:type="dxa"/>
            <w:tcBorders>
              <w:top w:val="single" w:color="auto" w:sz="8" w:space="0"/>
              <w:left w:val="single" w:color="auto" w:sz="8" w:space="0"/>
              <w:bottom w:val="single" w:color="auto" w:sz="8" w:space="0"/>
              <w:right w:val="single" w:color="auto" w:sz="8" w:space="0"/>
            </w:tcBorders>
            <w:vAlign w:val="center"/>
          </w:tcPr>
          <w:p w14:paraId="077FA6E3">
            <w:pPr>
              <w:autoSpaceDE w:val="0"/>
              <w:autoSpaceDN w:val="0"/>
              <w:jc w:val="center"/>
              <w:rPr>
                <w:rFonts w:ascii="宋体" w:cs="宋体"/>
                <w:color w:val="auto"/>
                <w:kern w:val="0"/>
                <w:sz w:val="24"/>
                <w:highlight w:val="none"/>
              </w:rPr>
            </w:pPr>
          </w:p>
        </w:tc>
        <w:tc>
          <w:tcPr>
            <w:tcW w:w="1002" w:type="dxa"/>
            <w:tcBorders>
              <w:top w:val="single" w:color="auto" w:sz="8" w:space="0"/>
              <w:left w:val="single" w:color="auto" w:sz="8" w:space="0"/>
              <w:bottom w:val="single" w:color="auto" w:sz="8" w:space="0"/>
              <w:right w:val="single" w:color="auto" w:sz="8" w:space="0"/>
            </w:tcBorders>
            <w:vAlign w:val="center"/>
          </w:tcPr>
          <w:p w14:paraId="3D5E564F">
            <w:pPr>
              <w:autoSpaceDE w:val="0"/>
              <w:autoSpaceDN w:val="0"/>
              <w:jc w:val="center"/>
              <w:rPr>
                <w:rFonts w:ascii="宋体" w:cs="宋体"/>
                <w:color w:val="auto"/>
                <w:kern w:val="0"/>
                <w:sz w:val="24"/>
                <w:highlight w:val="none"/>
              </w:rPr>
            </w:pPr>
          </w:p>
        </w:tc>
        <w:tc>
          <w:tcPr>
            <w:tcW w:w="1126" w:type="dxa"/>
            <w:tcBorders>
              <w:top w:val="single" w:color="auto" w:sz="8" w:space="0"/>
              <w:left w:val="single" w:color="auto" w:sz="8" w:space="0"/>
              <w:bottom w:val="single" w:color="auto" w:sz="8" w:space="0"/>
              <w:right w:val="single" w:color="auto" w:sz="8" w:space="0"/>
            </w:tcBorders>
            <w:vAlign w:val="center"/>
          </w:tcPr>
          <w:p w14:paraId="0E7DB171">
            <w:pPr>
              <w:autoSpaceDE w:val="0"/>
              <w:autoSpaceDN w:val="0"/>
              <w:jc w:val="center"/>
              <w:rPr>
                <w:rFonts w:ascii="宋体" w:cs="宋体"/>
                <w:color w:val="auto"/>
                <w:kern w:val="0"/>
                <w:sz w:val="24"/>
                <w:highlight w:val="none"/>
              </w:rPr>
            </w:pPr>
          </w:p>
        </w:tc>
        <w:tc>
          <w:tcPr>
            <w:tcW w:w="1369" w:type="dxa"/>
            <w:tcBorders>
              <w:top w:val="single" w:color="auto" w:sz="8" w:space="0"/>
              <w:left w:val="single" w:color="auto" w:sz="8" w:space="0"/>
              <w:bottom w:val="single" w:color="auto" w:sz="8" w:space="0"/>
              <w:right w:val="single" w:color="auto" w:sz="8" w:space="0"/>
            </w:tcBorders>
            <w:vAlign w:val="center"/>
          </w:tcPr>
          <w:p w14:paraId="24699A8A">
            <w:pPr>
              <w:autoSpaceDE w:val="0"/>
              <w:autoSpaceDN w:val="0"/>
              <w:jc w:val="center"/>
              <w:rPr>
                <w:rFonts w:ascii="宋体" w:cs="宋体"/>
                <w:color w:val="auto"/>
                <w:kern w:val="0"/>
                <w:sz w:val="24"/>
                <w:highlight w:val="none"/>
              </w:rPr>
            </w:pPr>
          </w:p>
        </w:tc>
        <w:tc>
          <w:tcPr>
            <w:tcW w:w="1516" w:type="dxa"/>
            <w:tcBorders>
              <w:top w:val="single" w:color="auto" w:sz="8" w:space="0"/>
              <w:left w:val="single" w:color="auto" w:sz="8" w:space="0"/>
              <w:bottom w:val="single" w:color="auto" w:sz="8" w:space="0"/>
              <w:right w:val="single" w:color="auto" w:sz="8" w:space="0"/>
            </w:tcBorders>
            <w:vAlign w:val="center"/>
          </w:tcPr>
          <w:p w14:paraId="7FF39450">
            <w:pPr>
              <w:autoSpaceDE w:val="0"/>
              <w:autoSpaceDN w:val="0"/>
              <w:jc w:val="center"/>
              <w:rPr>
                <w:rFonts w:ascii="宋体" w:cs="宋体"/>
                <w:color w:val="auto"/>
                <w:kern w:val="0"/>
                <w:sz w:val="24"/>
                <w:highlight w:val="none"/>
              </w:rPr>
            </w:pPr>
          </w:p>
        </w:tc>
        <w:tc>
          <w:tcPr>
            <w:tcW w:w="1317" w:type="dxa"/>
            <w:tcBorders>
              <w:top w:val="single" w:color="auto" w:sz="8" w:space="0"/>
              <w:left w:val="single" w:color="auto" w:sz="8" w:space="0"/>
              <w:bottom w:val="single" w:color="auto" w:sz="8" w:space="0"/>
              <w:right w:val="single" w:color="auto" w:sz="8" w:space="0"/>
            </w:tcBorders>
            <w:vAlign w:val="center"/>
          </w:tcPr>
          <w:p w14:paraId="057315FE">
            <w:pPr>
              <w:autoSpaceDE w:val="0"/>
              <w:autoSpaceDN w:val="0"/>
              <w:jc w:val="center"/>
              <w:rPr>
                <w:rFonts w:ascii="宋体" w:cs="宋体"/>
                <w:color w:val="auto"/>
                <w:kern w:val="0"/>
                <w:sz w:val="24"/>
                <w:highlight w:val="none"/>
              </w:rPr>
            </w:pPr>
          </w:p>
        </w:tc>
        <w:tc>
          <w:tcPr>
            <w:tcW w:w="620" w:type="dxa"/>
            <w:tcBorders>
              <w:top w:val="single" w:color="auto" w:sz="8" w:space="0"/>
              <w:left w:val="single" w:color="auto" w:sz="8" w:space="0"/>
              <w:bottom w:val="single" w:color="auto" w:sz="8" w:space="0"/>
              <w:right w:val="single" w:color="auto" w:sz="8" w:space="0"/>
            </w:tcBorders>
            <w:vAlign w:val="center"/>
          </w:tcPr>
          <w:p w14:paraId="7074368B">
            <w:pPr>
              <w:autoSpaceDE w:val="0"/>
              <w:autoSpaceDN w:val="0"/>
              <w:jc w:val="center"/>
              <w:rPr>
                <w:rFonts w:ascii="宋体" w:cs="宋体"/>
                <w:color w:val="auto"/>
                <w:kern w:val="0"/>
                <w:sz w:val="24"/>
                <w:highlight w:val="none"/>
              </w:rPr>
            </w:pPr>
          </w:p>
        </w:tc>
      </w:tr>
      <w:tr w14:paraId="143BCEFA">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14:paraId="701990C5">
            <w:pPr>
              <w:autoSpaceDE w:val="0"/>
              <w:autoSpaceDN w:val="0"/>
              <w:jc w:val="center"/>
              <w:rPr>
                <w:rFonts w:ascii="宋体" w:cs="宋体"/>
                <w:color w:val="auto"/>
                <w:kern w:val="0"/>
                <w:sz w:val="24"/>
                <w:highlight w:val="none"/>
              </w:rPr>
            </w:pPr>
          </w:p>
        </w:tc>
        <w:tc>
          <w:tcPr>
            <w:tcW w:w="1420" w:type="dxa"/>
            <w:tcBorders>
              <w:top w:val="single" w:color="auto" w:sz="8" w:space="0"/>
              <w:left w:val="single" w:color="auto" w:sz="8" w:space="0"/>
              <w:bottom w:val="single" w:color="auto" w:sz="8" w:space="0"/>
              <w:right w:val="single" w:color="auto" w:sz="8" w:space="0"/>
            </w:tcBorders>
            <w:vAlign w:val="center"/>
          </w:tcPr>
          <w:p w14:paraId="634F4349">
            <w:pPr>
              <w:autoSpaceDE w:val="0"/>
              <w:autoSpaceDN w:val="0"/>
              <w:jc w:val="center"/>
              <w:rPr>
                <w:rFonts w:ascii="宋体" w:cs="宋体"/>
                <w:color w:val="auto"/>
                <w:kern w:val="0"/>
                <w:sz w:val="24"/>
                <w:highlight w:val="none"/>
              </w:rPr>
            </w:pPr>
          </w:p>
        </w:tc>
        <w:tc>
          <w:tcPr>
            <w:tcW w:w="1000" w:type="dxa"/>
            <w:tcBorders>
              <w:top w:val="single" w:color="auto" w:sz="8" w:space="0"/>
              <w:left w:val="single" w:color="auto" w:sz="8" w:space="0"/>
              <w:bottom w:val="single" w:color="auto" w:sz="8" w:space="0"/>
              <w:right w:val="single" w:color="auto" w:sz="8" w:space="0"/>
            </w:tcBorders>
            <w:vAlign w:val="center"/>
          </w:tcPr>
          <w:p w14:paraId="4EE748B6">
            <w:pPr>
              <w:autoSpaceDE w:val="0"/>
              <w:autoSpaceDN w:val="0"/>
              <w:jc w:val="center"/>
              <w:rPr>
                <w:rFonts w:ascii="宋体" w:cs="宋体"/>
                <w:color w:val="auto"/>
                <w:kern w:val="0"/>
                <w:sz w:val="24"/>
                <w:highlight w:val="none"/>
              </w:rPr>
            </w:pPr>
          </w:p>
        </w:tc>
        <w:tc>
          <w:tcPr>
            <w:tcW w:w="1002" w:type="dxa"/>
            <w:tcBorders>
              <w:top w:val="single" w:color="auto" w:sz="8" w:space="0"/>
              <w:left w:val="single" w:color="auto" w:sz="8" w:space="0"/>
              <w:bottom w:val="single" w:color="auto" w:sz="8" w:space="0"/>
              <w:right w:val="single" w:color="auto" w:sz="8" w:space="0"/>
            </w:tcBorders>
            <w:vAlign w:val="center"/>
          </w:tcPr>
          <w:p w14:paraId="2166C9FA">
            <w:pPr>
              <w:autoSpaceDE w:val="0"/>
              <w:autoSpaceDN w:val="0"/>
              <w:jc w:val="center"/>
              <w:rPr>
                <w:rFonts w:ascii="宋体" w:cs="宋体"/>
                <w:color w:val="auto"/>
                <w:kern w:val="0"/>
                <w:sz w:val="24"/>
                <w:highlight w:val="none"/>
              </w:rPr>
            </w:pPr>
          </w:p>
        </w:tc>
        <w:tc>
          <w:tcPr>
            <w:tcW w:w="1126" w:type="dxa"/>
            <w:tcBorders>
              <w:top w:val="single" w:color="auto" w:sz="8" w:space="0"/>
              <w:left w:val="single" w:color="auto" w:sz="8" w:space="0"/>
              <w:bottom w:val="single" w:color="auto" w:sz="8" w:space="0"/>
              <w:right w:val="single" w:color="auto" w:sz="8" w:space="0"/>
            </w:tcBorders>
            <w:vAlign w:val="center"/>
          </w:tcPr>
          <w:p w14:paraId="281244E1">
            <w:pPr>
              <w:autoSpaceDE w:val="0"/>
              <w:autoSpaceDN w:val="0"/>
              <w:jc w:val="center"/>
              <w:rPr>
                <w:rFonts w:ascii="宋体" w:cs="宋体"/>
                <w:color w:val="auto"/>
                <w:kern w:val="0"/>
                <w:sz w:val="24"/>
                <w:highlight w:val="none"/>
              </w:rPr>
            </w:pPr>
          </w:p>
        </w:tc>
        <w:tc>
          <w:tcPr>
            <w:tcW w:w="1369" w:type="dxa"/>
            <w:tcBorders>
              <w:top w:val="single" w:color="auto" w:sz="8" w:space="0"/>
              <w:left w:val="single" w:color="auto" w:sz="8" w:space="0"/>
              <w:bottom w:val="single" w:color="auto" w:sz="8" w:space="0"/>
              <w:right w:val="single" w:color="auto" w:sz="8" w:space="0"/>
            </w:tcBorders>
            <w:vAlign w:val="center"/>
          </w:tcPr>
          <w:p w14:paraId="202B7C38">
            <w:pPr>
              <w:autoSpaceDE w:val="0"/>
              <w:autoSpaceDN w:val="0"/>
              <w:jc w:val="center"/>
              <w:rPr>
                <w:rFonts w:ascii="宋体" w:cs="宋体"/>
                <w:color w:val="auto"/>
                <w:kern w:val="0"/>
                <w:sz w:val="24"/>
                <w:highlight w:val="none"/>
              </w:rPr>
            </w:pPr>
          </w:p>
        </w:tc>
        <w:tc>
          <w:tcPr>
            <w:tcW w:w="1516" w:type="dxa"/>
            <w:tcBorders>
              <w:top w:val="single" w:color="auto" w:sz="8" w:space="0"/>
              <w:left w:val="single" w:color="auto" w:sz="8" w:space="0"/>
              <w:bottom w:val="single" w:color="auto" w:sz="8" w:space="0"/>
              <w:right w:val="single" w:color="auto" w:sz="8" w:space="0"/>
            </w:tcBorders>
            <w:vAlign w:val="center"/>
          </w:tcPr>
          <w:p w14:paraId="4E81C674">
            <w:pPr>
              <w:autoSpaceDE w:val="0"/>
              <w:autoSpaceDN w:val="0"/>
              <w:jc w:val="center"/>
              <w:rPr>
                <w:rFonts w:ascii="宋体" w:cs="宋体"/>
                <w:color w:val="auto"/>
                <w:kern w:val="0"/>
                <w:sz w:val="24"/>
                <w:highlight w:val="none"/>
              </w:rPr>
            </w:pPr>
          </w:p>
        </w:tc>
        <w:tc>
          <w:tcPr>
            <w:tcW w:w="1317" w:type="dxa"/>
            <w:tcBorders>
              <w:top w:val="single" w:color="auto" w:sz="8" w:space="0"/>
              <w:left w:val="single" w:color="auto" w:sz="8" w:space="0"/>
              <w:bottom w:val="single" w:color="auto" w:sz="8" w:space="0"/>
              <w:right w:val="single" w:color="auto" w:sz="8" w:space="0"/>
            </w:tcBorders>
            <w:vAlign w:val="center"/>
          </w:tcPr>
          <w:p w14:paraId="27004BCE">
            <w:pPr>
              <w:autoSpaceDE w:val="0"/>
              <w:autoSpaceDN w:val="0"/>
              <w:jc w:val="center"/>
              <w:rPr>
                <w:rFonts w:ascii="宋体" w:cs="宋体"/>
                <w:color w:val="auto"/>
                <w:kern w:val="0"/>
                <w:sz w:val="24"/>
                <w:highlight w:val="none"/>
              </w:rPr>
            </w:pPr>
          </w:p>
        </w:tc>
        <w:tc>
          <w:tcPr>
            <w:tcW w:w="620" w:type="dxa"/>
            <w:tcBorders>
              <w:top w:val="single" w:color="auto" w:sz="8" w:space="0"/>
              <w:left w:val="single" w:color="auto" w:sz="8" w:space="0"/>
              <w:bottom w:val="single" w:color="auto" w:sz="8" w:space="0"/>
              <w:right w:val="single" w:color="auto" w:sz="8" w:space="0"/>
            </w:tcBorders>
            <w:vAlign w:val="center"/>
          </w:tcPr>
          <w:p w14:paraId="3A8D53FC">
            <w:pPr>
              <w:autoSpaceDE w:val="0"/>
              <w:autoSpaceDN w:val="0"/>
              <w:jc w:val="center"/>
              <w:rPr>
                <w:rFonts w:ascii="宋体" w:cs="宋体"/>
                <w:color w:val="auto"/>
                <w:kern w:val="0"/>
                <w:sz w:val="24"/>
                <w:highlight w:val="none"/>
              </w:rPr>
            </w:pPr>
          </w:p>
        </w:tc>
      </w:tr>
      <w:tr w14:paraId="2FF1A881">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14:paraId="766454B1">
            <w:pPr>
              <w:autoSpaceDE w:val="0"/>
              <w:autoSpaceDN w:val="0"/>
              <w:jc w:val="center"/>
              <w:rPr>
                <w:rFonts w:ascii="宋体" w:cs="宋体"/>
                <w:color w:val="auto"/>
                <w:kern w:val="0"/>
                <w:sz w:val="24"/>
                <w:highlight w:val="none"/>
              </w:rPr>
            </w:pPr>
          </w:p>
        </w:tc>
        <w:tc>
          <w:tcPr>
            <w:tcW w:w="1420" w:type="dxa"/>
            <w:tcBorders>
              <w:top w:val="single" w:color="auto" w:sz="8" w:space="0"/>
              <w:left w:val="single" w:color="auto" w:sz="8" w:space="0"/>
              <w:bottom w:val="single" w:color="auto" w:sz="8" w:space="0"/>
              <w:right w:val="single" w:color="auto" w:sz="8" w:space="0"/>
            </w:tcBorders>
            <w:vAlign w:val="center"/>
          </w:tcPr>
          <w:p w14:paraId="1214179A">
            <w:pPr>
              <w:autoSpaceDE w:val="0"/>
              <w:autoSpaceDN w:val="0"/>
              <w:jc w:val="center"/>
              <w:rPr>
                <w:rFonts w:ascii="宋体" w:cs="宋体"/>
                <w:color w:val="auto"/>
                <w:kern w:val="0"/>
                <w:sz w:val="24"/>
                <w:highlight w:val="none"/>
              </w:rPr>
            </w:pPr>
          </w:p>
        </w:tc>
        <w:tc>
          <w:tcPr>
            <w:tcW w:w="1000" w:type="dxa"/>
            <w:tcBorders>
              <w:top w:val="single" w:color="auto" w:sz="8" w:space="0"/>
              <w:left w:val="single" w:color="auto" w:sz="8" w:space="0"/>
              <w:bottom w:val="single" w:color="auto" w:sz="8" w:space="0"/>
              <w:right w:val="single" w:color="auto" w:sz="8" w:space="0"/>
            </w:tcBorders>
            <w:vAlign w:val="center"/>
          </w:tcPr>
          <w:p w14:paraId="1DAE3AE8">
            <w:pPr>
              <w:autoSpaceDE w:val="0"/>
              <w:autoSpaceDN w:val="0"/>
              <w:jc w:val="center"/>
              <w:rPr>
                <w:rFonts w:ascii="宋体" w:cs="宋体"/>
                <w:color w:val="auto"/>
                <w:kern w:val="0"/>
                <w:sz w:val="24"/>
                <w:highlight w:val="none"/>
              </w:rPr>
            </w:pPr>
          </w:p>
        </w:tc>
        <w:tc>
          <w:tcPr>
            <w:tcW w:w="1002" w:type="dxa"/>
            <w:tcBorders>
              <w:top w:val="single" w:color="auto" w:sz="8" w:space="0"/>
              <w:left w:val="single" w:color="auto" w:sz="8" w:space="0"/>
              <w:bottom w:val="single" w:color="auto" w:sz="8" w:space="0"/>
              <w:right w:val="single" w:color="auto" w:sz="8" w:space="0"/>
            </w:tcBorders>
            <w:vAlign w:val="center"/>
          </w:tcPr>
          <w:p w14:paraId="485B60B9">
            <w:pPr>
              <w:autoSpaceDE w:val="0"/>
              <w:autoSpaceDN w:val="0"/>
              <w:jc w:val="center"/>
              <w:rPr>
                <w:rFonts w:ascii="宋体" w:cs="宋体"/>
                <w:color w:val="auto"/>
                <w:kern w:val="0"/>
                <w:sz w:val="24"/>
                <w:highlight w:val="none"/>
              </w:rPr>
            </w:pPr>
          </w:p>
        </w:tc>
        <w:tc>
          <w:tcPr>
            <w:tcW w:w="1126" w:type="dxa"/>
            <w:tcBorders>
              <w:top w:val="single" w:color="auto" w:sz="8" w:space="0"/>
              <w:left w:val="single" w:color="auto" w:sz="8" w:space="0"/>
              <w:bottom w:val="single" w:color="auto" w:sz="8" w:space="0"/>
              <w:right w:val="single" w:color="auto" w:sz="8" w:space="0"/>
            </w:tcBorders>
            <w:vAlign w:val="center"/>
          </w:tcPr>
          <w:p w14:paraId="5D06C296">
            <w:pPr>
              <w:autoSpaceDE w:val="0"/>
              <w:autoSpaceDN w:val="0"/>
              <w:jc w:val="center"/>
              <w:rPr>
                <w:rFonts w:ascii="宋体" w:cs="宋体"/>
                <w:color w:val="auto"/>
                <w:kern w:val="0"/>
                <w:sz w:val="24"/>
                <w:highlight w:val="none"/>
              </w:rPr>
            </w:pPr>
          </w:p>
        </w:tc>
        <w:tc>
          <w:tcPr>
            <w:tcW w:w="1369" w:type="dxa"/>
            <w:tcBorders>
              <w:top w:val="single" w:color="auto" w:sz="8" w:space="0"/>
              <w:left w:val="single" w:color="auto" w:sz="8" w:space="0"/>
              <w:bottom w:val="single" w:color="auto" w:sz="8" w:space="0"/>
              <w:right w:val="single" w:color="auto" w:sz="8" w:space="0"/>
            </w:tcBorders>
            <w:vAlign w:val="center"/>
          </w:tcPr>
          <w:p w14:paraId="087FD2B8">
            <w:pPr>
              <w:autoSpaceDE w:val="0"/>
              <w:autoSpaceDN w:val="0"/>
              <w:jc w:val="center"/>
              <w:rPr>
                <w:rFonts w:ascii="宋体" w:cs="宋体"/>
                <w:color w:val="auto"/>
                <w:kern w:val="0"/>
                <w:sz w:val="24"/>
                <w:highlight w:val="none"/>
              </w:rPr>
            </w:pPr>
          </w:p>
        </w:tc>
        <w:tc>
          <w:tcPr>
            <w:tcW w:w="1516" w:type="dxa"/>
            <w:tcBorders>
              <w:top w:val="single" w:color="auto" w:sz="8" w:space="0"/>
              <w:left w:val="single" w:color="auto" w:sz="8" w:space="0"/>
              <w:bottom w:val="single" w:color="auto" w:sz="8" w:space="0"/>
              <w:right w:val="single" w:color="auto" w:sz="8" w:space="0"/>
            </w:tcBorders>
            <w:vAlign w:val="center"/>
          </w:tcPr>
          <w:p w14:paraId="61B38141">
            <w:pPr>
              <w:autoSpaceDE w:val="0"/>
              <w:autoSpaceDN w:val="0"/>
              <w:jc w:val="center"/>
              <w:rPr>
                <w:rFonts w:ascii="宋体" w:cs="宋体"/>
                <w:color w:val="auto"/>
                <w:kern w:val="0"/>
                <w:sz w:val="24"/>
                <w:highlight w:val="none"/>
              </w:rPr>
            </w:pPr>
          </w:p>
        </w:tc>
        <w:tc>
          <w:tcPr>
            <w:tcW w:w="1317" w:type="dxa"/>
            <w:tcBorders>
              <w:top w:val="single" w:color="auto" w:sz="8" w:space="0"/>
              <w:left w:val="single" w:color="auto" w:sz="8" w:space="0"/>
              <w:bottom w:val="single" w:color="auto" w:sz="8" w:space="0"/>
              <w:right w:val="single" w:color="auto" w:sz="8" w:space="0"/>
            </w:tcBorders>
            <w:vAlign w:val="center"/>
          </w:tcPr>
          <w:p w14:paraId="52E095EA">
            <w:pPr>
              <w:autoSpaceDE w:val="0"/>
              <w:autoSpaceDN w:val="0"/>
              <w:jc w:val="center"/>
              <w:rPr>
                <w:rFonts w:ascii="宋体" w:cs="宋体"/>
                <w:color w:val="auto"/>
                <w:kern w:val="0"/>
                <w:sz w:val="24"/>
                <w:highlight w:val="none"/>
              </w:rPr>
            </w:pPr>
          </w:p>
        </w:tc>
        <w:tc>
          <w:tcPr>
            <w:tcW w:w="620" w:type="dxa"/>
            <w:tcBorders>
              <w:top w:val="single" w:color="auto" w:sz="8" w:space="0"/>
              <w:left w:val="single" w:color="auto" w:sz="8" w:space="0"/>
              <w:bottom w:val="single" w:color="auto" w:sz="8" w:space="0"/>
              <w:right w:val="single" w:color="auto" w:sz="8" w:space="0"/>
            </w:tcBorders>
            <w:vAlign w:val="center"/>
          </w:tcPr>
          <w:p w14:paraId="4E72D011">
            <w:pPr>
              <w:autoSpaceDE w:val="0"/>
              <w:autoSpaceDN w:val="0"/>
              <w:jc w:val="center"/>
              <w:rPr>
                <w:rFonts w:ascii="宋体" w:cs="宋体"/>
                <w:color w:val="auto"/>
                <w:kern w:val="0"/>
                <w:sz w:val="24"/>
                <w:highlight w:val="none"/>
              </w:rPr>
            </w:pPr>
          </w:p>
        </w:tc>
      </w:tr>
      <w:tr w14:paraId="571B1BB4">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14:paraId="6289F4F4">
            <w:pPr>
              <w:autoSpaceDE w:val="0"/>
              <w:autoSpaceDN w:val="0"/>
              <w:jc w:val="center"/>
              <w:rPr>
                <w:rFonts w:ascii="宋体" w:cs="宋体"/>
                <w:color w:val="auto"/>
                <w:kern w:val="0"/>
                <w:sz w:val="24"/>
                <w:highlight w:val="none"/>
              </w:rPr>
            </w:pPr>
          </w:p>
        </w:tc>
        <w:tc>
          <w:tcPr>
            <w:tcW w:w="1420" w:type="dxa"/>
            <w:tcBorders>
              <w:top w:val="single" w:color="auto" w:sz="8" w:space="0"/>
              <w:left w:val="single" w:color="auto" w:sz="8" w:space="0"/>
              <w:bottom w:val="single" w:color="auto" w:sz="8" w:space="0"/>
              <w:right w:val="single" w:color="auto" w:sz="8" w:space="0"/>
            </w:tcBorders>
            <w:vAlign w:val="center"/>
          </w:tcPr>
          <w:p w14:paraId="28F8A021">
            <w:pPr>
              <w:autoSpaceDE w:val="0"/>
              <w:autoSpaceDN w:val="0"/>
              <w:jc w:val="center"/>
              <w:rPr>
                <w:rFonts w:ascii="宋体" w:cs="宋体"/>
                <w:color w:val="auto"/>
                <w:kern w:val="0"/>
                <w:sz w:val="24"/>
                <w:highlight w:val="none"/>
              </w:rPr>
            </w:pPr>
          </w:p>
        </w:tc>
        <w:tc>
          <w:tcPr>
            <w:tcW w:w="1000" w:type="dxa"/>
            <w:tcBorders>
              <w:top w:val="single" w:color="auto" w:sz="8" w:space="0"/>
              <w:left w:val="single" w:color="auto" w:sz="8" w:space="0"/>
              <w:bottom w:val="single" w:color="auto" w:sz="8" w:space="0"/>
              <w:right w:val="single" w:color="auto" w:sz="8" w:space="0"/>
            </w:tcBorders>
            <w:vAlign w:val="center"/>
          </w:tcPr>
          <w:p w14:paraId="55EE2B13">
            <w:pPr>
              <w:autoSpaceDE w:val="0"/>
              <w:autoSpaceDN w:val="0"/>
              <w:jc w:val="center"/>
              <w:rPr>
                <w:rFonts w:ascii="宋体" w:cs="宋体"/>
                <w:color w:val="auto"/>
                <w:kern w:val="0"/>
                <w:sz w:val="24"/>
                <w:highlight w:val="none"/>
              </w:rPr>
            </w:pPr>
          </w:p>
        </w:tc>
        <w:tc>
          <w:tcPr>
            <w:tcW w:w="1002" w:type="dxa"/>
            <w:tcBorders>
              <w:top w:val="single" w:color="auto" w:sz="8" w:space="0"/>
              <w:left w:val="single" w:color="auto" w:sz="8" w:space="0"/>
              <w:bottom w:val="single" w:color="auto" w:sz="8" w:space="0"/>
              <w:right w:val="single" w:color="auto" w:sz="8" w:space="0"/>
            </w:tcBorders>
            <w:vAlign w:val="center"/>
          </w:tcPr>
          <w:p w14:paraId="4AB961A7">
            <w:pPr>
              <w:autoSpaceDE w:val="0"/>
              <w:autoSpaceDN w:val="0"/>
              <w:jc w:val="center"/>
              <w:rPr>
                <w:rFonts w:ascii="宋体" w:cs="宋体"/>
                <w:color w:val="auto"/>
                <w:kern w:val="0"/>
                <w:sz w:val="24"/>
                <w:highlight w:val="none"/>
              </w:rPr>
            </w:pPr>
          </w:p>
        </w:tc>
        <w:tc>
          <w:tcPr>
            <w:tcW w:w="1126" w:type="dxa"/>
            <w:tcBorders>
              <w:top w:val="single" w:color="auto" w:sz="8" w:space="0"/>
              <w:left w:val="single" w:color="auto" w:sz="8" w:space="0"/>
              <w:bottom w:val="single" w:color="auto" w:sz="8" w:space="0"/>
              <w:right w:val="single" w:color="auto" w:sz="8" w:space="0"/>
            </w:tcBorders>
            <w:vAlign w:val="center"/>
          </w:tcPr>
          <w:p w14:paraId="567B3262">
            <w:pPr>
              <w:autoSpaceDE w:val="0"/>
              <w:autoSpaceDN w:val="0"/>
              <w:jc w:val="center"/>
              <w:rPr>
                <w:rFonts w:ascii="宋体" w:cs="宋体"/>
                <w:color w:val="auto"/>
                <w:kern w:val="0"/>
                <w:sz w:val="24"/>
                <w:highlight w:val="none"/>
              </w:rPr>
            </w:pPr>
          </w:p>
        </w:tc>
        <w:tc>
          <w:tcPr>
            <w:tcW w:w="1369" w:type="dxa"/>
            <w:tcBorders>
              <w:top w:val="single" w:color="auto" w:sz="8" w:space="0"/>
              <w:left w:val="single" w:color="auto" w:sz="8" w:space="0"/>
              <w:bottom w:val="single" w:color="auto" w:sz="8" w:space="0"/>
              <w:right w:val="single" w:color="auto" w:sz="8" w:space="0"/>
            </w:tcBorders>
            <w:vAlign w:val="center"/>
          </w:tcPr>
          <w:p w14:paraId="38531193">
            <w:pPr>
              <w:autoSpaceDE w:val="0"/>
              <w:autoSpaceDN w:val="0"/>
              <w:jc w:val="center"/>
              <w:rPr>
                <w:rFonts w:ascii="宋体" w:cs="宋体"/>
                <w:color w:val="auto"/>
                <w:kern w:val="0"/>
                <w:sz w:val="24"/>
                <w:highlight w:val="none"/>
              </w:rPr>
            </w:pPr>
          </w:p>
        </w:tc>
        <w:tc>
          <w:tcPr>
            <w:tcW w:w="1516" w:type="dxa"/>
            <w:tcBorders>
              <w:top w:val="single" w:color="auto" w:sz="8" w:space="0"/>
              <w:left w:val="single" w:color="auto" w:sz="8" w:space="0"/>
              <w:bottom w:val="single" w:color="auto" w:sz="8" w:space="0"/>
              <w:right w:val="single" w:color="auto" w:sz="8" w:space="0"/>
            </w:tcBorders>
            <w:vAlign w:val="center"/>
          </w:tcPr>
          <w:p w14:paraId="5357FF7E">
            <w:pPr>
              <w:autoSpaceDE w:val="0"/>
              <w:autoSpaceDN w:val="0"/>
              <w:jc w:val="center"/>
              <w:rPr>
                <w:rFonts w:ascii="宋体" w:cs="宋体"/>
                <w:color w:val="auto"/>
                <w:kern w:val="0"/>
                <w:sz w:val="24"/>
                <w:highlight w:val="none"/>
              </w:rPr>
            </w:pPr>
          </w:p>
        </w:tc>
        <w:tc>
          <w:tcPr>
            <w:tcW w:w="1317" w:type="dxa"/>
            <w:tcBorders>
              <w:top w:val="single" w:color="auto" w:sz="8" w:space="0"/>
              <w:left w:val="single" w:color="auto" w:sz="8" w:space="0"/>
              <w:bottom w:val="single" w:color="auto" w:sz="8" w:space="0"/>
              <w:right w:val="single" w:color="auto" w:sz="8" w:space="0"/>
            </w:tcBorders>
            <w:vAlign w:val="center"/>
          </w:tcPr>
          <w:p w14:paraId="6F7CF243">
            <w:pPr>
              <w:autoSpaceDE w:val="0"/>
              <w:autoSpaceDN w:val="0"/>
              <w:jc w:val="center"/>
              <w:rPr>
                <w:rFonts w:ascii="宋体" w:cs="宋体"/>
                <w:color w:val="auto"/>
                <w:kern w:val="0"/>
                <w:sz w:val="24"/>
                <w:highlight w:val="none"/>
              </w:rPr>
            </w:pPr>
          </w:p>
        </w:tc>
        <w:tc>
          <w:tcPr>
            <w:tcW w:w="620" w:type="dxa"/>
            <w:tcBorders>
              <w:top w:val="single" w:color="auto" w:sz="8" w:space="0"/>
              <w:left w:val="single" w:color="auto" w:sz="8" w:space="0"/>
              <w:bottom w:val="single" w:color="auto" w:sz="8" w:space="0"/>
              <w:right w:val="single" w:color="auto" w:sz="8" w:space="0"/>
            </w:tcBorders>
            <w:vAlign w:val="center"/>
          </w:tcPr>
          <w:p w14:paraId="2315E6C9">
            <w:pPr>
              <w:autoSpaceDE w:val="0"/>
              <w:autoSpaceDN w:val="0"/>
              <w:jc w:val="center"/>
              <w:rPr>
                <w:rFonts w:ascii="宋体" w:cs="宋体"/>
                <w:color w:val="auto"/>
                <w:kern w:val="0"/>
                <w:sz w:val="24"/>
                <w:highlight w:val="none"/>
              </w:rPr>
            </w:pPr>
          </w:p>
        </w:tc>
      </w:tr>
      <w:tr w14:paraId="3F63804B">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14:paraId="2BE586B4">
            <w:pPr>
              <w:autoSpaceDE w:val="0"/>
              <w:autoSpaceDN w:val="0"/>
              <w:jc w:val="center"/>
              <w:rPr>
                <w:rFonts w:ascii="宋体" w:cs="宋体"/>
                <w:color w:val="auto"/>
                <w:kern w:val="0"/>
                <w:sz w:val="24"/>
                <w:highlight w:val="none"/>
              </w:rPr>
            </w:pPr>
          </w:p>
        </w:tc>
        <w:tc>
          <w:tcPr>
            <w:tcW w:w="1420" w:type="dxa"/>
            <w:tcBorders>
              <w:top w:val="single" w:color="auto" w:sz="8" w:space="0"/>
              <w:left w:val="single" w:color="auto" w:sz="8" w:space="0"/>
              <w:bottom w:val="single" w:color="auto" w:sz="8" w:space="0"/>
              <w:right w:val="single" w:color="auto" w:sz="8" w:space="0"/>
            </w:tcBorders>
            <w:vAlign w:val="center"/>
          </w:tcPr>
          <w:p w14:paraId="52A174DC">
            <w:pPr>
              <w:autoSpaceDE w:val="0"/>
              <w:autoSpaceDN w:val="0"/>
              <w:jc w:val="center"/>
              <w:rPr>
                <w:rFonts w:ascii="宋体" w:cs="宋体"/>
                <w:color w:val="auto"/>
                <w:kern w:val="0"/>
                <w:sz w:val="24"/>
                <w:highlight w:val="none"/>
              </w:rPr>
            </w:pPr>
          </w:p>
        </w:tc>
        <w:tc>
          <w:tcPr>
            <w:tcW w:w="1000" w:type="dxa"/>
            <w:tcBorders>
              <w:top w:val="single" w:color="auto" w:sz="8" w:space="0"/>
              <w:left w:val="single" w:color="auto" w:sz="8" w:space="0"/>
              <w:bottom w:val="single" w:color="auto" w:sz="8" w:space="0"/>
              <w:right w:val="single" w:color="auto" w:sz="8" w:space="0"/>
            </w:tcBorders>
            <w:vAlign w:val="center"/>
          </w:tcPr>
          <w:p w14:paraId="674438C2">
            <w:pPr>
              <w:autoSpaceDE w:val="0"/>
              <w:autoSpaceDN w:val="0"/>
              <w:jc w:val="center"/>
              <w:rPr>
                <w:rFonts w:ascii="宋体" w:cs="宋体"/>
                <w:color w:val="auto"/>
                <w:kern w:val="0"/>
                <w:sz w:val="24"/>
                <w:highlight w:val="none"/>
              </w:rPr>
            </w:pPr>
          </w:p>
        </w:tc>
        <w:tc>
          <w:tcPr>
            <w:tcW w:w="1002" w:type="dxa"/>
            <w:tcBorders>
              <w:top w:val="single" w:color="auto" w:sz="8" w:space="0"/>
              <w:left w:val="single" w:color="auto" w:sz="8" w:space="0"/>
              <w:bottom w:val="single" w:color="auto" w:sz="8" w:space="0"/>
              <w:right w:val="single" w:color="auto" w:sz="8" w:space="0"/>
            </w:tcBorders>
            <w:vAlign w:val="center"/>
          </w:tcPr>
          <w:p w14:paraId="755F9015">
            <w:pPr>
              <w:autoSpaceDE w:val="0"/>
              <w:autoSpaceDN w:val="0"/>
              <w:jc w:val="center"/>
              <w:rPr>
                <w:rFonts w:ascii="宋体" w:cs="宋体"/>
                <w:color w:val="auto"/>
                <w:kern w:val="0"/>
                <w:sz w:val="24"/>
                <w:highlight w:val="none"/>
              </w:rPr>
            </w:pPr>
          </w:p>
        </w:tc>
        <w:tc>
          <w:tcPr>
            <w:tcW w:w="1126" w:type="dxa"/>
            <w:tcBorders>
              <w:top w:val="single" w:color="auto" w:sz="8" w:space="0"/>
              <w:left w:val="single" w:color="auto" w:sz="8" w:space="0"/>
              <w:bottom w:val="single" w:color="auto" w:sz="8" w:space="0"/>
              <w:right w:val="single" w:color="auto" w:sz="8" w:space="0"/>
            </w:tcBorders>
            <w:vAlign w:val="center"/>
          </w:tcPr>
          <w:p w14:paraId="73AF85E2">
            <w:pPr>
              <w:autoSpaceDE w:val="0"/>
              <w:autoSpaceDN w:val="0"/>
              <w:jc w:val="center"/>
              <w:rPr>
                <w:rFonts w:ascii="宋体" w:cs="宋体"/>
                <w:color w:val="auto"/>
                <w:kern w:val="0"/>
                <w:sz w:val="24"/>
                <w:highlight w:val="none"/>
              </w:rPr>
            </w:pPr>
          </w:p>
        </w:tc>
        <w:tc>
          <w:tcPr>
            <w:tcW w:w="1369" w:type="dxa"/>
            <w:tcBorders>
              <w:top w:val="single" w:color="auto" w:sz="8" w:space="0"/>
              <w:left w:val="single" w:color="auto" w:sz="8" w:space="0"/>
              <w:bottom w:val="single" w:color="auto" w:sz="8" w:space="0"/>
              <w:right w:val="single" w:color="auto" w:sz="8" w:space="0"/>
            </w:tcBorders>
            <w:vAlign w:val="center"/>
          </w:tcPr>
          <w:p w14:paraId="0FACB3B9">
            <w:pPr>
              <w:autoSpaceDE w:val="0"/>
              <w:autoSpaceDN w:val="0"/>
              <w:jc w:val="center"/>
              <w:rPr>
                <w:rFonts w:ascii="宋体" w:cs="宋体"/>
                <w:color w:val="auto"/>
                <w:kern w:val="0"/>
                <w:sz w:val="24"/>
                <w:highlight w:val="none"/>
              </w:rPr>
            </w:pPr>
          </w:p>
        </w:tc>
        <w:tc>
          <w:tcPr>
            <w:tcW w:w="1516" w:type="dxa"/>
            <w:tcBorders>
              <w:top w:val="single" w:color="auto" w:sz="8" w:space="0"/>
              <w:left w:val="single" w:color="auto" w:sz="8" w:space="0"/>
              <w:bottom w:val="single" w:color="auto" w:sz="8" w:space="0"/>
              <w:right w:val="single" w:color="auto" w:sz="8" w:space="0"/>
            </w:tcBorders>
            <w:vAlign w:val="center"/>
          </w:tcPr>
          <w:p w14:paraId="38DA9BF7">
            <w:pPr>
              <w:autoSpaceDE w:val="0"/>
              <w:autoSpaceDN w:val="0"/>
              <w:jc w:val="center"/>
              <w:rPr>
                <w:rFonts w:ascii="宋体" w:cs="宋体"/>
                <w:color w:val="auto"/>
                <w:kern w:val="0"/>
                <w:sz w:val="24"/>
                <w:highlight w:val="none"/>
              </w:rPr>
            </w:pPr>
          </w:p>
        </w:tc>
        <w:tc>
          <w:tcPr>
            <w:tcW w:w="1317" w:type="dxa"/>
            <w:tcBorders>
              <w:top w:val="single" w:color="auto" w:sz="8" w:space="0"/>
              <w:left w:val="single" w:color="auto" w:sz="8" w:space="0"/>
              <w:bottom w:val="single" w:color="auto" w:sz="8" w:space="0"/>
              <w:right w:val="single" w:color="auto" w:sz="8" w:space="0"/>
            </w:tcBorders>
            <w:vAlign w:val="center"/>
          </w:tcPr>
          <w:p w14:paraId="49C26610">
            <w:pPr>
              <w:autoSpaceDE w:val="0"/>
              <w:autoSpaceDN w:val="0"/>
              <w:jc w:val="center"/>
              <w:rPr>
                <w:rFonts w:ascii="宋体" w:cs="宋体"/>
                <w:color w:val="auto"/>
                <w:kern w:val="0"/>
                <w:sz w:val="24"/>
                <w:highlight w:val="none"/>
              </w:rPr>
            </w:pPr>
          </w:p>
        </w:tc>
        <w:tc>
          <w:tcPr>
            <w:tcW w:w="620" w:type="dxa"/>
            <w:tcBorders>
              <w:top w:val="single" w:color="auto" w:sz="8" w:space="0"/>
              <w:left w:val="single" w:color="auto" w:sz="8" w:space="0"/>
              <w:bottom w:val="single" w:color="auto" w:sz="8" w:space="0"/>
              <w:right w:val="single" w:color="auto" w:sz="8" w:space="0"/>
            </w:tcBorders>
            <w:vAlign w:val="center"/>
          </w:tcPr>
          <w:p w14:paraId="1C882EBF">
            <w:pPr>
              <w:autoSpaceDE w:val="0"/>
              <w:autoSpaceDN w:val="0"/>
              <w:jc w:val="center"/>
              <w:rPr>
                <w:rFonts w:ascii="宋体" w:cs="宋体"/>
                <w:color w:val="auto"/>
                <w:kern w:val="0"/>
                <w:sz w:val="24"/>
                <w:highlight w:val="none"/>
              </w:rPr>
            </w:pPr>
          </w:p>
        </w:tc>
      </w:tr>
      <w:tr w14:paraId="5E7B6A19">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14:paraId="36360C98">
            <w:pPr>
              <w:autoSpaceDE w:val="0"/>
              <w:autoSpaceDN w:val="0"/>
              <w:jc w:val="center"/>
              <w:rPr>
                <w:rFonts w:ascii="宋体" w:cs="宋体"/>
                <w:color w:val="auto"/>
                <w:kern w:val="0"/>
                <w:sz w:val="24"/>
                <w:highlight w:val="none"/>
              </w:rPr>
            </w:pPr>
          </w:p>
        </w:tc>
        <w:tc>
          <w:tcPr>
            <w:tcW w:w="1420" w:type="dxa"/>
            <w:tcBorders>
              <w:top w:val="single" w:color="auto" w:sz="8" w:space="0"/>
              <w:left w:val="single" w:color="auto" w:sz="8" w:space="0"/>
              <w:bottom w:val="single" w:color="auto" w:sz="8" w:space="0"/>
              <w:right w:val="single" w:color="auto" w:sz="8" w:space="0"/>
            </w:tcBorders>
            <w:vAlign w:val="center"/>
          </w:tcPr>
          <w:p w14:paraId="59001F39">
            <w:pPr>
              <w:autoSpaceDE w:val="0"/>
              <w:autoSpaceDN w:val="0"/>
              <w:jc w:val="center"/>
              <w:rPr>
                <w:rFonts w:ascii="宋体" w:cs="宋体"/>
                <w:color w:val="auto"/>
                <w:kern w:val="0"/>
                <w:sz w:val="24"/>
                <w:highlight w:val="none"/>
              </w:rPr>
            </w:pPr>
          </w:p>
        </w:tc>
        <w:tc>
          <w:tcPr>
            <w:tcW w:w="1000" w:type="dxa"/>
            <w:tcBorders>
              <w:top w:val="single" w:color="auto" w:sz="8" w:space="0"/>
              <w:left w:val="single" w:color="auto" w:sz="8" w:space="0"/>
              <w:bottom w:val="single" w:color="auto" w:sz="8" w:space="0"/>
              <w:right w:val="single" w:color="auto" w:sz="8" w:space="0"/>
            </w:tcBorders>
            <w:vAlign w:val="center"/>
          </w:tcPr>
          <w:p w14:paraId="2BFAA7D7">
            <w:pPr>
              <w:autoSpaceDE w:val="0"/>
              <w:autoSpaceDN w:val="0"/>
              <w:jc w:val="center"/>
              <w:rPr>
                <w:rFonts w:ascii="宋体" w:cs="宋体"/>
                <w:color w:val="auto"/>
                <w:kern w:val="0"/>
                <w:sz w:val="24"/>
                <w:highlight w:val="none"/>
              </w:rPr>
            </w:pPr>
          </w:p>
        </w:tc>
        <w:tc>
          <w:tcPr>
            <w:tcW w:w="1002" w:type="dxa"/>
            <w:tcBorders>
              <w:top w:val="single" w:color="auto" w:sz="8" w:space="0"/>
              <w:left w:val="single" w:color="auto" w:sz="8" w:space="0"/>
              <w:bottom w:val="single" w:color="auto" w:sz="8" w:space="0"/>
              <w:right w:val="single" w:color="auto" w:sz="8" w:space="0"/>
            </w:tcBorders>
            <w:vAlign w:val="center"/>
          </w:tcPr>
          <w:p w14:paraId="607EEF1F">
            <w:pPr>
              <w:autoSpaceDE w:val="0"/>
              <w:autoSpaceDN w:val="0"/>
              <w:jc w:val="center"/>
              <w:rPr>
                <w:rFonts w:ascii="宋体" w:cs="宋体"/>
                <w:color w:val="auto"/>
                <w:kern w:val="0"/>
                <w:sz w:val="24"/>
                <w:highlight w:val="none"/>
              </w:rPr>
            </w:pPr>
          </w:p>
        </w:tc>
        <w:tc>
          <w:tcPr>
            <w:tcW w:w="1126" w:type="dxa"/>
            <w:tcBorders>
              <w:top w:val="single" w:color="auto" w:sz="8" w:space="0"/>
              <w:left w:val="single" w:color="auto" w:sz="8" w:space="0"/>
              <w:bottom w:val="single" w:color="auto" w:sz="8" w:space="0"/>
              <w:right w:val="single" w:color="auto" w:sz="8" w:space="0"/>
            </w:tcBorders>
            <w:vAlign w:val="center"/>
          </w:tcPr>
          <w:p w14:paraId="036C3333">
            <w:pPr>
              <w:autoSpaceDE w:val="0"/>
              <w:autoSpaceDN w:val="0"/>
              <w:jc w:val="center"/>
              <w:rPr>
                <w:rFonts w:ascii="宋体" w:cs="宋体"/>
                <w:color w:val="auto"/>
                <w:kern w:val="0"/>
                <w:sz w:val="24"/>
                <w:highlight w:val="none"/>
              </w:rPr>
            </w:pPr>
          </w:p>
        </w:tc>
        <w:tc>
          <w:tcPr>
            <w:tcW w:w="1369" w:type="dxa"/>
            <w:tcBorders>
              <w:top w:val="single" w:color="auto" w:sz="8" w:space="0"/>
              <w:left w:val="single" w:color="auto" w:sz="8" w:space="0"/>
              <w:bottom w:val="single" w:color="auto" w:sz="8" w:space="0"/>
              <w:right w:val="single" w:color="auto" w:sz="8" w:space="0"/>
            </w:tcBorders>
            <w:vAlign w:val="center"/>
          </w:tcPr>
          <w:p w14:paraId="580B6887">
            <w:pPr>
              <w:autoSpaceDE w:val="0"/>
              <w:autoSpaceDN w:val="0"/>
              <w:jc w:val="center"/>
              <w:rPr>
                <w:rFonts w:ascii="宋体" w:cs="宋体"/>
                <w:color w:val="auto"/>
                <w:kern w:val="0"/>
                <w:sz w:val="24"/>
                <w:highlight w:val="none"/>
              </w:rPr>
            </w:pPr>
          </w:p>
        </w:tc>
        <w:tc>
          <w:tcPr>
            <w:tcW w:w="1516" w:type="dxa"/>
            <w:tcBorders>
              <w:top w:val="single" w:color="auto" w:sz="8" w:space="0"/>
              <w:left w:val="single" w:color="auto" w:sz="8" w:space="0"/>
              <w:bottom w:val="single" w:color="auto" w:sz="8" w:space="0"/>
              <w:right w:val="single" w:color="auto" w:sz="8" w:space="0"/>
            </w:tcBorders>
            <w:vAlign w:val="center"/>
          </w:tcPr>
          <w:p w14:paraId="0D5DAFAA">
            <w:pPr>
              <w:autoSpaceDE w:val="0"/>
              <w:autoSpaceDN w:val="0"/>
              <w:jc w:val="center"/>
              <w:rPr>
                <w:rFonts w:ascii="宋体" w:cs="宋体"/>
                <w:color w:val="auto"/>
                <w:kern w:val="0"/>
                <w:sz w:val="24"/>
                <w:highlight w:val="none"/>
              </w:rPr>
            </w:pPr>
          </w:p>
        </w:tc>
        <w:tc>
          <w:tcPr>
            <w:tcW w:w="1317" w:type="dxa"/>
            <w:tcBorders>
              <w:top w:val="single" w:color="auto" w:sz="8" w:space="0"/>
              <w:left w:val="single" w:color="auto" w:sz="8" w:space="0"/>
              <w:bottom w:val="single" w:color="auto" w:sz="8" w:space="0"/>
              <w:right w:val="single" w:color="auto" w:sz="8" w:space="0"/>
            </w:tcBorders>
            <w:vAlign w:val="center"/>
          </w:tcPr>
          <w:p w14:paraId="529D4E37">
            <w:pPr>
              <w:autoSpaceDE w:val="0"/>
              <w:autoSpaceDN w:val="0"/>
              <w:jc w:val="center"/>
              <w:rPr>
                <w:rFonts w:ascii="宋体" w:cs="宋体"/>
                <w:color w:val="auto"/>
                <w:kern w:val="0"/>
                <w:sz w:val="24"/>
                <w:highlight w:val="none"/>
              </w:rPr>
            </w:pPr>
          </w:p>
        </w:tc>
        <w:tc>
          <w:tcPr>
            <w:tcW w:w="620" w:type="dxa"/>
            <w:tcBorders>
              <w:top w:val="single" w:color="auto" w:sz="8" w:space="0"/>
              <w:left w:val="single" w:color="auto" w:sz="8" w:space="0"/>
              <w:bottom w:val="single" w:color="auto" w:sz="8" w:space="0"/>
              <w:right w:val="single" w:color="auto" w:sz="8" w:space="0"/>
            </w:tcBorders>
            <w:vAlign w:val="center"/>
          </w:tcPr>
          <w:p w14:paraId="5955392C">
            <w:pPr>
              <w:autoSpaceDE w:val="0"/>
              <w:autoSpaceDN w:val="0"/>
              <w:jc w:val="center"/>
              <w:rPr>
                <w:rFonts w:ascii="宋体" w:cs="宋体"/>
                <w:color w:val="auto"/>
                <w:kern w:val="0"/>
                <w:sz w:val="24"/>
                <w:highlight w:val="none"/>
              </w:rPr>
            </w:pPr>
          </w:p>
        </w:tc>
      </w:tr>
      <w:tr w14:paraId="5D4EFA61">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14:paraId="7B93808B">
            <w:pPr>
              <w:autoSpaceDE w:val="0"/>
              <w:autoSpaceDN w:val="0"/>
              <w:jc w:val="center"/>
              <w:rPr>
                <w:rFonts w:ascii="宋体" w:cs="宋体"/>
                <w:color w:val="auto"/>
                <w:kern w:val="0"/>
                <w:sz w:val="24"/>
                <w:highlight w:val="none"/>
              </w:rPr>
            </w:pPr>
          </w:p>
        </w:tc>
        <w:tc>
          <w:tcPr>
            <w:tcW w:w="1420" w:type="dxa"/>
            <w:tcBorders>
              <w:top w:val="single" w:color="auto" w:sz="8" w:space="0"/>
              <w:left w:val="single" w:color="auto" w:sz="8" w:space="0"/>
              <w:bottom w:val="single" w:color="auto" w:sz="8" w:space="0"/>
              <w:right w:val="single" w:color="auto" w:sz="8" w:space="0"/>
            </w:tcBorders>
            <w:vAlign w:val="center"/>
          </w:tcPr>
          <w:p w14:paraId="0C6949C7">
            <w:pPr>
              <w:autoSpaceDE w:val="0"/>
              <w:autoSpaceDN w:val="0"/>
              <w:jc w:val="center"/>
              <w:rPr>
                <w:rFonts w:ascii="宋体" w:cs="宋体"/>
                <w:color w:val="auto"/>
                <w:kern w:val="0"/>
                <w:sz w:val="24"/>
                <w:highlight w:val="none"/>
              </w:rPr>
            </w:pPr>
          </w:p>
        </w:tc>
        <w:tc>
          <w:tcPr>
            <w:tcW w:w="1000" w:type="dxa"/>
            <w:tcBorders>
              <w:top w:val="single" w:color="auto" w:sz="8" w:space="0"/>
              <w:left w:val="single" w:color="auto" w:sz="8" w:space="0"/>
              <w:bottom w:val="single" w:color="auto" w:sz="8" w:space="0"/>
              <w:right w:val="single" w:color="auto" w:sz="8" w:space="0"/>
            </w:tcBorders>
            <w:vAlign w:val="center"/>
          </w:tcPr>
          <w:p w14:paraId="684A6DA9">
            <w:pPr>
              <w:autoSpaceDE w:val="0"/>
              <w:autoSpaceDN w:val="0"/>
              <w:jc w:val="center"/>
              <w:rPr>
                <w:rFonts w:ascii="宋体" w:cs="宋体"/>
                <w:color w:val="auto"/>
                <w:kern w:val="0"/>
                <w:sz w:val="24"/>
                <w:highlight w:val="none"/>
              </w:rPr>
            </w:pPr>
          </w:p>
        </w:tc>
        <w:tc>
          <w:tcPr>
            <w:tcW w:w="1002" w:type="dxa"/>
            <w:tcBorders>
              <w:top w:val="single" w:color="auto" w:sz="8" w:space="0"/>
              <w:left w:val="single" w:color="auto" w:sz="8" w:space="0"/>
              <w:bottom w:val="single" w:color="auto" w:sz="8" w:space="0"/>
              <w:right w:val="single" w:color="auto" w:sz="8" w:space="0"/>
            </w:tcBorders>
            <w:vAlign w:val="center"/>
          </w:tcPr>
          <w:p w14:paraId="2F80DE41">
            <w:pPr>
              <w:autoSpaceDE w:val="0"/>
              <w:autoSpaceDN w:val="0"/>
              <w:jc w:val="center"/>
              <w:rPr>
                <w:rFonts w:ascii="宋体" w:cs="宋体"/>
                <w:color w:val="auto"/>
                <w:kern w:val="0"/>
                <w:sz w:val="24"/>
                <w:highlight w:val="none"/>
              </w:rPr>
            </w:pPr>
          </w:p>
        </w:tc>
        <w:tc>
          <w:tcPr>
            <w:tcW w:w="1126" w:type="dxa"/>
            <w:tcBorders>
              <w:top w:val="single" w:color="auto" w:sz="8" w:space="0"/>
              <w:left w:val="single" w:color="auto" w:sz="8" w:space="0"/>
              <w:bottom w:val="single" w:color="auto" w:sz="8" w:space="0"/>
              <w:right w:val="single" w:color="auto" w:sz="8" w:space="0"/>
            </w:tcBorders>
            <w:vAlign w:val="center"/>
          </w:tcPr>
          <w:p w14:paraId="4431EE04">
            <w:pPr>
              <w:autoSpaceDE w:val="0"/>
              <w:autoSpaceDN w:val="0"/>
              <w:jc w:val="center"/>
              <w:rPr>
                <w:rFonts w:ascii="宋体" w:cs="宋体"/>
                <w:color w:val="auto"/>
                <w:kern w:val="0"/>
                <w:sz w:val="24"/>
                <w:highlight w:val="none"/>
              </w:rPr>
            </w:pPr>
          </w:p>
        </w:tc>
        <w:tc>
          <w:tcPr>
            <w:tcW w:w="1369" w:type="dxa"/>
            <w:tcBorders>
              <w:top w:val="single" w:color="auto" w:sz="8" w:space="0"/>
              <w:left w:val="single" w:color="auto" w:sz="8" w:space="0"/>
              <w:bottom w:val="single" w:color="auto" w:sz="8" w:space="0"/>
              <w:right w:val="single" w:color="auto" w:sz="8" w:space="0"/>
            </w:tcBorders>
            <w:vAlign w:val="center"/>
          </w:tcPr>
          <w:p w14:paraId="308C4385">
            <w:pPr>
              <w:autoSpaceDE w:val="0"/>
              <w:autoSpaceDN w:val="0"/>
              <w:jc w:val="center"/>
              <w:rPr>
                <w:rFonts w:ascii="宋体" w:cs="宋体"/>
                <w:color w:val="auto"/>
                <w:kern w:val="0"/>
                <w:sz w:val="24"/>
                <w:highlight w:val="none"/>
              </w:rPr>
            </w:pPr>
          </w:p>
        </w:tc>
        <w:tc>
          <w:tcPr>
            <w:tcW w:w="1516" w:type="dxa"/>
            <w:tcBorders>
              <w:top w:val="single" w:color="auto" w:sz="8" w:space="0"/>
              <w:left w:val="single" w:color="auto" w:sz="8" w:space="0"/>
              <w:bottom w:val="single" w:color="auto" w:sz="8" w:space="0"/>
              <w:right w:val="single" w:color="auto" w:sz="8" w:space="0"/>
            </w:tcBorders>
            <w:vAlign w:val="center"/>
          </w:tcPr>
          <w:p w14:paraId="04E542C3">
            <w:pPr>
              <w:autoSpaceDE w:val="0"/>
              <w:autoSpaceDN w:val="0"/>
              <w:jc w:val="center"/>
              <w:rPr>
                <w:rFonts w:ascii="宋体" w:cs="宋体"/>
                <w:color w:val="auto"/>
                <w:kern w:val="0"/>
                <w:sz w:val="24"/>
                <w:highlight w:val="none"/>
              </w:rPr>
            </w:pPr>
          </w:p>
        </w:tc>
        <w:tc>
          <w:tcPr>
            <w:tcW w:w="1317" w:type="dxa"/>
            <w:tcBorders>
              <w:top w:val="single" w:color="auto" w:sz="8" w:space="0"/>
              <w:left w:val="single" w:color="auto" w:sz="8" w:space="0"/>
              <w:bottom w:val="single" w:color="auto" w:sz="8" w:space="0"/>
              <w:right w:val="single" w:color="auto" w:sz="8" w:space="0"/>
            </w:tcBorders>
            <w:vAlign w:val="center"/>
          </w:tcPr>
          <w:p w14:paraId="2ACF33D8">
            <w:pPr>
              <w:autoSpaceDE w:val="0"/>
              <w:autoSpaceDN w:val="0"/>
              <w:jc w:val="center"/>
              <w:rPr>
                <w:rFonts w:ascii="宋体" w:cs="宋体"/>
                <w:color w:val="auto"/>
                <w:kern w:val="0"/>
                <w:sz w:val="24"/>
                <w:highlight w:val="none"/>
              </w:rPr>
            </w:pPr>
          </w:p>
        </w:tc>
        <w:tc>
          <w:tcPr>
            <w:tcW w:w="620" w:type="dxa"/>
            <w:tcBorders>
              <w:top w:val="single" w:color="auto" w:sz="8" w:space="0"/>
              <w:left w:val="single" w:color="auto" w:sz="8" w:space="0"/>
              <w:bottom w:val="single" w:color="auto" w:sz="8" w:space="0"/>
              <w:right w:val="single" w:color="auto" w:sz="8" w:space="0"/>
            </w:tcBorders>
            <w:vAlign w:val="center"/>
          </w:tcPr>
          <w:p w14:paraId="455E75DC">
            <w:pPr>
              <w:autoSpaceDE w:val="0"/>
              <w:autoSpaceDN w:val="0"/>
              <w:jc w:val="center"/>
              <w:rPr>
                <w:rFonts w:ascii="宋体" w:cs="宋体"/>
                <w:color w:val="auto"/>
                <w:kern w:val="0"/>
                <w:sz w:val="24"/>
                <w:highlight w:val="none"/>
              </w:rPr>
            </w:pPr>
          </w:p>
        </w:tc>
      </w:tr>
    </w:tbl>
    <w:p w14:paraId="7B394AE9">
      <w:pPr>
        <w:rPr>
          <w:rFonts w:ascii="宋体" w:cs="宋体"/>
          <w:b/>
          <w:bCs/>
          <w:color w:val="auto"/>
          <w:sz w:val="24"/>
          <w:highlight w:val="none"/>
        </w:rPr>
      </w:pPr>
      <w:r>
        <w:rPr>
          <w:rFonts w:hint="eastAsia" w:ascii="宋体" w:hAnsi="宋体" w:cs="宋体"/>
          <w:b/>
          <w:bCs/>
          <w:color w:val="auto"/>
          <w:sz w:val="24"/>
          <w:highlight w:val="none"/>
        </w:rPr>
        <w:t>备注：</w:t>
      </w:r>
      <w:r>
        <w:rPr>
          <w:rFonts w:hint="eastAsia" w:ascii="宋体" w:hAnsi="宋体" w:cs="宋体"/>
          <w:b/>
          <w:bCs/>
          <w:color w:val="auto"/>
          <w:sz w:val="24"/>
          <w:highlight w:val="none"/>
          <w:lang w:val="zh-CN"/>
        </w:rPr>
        <w:t>按采购文件要求提供证明资料。</w:t>
      </w:r>
    </w:p>
    <w:p w14:paraId="342F36CA">
      <w:pPr>
        <w:snapToGrid w:val="0"/>
        <w:spacing w:before="50" w:after="50" w:line="600" w:lineRule="exact"/>
        <w:rPr>
          <w:rFonts w:ascii="宋体" w:cs="宋体"/>
          <w:color w:val="auto"/>
          <w:spacing w:val="20"/>
          <w:sz w:val="24"/>
          <w:highlight w:val="none"/>
        </w:rPr>
      </w:pPr>
    </w:p>
    <w:p w14:paraId="670CBA7D">
      <w:pPr>
        <w:rPr>
          <w:rFonts w:ascii="宋体" w:hAnsi="宋体" w:cs="宋体"/>
          <w:color w:val="auto"/>
          <w:sz w:val="24"/>
          <w:highlight w:val="none"/>
        </w:rPr>
      </w:pP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（盖章）：</w:t>
      </w:r>
    </w:p>
    <w:p w14:paraId="0B79CD98">
      <w:pPr>
        <w:rPr>
          <w:rFonts w:ascii="宋体" w:hAnsi="宋体" w:cs="宋体"/>
          <w:color w:val="auto"/>
          <w:sz w:val="24"/>
          <w:highlight w:val="none"/>
        </w:rPr>
      </w:pPr>
    </w:p>
    <w:p w14:paraId="2BC362DF">
      <w:pPr>
        <w:rPr>
          <w:rFonts w:ascii="宋体" w:hAns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p>
    <w:p w14:paraId="3B8F7D9E">
      <w:pPr>
        <w:rPr>
          <w:rFonts w:ascii="宋体" w:hAnsi="宋体" w:cs="宋体"/>
          <w:color w:val="auto"/>
          <w:sz w:val="24"/>
          <w:highlight w:val="none"/>
        </w:rPr>
      </w:pPr>
    </w:p>
    <w:p w14:paraId="3D277CA8">
      <w:pPr>
        <w:rPr>
          <w:rFonts w:ascii="宋体" w:hAnsi="宋体" w:cs="宋体"/>
          <w:color w:val="auto"/>
          <w:sz w:val="24"/>
          <w:highlight w:val="none"/>
        </w:rPr>
      </w:pPr>
      <w:r>
        <w:rPr>
          <w:rFonts w:hint="eastAsia" w:ascii="宋体" w:hAnsi="宋体" w:cs="宋体"/>
          <w:color w:val="auto"/>
          <w:sz w:val="24"/>
          <w:highlight w:val="none"/>
        </w:rPr>
        <w:t>日    期：</w:t>
      </w:r>
    </w:p>
    <w:p w14:paraId="5126C31D">
      <w:pPr>
        <w:rPr>
          <w:rFonts w:ascii="宋体" w:cs="宋体"/>
          <w:b/>
          <w:bCs/>
          <w:color w:val="auto"/>
          <w:sz w:val="24"/>
          <w:highlight w:val="none"/>
        </w:rPr>
      </w:pPr>
    </w:p>
    <w:p w14:paraId="0E73FB0D">
      <w:pPr>
        <w:rPr>
          <w:rFonts w:ascii="宋体" w:cs="宋体"/>
          <w:b/>
          <w:bCs/>
          <w:color w:val="auto"/>
          <w:sz w:val="24"/>
          <w:highlight w:val="none"/>
        </w:rPr>
      </w:pPr>
      <w:r>
        <w:rPr>
          <w:rFonts w:hint="eastAsia" w:ascii="宋体" w:hAnsi="宋体" w:cs="宋体"/>
          <w:b/>
          <w:bCs/>
          <w:color w:val="auto"/>
          <w:sz w:val="24"/>
          <w:highlight w:val="none"/>
        </w:rPr>
        <w:t>注：此表仅提供了表格形式，供应商可按此表格格式进行扩展。</w:t>
      </w:r>
    </w:p>
    <w:p w14:paraId="68AC1718">
      <w:pPr>
        <w:rPr>
          <w:rFonts w:ascii="宋体" w:cs="宋体"/>
          <w:b/>
          <w:bCs/>
          <w:color w:val="auto"/>
          <w:sz w:val="24"/>
          <w:highlight w:val="none"/>
        </w:rPr>
      </w:pPr>
    </w:p>
    <w:p w14:paraId="06996835">
      <w:pPr>
        <w:rPr>
          <w:rFonts w:ascii="宋体" w:cs="宋体"/>
          <w:b/>
          <w:bCs/>
          <w:color w:val="auto"/>
          <w:sz w:val="24"/>
          <w:highlight w:val="none"/>
        </w:rPr>
      </w:pPr>
    </w:p>
    <w:p w14:paraId="5CE4522A">
      <w:pPr>
        <w:rPr>
          <w:rFonts w:ascii="宋体" w:cs="宋体"/>
          <w:b/>
          <w:bCs/>
          <w:color w:val="auto"/>
          <w:szCs w:val="21"/>
          <w:highlight w:val="none"/>
        </w:rPr>
      </w:pPr>
    </w:p>
    <w:p w14:paraId="7C022641">
      <w:pPr>
        <w:rPr>
          <w:rFonts w:ascii="宋体" w:cs="宋体"/>
          <w:b/>
          <w:bCs/>
          <w:color w:val="auto"/>
          <w:szCs w:val="21"/>
          <w:highlight w:val="none"/>
        </w:rPr>
      </w:pPr>
    </w:p>
    <w:p w14:paraId="47C820F7">
      <w:pPr>
        <w:rPr>
          <w:rFonts w:ascii="宋体" w:cs="宋体"/>
          <w:b/>
          <w:bCs/>
          <w:color w:val="auto"/>
          <w:szCs w:val="21"/>
          <w:highlight w:val="none"/>
        </w:rPr>
      </w:pPr>
    </w:p>
    <w:p w14:paraId="5D1AE82B">
      <w:pPr>
        <w:rPr>
          <w:rFonts w:ascii="宋体" w:cs="宋体"/>
          <w:b/>
          <w:bCs/>
          <w:color w:val="auto"/>
          <w:szCs w:val="21"/>
          <w:highlight w:val="none"/>
        </w:rPr>
      </w:pPr>
      <w:r>
        <w:rPr>
          <w:rFonts w:ascii="宋体" w:cs="宋体"/>
          <w:b/>
          <w:bCs/>
          <w:color w:val="auto"/>
          <w:szCs w:val="21"/>
          <w:highlight w:val="none"/>
        </w:rPr>
        <w:br w:type="page"/>
      </w:r>
    </w:p>
    <w:p w14:paraId="1CE0C41D">
      <w:pPr>
        <w:spacing w:line="360" w:lineRule="auto"/>
        <w:outlineLvl w:val="1"/>
        <w:rPr>
          <w:rFonts w:ascii="宋体" w:hAnsi="宋体" w:cs="宋体"/>
          <w:bCs/>
          <w:color w:val="auto"/>
          <w:sz w:val="24"/>
          <w:highlight w:val="none"/>
          <w:lang w:val="zh-CN"/>
        </w:rPr>
      </w:pPr>
      <w:bookmarkStart w:id="97" w:name="_Toc489481904"/>
      <w:bookmarkStart w:id="98" w:name="_Toc22895"/>
      <w:bookmarkStart w:id="99" w:name="_Toc513456155"/>
      <w:bookmarkStart w:id="100" w:name="_Toc12829"/>
      <w:r>
        <w:rPr>
          <w:rFonts w:hint="eastAsia" w:ascii="宋体" w:hAnsi="黑体" w:cs="宋体"/>
          <w:bCs/>
          <w:color w:val="auto"/>
          <w:sz w:val="24"/>
          <w:highlight w:val="none"/>
        </w:rPr>
        <w:t>附件</w:t>
      </w:r>
      <w:r>
        <w:rPr>
          <w:rFonts w:ascii="宋体" w:hAnsi="黑体" w:cs="宋体"/>
          <w:bCs/>
          <w:color w:val="auto"/>
          <w:sz w:val="24"/>
          <w:highlight w:val="none"/>
        </w:rPr>
        <w:t>1</w:t>
      </w:r>
      <w:r>
        <w:rPr>
          <w:rFonts w:hint="eastAsia" w:ascii="宋体" w:hAnsi="黑体" w:cs="宋体"/>
          <w:bCs/>
          <w:color w:val="auto"/>
          <w:sz w:val="24"/>
          <w:highlight w:val="none"/>
        </w:rPr>
        <w:t>6：</w:t>
      </w:r>
      <w:bookmarkEnd w:id="97"/>
      <w:bookmarkEnd w:id="98"/>
      <w:bookmarkEnd w:id="99"/>
      <w:bookmarkEnd w:id="100"/>
      <w:r>
        <w:rPr>
          <w:rFonts w:hint="eastAsia" w:ascii="宋体" w:hAnsi="宋体" w:cs="宋体"/>
          <w:bCs/>
          <w:color w:val="auto"/>
          <w:sz w:val="24"/>
          <w:highlight w:val="none"/>
          <w:lang w:val="zh-CN"/>
        </w:rPr>
        <w:t>供应商资料真实性承诺书</w:t>
      </w:r>
    </w:p>
    <w:p w14:paraId="3F2C6867">
      <w:pPr>
        <w:spacing w:line="360" w:lineRule="auto"/>
        <w:ind w:firstLine="482" w:firstLineChars="200"/>
        <w:jc w:val="center"/>
        <w:rPr>
          <w:rFonts w:ascii="宋体" w:hAnsi="宋体" w:cs="宋体"/>
          <w:color w:val="auto"/>
          <w:sz w:val="24"/>
          <w:highlight w:val="none"/>
        </w:rPr>
      </w:pPr>
      <w:r>
        <w:rPr>
          <w:rFonts w:hint="eastAsia" w:ascii="宋体" w:hAnsi="宋体" w:cs="宋体"/>
          <w:b/>
          <w:color w:val="auto"/>
          <w:sz w:val="24"/>
          <w:highlight w:val="none"/>
          <w:lang w:val="zh-CN"/>
        </w:rPr>
        <w:t>供应商资料真实性承诺书</w:t>
      </w:r>
    </w:p>
    <w:p w14:paraId="205544A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致:</w:t>
      </w:r>
      <w:r>
        <w:rPr>
          <w:rFonts w:hint="eastAsia" w:ascii="宋体" w:hAnsi="宋体" w:cs="宋体"/>
          <w:bCs/>
          <w:color w:val="auto"/>
          <w:spacing w:val="-6"/>
          <w:sz w:val="24"/>
          <w:highlight w:val="none"/>
          <w:lang w:eastAsia="zh-CN"/>
        </w:rPr>
        <w:t>衢州市公安局柯城分局</w:t>
      </w:r>
      <w:r>
        <w:rPr>
          <w:rFonts w:hint="eastAsia" w:ascii="宋体" w:hAnsi="宋体" w:cs="宋体"/>
          <w:bCs/>
          <w:color w:val="auto"/>
          <w:spacing w:val="-6"/>
          <w:sz w:val="24"/>
          <w:highlight w:val="none"/>
        </w:rPr>
        <w:t>、</w:t>
      </w:r>
      <w:r>
        <w:rPr>
          <w:rFonts w:hint="eastAsia" w:ascii="宋体" w:hAnsi="宋体" w:cs="宋体"/>
          <w:color w:val="auto"/>
          <w:spacing w:val="-6"/>
          <w:sz w:val="24"/>
          <w:highlight w:val="none"/>
          <w:lang w:eastAsia="zh-CN"/>
        </w:rPr>
        <w:t>衢州胜友如云工程咨询有限公司</w:t>
      </w:r>
      <w:r>
        <w:rPr>
          <w:rFonts w:hint="eastAsia" w:ascii="宋体" w:hAnsi="宋体" w:cs="宋体"/>
          <w:color w:val="auto"/>
          <w:spacing w:val="-6"/>
          <w:sz w:val="24"/>
          <w:highlight w:val="none"/>
        </w:rPr>
        <w:t>：</w:t>
      </w:r>
    </w:p>
    <w:p w14:paraId="291360F7">
      <w:pPr>
        <w:spacing w:line="360" w:lineRule="auto"/>
        <w:ind w:firstLine="482" w:firstLineChars="200"/>
        <w:rPr>
          <w:rFonts w:ascii="宋体" w:hAnsi="宋体" w:cs="宋体"/>
          <w:b/>
          <w:bCs/>
          <w:color w:val="auto"/>
          <w:sz w:val="24"/>
          <w:highlight w:val="none"/>
        </w:rPr>
      </w:pPr>
    </w:p>
    <w:p w14:paraId="01824E9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人以法定代表人的资格，郑重承诺:本单位此次参加投标所提交的所有资料都是真实的。如有虚假，本单位愿意接受采购人作出的取消投标、中标资格决定，同时愿意接受行政主管部门依法作出的罚款，列入不良行为记录名单，在一至三年内禁止参加政府采购活动，有违法所得的，并处没收违法所得，情节严重的，由工商行政管理机关吊销营业执照；构成犯罪的，依法追究刑事责任等全部处罚。</w:t>
      </w:r>
    </w:p>
    <w:p w14:paraId="2975551E">
      <w:pPr>
        <w:spacing w:line="360" w:lineRule="auto"/>
        <w:ind w:firstLine="480" w:firstLineChars="200"/>
        <w:rPr>
          <w:rFonts w:ascii="宋体" w:hAnsi="宋体" w:cs="宋体"/>
          <w:color w:val="auto"/>
          <w:sz w:val="24"/>
          <w:highlight w:val="none"/>
        </w:rPr>
      </w:pPr>
    </w:p>
    <w:p w14:paraId="7350CA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014D2FE9">
      <w:pPr>
        <w:spacing w:line="360" w:lineRule="auto"/>
        <w:ind w:firstLine="480" w:firstLineChars="200"/>
        <w:rPr>
          <w:rFonts w:ascii="宋体" w:hAnsi="宋体" w:cs="宋体"/>
          <w:color w:val="auto"/>
          <w:sz w:val="24"/>
          <w:highlight w:val="none"/>
        </w:rPr>
      </w:pPr>
    </w:p>
    <w:p w14:paraId="0778CFFF">
      <w:pPr>
        <w:rPr>
          <w:rFonts w:ascii="宋体" w:hAnsi="宋体" w:cs="宋体"/>
          <w:color w:val="auto"/>
          <w:sz w:val="24"/>
          <w:highlight w:val="none"/>
        </w:rPr>
      </w:pP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（盖章）：</w:t>
      </w:r>
    </w:p>
    <w:p w14:paraId="73778626">
      <w:pPr>
        <w:rPr>
          <w:rFonts w:ascii="宋体" w:hAnsi="宋体" w:cs="宋体"/>
          <w:color w:val="auto"/>
          <w:sz w:val="24"/>
          <w:highlight w:val="none"/>
        </w:rPr>
      </w:pPr>
    </w:p>
    <w:p w14:paraId="2F091ACE">
      <w:pPr>
        <w:rPr>
          <w:rFonts w:ascii="宋体" w:hAns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p>
    <w:p w14:paraId="63F54D95">
      <w:pPr>
        <w:rPr>
          <w:rFonts w:ascii="宋体" w:hAnsi="宋体" w:cs="宋体"/>
          <w:color w:val="auto"/>
          <w:sz w:val="24"/>
          <w:highlight w:val="none"/>
        </w:rPr>
      </w:pPr>
    </w:p>
    <w:p w14:paraId="7F3B4204">
      <w:pPr>
        <w:rPr>
          <w:rFonts w:ascii="宋体" w:hAnsi="宋体" w:cs="宋体"/>
          <w:color w:val="auto"/>
          <w:sz w:val="24"/>
          <w:highlight w:val="none"/>
        </w:rPr>
      </w:pPr>
      <w:r>
        <w:rPr>
          <w:rFonts w:hint="eastAsia" w:ascii="宋体" w:hAnsi="宋体" w:cs="宋体"/>
          <w:color w:val="auto"/>
          <w:sz w:val="24"/>
          <w:highlight w:val="none"/>
        </w:rPr>
        <w:t>日期:    年   月    日</w:t>
      </w:r>
    </w:p>
    <w:p w14:paraId="0C0075D2">
      <w:pPr>
        <w:spacing w:line="360" w:lineRule="auto"/>
        <w:rPr>
          <w:rFonts w:ascii="宋体" w:cs="宋体"/>
          <w:color w:val="auto"/>
          <w:sz w:val="24"/>
          <w:highlight w:val="none"/>
        </w:rPr>
      </w:pPr>
    </w:p>
    <w:p w14:paraId="470A6644">
      <w:pPr>
        <w:spacing w:line="360" w:lineRule="auto"/>
        <w:jc w:val="center"/>
        <w:rPr>
          <w:rFonts w:ascii="宋体" w:hAnsi="宋体" w:cs="Arial"/>
          <w:b/>
          <w:color w:val="auto"/>
          <w:w w:val="80"/>
          <w:kern w:val="0"/>
          <w:sz w:val="32"/>
          <w:szCs w:val="32"/>
          <w:highlight w:val="none"/>
        </w:rPr>
      </w:pPr>
      <w:r>
        <w:rPr>
          <w:rFonts w:ascii="宋体" w:cs="宋体"/>
          <w:b/>
          <w:color w:val="auto"/>
          <w:sz w:val="52"/>
          <w:szCs w:val="52"/>
          <w:highlight w:val="none"/>
        </w:rPr>
        <w:br w:type="page"/>
      </w:r>
      <w:r>
        <w:rPr>
          <w:rFonts w:hint="eastAsia" w:ascii="宋体" w:hAnsi="黑体" w:cs="宋体"/>
          <w:bCs/>
          <w:color w:val="auto"/>
          <w:sz w:val="24"/>
          <w:highlight w:val="none"/>
        </w:rPr>
        <w:t>附件17：</w:t>
      </w:r>
      <w:r>
        <w:rPr>
          <w:rFonts w:hint="eastAsia" w:ascii="宋体" w:hAnsi="宋体" w:cs="Arial"/>
          <w:b/>
          <w:color w:val="auto"/>
          <w:kern w:val="0"/>
          <w:sz w:val="24"/>
          <w:highlight w:val="none"/>
        </w:rPr>
        <w:t>与参加本次项目同一合同项下政府采购活动的其他供应商不存在单位负责人为同一人或者直接控股、管理关系的承诺函</w:t>
      </w:r>
    </w:p>
    <w:p w14:paraId="0A5FF4B5">
      <w:pPr>
        <w:spacing w:line="360" w:lineRule="auto"/>
        <w:rPr>
          <w:rFonts w:ascii="宋体" w:hAnsi="宋体" w:cs="宋体"/>
          <w:bCs/>
          <w:color w:val="auto"/>
          <w:spacing w:val="-6"/>
          <w:sz w:val="24"/>
          <w:highlight w:val="none"/>
        </w:rPr>
      </w:pPr>
    </w:p>
    <w:p w14:paraId="5AC5B883">
      <w:pPr>
        <w:spacing w:line="360" w:lineRule="auto"/>
        <w:rPr>
          <w:rFonts w:ascii="宋体" w:hAnsi="宋体" w:cs="宋体"/>
          <w:color w:val="auto"/>
          <w:kern w:val="0"/>
          <w:sz w:val="24"/>
          <w:highlight w:val="none"/>
        </w:rPr>
      </w:pPr>
      <w:r>
        <w:rPr>
          <w:rFonts w:hint="eastAsia" w:ascii="宋体" w:hAnsi="宋体" w:cs="宋体"/>
          <w:bCs/>
          <w:color w:val="auto"/>
          <w:spacing w:val="-6"/>
          <w:sz w:val="24"/>
          <w:highlight w:val="none"/>
          <w:lang w:eastAsia="zh-CN"/>
        </w:rPr>
        <w:t>衢州市公安局柯城分局</w:t>
      </w:r>
      <w:r>
        <w:rPr>
          <w:rFonts w:hint="eastAsia" w:ascii="宋体" w:hAnsi="宋体" w:cs="宋体"/>
          <w:bCs/>
          <w:color w:val="auto"/>
          <w:spacing w:val="-6"/>
          <w:sz w:val="24"/>
          <w:highlight w:val="none"/>
        </w:rPr>
        <w:t>、</w:t>
      </w:r>
      <w:r>
        <w:rPr>
          <w:rFonts w:hint="eastAsia" w:ascii="宋体" w:hAnsi="宋体" w:cs="宋体"/>
          <w:color w:val="auto"/>
          <w:spacing w:val="-6"/>
          <w:sz w:val="24"/>
          <w:highlight w:val="none"/>
          <w:lang w:eastAsia="zh-CN"/>
        </w:rPr>
        <w:t>衢州胜友如云工程咨询有限公司</w:t>
      </w:r>
      <w:r>
        <w:rPr>
          <w:rFonts w:hint="eastAsia" w:ascii="宋体" w:hAnsi="宋体" w:cs="宋体"/>
          <w:color w:val="auto"/>
          <w:kern w:val="0"/>
          <w:sz w:val="24"/>
          <w:highlight w:val="none"/>
        </w:rPr>
        <w:t>：</w:t>
      </w:r>
    </w:p>
    <w:p w14:paraId="41273DB3">
      <w:pPr>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我方郑重承诺，我方此次参加</w:t>
      </w:r>
      <w:r>
        <w:rPr>
          <w:rFonts w:hint="eastAsia" w:ascii="宋体" w:hAnsi="宋体" w:cs="Arial"/>
          <w:color w:val="auto"/>
          <w:kern w:val="0"/>
          <w:sz w:val="24"/>
          <w:highlight w:val="none"/>
          <w:u w:val="single"/>
        </w:rPr>
        <w:t xml:space="preserve">                      </w:t>
      </w:r>
      <w:r>
        <w:rPr>
          <w:rFonts w:hint="eastAsia" w:ascii="宋体" w:hAnsi="宋体" w:cs="Arial"/>
          <w:color w:val="auto"/>
          <w:kern w:val="0"/>
          <w:sz w:val="24"/>
          <w:highlight w:val="none"/>
        </w:rPr>
        <w:t>的采购响应，与参加本次项目同一合同项下政府采购活动的其他供应商不存在单位负责人为同一人或者直接控股、管理关系。如有虚假或隐瞒，愿意承担一切后果。</w:t>
      </w:r>
    </w:p>
    <w:p w14:paraId="4C126983">
      <w:pPr>
        <w:shd w:val="clear" w:color="auto" w:fill="FFFFFF"/>
        <w:snapToGrid w:val="0"/>
        <w:spacing w:line="360" w:lineRule="auto"/>
        <w:jc w:val="center"/>
        <w:rPr>
          <w:rFonts w:ascii="宋体" w:hAnsi="宋体" w:cs="宋体"/>
          <w:b/>
          <w:color w:val="auto"/>
          <w:kern w:val="36"/>
          <w:sz w:val="24"/>
          <w:highlight w:val="none"/>
        </w:rPr>
      </w:pPr>
    </w:p>
    <w:p w14:paraId="318090B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1A20CE3F">
      <w:pPr>
        <w:pStyle w:val="12"/>
        <w:spacing w:line="360" w:lineRule="auto"/>
        <w:ind w:firstLine="480" w:firstLineChars="200"/>
        <w:rPr>
          <w:rFonts w:ascii="宋体" w:cs="宋体"/>
          <w:color w:val="auto"/>
          <w:sz w:val="24"/>
          <w:szCs w:val="24"/>
          <w:highlight w:val="none"/>
        </w:rPr>
      </w:pPr>
    </w:p>
    <w:p w14:paraId="5E5222CC">
      <w:pPr>
        <w:snapToGrid w:val="0"/>
        <w:spacing w:before="50" w:after="50"/>
        <w:rPr>
          <w:rFonts w:ascii="宋体" w:cs="宋体"/>
          <w:color w:val="auto"/>
          <w:sz w:val="24"/>
          <w:highlight w:val="none"/>
        </w:rPr>
      </w:pPr>
    </w:p>
    <w:p w14:paraId="4EDC91A8">
      <w:pPr>
        <w:rPr>
          <w:rFonts w:ascii="宋体" w:hAnsi="宋体" w:cs="宋体"/>
          <w:color w:val="auto"/>
          <w:sz w:val="24"/>
          <w:highlight w:val="none"/>
        </w:rPr>
      </w:pPr>
      <w:r>
        <w:rPr>
          <w:rFonts w:hint="eastAsia" w:ascii="宋体" w:hAnsi="宋体" w:cs="宋体"/>
          <w:color w:val="auto"/>
          <w:sz w:val="24"/>
          <w:highlight w:val="none"/>
          <w:lang w:eastAsia="zh-CN"/>
        </w:rPr>
        <w:t>投标人名称</w:t>
      </w:r>
      <w:r>
        <w:rPr>
          <w:rFonts w:hint="eastAsia" w:ascii="宋体" w:hAnsi="宋体" w:cs="宋体"/>
          <w:color w:val="auto"/>
          <w:sz w:val="24"/>
          <w:highlight w:val="none"/>
        </w:rPr>
        <w:t>（盖章）：</w:t>
      </w:r>
    </w:p>
    <w:p w14:paraId="46EAAEAA">
      <w:pPr>
        <w:rPr>
          <w:rFonts w:ascii="宋体" w:hAnsi="宋体" w:cs="宋体"/>
          <w:color w:val="auto"/>
          <w:sz w:val="24"/>
          <w:highlight w:val="none"/>
        </w:rPr>
      </w:pPr>
    </w:p>
    <w:p w14:paraId="3145D5A4">
      <w:pPr>
        <w:rPr>
          <w:rFonts w:ascii="宋体" w:hAns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p>
    <w:p w14:paraId="4C719091">
      <w:pPr>
        <w:rPr>
          <w:rFonts w:ascii="宋体" w:hAnsi="宋体" w:cs="宋体"/>
          <w:color w:val="auto"/>
          <w:sz w:val="24"/>
          <w:highlight w:val="none"/>
        </w:rPr>
      </w:pPr>
    </w:p>
    <w:p w14:paraId="478623B8">
      <w:pPr>
        <w:rPr>
          <w:rFonts w:ascii="宋体" w:hAnsi="宋体" w:cs="宋体"/>
          <w:color w:val="auto"/>
          <w:sz w:val="24"/>
          <w:highlight w:val="none"/>
        </w:rPr>
      </w:pPr>
      <w:r>
        <w:rPr>
          <w:rFonts w:hint="eastAsia" w:ascii="宋体" w:hAnsi="宋体" w:cs="宋体"/>
          <w:color w:val="auto"/>
          <w:sz w:val="24"/>
          <w:highlight w:val="none"/>
        </w:rPr>
        <w:t>日期：    年    月    日</w:t>
      </w:r>
    </w:p>
    <w:p w14:paraId="3974E789">
      <w:pPr>
        <w:pStyle w:val="4"/>
        <w:keepNext w:val="0"/>
        <w:keepLines w:val="0"/>
        <w:rPr>
          <w:rFonts w:ascii="宋体" w:hAnsi="宋体" w:cs="宋体"/>
          <w:color w:val="auto"/>
          <w:sz w:val="24"/>
          <w:highlight w:val="none"/>
        </w:rPr>
      </w:pPr>
    </w:p>
    <w:p w14:paraId="039F486B">
      <w:pPr>
        <w:rPr>
          <w:rFonts w:ascii="宋体" w:hAnsi="宋体" w:cs="宋体"/>
          <w:color w:val="auto"/>
          <w:sz w:val="24"/>
          <w:highlight w:val="none"/>
        </w:rPr>
      </w:pPr>
    </w:p>
    <w:p w14:paraId="1D32430F">
      <w:pPr>
        <w:pStyle w:val="4"/>
        <w:keepNext w:val="0"/>
        <w:keepLines w:val="0"/>
        <w:rPr>
          <w:rFonts w:ascii="宋体" w:hAnsi="宋体" w:cs="宋体"/>
          <w:color w:val="auto"/>
          <w:sz w:val="24"/>
          <w:highlight w:val="none"/>
        </w:rPr>
      </w:pPr>
    </w:p>
    <w:p w14:paraId="35EDAF63">
      <w:pPr>
        <w:rPr>
          <w:color w:val="auto"/>
          <w:highlight w:val="none"/>
        </w:rPr>
      </w:pPr>
      <w:r>
        <w:rPr>
          <w:rFonts w:hint="eastAsia"/>
          <w:color w:val="auto"/>
          <w:highlight w:val="none"/>
        </w:rPr>
        <w:br w:type="page"/>
      </w:r>
    </w:p>
    <w:p w14:paraId="3C02444C">
      <w:pPr>
        <w:snapToGrid w:val="0"/>
        <w:spacing w:line="300" w:lineRule="auto"/>
        <w:jc w:val="both"/>
        <w:outlineLvl w:val="0"/>
        <w:rPr>
          <w:rFonts w:hint="default" w:ascii="宋体" w:hAnsi="宋体" w:eastAsia="宋体" w:cs="宋体"/>
          <w:b/>
          <w:bCs/>
          <w:color w:val="auto"/>
          <w:sz w:val="28"/>
          <w:szCs w:val="36"/>
          <w:highlight w:val="none"/>
          <w:lang w:val="en-US" w:eastAsia="zh-CN"/>
        </w:rPr>
      </w:pPr>
      <w:bookmarkStart w:id="101" w:name="_Toc32449"/>
      <w:r>
        <w:rPr>
          <w:rFonts w:hint="eastAsia" w:ascii="宋体" w:hAnsi="宋体" w:cs="宋体"/>
          <w:b/>
          <w:bCs/>
          <w:color w:val="auto"/>
          <w:sz w:val="28"/>
          <w:szCs w:val="36"/>
          <w:highlight w:val="none"/>
          <w:lang w:eastAsia="zh-CN"/>
        </w:rPr>
        <w:t>附件</w:t>
      </w:r>
      <w:r>
        <w:rPr>
          <w:rFonts w:hint="eastAsia" w:ascii="宋体" w:hAnsi="宋体" w:cs="宋体"/>
          <w:b/>
          <w:bCs/>
          <w:color w:val="auto"/>
          <w:sz w:val="28"/>
          <w:szCs w:val="36"/>
          <w:highlight w:val="none"/>
          <w:lang w:val="en-US" w:eastAsia="zh-CN"/>
        </w:rPr>
        <w:t>18：响应偏离表</w:t>
      </w:r>
    </w:p>
    <w:p w14:paraId="065DE9F1">
      <w:pPr>
        <w:snapToGrid w:val="0"/>
        <w:spacing w:line="300" w:lineRule="auto"/>
        <w:jc w:val="center"/>
        <w:outlineLvl w:val="0"/>
        <w:rPr>
          <w:rFonts w:ascii="宋体" w:hAnsi="宋体" w:cs="宋体"/>
          <w:b/>
          <w:bCs/>
          <w:color w:val="auto"/>
          <w:sz w:val="28"/>
          <w:szCs w:val="36"/>
          <w:highlight w:val="none"/>
        </w:rPr>
      </w:pPr>
      <w:r>
        <w:rPr>
          <w:rFonts w:ascii="宋体" w:hAnsi="宋体" w:cs="宋体"/>
          <w:b/>
          <w:bCs/>
          <w:color w:val="auto"/>
          <w:sz w:val="28"/>
          <w:szCs w:val="36"/>
          <w:highlight w:val="none"/>
        </w:rPr>
        <w:t>偏离表</w:t>
      </w:r>
      <w:bookmarkEnd w:id="101"/>
    </w:p>
    <w:p w14:paraId="2741DA83">
      <w:pPr>
        <w:snapToGrid w:val="0"/>
        <w:spacing w:line="300" w:lineRule="auto"/>
        <w:rPr>
          <w:rFonts w:hint="eastAsia" w:ascii="宋体" w:hAnsi="宋体" w:eastAsia="宋体" w:cs="宋体"/>
          <w:color w:val="auto"/>
          <w:sz w:val="24"/>
          <w:highlight w:val="none"/>
          <w:lang w:eastAsia="zh-CN"/>
        </w:rPr>
      </w:pPr>
      <w:r>
        <w:rPr>
          <w:rFonts w:ascii="宋体" w:hAnsi="宋体" w:cs="宋体"/>
          <w:color w:val="auto"/>
          <w:sz w:val="24"/>
          <w:highlight w:val="none"/>
        </w:rPr>
        <w:t>采购人：</w:t>
      </w:r>
      <w:r>
        <w:rPr>
          <w:rFonts w:hint="eastAsia" w:ascii="宋体" w:hAnsi="宋体" w:cs="宋体"/>
          <w:color w:val="auto"/>
          <w:sz w:val="24"/>
          <w:highlight w:val="none"/>
          <w:lang w:eastAsia="zh-CN"/>
        </w:rPr>
        <w:t>衢州市公安局柯城分局</w:t>
      </w:r>
    </w:p>
    <w:p w14:paraId="737454E9">
      <w:pPr>
        <w:snapToGrid w:val="0"/>
        <w:spacing w:line="300" w:lineRule="auto"/>
        <w:rPr>
          <w:rFonts w:ascii="宋体" w:hAnsi="宋体" w:cs="宋体"/>
          <w:color w:val="auto"/>
          <w:sz w:val="24"/>
          <w:highlight w:val="none"/>
        </w:rPr>
      </w:pPr>
      <w:r>
        <w:rPr>
          <w:rFonts w:ascii="宋体" w:hAnsi="宋体" w:cs="宋体"/>
          <w:color w:val="auto"/>
          <w:sz w:val="24"/>
          <w:highlight w:val="none"/>
        </w:rPr>
        <w:t>项目名称：</w:t>
      </w:r>
      <w:r>
        <w:rPr>
          <w:rFonts w:hint="eastAsia" w:ascii="宋体" w:hAnsi="宋体" w:cs="宋体"/>
          <w:color w:val="auto"/>
          <w:sz w:val="24"/>
          <w:highlight w:val="none"/>
          <w:lang w:eastAsia="zh-CN"/>
        </w:rPr>
        <w:t>柯城区城区区域安防设备补盲一期租赁服务项目</w:t>
      </w:r>
    </w:p>
    <w:p w14:paraId="7C00E324">
      <w:pPr>
        <w:snapToGrid w:val="0"/>
        <w:spacing w:line="300" w:lineRule="auto"/>
        <w:rPr>
          <w:rFonts w:hint="eastAsia" w:ascii="宋体" w:hAnsi="宋体" w:eastAsia="宋体" w:cs="宋体"/>
          <w:color w:val="auto"/>
          <w:sz w:val="24"/>
          <w:highlight w:val="none"/>
          <w:lang w:eastAsia="zh-CN"/>
        </w:rPr>
      </w:pPr>
      <w:r>
        <w:rPr>
          <w:rFonts w:ascii="宋体" w:hAnsi="宋体" w:cs="宋体"/>
          <w:color w:val="auto"/>
          <w:sz w:val="24"/>
          <w:highlight w:val="none"/>
        </w:rPr>
        <w:t>项目编号：</w:t>
      </w:r>
      <w:r>
        <w:rPr>
          <w:rFonts w:hint="eastAsia" w:ascii="宋体" w:hAnsi="宋体" w:cs="宋体"/>
          <w:color w:val="auto"/>
          <w:sz w:val="24"/>
          <w:highlight w:val="none"/>
          <w:lang w:eastAsia="zh-CN"/>
        </w:rPr>
        <w:t>QZSY2025-04-14</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059"/>
        <w:gridCol w:w="2340"/>
        <w:gridCol w:w="2879"/>
      </w:tblGrid>
      <w:tr w14:paraId="16F901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1733E68">
            <w:pPr>
              <w:snapToGrid w:val="0"/>
              <w:spacing w:line="300" w:lineRule="auto"/>
              <w:jc w:val="center"/>
              <w:rPr>
                <w:rFonts w:ascii="宋体" w:hAnsi="宋体" w:cs="宋体"/>
                <w:color w:val="auto"/>
                <w:sz w:val="24"/>
                <w:highlight w:val="none"/>
              </w:rPr>
            </w:pPr>
            <w:r>
              <w:rPr>
                <w:rFonts w:ascii="宋体" w:hAnsi="宋体" w:cs="宋体"/>
                <w:color w:val="auto"/>
                <w:sz w:val="24"/>
                <w:highlight w:val="none"/>
              </w:rPr>
              <w:t>序号</w:t>
            </w:r>
          </w:p>
        </w:tc>
        <w:tc>
          <w:tcPr>
            <w:tcW w:w="3059" w:type="dxa"/>
            <w:noWrap w:val="0"/>
            <w:vAlign w:val="center"/>
          </w:tcPr>
          <w:p w14:paraId="6C36BE06">
            <w:pPr>
              <w:snapToGrid w:val="0"/>
              <w:spacing w:line="300" w:lineRule="auto"/>
              <w:jc w:val="center"/>
              <w:rPr>
                <w:rFonts w:ascii="宋体" w:hAnsi="宋体" w:cs="宋体"/>
                <w:color w:val="auto"/>
                <w:sz w:val="24"/>
                <w:highlight w:val="none"/>
              </w:rPr>
            </w:pPr>
            <w:r>
              <w:rPr>
                <w:rFonts w:ascii="宋体" w:hAnsi="宋体" w:cs="宋体"/>
                <w:color w:val="auto"/>
                <w:sz w:val="24"/>
                <w:highlight w:val="none"/>
              </w:rPr>
              <w:t>招标文件内容</w:t>
            </w:r>
          </w:p>
        </w:tc>
        <w:tc>
          <w:tcPr>
            <w:tcW w:w="2340" w:type="dxa"/>
            <w:noWrap w:val="0"/>
            <w:vAlign w:val="center"/>
          </w:tcPr>
          <w:p w14:paraId="33E2C53C">
            <w:pPr>
              <w:snapToGrid w:val="0"/>
              <w:spacing w:line="300" w:lineRule="auto"/>
              <w:jc w:val="center"/>
              <w:rPr>
                <w:rFonts w:ascii="宋体" w:hAnsi="宋体" w:cs="宋体"/>
                <w:color w:val="auto"/>
                <w:sz w:val="24"/>
                <w:highlight w:val="none"/>
              </w:rPr>
            </w:pPr>
            <w:r>
              <w:rPr>
                <w:rFonts w:ascii="宋体" w:hAnsi="宋体" w:cs="宋体"/>
                <w:color w:val="auto"/>
                <w:sz w:val="24"/>
                <w:highlight w:val="none"/>
              </w:rPr>
              <w:t>投标响应</w:t>
            </w:r>
          </w:p>
        </w:tc>
        <w:tc>
          <w:tcPr>
            <w:tcW w:w="2879" w:type="dxa"/>
            <w:noWrap w:val="0"/>
            <w:vAlign w:val="center"/>
          </w:tcPr>
          <w:p w14:paraId="008CF6B0">
            <w:pPr>
              <w:snapToGrid w:val="0"/>
              <w:spacing w:line="300" w:lineRule="auto"/>
              <w:jc w:val="center"/>
              <w:rPr>
                <w:rFonts w:ascii="宋体" w:hAnsi="宋体" w:cs="宋体"/>
                <w:color w:val="auto"/>
                <w:sz w:val="24"/>
                <w:highlight w:val="none"/>
              </w:rPr>
            </w:pPr>
            <w:r>
              <w:rPr>
                <w:rFonts w:ascii="宋体" w:hAnsi="宋体" w:cs="宋体"/>
                <w:color w:val="auto"/>
                <w:sz w:val="24"/>
                <w:highlight w:val="none"/>
              </w:rPr>
              <w:t>说明（正偏离/负偏离）</w:t>
            </w:r>
          </w:p>
        </w:tc>
      </w:tr>
      <w:tr w14:paraId="6F2D1F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732DAE3">
            <w:pPr>
              <w:snapToGrid w:val="0"/>
              <w:spacing w:line="300" w:lineRule="auto"/>
              <w:jc w:val="center"/>
              <w:rPr>
                <w:rFonts w:ascii="宋体" w:hAnsi="宋体" w:cs="宋体"/>
                <w:color w:val="auto"/>
                <w:spacing w:val="20"/>
                <w:sz w:val="24"/>
                <w:highlight w:val="none"/>
              </w:rPr>
            </w:pPr>
          </w:p>
        </w:tc>
        <w:tc>
          <w:tcPr>
            <w:tcW w:w="3059" w:type="dxa"/>
            <w:noWrap w:val="0"/>
            <w:vAlign w:val="center"/>
          </w:tcPr>
          <w:p w14:paraId="2EADEEA5">
            <w:pPr>
              <w:snapToGrid w:val="0"/>
              <w:spacing w:line="300" w:lineRule="auto"/>
              <w:jc w:val="center"/>
              <w:rPr>
                <w:rFonts w:ascii="宋体" w:hAnsi="宋体" w:cs="宋体"/>
                <w:color w:val="auto"/>
                <w:spacing w:val="20"/>
                <w:sz w:val="24"/>
                <w:highlight w:val="none"/>
              </w:rPr>
            </w:pPr>
          </w:p>
        </w:tc>
        <w:tc>
          <w:tcPr>
            <w:tcW w:w="2340" w:type="dxa"/>
            <w:noWrap w:val="0"/>
            <w:vAlign w:val="center"/>
          </w:tcPr>
          <w:p w14:paraId="4D29E35E">
            <w:pPr>
              <w:snapToGrid w:val="0"/>
              <w:spacing w:line="300" w:lineRule="auto"/>
              <w:jc w:val="center"/>
              <w:rPr>
                <w:rFonts w:ascii="宋体" w:hAnsi="宋体" w:cs="宋体"/>
                <w:color w:val="auto"/>
                <w:spacing w:val="20"/>
                <w:sz w:val="24"/>
                <w:highlight w:val="none"/>
              </w:rPr>
            </w:pPr>
          </w:p>
        </w:tc>
        <w:tc>
          <w:tcPr>
            <w:tcW w:w="2879" w:type="dxa"/>
            <w:noWrap w:val="0"/>
            <w:vAlign w:val="center"/>
          </w:tcPr>
          <w:p w14:paraId="0D5F577B">
            <w:pPr>
              <w:snapToGrid w:val="0"/>
              <w:spacing w:line="300" w:lineRule="auto"/>
              <w:jc w:val="center"/>
              <w:rPr>
                <w:rFonts w:ascii="宋体" w:hAnsi="宋体" w:cs="宋体"/>
                <w:color w:val="auto"/>
                <w:spacing w:val="20"/>
                <w:sz w:val="24"/>
                <w:highlight w:val="none"/>
              </w:rPr>
            </w:pPr>
          </w:p>
        </w:tc>
      </w:tr>
      <w:tr w14:paraId="730DFF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0582150">
            <w:pPr>
              <w:snapToGrid w:val="0"/>
              <w:spacing w:line="300" w:lineRule="auto"/>
              <w:jc w:val="center"/>
              <w:rPr>
                <w:rFonts w:ascii="宋体" w:hAnsi="宋体" w:cs="宋体"/>
                <w:color w:val="auto"/>
                <w:spacing w:val="20"/>
                <w:sz w:val="24"/>
                <w:highlight w:val="none"/>
              </w:rPr>
            </w:pPr>
          </w:p>
        </w:tc>
        <w:tc>
          <w:tcPr>
            <w:tcW w:w="3059" w:type="dxa"/>
            <w:noWrap w:val="0"/>
            <w:vAlign w:val="center"/>
          </w:tcPr>
          <w:p w14:paraId="4834C4BD">
            <w:pPr>
              <w:snapToGrid w:val="0"/>
              <w:spacing w:line="300" w:lineRule="auto"/>
              <w:jc w:val="center"/>
              <w:rPr>
                <w:rFonts w:ascii="宋体" w:hAnsi="宋体" w:cs="宋体"/>
                <w:color w:val="auto"/>
                <w:spacing w:val="20"/>
                <w:sz w:val="24"/>
                <w:highlight w:val="none"/>
              </w:rPr>
            </w:pPr>
          </w:p>
        </w:tc>
        <w:tc>
          <w:tcPr>
            <w:tcW w:w="2340" w:type="dxa"/>
            <w:noWrap w:val="0"/>
            <w:vAlign w:val="center"/>
          </w:tcPr>
          <w:p w14:paraId="593B203E">
            <w:pPr>
              <w:snapToGrid w:val="0"/>
              <w:spacing w:line="300" w:lineRule="auto"/>
              <w:jc w:val="center"/>
              <w:rPr>
                <w:rFonts w:ascii="宋体" w:hAnsi="宋体" w:cs="宋体"/>
                <w:color w:val="auto"/>
                <w:spacing w:val="20"/>
                <w:sz w:val="24"/>
                <w:highlight w:val="none"/>
              </w:rPr>
            </w:pPr>
          </w:p>
        </w:tc>
        <w:tc>
          <w:tcPr>
            <w:tcW w:w="2879" w:type="dxa"/>
            <w:noWrap w:val="0"/>
            <w:vAlign w:val="center"/>
          </w:tcPr>
          <w:p w14:paraId="3A17E419">
            <w:pPr>
              <w:snapToGrid w:val="0"/>
              <w:spacing w:line="300" w:lineRule="auto"/>
              <w:jc w:val="center"/>
              <w:rPr>
                <w:rFonts w:ascii="宋体" w:hAnsi="宋体" w:cs="宋体"/>
                <w:color w:val="auto"/>
                <w:spacing w:val="20"/>
                <w:sz w:val="24"/>
                <w:highlight w:val="none"/>
              </w:rPr>
            </w:pPr>
          </w:p>
        </w:tc>
      </w:tr>
      <w:tr w14:paraId="6F4AD3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B4D2742">
            <w:pPr>
              <w:snapToGrid w:val="0"/>
              <w:spacing w:line="300" w:lineRule="auto"/>
              <w:jc w:val="center"/>
              <w:rPr>
                <w:rFonts w:ascii="宋体" w:hAnsi="宋体" w:cs="宋体"/>
                <w:color w:val="auto"/>
                <w:spacing w:val="20"/>
                <w:sz w:val="24"/>
                <w:highlight w:val="none"/>
              </w:rPr>
            </w:pPr>
          </w:p>
        </w:tc>
        <w:tc>
          <w:tcPr>
            <w:tcW w:w="3059" w:type="dxa"/>
            <w:noWrap w:val="0"/>
            <w:vAlign w:val="center"/>
          </w:tcPr>
          <w:p w14:paraId="5D36B842">
            <w:pPr>
              <w:snapToGrid w:val="0"/>
              <w:spacing w:line="300" w:lineRule="auto"/>
              <w:jc w:val="center"/>
              <w:rPr>
                <w:rFonts w:ascii="宋体" w:hAnsi="宋体" w:cs="宋体"/>
                <w:color w:val="auto"/>
                <w:spacing w:val="20"/>
                <w:sz w:val="24"/>
                <w:highlight w:val="none"/>
              </w:rPr>
            </w:pPr>
          </w:p>
        </w:tc>
        <w:tc>
          <w:tcPr>
            <w:tcW w:w="2340" w:type="dxa"/>
            <w:noWrap w:val="0"/>
            <w:vAlign w:val="center"/>
          </w:tcPr>
          <w:p w14:paraId="685477E9">
            <w:pPr>
              <w:snapToGrid w:val="0"/>
              <w:spacing w:line="300" w:lineRule="auto"/>
              <w:jc w:val="center"/>
              <w:rPr>
                <w:rFonts w:ascii="宋体" w:hAnsi="宋体" w:cs="宋体"/>
                <w:color w:val="auto"/>
                <w:spacing w:val="20"/>
                <w:sz w:val="24"/>
                <w:highlight w:val="none"/>
              </w:rPr>
            </w:pPr>
          </w:p>
        </w:tc>
        <w:tc>
          <w:tcPr>
            <w:tcW w:w="2879" w:type="dxa"/>
            <w:noWrap w:val="0"/>
            <w:vAlign w:val="center"/>
          </w:tcPr>
          <w:p w14:paraId="3AF0BEE9">
            <w:pPr>
              <w:snapToGrid w:val="0"/>
              <w:spacing w:line="300" w:lineRule="auto"/>
              <w:jc w:val="center"/>
              <w:rPr>
                <w:rFonts w:ascii="宋体" w:hAnsi="宋体" w:cs="宋体"/>
                <w:color w:val="auto"/>
                <w:spacing w:val="20"/>
                <w:sz w:val="24"/>
                <w:highlight w:val="none"/>
              </w:rPr>
            </w:pPr>
          </w:p>
        </w:tc>
      </w:tr>
      <w:tr w14:paraId="7D1559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EA4CD0B">
            <w:pPr>
              <w:snapToGrid w:val="0"/>
              <w:spacing w:line="300" w:lineRule="auto"/>
              <w:jc w:val="center"/>
              <w:rPr>
                <w:rFonts w:ascii="宋体" w:hAnsi="宋体" w:cs="宋体"/>
                <w:color w:val="auto"/>
                <w:spacing w:val="20"/>
                <w:sz w:val="24"/>
                <w:highlight w:val="none"/>
              </w:rPr>
            </w:pPr>
          </w:p>
        </w:tc>
        <w:tc>
          <w:tcPr>
            <w:tcW w:w="3059" w:type="dxa"/>
            <w:noWrap w:val="0"/>
            <w:vAlign w:val="center"/>
          </w:tcPr>
          <w:p w14:paraId="0872DF95">
            <w:pPr>
              <w:snapToGrid w:val="0"/>
              <w:spacing w:line="300" w:lineRule="auto"/>
              <w:jc w:val="center"/>
              <w:rPr>
                <w:rFonts w:ascii="宋体" w:hAnsi="宋体" w:cs="宋体"/>
                <w:color w:val="auto"/>
                <w:spacing w:val="20"/>
                <w:sz w:val="24"/>
                <w:highlight w:val="none"/>
              </w:rPr>
            </w:pPr>
          </w:p>
        </w:tc>
        <w:tc>
          <w:tcPr>
            <w:tcW w:w="2340" w:type="dxa"/>
            <w:noWrap w:val="0"/>
            <w:vAlign w:val="center"/>
          </w:tcPr>
          <w:p w14:paraId="25E96BA0">
            <w:pPr>
              <w:snapToGrid w:val="0"/>
              <w:spacing w:line="300" w:lineRule="auto"/>
              <w:jc w:val="center"/>
              <w:rPr>
                <w:rFonts w:ascii="宋体" w:hAnsi="宋体" w:cs="宋体"/>
                <w:color w:val="auto"/>
                <w:spacing w:val="20"/>
                <w:sz w:val="24"/>
                <w:highlight w:val="none"/>
              </w:rPr>
            </w:pPr>
          </w:p>
        </w:tc>
        <w:tc>
          <w:tcPr>
            <w:tcW w:w="2879" w:type="dxa"/>
            <w:noWrap w:val="0"/>
            <w:vAlign w:val="center"/>
          </w:tcPr>
          <w:p w14:paraId="1FEDC371">
            <w:pPr>
              <w:snapToGrid w:val="0"/>
              <w:spacing w:line="300" w:lineRule="auto"/>
              <w:jc w:val="center"/>
              <w:rPr>
                <w:rFonts w:ascii="宋体" w:hAnsi="宋体" w:cs="宋体"/>
                <w:color w:val="auto"/>
                <w:spacing w:val="20"/>
                <w:sz w:val="24"/>
                <w:highlight w:val="none"/>
              </w:rPr>
            </w:pPr>
          </w:p>
        </w:tc>
      </w:tr>
      <w:tr w14:paraId="5836D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2CD38DB">
            <w:pPr>
              <w:snapToGrid w:val="0"/>
              <w:spacing w:line="300" w:lineRule="auto"/>
              <w:jc w:val="center"/>
              <w:rPr>
                <w:rFonts w:ascii="宋体" w:hAnsi="宋体" w:cs="宋体"/>
                <w:color w:val="auto"/>
                <w:spacing w:val="20"/>
                <w:sz w:val="24"/>
                <w:highlight w:val="none"/>
              </w:rPr>
            </w:pPr>
          </w:p>
        </w:tc>
        <w:tc>
          <w:tcPr>
            <w:tcW w:w="3059" w:type="dxa"/>
            <w:noWrap w:val="0"/>
            <w:vAlign w:val="center"/>
          </w:tcPr>
          <w:p w14:paraId="779756B8">
            <w:pPr>
              <w:snapToGrid w:val="0"/>
              <w:spacing w:line="300" w:lineRule="auto"/>
              <w:jc w:val="center"/>
              <w:rPr>
                <w:rFonts w:ascii="宋体" w:hAnsi="宋体" w:cs="宋体"/>
                <w:color w:val="auto"/>
                <w:spacing w:val="20"/>
                <w:sz w:val="24"/>
                <w:highlight w:val="none"/>
              </w:rPr>
            </w:pPr>
          </w:p>
        </w:tc>
        <w:tc>
          <w:tcPr>
            <w:tcW w:w="2340" w:type="dxa"/>
            <w:noWrap w:val="0"/>
            <w:vAlign w:val="center"/>
          </w:tcPr>
          <w:p w14:paraId="65FC387B">
            <w:pPr>
              <w:snapToGrid w:val="0"/>
              <w:spacing w:line="300" w:lineRule="auto"/>
              <w:jc w:val="center"/>
              <w:rPr>
                <w:rFonts w:ascii="宋体" w:hAnsi="宋体" w:cs="宋体"/>
                <w:color w:val="auto"/>
                <w:spacing w:val="20"/>
                <w:sz w:val="24"/>
                <w:highlight w:val="none"/>
              </w:rPr>
            </w:pPr>
          </w:p>
        </w:tc>
        <w:tc>
          <w:tcPr>
            <w:tcW w:w="2879" w:type="dxa"/>
            <w:noWrap w:val="0"/>
            <w:vAlign w:val="center"/>
          </w:tcPr>
          <w:p w14:paraId="709A35DA">
            <w:pPr>
              <w:snapToGrid w:val="0"/>
              <w:spacing w:line="300" w:lineRule="auto"/>
              <w:jc w:val="center"/>
              <w:rPr>
                <w:rFonts w:ascii="宋体" w:hAnsi="宋体" w:cs="宋体"/>
                <w:color w:val="auto"/>
                <w:spacing w:val="20"/>
                <w:sz w:val="24"/>
                <w:highlight w:val="none"/>
              </w:rPr>
            </w:pPr>
          </w:p>
        </w:tc>
      </w:tr>
      <w:tr w14:paraId="7851F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170EA018">
            <w:pPr>
              <w:snapToGrid w:val="0"/>
              <w:spacing w:line="300" w:lineRule="auto"/>
              <w:jc w:val="center"/>
              <w:rPr>
                <w:rFonts w:ascii="宋体" w:hAnsi="宋体" w:cs="宋体"/>
                <w:color w:val="auto"/>
                <w:spacing w:val="20"/>
                <w:sz w:val="24"/>
                <w:highlight w:val="none"/>
              </w:rPr>
            </w:pPr>
          </w:p>
        </w:tc>
        <w:tc>
          <w:tcPr>
            <w:tcW w:w="3059" w:type="dxa"/>
            <w:noWrap w:val="0"/>
            <w:vAlign w:val="center"/>
          </w:tcPr>
          <w:p w14:paraId="33A57172">
            <w:pPr>
              <w:snapToGrid w:val="0"/>
              <w:spacing w:line="300" w:lineRule="auto"/>
              <w:jc w:val="center"/>
              <w:rPr>
                <w:rFonts w:ascii="宋体" w:hAnsi="宋体" w:cs="宋体"/>
                <w:color w:val="auto"/>
                <w:spacing w:val="20"/>
                <w:sz w:val="24"/>
                <w:highlight w:val="none"/>
              </w:rPr>
            </w:pPr>
          </w:p>
        </w:tc>
        <w:tc>
          <w:tcPr>
            <w:tcW w:w="2340" w:type="dxa"/>
            <w:noWrap w:val="0"/>
            <w:vAlign w:val="center"/>
          </w:tcPr>
          <w:p w14:paraId="00CD9F13">
            <w:pPr>
              <w:snapToGrid w:val="0"/>
              <w:spacing w:line="300" w:lineRule="auto"/>
              <w:jc w:val="center"/>
              <w:rPr>
                <w:rFonts w:ascii="宋体" w:hAnsi="宋体" w:cs="宋体"/>
                <w:color w:val="auto"/>
                <w:spacing w:val="20"/>
                <w:sz w:val="24"/>
                <w:highlight w:val="none"/>
              </w:rPr>
            </w:pPr>
          </w:p>
        </w:tc>
        <w:tc>
          <w:tcPr>
            <w:tcW w:w="2879" w:type="dxa"/>
            <w:noWrap w:val="0"/>
            <w:vAlign w:val="center"/>
          </w:tcPr>
          <w:p w14:paraId="58C9E050">
            <w:pPr>
              <w:snapToGrid w:val="0"/>
              <w:spacing w:line="300" w:lineRule="auto"/>
              <w:jc w:val="center"/>
              <w:rPr>
                <w:rFonts w:ascii="宋体" w:hAnsi="宋体" w:cs="宋体"/>
                <w:color w:val="auto"/>
                <w:spacing w:val="20"/>
                <w:sz w:val="24"/>
                <w:highlight w:val="none"/>
              </w:rPr>
            </w:pPr>
          </w:p>
        </w:tc>
      </w:tr>
      <w:tr w14:paraId="73B94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9ACB472">
            <w:pPr>
              <w:snapToGrid w:val="0"/>
              <w:spacing w:line="300" w:lineRule="auto"/>
              <w:jc w:val="center"/>
              <w:rPr>
                <w:rFonts w:ascii="宋体" w:hAnsi="宋体" w:cs="宋体"/>
                <w:color w:val="auto"/>
                <w:spacing w:val="20"/>
                <w:sz w:val="24"/>
                <w:highlight w:val="none"/>
              </w:rPr>
            </w:pPr>
          </w:p>
        </w:tc>
        <w:tc>
          <w:tcPr>
            <w:tcW w:w="3059" w:type="dxa"/>
            <w:noWrap w:val="0"/>
            <w:vAlign w:val="center"/>
          </w:tcPr>
          <w:p w14:paraId="7AA76361">
            <w:pPr>
              <w:snapToGrid w:val="0"/>
              <w:spacing w:line="300" w:lineRule="auto"/>
              <w:jc w:val="center"/>
              <w:rPr>
                <w:rFonts w:ascii="宋体" w:hAnsi="宋体" w:cs="宋体"/>
                <w:color w:val="auto"/>
                <w:spacing w:val="20"/>
                <w:sz w:val="24"/>
                <w:highlight w:val="none"/>
              </w:rPr>
            </w:pPr>
          </w:p>
        </w:tc>
        <w:tc>
          <w:tcPr>
            <w:tcW w:w="2340" w:type="dxa"/>
            <w:noWrap w:val="0"/>
            <w:vAlign w:val="center"/>
          </w:tcPr>
          <w:p w14:paraId="106C4972">
            <w:pPr>
              <w:snapToGrid w:val="0"/>
              <w:spacing w:line="300" w:lineRule="auto"/>
              <w:jc w:val="center"/>
              <w:rPr>
                <w:rFonts w:ascii="宋体" w:hAnsi="宋体" w:cs="宋体"/>
                <w:color w:val="auto"/>
                <w:spacing w:val="20"/>
                <w:sz w:val="24"/>
                <w:highlight w:val="none"/>
              </w:rPr>
            </w:pPr>
          </w:p>
        </w:tc>
        <w:tc>
          <w:tcPr>
            <w:tcW w:w="2879" w:type="dxa"/>
            <w:noWrap w:val="0"/>
            <w:vAlign w:val="center"/>
          </w:tcPr>
          <w:p w14:paraId="3A5E71EB">
            <w:pPr>
              <w:snapToGrid w:val="0"/>
              <w:spacing w:line="300" w:lineRule="auto"/>
              <w:jc w:val="center"/>
              <w:rPr>
                <w:rFonts w:ascii="宋体" w:hAnsi="宋体" w:cs="宋体"/>
                <w:color w:val="auto"/>
                <w:spacing w:val="20"/>
                <w:sz w:val="24"/>
                <w:highlight w:val="none"/>
              </w:rPr>
            </w:pPr>
          </w:p>
        </w:tc>
      </w:tr>
      <w:tr w14:paraId="016F47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793ECB5">
            <w:pPr>
              <w:snapToGrid w:val="0"/>
              <w:spacing w:line="300" w:lineRule="auto"/>
              <w:jc w:val="center"/>
              <w:rPr>
                <w:rFonts w:ascii="宋体" w:hAnsi="宋体" w:cs="宋体"/>
                <w:color w:val="auto"/>
                <w:spacing w:val="20"/>
                <w:sz w:val="24"/>
                <w:highlight w:val="none"/>
              </w:rPr>
            </w:pPr>
          </w:p>
        </w:tc>
        <w:tc>
          <w:tcPr>
            <w:tcW w:w="3059" w:type="dxa"/>
            <w:noWrap w:val="0"/>
            <w:vAlign w:val="center"/>
          </w:tcPr>
          <w:p w14:paraId="46E671C1">
            <w:pPr>
              <w:snapToGrid w:val="0"/>
              <w:spacing w:line="300" w:lineRule="auto"/>
              <w:jc w:val="center"/>
              <w:rPr>
                <w:rFonts w:ascii="宋体" w:hAnsi="宋体" w:cs="宋体"/>
                <w:color w:val="auto"/>
                <w:spacing w:val="20"/>
                <w:sz w:val="24"/>
                <w:highlight w:val="none"/>
              </w:rPr>
            </w:pPr>
          </w:p>
        </w:tc>
        <w:tc>
          <w:tcPr>
            <w:tcW w:w="2340" w:type="dxa"/>
            <w:noWrap w:val="0"/>
            <w:vAlign w:val="center"/>
          </w:tcPr>
          <w:p w14:paraId="7C328B60">
            <w:pPr>
              <w:snapToGrid w:val="0"/>
              <w:spacing w:line="300" w:lineRule="auto"/>
              <w:jc w:val="center"/>
              <w:rPr>
                <w:rFonts w:ascii="宋体" w:hAnsi="宋体" w:cs="宋体"/>
                <w:color w:val="auto"/>
                <w:spacing w:val="20"/>
                <w:sz w:val="24"/>
                <w:highlight w:val="none"/>
              </w:rPr>
            </w:pPr>
          </w:p>
        </w:tc>
        <w:tc>
          <w:tcPr>
            <w:tcW w:w="2879" w:type="dxa"/>
            <w:noWrap w:val="0"/>
            <w:vAlign w:val="center"/>
          </w:tcPr>
          <w:p w14:paraId="2AA00AAB">
            <w:pPr>
              <w:snapToGrid w:val="0"/>
              <w:spacing w:line="300" w:lineRule="auto"/>
              <w:jc w:val="center"/>
              <w:rPr>
                <w:rFonts w:ascii="宋体" w:hAnsi="宋体" w:cs="宋体"/>
                <w:color w:val="auto"/>
                <w:spacing w:val="20"/>
                <w:sz w:val="24"/>
                <w:highlight w:val="none"/>
              </w:rPr>
            </w:pPr>
          </w:p>
        </w:tc>
      </w:tr>
      <w:tr w14:paraId="0045D8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29A5E8B2">
            <w:pPr>
              <w:snapToGrid w:val="0"/>
              <w:spacing w:line="300" w:lineRule="auto"/>
              <w:jc w:val="center"/>
              <w:rPr>
                <w:rFonts w:ascii="宋体" w:hAnsi="宋体" w:cs="宋体"/>
                <w:color w:val="auto"/>
                <w:spacing w:val="20"/>
                <w:sz w:val="24"/>
                <w:highlight w:val="none"/>
              </w:rPr>
            </w:pPr>
          </w:p>
        </w:tc>
        <w:tc>
          <w:tcPr>
            <w:tcW w:w="3059" w:type="dxa"/>
            <w:noWrap w:val="0"/>
            <w:vAlign w:val="center"/>
          </w:tcPr>
          <w:p w14:paraId="72B69469">
            <w:pPr>
              <w:snapToGrid w:val="0"/>
              <w:spacing w:line="300" w:lineRule="auto"/>
              <w:jc w:val="center"/>
              <w:rPr>
                <w:rFonts w:ascii="宋体" w:hAnsi="宋体" w:cs="宋体"/>
                <w:color w:val="auto"/>
                <w:spacing w:val="20"/>
                <w:sz w:val="24"/>
                <w:highlight w:val="none"/>
              </w:rPr>
            </w:pPr>
          </w:p>
        </w:tc>
        <w:tc>
          <w:tcPr>
            <w:tcW w:w="2340" w:type="dxa"/>
            <w:noWrap w:val="0"/>
            <w:vAlign w:val="center"/>
          </w:tcPr>
          <w:p w14:paraId="1F971CFA">
            <w:pPr>
              <w:snapToGrid w:val="0"/>
              <w:spacing w:line="300" w:lineRule="auto"/>
              <w:jc w:val="center"/>
              <w:rPr>
                <w:rFonts w:ascii="宋体" w:hAnsi="宋体" w:cs="宋体"/>
                <w:color w:val="auto"/>
                <w:spacing w:val="20"/>
                <w:sz w:val="24"/>
                <w:highlight w:val="none"/>
              </w:rPr>
            </w:pPr>
          </w:p>
        </w:tc>
        <w:tc>
          <w:tcPr>
            <w:tcW w:w="2879" w:type="dxa"/>
            <w:noWrap w:val="0"/>
            <w:vAlign w:val="center"/>
          </w:tcPr>
          <w:p w14:paraId="0EC7C952">
            <w:pPr>
              <w:snapToGrid w:val="0"/>
              <w:spacing w:line="300" w:lineRule="auto"/>
              <w:jc w:val="center"/>
              <w:rPr>
                <w:rFonts w:ascii="宋体" w:hAnsi="宋体" w:cs="宋体"/>
                <w:color w:val="auto"/>
                <w:spacing w:val="20"/>
                <w:sz w:val="24"/>
                <w:highlight w:val="none"/>
              </w:rPr>
            </w:pPr>
          </w:p>
        </w:tc>
      </w:tr>
      <w:tr w14:paraId="1CFC3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1A1097EB">
            <w:pPr>
              <w:snapToGrid w:val="0"/>
              <w:spacing w:line="300" w:lineRule="auto"/>
              <w:jc w:val="center"/>
              <w:rPr>
                <w:rFonts w:ascii="宋体" w:hAnsi="宋体" w:cs="宋体"/>
                <w:color w:val="auto"/>
                <w:spacing w:val="20"/>
                <w:sz w:val="24"/>
                <w:highlight w:val="none"/>
              </w:rPr>
            </w:pPr>
          </w:p>
        </w:tc>
        <w:tc>
          <w:tcPr>
            <w:tcW w:w="3059" w:type="dxa"/>
            <w:noWrap w:val="0"/>
            <w:vAlign w:val="center"/>
          </w:tcPr>
          <w:p w14:paraId="60F04E75">
            <w:pPr>
              <w:snapToGrid w:val="0"/>
              <w:spacing w:line="300" w:lineRule="auto"/>
              <w:jc w:val="center"/>
              <w:rPr>
                <w:rFonts w:ascii="宋体" w:hAnsi="宋体" w:cs="宋体"/>
                <w:color w:val="auto"/>
                <w:spacing w:val="20"/>
                <w:sz w:val="24"/>
                <w:highlight w:val="none"/>
              </w:rPr>
            </w:pPr>
          </w:p>
        </w:tc>
        <w:tc>
          <w:tcPr>
            <w:tcW w:w="2340" w:type="dxa"/>
            <w:noWrap w:val="0"/>
            <w:vAlign w:val="center"/>
          </w:tcPr>
          <w:p w14:paraId="01F2441E">
            <w:pPr>
              <w:snapToGrid w:val="0"/>
              <w:spacing w:line="300" w:lineRule="auto"/>
              <w:jc w:val="center"/>
              <w:rPr>
                <w:rFonts w:ascii="宋体" w:hAnsi="宋体" w:cs="宋体"/>
                <w:color w:val="auto"/>
                <w:spacing w:val="20"/>
                <w:sz w:val="24"/>
                <w:highlight w:val="none"/>
              </w:rPr>
            </w:pPr>
          </w:p>
        </w:tc>
        <w:tc>
          <w:tcPr>
            <w:tcW w:w="2879" w:type="dxa"/>
            <w:noWrap w:val="0"/>
            <w:vAlign w:val="center"/>
          </w:tcPr>
          <w:p w14:paraId="0591F1CF">
            <w:pPr>
              <w:snapToGrid w:val="0"/>
              <w:spacing w:line="300" w:lineRule="auto"/>
              <w:jc w:val="center"/>
              <w:rPr>
                <w:rFonts w:ascii="宋体" w:hAnsi="宋体" w:cs="宋体"/>
                <w:color w:val="auto"/>
                <w:spacing w:val="20"/>
                <w:sz w:val="24"/>
                <w:highlight w:val="none"/>
              </w:rPr>
            </w:pPr>
          </w:p>
        </w:tc>
      </w:tr>
    </w:tbl>
    <w:p w14:paraId="6CD560CD">
      <w:pPr>
        <w:snapToGrid w:val="0"/>
        <w:spacing w:line="300" w:lineRule="auto"/>
        <w:rPr>
          <w:rFonts w:ascii="宋体" w:hAnsi="宋体" w:cs="宋体"/>
          <w:color w:val="auto"/>
          <w:sz w:val="24"/>
          <w:highlight w:val="none"/>
        </w:rPr>
      </w:pPr>
    </w:p>
    <w:p w14:paraId="30875801">
      <w:pPr>
        <w:snapToGrid w:val="0"/>
        <w:spacing w:line="300" w:lineRule="auto"/>
        <w:rPr>
          <w:rFonts w:ascii="宋体" w:hAnsi="宋体" w:cs="宋体"/>
          <w:color w:val="auto"/>
          <w:spacing w:val="20"/>
          <w:sz w:val="24"/>
          <w:highlight w:val="none"/>
          <w:u w:val="single"/>
        </w:rPr>
      </w:pP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2253149A">
      <w:pPr>
        <w:snapToGrid w:val="0"/>
        <w:spacing w:line="300" w:lineRule="auto"/>
        <w:rPr>
          <w:rFonts w:ascii="宋体" w:hAnsi="宋体" w:cs="宋体"/>
          <w:color w:val="auto"/>
          <w:spacing w:val="20"/>
          <w:sz w:val="24"/>
          <w:highlight w:val="none"/>
        </w:rPr>
      </w:pPr>
      <w:r>
        <w:rPr>
          <w:rFonts w:hint="eastAsia" w:ascii="Times New Roman" w:hAnsi="宋体" w:eastAsia="宋体" w:cs="宋体"/>
          <w:bCs/>
          <w:color w:val="auto"/>
          <w:sz w:val="24"/>
          <w:highlight w:val="none"/>
        </w:rPr>
        <w:t>法定代表人或</w:t>
      </w:r>
      <w:r>
        <w:rPr>
          <w:rFonts w:hint="eastAsia" w:ascii="Times New Roman" w:hAnsi="宋体" w:eastAsia="宋体" w:cs="宋体"/>
          <w:bCs/>
          <w:color w:val="auto"/>
          <w:sz w:val="24"/>
          <w:highlight w:val="none"/>
          <w:lang w:eastAsia="zh-CN"/>
        </w:rPr>
        <w:t>委托代理人</w:t>
      </w:r>
      <w:r>
        <w:rPr>
          <w:rFonts w:hint="eastAsia" w:ascii="Times New Roman" w:hAnsi="宋体" w:eastAsia="宋体" w:cs="宋体"/>
          <w:bCs/>
          <w:color w:val="auto"/>
          <w:sz w:val="24"/>
          <w:highlight w:val="none"/>
        </w:rPr>
        <w:t>（签字或盖章）</w:t>
      </w:r>
      <w:r>
        <w:rPr>
          <w:rFonts w:hint="eastAsia" w:ascii="Times New Roman" w:hAnsi="宋体" w:eastAsia="宋体" w:cs="宋体"/>
          <w:bCs/>
          <w:color w:val="auto"/>
          <w:sz w:val="24"/>
          <w:highlight w:val="none"/>
          <w:lang w:eastAsia="zh-CN"/>
        </w:rPr>
        <w:t>：</w:t>
      </w:r>
    </w:p>
    <w:p w14:paraId="0D2F8604">
      <w:pPr>
        <w:snapToGrid w:val="0"/>
        <w:spacing w:line="300" w:lineRule="auto"/>
        <w:rPr>
          <w:rFonts w:ascii="宋体" w:hAnsi="宋体" w:cs="宋体"/>
          <w:color w:val="auto"/>
          <w:sz w:val="24"/>
          <w:highlight w:val="none"/>
        </w:rPr>
      </w:pPr>
      <w:r>
        <w:rPr>
          <w:rFonts w:ascii="宋体" w:hAnsi="宋体" w:cs="宋体"/>
          <w:color w:val="auto"/>
          <w:spacing w:val="20"/>
          <w:sz w:val="24"/>
          <w:highlight w:val="none"/>
        </w:rPr>
        <w:t>日期：</w:t>
      </w:r>
      <w:r>
        <w:rPr>
          <w:rFonts w:hint="eastAsia" w:ascii="宋体" w:hAnsi="宋体" w:cs="宋体"/>
          <w:color w:val="auto"/>
          <w:sz w:val="24"/>
          <w:highlight w:val="none"/>
          <w:lang w:eastAsia="zh-CN"/>
        </w:rPr>
        <w:t>2023年</w:t>
      </w:r>
      <w:r>
        <w:rPr>
          <w:rFonts w:ascii="宋体" w:hAnsi="宋体" w:cs="宋体"/>
          <w:color w:val="auto"/>
          <w:sz w:val="24"/>
          <w:highlight w:val="none"/>
        </w:rPr>
        <w:t xml:space="preserve">  月  日</w:t>
      </w:r>
    </w:p>
    <w:p w14:paraId="5A2CD3FB">
      <w:pPr>
        <w:snapToGrid w:val="0"/>
        <w:spacing w:line="300" w:lineRule="auto"/>
        <w:ind w:firstLine="480" w:firstLineChars="200"/>
        <w:rPr>
          <w:rFonts w:ascii="宋体" w:hAnsi="宋体" w:cs="宋体"/>
          <w:color w:val="auto"/>
          <w:sz w:val="24"/>
          <w:highlight w:val="none"/>
        </w:rPr>
      </w:pPr>
    </w:p>
    <w:p w14:paraId="243179CC">
      <w:pPr>
        <w:snapToGrid w:val="0"/>
        <w:spacing w:line="300" w:lineRule="auto"/>
        <w:ind w:firstLine="480" w:firstLineChars="200"/>
        <w:rPr>
          <w:rFonts w:ascii="宋体" w:hAnsi="宋体" w:cs="宋体"/>
          <w:color w:val="auto"/>
          <w:sz w:val="24"/>
          <w:highlight w:val="none"/>
        </w:rPr>
      </w:pPr>
      <w:r>
        <w:rPr>
          <w:rFonts w:ascii="宋体" w:hAnsi="宋体" w:cs="宋体"/>
          <w:color w:val="auto"/>
          <w:sz w:val="24"/>
          <w:highlight w:val="none"/>
        </w:rPr>
        <w:t>填表说明：</w:t>
      </w:r>
    </w:p>
    <w:p w14:paraId="1B15DAFF">
      <w:pPr>
        <w:snapToGrid w:val="0"/>
        <w:spacing w:line="300" w:lineRule="auto"/>
        <w:ind w:firstLine="480" w:firstLineChars="200"/>
        <w:rPr>
          <w:rFonts w:ascii="宋体" w:hAnsi="宋体" w:cs="宋体"/>
          <w:color w:val="auto"/>
          <w:sz w:val="24"/>
          <w:highlight w:val="none"/>
        </w:rPr>
      </w:pPr>
      <w:r>
        <w:rPr>
          <w:rFonts w:ascii="宋体" w:hAnsi="宋体" w:cs="宋体"/>
          <w:color w:val="auto"/>
          <w:sz w:val="24"/>
          <w:highlight w:val="none"/>
        </w:rPr>
        <w:t>（1）对招标文件有任何偏离（包括正偏离及负偏离）均应汇总并填写在此表中。</w:t>
      </w:r>
    </w:p>
    <w:p w14:paraId="37DC99C5">
      <w:pPr>
        <w:snapToGrid w:val="0"/>
        <w:spacing w:line="300" w:lineRule="auto"/>
        <w:ind w:firstLine="480" w:firstLineChars="200"/>
        <w:rPr>
          <w:rFonts w:ascii="宋体" w:hAnsi="宋体" w:cs="宋体"/>
          <w:color w:val="auto"/>
          <w:sz w:val="24"/>
          <w:highlight w:val="none"/>
        </w:rPr>
      </w:pPr>
      <w:r>
        <w:rPr>
          <w:rFonts w:ascii="宋体" w:hAnsi="宋体" w:cs="宋体"/>
          <w:color w:val="auto"/>
          <w:sz w:val="24"/>
          <w:highlight w:val="none"/>
        </w:rPr>
        <w:t>（2）完全满足招标文件要求的投标人只需填写【</w:t>
      </w:r>
      <w:r>
        <w:rPr>
          <w:rFonts w:ascii="宋体" w:hAnsi="宋体" w:cs="宋体"/>
          <w:b/>
          <w:bCs/>
          <w:color w:val="auto"/>
          <w:sz w:val="24"/>
          <w:highlight w:val="none"/>
          <w:u w:val="single"/>
        </w:rPr>
        <w:t>完全满足招标文件的全部要求</w:t>
      </w:r>
      <w:r>
        <w:rPr>
          <w:rFonts w:ascii="宋体" w:hAnsi="宋体" w:cs="宋体"/>
          <w:color w:val="auto"/>
          <w:sz w:val="24"/>
          <w:highlight w:val="none"/>
        </w:rPr>
        <w:t>】</w:t>
      </w:r>
      <w:r>
        <w:rPr>
          <w:rFonts w:hint="eastAsia" w:ascii="宋体" w:hAnsi="宋体" w:cs="宋体"/>
          <w:color w:val="auto"/>
          <w:sz w:val="24"/>
          <w:highlight w:val="none"/>
          <w:lang w:eastAsia="zh-CN"/>
        </w:rPr>
        <w:t>并</w:t>
      </w:r>
      <w:r>
        <w:rPr>
          <w:rFonts w:hint="eastAsia" w:ascii="宋体" w:hAnsi="宋体" w:cs="宋体"/>
          <w:b/>
          <w:bCs/>
          <w:color w:val="auto"/>
          <w:sz w:val="24"/>
          <w:highlight w:val="none"/>
          <w:lang w:eastAsia="zh-CN"/>
        </w:rPr>
        <w:t>按要求提供相关佐证</w:t>
      </w:r>
      <w:r>
        <w:rPr>
          <w:rFonts w:ascii="宋体" w:hAnsi="宋体" w:cs="宋体"/>
          <w:color w:val="auto"/>
          <w:sz w:val="24"/>
          <w:highlight w:val="none"/>
        </w:rPr>
        <w:t>。</w:t>
      </w:r>
    </w:p>
    <w:p w14:paraId="77CCFDDC">
      <w:pPr>
        <w:snapToGrid w:val="0"/>
        <w:spacing w:line="30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lang w:eastAsia="zh-CN"/>
        </w:rPr>
        <w:t>注：</w:t>
      </w:r>
      <w:r>
        <w:rPr>
          <w:rFonts w:hint="eastAsia" w:ascii="宋体" w:hAnsi="宋体" w:eastAsia="宋体" w:cs="宋体"/>
          <w:b/>
          <w:bCs/>
          <w:color w:val="auto"/>
          <w:kern w:val="2"/>
          <w:sz w:val="24"/>
          <w:szCs w:val="24"/>
          <w:highlight w:val="none"/>
        </w:rPr>
        <w:t>未按采购文件要求提供证明材料或材料不符合采购文件要求的，均视为</w:t>
      </w:r>
      <w:r>
        <w:rPr>
          <w:rFonts w:hint="eastAsia" w:ascii="宋体" w:hAnsi="宋体" w:eastAsia="宋体" w:cs="宋体"/>
          <w:b/>
          <w:bCs/>
          <w:color w:val="auto"/>
          <w:kern w:val="2"/>
          <w:sz w:val="24"/>
          <w:szCs w:val="24"/>
          <w:highlight w:val="none"/>
          <w:lang w:eastAsia="zh-CN"/>
        </w:rPr>
        <w:t>负偏离处理。</w:t>
      </w:r>
    </w:p>
    <w:p w14:paraId="4E8AE7CD">
      <w:pPr>
        <w:snapToGrid w:val="0"/>
        <w:spacing w:line="300" w:lineRule="auto"/>
        <w:ind w:firstLine="480" w:firstLineChars="200"/>
        <w:rPr>
          <w:rFonts w:ascii="宋体" w:hAnsi="宋体" w:cs="宋体"/>
          <w:color w:val="auto"/>
          <w:sz w:val="24"/>
          <w:highlight w:val="none"/>
        </w:rPr>
      </w:pPr>
      <w:r>
        <w:rPr>
          <w:rFonts w:ascii="宋体" w:hAnsi="宋体" w:cs="宋体"/>
          <w:color w:val="auto"/>
          <w:sz w:val="24"/>
          <w:highlight w:val="none"/>
        </w:rPr>
        <w:t>（3）若中标人以未在偏离表中列出的负偏离为由，不按招标要求签约，采购人有权取消该中标人的中标资格，并按有关规定重新确定中标人或另行采购。</w:t>
      </w:r>
    </w:p>
    <w:p w14:paraId="2214AF58">
      <w:pPr>
        <w:snapToGrid w:val="0"/>
        <w:spacing w:line="300" w:lineRule="auto"/>
        <w:ind w:firstLine="480" w:firstLineChars="200"/>
        <w:rPr>
          <w:rFonts w:ascii="宋体" w:hAnsi="宋体" w:cs="宋体"/>
          <w:color w:val="auto"/>
          <w:sz w:val="24"/>
          <w:highlight w:val="none"/>
        </w:rPr>
      </w:pPr>
      <w:r>
        <w:rPr>
          <w:rFonts w:ascii="宋体" w:hAnsi="宋体" w:cs="宋体"/>
          <w:color w:val="auto"/>
          <w:sz w:val="24"/>
          <w:highlight w:val="none"/>
        </w:rPr>
        <w:t>（4）投标文件响应内容对招标文件要求如有偏离均应填写偏离表，如不填写，采购人有权视作投标文件完全响应招标文件要求。</w:t>
      </w:r>
    </w:p>
    <w:p w14:paraId="4CFBF507">
      <w:pPr>
        <w:snapToGrid w:val="0"/>
        <w:spacing w:line="300" w:lineRule="auto"/>
        <w:ind w:firstLine="480" w:firstLineChars="200"/>
        <w:rPr>
          <w:rFonts w:ascii="宋体" w:hAnsi="宋体" w:cs="宋体"/>
          <w:color w:val="auto"/>
          <w:spacing w:val="20"/>
          <w:highlight w:val="none"/>
        </w:rPr>
      </w:pPr>
      <w:r>
        <w:rPr>
          <w:rFonts w:ascii="宋体" w:hAnsi="宋体" w:cs="宋体"/>
          <w:color w:val="auto"/>
          <w:sz w:val="24"/>
          <w:highlight w:val="none"/>
        </w:rPr>
        <w:t>（5）投标人可调整、修改上述表格。</w:t>
      </w:r>
    </w:p>
    <w:p w14:paraId="6B38F155">
      <w:pPr>
        <w:pStyle w:val="69"/>
        <w:widowControl w:val="0"/>
        <w:snapToGrid w:val="0"/>
        <w:spacing w:line="500" w:lineRule="exact"/>
        <w:jc w:val="center"/>
        <w:rPr>
          <w:rFonts w:hAnsi="宋体" w:cs="宋体"/>
          <w:color w:val="auto"/>
          <w:sz w:val="10"/>
          <w:szCs w:val="10"/>
          <w:highlight w:val="none"/>
        </w:rPr>
      </w:pPr>
      <w:r>
        <w:rPr>
          <w:rFonts w:hint="eastAsia" w:hAnsi="宋体" w:cs="宋体"/>
          <w:color w:val="auto"/>
          <w:sz w:val="32"/>
          <w:szCs w:val="32"/>
          <w:highlight w:val="none"/>
        </w:rPr>
        <w:t>政府采购活动现场确认声明书</w:t>
      </w:r>
    </w:p>
    <w:p w14:paraId="06D2213D">
      <w:pPr>
        <w:pStyle w:val="69"/>
        <w:widowControl w:val="0"/>
        <w:snapToGrid w:val="0"/>
        <w:spacing w:line="500" w:lineRule="exact"/>
        <w:jc w:val="center"/>
        <w:rPr>
          <w:rFonts w:hAnsi="宋体" w:cs="宋体"/>
          <w:color w:val="auto"/>
          <w:sz w:val="10"/>
          <w:szCs w:val="10"/>
          <w:highlight w:val="none"/>
        </w:rPr>
      </w:pPr>
    </w:p>
    <w:p w14:paraId="1149969F">
      <w:pPr>
        <w:pStyle w:val="69"/>
        <w:widowControl w:val="0"/>
        <w:snapToGrid w:val="0"/>
        <w:spacing w:line="400" w:lineRule="exact"/>
        <w:jc w:val="both"/>
        <w:rPr>
          <w:rFonts w:hAnsi="宋体" w:cs="宋体"/>
          <w:b/>
          <w:color w:val="auto"/>
          <w:sz w:val="24"/>
          <w:szCs w:val="21"/>
          <w:highlight w:val="none"/>
        </w:rPr>
      </w:pPr>
      <w:r>
        <w:rPr>
          <w:rFonts w:hint="eastAsia" w:hAnsi="宋体" w:cs="宋体"/>
          <w:color w:val="auto"/>
          <w:kern w:val="0"/>
          <w:sz w:val="24"/>
          <w:highlight w:val="none"/>
          <w:u w:val="single"/>
          <w:lang w:eastAsia="zh-CN"/>
        </w:rPr>
        <w:t>衢州胜友如云工程咨询有限公司</w:t>
      </w:r>
      <w:r>
        <w:rPr>
          <w:rFonts w:hint="eastAsia" w:hAnsi="宋体" w:cs="宋体"/>
          <w:color w:val="auto"/>
          <w:kern w:val="0"/>
          <w:sz w:val="24"/>
          <w:szCs w:val="21"/>
          <w:highlight w:val="none"/>
        </w:rPr>
        <w:t>（采购组织机构名称）：</w:t>
      </w:r>
    </w:p>
    <w:p w14:paraId="0A3356D1">
      <w:pPr>
        <w:pStyle w:val="69"/>
        <w:widowControl w:val="0"/>
        <w:snapToGrid w:val="0"/>
        <w:spacing w:line="400" w:lineRule="exact"/>
        <w:ind w:firstLine="504" w:firstLineChars="200"/>
        <w:jc w:val="both"/>
        <w:rPr>
          <w:rFonts w:hAnsi="宋体" w:cs="宋体"/>
          <w:color w:val="auto"/>
          <w:spacing w:val="6"/>
          <w:sz w:val="24"/>
          <w:szCs w:val="21"/>
          <w:highlight w:val="none"/>
        </w:rPr>
      </w:pPr>
      <w:r>
        <w:rPr>
          <w:rFonts w:hint="eastAsia" w:hAnsi="宋体" w:cs="宋体"/>
          <w:color w:val="auto"/>
          <w:spacing w:val="6"/>
          <w:sz w:val="24"/>
          <w:szCs w:val="21"/>
          <w:highlight w:val="none"/>
        </w:rPr>
        <w:t>本人经由</w:t>
      </w:r>
      <w:r>
        <w:rPr>
          <w:rFonts w:hint="eastAsia" w:hAnsi="宋体" w:cs="宋体"/>
          <w:color w:val="auto"/>
          <w:spacing w:val="6"/>
          <w:sz w:val="24"/>
          <w:szCs w:val="21"/>
          <w:highlight w:val="none"/>
          <w:u w:val="single"/>
        </w:rPr>
        <w:t xml:space="preserve">                                   （单位）</w:t>
      </w:r>
      <w:r>
        <w:rPr>
          <w:rFonts w:hint="eastAsia" w:hAnsi="宋体" w:cs="宋体"/>
          <w:color w:val="auto"/>
          <w:spacing w:val="6"/>
          <w:sz w:val="24"/>
          <w:szCs w:val="21"/>
          <w:highlight w:val="none"/>
        </w:rPr>
        <w:t>负责人</w:t>
      </w:r>
      <w:r>
        <w:rPr>
          <w:rFonts w:hint="eastAsia" w:hAnsi="宋体" w:cs="宋体"/>
          <w:color w:val="auto"/>
          <w:spacing w:val="6"/>
          <w:sz w:val="24"/>
          <w:szCs w:val="21"/>
          <w:highlight w:val="none"/>
          <w:u w:val="single"/>
        </w:rPr>
        <w:t xml:space="preserve">          （姓名）</w:t>
      </w:r>
      <w:r>
        <w:rPr>
          <w:rFonts w:hint="eastAsia" w:hAnsi="宋体" w:cs="宋体"/>
          <w:color w:val="auto"/>
          <w:spacing w:val="6"/>
          <w:sz w:val="24"/>
          <w:szCs w:val="21"/>
          <w:highlight w:val="none"/>
        </w:rPr>
        <w:t>合法授权参加</w:t>
      </w:r>
      <w:r>
        <w:rPr>
          <w:rFonts w:hint="eastAsia" w:hAnsi="宋体" w:cs="宋体"/>
          <w:color w:val="auto"/>
          <w:spacing w:val="6"/>
          <w:sz w:val="24"/>
          <w:szCs w:val="21"/>
          <w:highlight w:val="none"/>
          <w:u w:val="single"/>
        </w:rPr>
        <w:t xml:space="preserve">                             项目</w:t>
      </w:r>
      <w:r>
        <w:rPr>
          <w:rFonts w:hint="eastAsia" w:hAnsi="宋体" w:cs="宋体"/>
          <w:color w:val="auto"/>
          <w:spacing w:val="6"/>
          <w:sz w:val="24"/>
          <w:szCs w:val="21"/>
          <w:highlight w:val="none"/>
        </w:rPr>
        <w:t>（编号：</w:t>
      </w:r>
      <w:r>
        <w:rPr>
          <w:rFonts w:hint="eastAsia" w:hAnsi="宋体" w:cs="宋体"/>
          <w:color w:val="auto"/>
          <w:spacing w:val="6"/>
          <w:sz w:val="24"/>
          <w:szCs w:val="21"/>
          <w:highlight w:val="none"/>
          <w:u w:val="single"/>
        </w:rPr>
        <w:t xml:space="preserve">        </w:t>
      </w:r>
      <w:r>
        <w:rPr>
          <w:rFonts w:hint="eastAsia" w:hAnsi="宋体" w:cs="宋体"/>
          <w:color w:val="auto"/>
          <w:spacing w:val="6"/>
          <w:sz w:val="24"/>
          <w:szCs w:val="21"/>
          <w:highlight w:val="none"/>
        </w:rPr>
        <w:t xml:space="preserve">）政府采购活动，经与本单位法定代表人（负责人）联系确认，现就有关公平竞争事项郑重声明如下： </w:t>
      </w:r>
    </w:p>
    <w:p w14:paraId="0AFD12B7">
      <w:pPr>
        <w:pStyle w:val="39"/>
        <w:widowControl/>
        <w:numPr>
          <w:ilvl w:val="0"/>
          <w:numId w:val="1"/>
        </w:numPr>
        <w:snapToGrid w:val="0"/>
        <w:spacing w:line="400" w:lineRule="exact"/>
        <w:ind w:firstLine="453" w:firstLineChars="189"/>
        <w:rPr>
          <w:rFonts w:ascii="宋体" w:hAnsi="宋体" w:cs="宋体"/>
          <w:color w:val="auto"/>
          <w:kern w:val="0"/>
          <w:sz w:val="24"/>
          <w:szCs w:val="21"/>
          <w:highlight w:val="none"/>
        </w:rPr>
      </w:pPr>
      <w:r>
        <w:rPr>
          <w:rFonts w:hint="eastAsia" w:ascii="宋体" w:hAnsi="宋体" w:cs="宋体"/>
          <w:color w:val="auto"/>
          <w:kern w:val="0"/>
          <w:sz w:val="24"/>
          <w:szCs w:val="21"/>
          <w:highlight w:val="none"/>
        </w:rPr>
        <w:t>本单位与采购人之间 □不存在利害关系 □存在下列利害关系</w:t>
      </w:r>
      <w:r>
        <w:rPr>
          <w:rFonts w:hint="eastAsia"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rPr>
        <w:t>：</w:t>
      </w:r>
    </w:p>
    <w:p w14:paraId="121A346B">
      <w:pPr>
        <w:pStyle w:val="39"/>
        <w:widowControl/>
        <w:snapToGrid w:val="0"/>
        <w:spacing w:line="400" w:lineRule="exact"/>
        <w:rPr>
          <w:rFonts w:ascii="宋体" w:hAnsi="宋体" w:cs="宋体"/>
          <w:color w:val="auto"/>
          <w:kern w:val="0"/>
          <w:sz w:val="24"/>
          <w:szCs w:val="21"/>
          <w:highlight w:val="none"/>
        </w:rPr>
      </w:pPr>
      <w:r>
        <w:rPr>
          <w:rFonts w:hint="eastAsia" w:ascii="宋体" w:hAnsi="宋体" w:cs="宋体"/>
          <w:color w:val="auto"/>
          <w:kern w:val="0"/>
          <w:sz w:val="24"/>
          <w:szCs w:val="21"/>
          <w:highlight w:val="none"/>
        </w:rPr>
        <w:t xml:space="preserve">  A.投资关系    B.行政隶属关系    C.业务指导关系</w:t>
      </w:r>
    </w:p>
    <w:p w14:paraId="34F45928">
      <w:pPr>
        <w:pStyle w:val="39"/>
        <w:widowControl/>
        <w:snapToGrid w:val="0"/>
        <w:spacing w:line="400" w:lineRule="exact"/>
        <w:rPr>
          <w:rFonts w:ascii="宋体" w:hAnsi="宋体" w:cs="宋体"/>
          <w:color w:val="auto"/>
          <w:kern w:val="0"/>
          <w:sz w:val="24"/>
          <w:szCs w:val="21"/>
          <w:highlight w:val="none"/>
        </w:rPr>
      </w:pPr>
      <w:r>
        <w:rPr>
          <w:rFonts w:hint="eastAsia" w:ascii="宋体" w:hAnsi="宋体" w:cs="宋体"/>
          <w:color w:val="auto"/>
          <w:kern w:val="0"/>
          <w:sz w:val="24"/>
          <w:szCs w:val="21"/>
          <w:highlight w:val="none"/>
        </w:rPr>
        <w:t xml:space="preserve">  D.其他可能</w:t>
      </w:r>
      <w:r>
        <w:rPr>
          <w:rFonts w:hint="eastAsia" w:ascii="宋体" w:hAnsi="宋体" w:cs="宋体"/>
          <w:color w:val="auto"/>
          <w:sz w:val="24"/>
          <w:szCs w:val="21"/>
          <w:highlight w:val="none"/>
        </w:rPr>
        <w:t>影响采购公正的</w:t>
      </w:r>
      <w:r>
        <w:rPr>
          <w:rFonts w:hint="eastAsia" w:ascii="宋体" w:hAnsi="宋体" w:cs="宋体"/>
          <w:color w:val="auto"/>
          <w:kern w:val="0"/>
          <w:sz w:val="24"/>
          <w:szCs w:val="21"/>
          <w:highlight w:val="none"/>
        </w:rPr>
        <w:t>利害关系</w:t>
      </w:r>
      <w:r>
        <w:rPr>
          <w:rFonts w:hint="eastAsia" w:ascii="宋体" w:hAnsi="宋体" w:cs="宋体"/>
          <w:color w:val="auto"/>
          <w:kern w:val="0"/>
          <w:sz w:val="24"/>
          <w:szCs w:val="21"/>
          <w:highlight w:val="none"/>
          <w:u w:val="single"/>
        </w:rPr>
        <w:t xml:space="preserve">（如有，请如实说明） </w:t>
      </w:r>
      <w:r>
        <w:rPr>
          <w:rFonts w:hint="eastAsia" w:ascii="宋体" w:hAnsi="宋体" w:cs="宋体"/>
          <w:color w:val="auto"/>
          <w:kern w:val="0"/>
          <w:sz w:val="24"/>
          <w:szCs w:val="21"/>
          <w:highlight w:val="none"/>
        </w:rPr>
        <w:t>。</w:t>
      </w:r>
    </w:p>
    <w:p w14:paraId="0BEC76B6">
      <w:pPr>
        <w:pStyle w:val="39"/>
        <w:widowControl/>
        <w:snapToGrid w:val="0"/>
        <w:spacing w:line="400" w:lineRule="exact"/>
        <w:rPr>
          <w:rFonts w:ascii="宋体" w:hAnsi="宋体" w:cs="宋体"/>
          <w:color w:val="auto"/>
          <w:kern w:val="0"/>
          <w:sz w:val="24"/>
          <w:szCs w:val="21"/>
          <w:highlight w:val="none"/>
        </w:rPr>
      </w:pPr>
      <w:r>
        <w:rPr>
          <w:rFonts w:hint="eastAsia" w:ascii="宋体" w:hAnsi="宋体" w:cs="宋体"/>
          <w:color w:val="auto"/>
          <w:spacing w:val="6"/>
          <w:sz w:val="24"/>
          <w:szCs w:val="21"/>
          <w:highlight w:val="none"/>
        </w:rPr>
        <w:t xml:space="preserve">  二、</w:t>
      </w:r>
      <w:r>
        <w:rPr>
          <w:rFonts w:hint="eastAsia" w:ascii="宋体" w:hAnsi="宋体" w:cs="宋体"/>
          <w:color w:val="auto"/>
          <w:kern w:val="0"/>
          <w:sz w:val="24"/>
          <w:szCs w:val="21"/>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1"/>
          <w:highlight w:val="none"/>
          <w:u w:val="single"/>
        </w:rPr>
        <w:t xml:space="preserve">           （供应商名称）</w:t>
      </w:r>
      <w:r>
        <w:rPr>
          <w:rFonts w:hint="eastAsia" w:ascii="宋体" w:hAnsi="宋体" w:cs="宋体"/>
          <w:color w:val="auto"/>
          <w:kern w:val="0"/>
          <w:sz w:val="24"/>
          <w:szCs w:val="21"/>
          <w:highlight w:val="none"/>
        </w:rPr>
        <w:t>之间存在下列利害关系</w:t>
      </w:r>
      <w:r>
        <w:rPr>
          <w:rFonts w:hint="eastAsia"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rPr>
        <w:t>：</w:t>
      </w:r>
    </w:p>
    <w:p w14:paraId="72C2680A">
      <w:pPr>
        <w:pStyle w:val="69"/>
        <w:widowControl w:val="0"/>
        <w:snapToGrid w:val="0"/>
        <w:spacing w:line="400" w:lineRule="exact"/>
        <w:jc w:val="both"/>
        <w:rPr>
          <w:rFonts w:hAnsi="宋体" w:cs="宋体"/>
          <w:color w:val="auto"/>
          <w:kern w:val="0"/>
          <w:sz w:val="24"/>
          <w:szCs w:val="21"/>
          <w:highlight w:val="none"/>
        </w:rPr>
      </w:pPr>
      <w:r>
        <w:rPr>
          <w:rFonts w:hint="eastAsia" w:hAnsi="宋体" w:cs="宋体"/>
          <w:color w:val="auto"/>
          <w:kern w:val="0"/>
          <w:sz w:val="24"/>
          <w:szCs w:val="21"/>
          <w:highlight w:val="none"/>
        </w:rPr>
        <w:t xml:space="preserve">  A.法定代表人或负责人或实际控制人是同一人</w:t>
      </w:r>
    </w:p>
    <w:p w14:paraId="7D22EA2A">
      <w:pPr>
        <w:pStyle w:val="69"/>
        <w:widowControl w:val="0"/>
        <w:snapToGrid w:val="0"/>
        <w:spacing w:line="400" w:lineRule="exact"/>
        <w:jc w:val="both"/>
        <w:rPr>
          <w:rFonts w:hAnsi="宋体" w:cs="宋体"/>
          <w:color w:val="auto"/>
          <w:spacing w:val="6"/>
          <w:sz w:val="24"/>
          <w:szCs w:val="21"/>
          <w:highlight w:val="none"/>
        </w:rPr>
      </w:pPr>
      <w:r>
        <w:rPr>
          <w:rFonts w:hint="eastAsia" w:hAnsi="宋体" w:cs="宋体"/>
          <w:color w:val="auto"/>
          <w:kern w:val="0"/>
          <w:sz w:val="24"/>
          <w:szCs w:val="21"/>
          <w:highlight w:val="none"/>
        </w:rPr>
        <w:t xml:space="preserve">  B.法定代表人或负责人或实际控制人是夫妻关系</w:t>
      </w:r>
    </w:p>
    <w:p w14:paraId="4346BE21">
      <w:pPr>
        <w:pStyle w:val="69"/>
        <w:widowControl w:val="0"/>
        <w:snapToGrid w:val="0"/>
        <w:spacing w:line="400" w:lineRule="exact"/>
        <w:jc w:val="both"/>
        <w:rPr>
          <w:rFonts w:hAnsi="宋体" w:cs="宋体"/>
          <w:color w:val="auto"/>
          <w:spacing w:val="6"/>
          <w:sz w:val="24"/>
          <w:szCs w:val="21"/>
          <w:highlight w:val="none"/>
        </w:rPr>
      </w:pPr>
      <w:r>
        <w:rPr>
          <w:rFonts w:hint="eastAsia" w:hAnsi="宋体" w:cs="宋体"/>
          <w:color w:val="auto"/>
          <w:kern w:val="0"/>
          <w:sz w:val="24"/>
          <w:szCs w:val="21"/>
          <w:highlight w:val="none"/>
        </w:rPr>
        <w:t xml:space="preserve">  C.法定代表人或负责人或实际控制人是直系血亲关系</w:t>
      </w:r>
    </w:p>
    <w:p w14:paraId="43813835">
      <w:pPr>
        <w:pStyle w:val="69"/>
        <w:widowControl w:val="0"/>
        <w:snapToGrid w:val="0"/>
        <w:spacing w:line="400" w:lineRule="exact"/>
        <w:jc w:val="both"/>
        <w:rPr>
          <w:rFonts w:hAnsi="宋体" w:cs="宋体"/>
          <w:color w:val="auto"/>
          <w:spacing w:val="6"/>
          <w:sz w:val="24"/>
          <w:szCs w:val="21"/>
          <w:highlight w:val="none"/>
        </w:rPr>
      </w:pPr>
      <w:r>
        <w:rPr>
          <w:rFonts w:hint="eastAsia" w:hAnsi="宋体" w:cs="宋体"/>
          <w:color w:val="auto"/>
          <w:kern w:val="0"/>
          <w:sz w:val="24"/>
          <w:szCs w:val="21"/>
          <w:highlight w:val="none"/>
        </w:rPr>
        <w:t xml:space="preserve">  D.法定代表人或负责人或实际控制人存在三代以内旁系血亲关系</w:t>
      </w:r>
    </w:p>
    <w:p w14:paraId="3CE6B9E7">
      <w:pPr>
        <w:pStyle w:val="69"/>
        <w:widowControl w:val="0"/>
        <w:snapToGrid w:val="0"/>
        <w:spacing w:line="400" w:lineRule="exact"/>
        <w:jc w:val="both"/>
        <w:rPr>
          <w:rFonts w:hAnsi="宋体" w:cs="宋体"/>
          <w:color w:val="auto"/>
          <w:kern w:val="0"/>
          <w:sz w:val="24"/>
          <w:szCs w:val="21"/>
          <w:highlight w:val="none"/>
        </w:rPr>
      </w:pPr>
      <w:r>
        <w:rPr>
          <w:rFonts w:hint="eastAsia" w:hAnsi="宋体" w:cs="宋体"/>
          <w:color w:val="auto"/>
          <w:kern w:val="0"/>
          <w:sz w:val="24"/>
          <w:szCs w:val="21"/>
          <w:highlight w:val="none"/>
        </w:rPr>
        <w:t xml:space="preserve">  E.法定代表人或负责人或实际控制人存在近姻亲关系</w:t>
      </w:r>
    </w:p>
    <w:p w14:paraId="5B9580F1">
      <w:pPr>
        <w:pStyle w:val="69"/>
        <w:widowControl w:val="0"/>
        <w:snapToGrid w:val="0"/>
        <w:spacing w:line="400" w:lineRule="exact"/>
        <w:jc w:val="both"/>
        <w:rPr>
          <w:rFonts w:hAnsi="宋体" w:cs="宋体"/>
          <w:color w:val="auto"/>
          <w:kern w:val="0"/>
          <w:sz w:val="24"/>
          <w:szCs w:val="21"/>
          <w:highlight w:val="none"/>
        </w:rPr>
      </w:pPr>
      <w:r>
        <w:rPr>
          <w:rFonts w:hint="eastAsia" w:hAnsi="宋体" w:cs="宋体"/>
          <w:color w:val="auto"/>
          <w:kern w:val="0"/>
          <w:sz w:val="24"/>
          <w:szCs w:val="21"/>
          <w:highlight w:val="none"/>
        </w:rPr>
        <w:t xml:space="preserve">  F.法定代表人或负责人或实际控制人存在股份控制或实际控制关系</w:t>
      </w:r>
    </w:p>
    <w:p w14:paraId="4CC55D17">
      <w:pPr>
        <w:pStyle w:val="69"/>
        <w:widowControl w:val="0"/>
        <w:snapToGrid w:val="0"/>
        <w:spacing w:line="400" w:lineRule="exact"/>
        <w:jc w:val="both"/>
        <w:outlineLvl w:val="0"/>
        <w:rPr>
          <w:rFonts w:hAnsi="宋体" w:cs="宋体"/>
          <w:color w:val="auto"/>
          <w:kern w:val="0"/>
          <w:sz w:val="24"/>
          <w:szCs w:val="21"/>
          <w:highlight w:val="none"/>
        </w:rPr>
      </w:pPr>
      <w:r>
        <w:rPr>
          <w:rFonts w:hint="eastAsia" w:hAnsi="宋体" w:cs="宋体"/>
          <w:color w:val="auto"/>
          <w:kern w:val="0"/>
          <w:sz w:val="24"/>
          <w:szCs w:val="21"/>
          <w:highlight w:val="none"/>
        </w:rPr>
        <w:t xml:space="preserve">  G.存在共同直接或间接投资设立子公司、联营企业和合营企业情况</w:t>
      </w:r>
    </w:p>
    <w:p w14:paraId="62C414A1">
      <w:pPr>
        <w:pStyle w:val="69"/>
        <w:widowControl w:val="0"/>
        <w:snapToGrid w:val="0"/>
        <w:spacing w:line="400" w:lineRule="exact"/>
        <w:jc w:val="both"/>
        <w:rPr>
          <w:rFonts w:hAnsi="宋体" w:cs="宋体"/>
          <w:color w:val="auto"/>
          <w:sz w:val="24"/>
          <w:szCs w:val="21"/>
          <w:highlight w:val="none"/>
        </w:rPr>
      </w:pPr>
      <w:r>
        <w:rPr>
          <w:rFonts w:hint="eastAsia" w:hAnsi="宋体" w:cs="宋体"/>
          <w:color w:val="auto"/>
          <w:kern w:val="0"/>
          <w:sz w:val="24"/>
          <w:szCs w:val="21"/>
          <w:highlight w:val="none"/>
        </w:rPr>
        <w:t xml:space="preserve">  H.存在分级代理或代销关系、同一生产制造商关系、</w:t>
      </w:r>
      <w:r>
        <w:rPr>
          <w:rFonts w:hint="eastAsia" w:hAnsi="宋体" w:cs="宋体"/>
          <w:color w:val="auto"/>
          <w:sz w:val="24"/>
          <w:szCs w:val="21"/>
          <w:highlight w:val="none"/>
        </w:rPr>
        <w:t>管理关系、重要业务（占主营业务收入50%以上）或重要财务往来关系（如融资）等其他实质性控制关系</w:t>
      </w:r>
    </w:p>
    <w:p w14:paraId="36F098B4">
      <w:pPr>
        <w:pStyle w:val="69"/>
        <w:widowControl w:val="0"/>
        <w:snapToGrid w:val="0"/>
        <w:spacing w:line="400" w:lineRule="exact"/>
        <w:jc w:val="both"/>
        <w:rPr>
          <w:rFonts w:hAnsi="宋体" w:cs="宋体"/>
          <w:color w:val="auto"/>
          <w:spacing w:val="6"/>
          <w:sz w:val="24"/>
          <w:szCs w:val="21"/>
          <w:highlight w:val="none"/>
        </w:rPr>
      </w:pPr>
      <w:r>
        <w:rPr>
          <w:rFonts w:hint="eastAsia" w:hAnsi="宋体" w:cs="宋体"/>
          <w:color w:val="auto"/>
          <w:sz w:val="24"/>
          <w:szCs w:val="21"/>
          <w:highlight w:val="none"/>
        </w:rPr>
        <w:t xml:space="preserve">  I</w:t>
      </w:r>
      <w:r>
        <w:rPr>
          <w:rFonts w:hint="eastAsia" w:hAnsi="宋体" w:cs="宋体"/>
          <w:color w:val="auto"/>
          <w:kern w:val="0"/>
          <w:sz w:val="24"/>
          <w:szCs w:val="21"/>
          <w:highlight w:val="none"/>
        </w:rPr>
        <w:t>.</w:t>
      </w:r>
      <w:r>
        <w:rPr>
          <w:rFonts w:hint="eastAsia" w:hAnsi="宋体" w:cs="宋体"/>
          <w:color w:val="auto"/>
          <w:sz w:val="24"/>
          <w:szCs w:val="21"/>
          <w:highlight w:val="none"/>
        </w:rPr>
        <w:t>其他利害关系情况</w:t>
      </w:r>
      <w:r>
        <w:rPr>
          <w:rFonts w:hint="eastAsia" w:hAnsi="宋体" w:cs="宋体"/>
          <w:color w:val="auto"/>
          <w:sz w:val="24"/>
          <w:szCs w:val="21"/>
          <w:highlight w:val="none"/>
          <w:u w:val="single"/>
        </w:rPr>
        <w:t xml:space="preserve">                              </w:t>
      </w:r>
      <w:r>
        <w:rPr>
          <w:rFonts w:hint="eastAsia" w:hAnsi="宋体" w:cs="宋体"/>
          <w:color w:val="auto"/>
          <w:kern w:val="0"/>
          <w:sz w:val="24"/>
          <w:szCs w:val="21"/>
          <w:highlight w:val="none"/>
        </w:rPr>
        <w:t>。</w:t>
      </w:r>
    </w:p>
    <w:p w14:paraId="55E60650">
      <w:pPr>
        <w:pStyle w:val="39"/>
        <w:widowControl/>
        <w:numPr>
          <w:ilvl w:val="0"/>
          <w:numId w:val="2"/>
        </w:numPr>
        <w:snapToGrid w:val="0"/>
        <w:spacing w:line="400" w:lineRule="exact"/>
        <w:ind w:firstLine="453" w:firstLineChars="189"/>
        <w:rPr>
          <w:rFonts w:ascii="宋体" w:hAnsi="宋体" w:cs="宋体"/>
          <w:color w:val="auto"/>
          <w:kern w:val="0"/>
          <w:sz w:val="24"/>
          <w:szCs w:val="21"/>
          <w:highlight w:val="none"/>
        </w:rPr>
      </w:pPr>
      <w:r>
        <w:rPr>
          <w:rFonts w:hint="eastAsia" w:ascii="宋体" w:hAnsi="宋体" w:cs="宋体"/>
          <w:color w:val="auto"/>
          <w:sz w:val="24"/>
          <w:szCs w:val="21"/>
          <w:highlight w:val="none"/>
        </w:rPr>
        <w:t>现已清楚知道并</w:t>
      </w:r>
      <w:r>
        <w:rPr>
          <w:rFonts w:hint="eastAsia" w:ascii="宋体" w:hAnsi="宋体" w:cs="宋体"/>
          <w:color w:val="auto"/>
          <w:kern w:val="0"/>
          <w:sz w:val="24"/>
          <w:szCs w:val="21"/>
          <w:highlight w:val="none"/>
        </w:rPr>
        <w:t>严格遵守政府采购法律法规和现场纪律。</w:t>
      </w:r>
    </w:p>
    <w:p w14:paraId="6285DA8E">
      <w:pPr>
        <w:pStyle w:val="39"/>
        <w:widowControl/>
        <w:numPr>
          <w:ilvl w:val="0"/>
          <w:numId w:val="2"/>
        </w:numPr>
        <w:snapToGrid w:val="0"/>
        <w:spacing w:line="400" w:lineRule="exact"/>
        <w:ind w:firstLine="453" w:firstLineChars="189"/>
        <w:rPr>
          <w:rFonts w:ascii="宋体" w:hAnsi="宋体" w:cs="宋体"/>
          <w:color w:val="auto"/>
          <w:kern w:val="0"/>
          <w:sz w:val="24"/>
          <w:szCs w:val="21"/>
          <w:highlight w:val="none"/>
        </w:rPr>
      </w:pPr>
      <w:r>
        <w:rPr>
          <w:rFonts w:hint="eastAsia" w:ascii="宋体" w:hAnsi="宋体" w:cs="宋体"/>
          <w:color w:val="auto"/>
          <w:kern w:val="0"/>
          <w:sz w:val="24"/>
          <w:szCs w:val="21"/>
          <w:highlight w:val="none"/>
        </w:rPr>
        <w:t>我发现</w:t>
      </w:r>
      <w:r>
        <w:rPr>
          <w:rFonts w:hint="eastAsia"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rPr>
        <w:t>供应商之间存在或可能存在上述第二条第</w:t>
      </w:r>
      <w:r>
        <w:rPr>
          <w:rFonts w:hint="eastAsia"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rPr>
        <w:t>项利害关系。</w:t>
      </w:r>
    </w:p>
    <w:p w14:paraId="4786C81E">
      <w:pPr>
        <w:pStyle w:val="69"/>
        <w:widowControl w:val="0"/>
        <w:snapToGrid w:val="0"/>
        <w:spacing w:line="500" w:lineRule="exact"/>
        <w:ind w:firstLine="480" w:firstLineChars="200"/>
        <w:jc w:val="both"/>
        <w:rPr>
          <w:rFonts w:hAnsi="宋体" w:cs="宋体"/>
          <w:color w:val="auto"/>
          <w:sz w:val="24"/>
          <w:szCs w:val="21"/>
          <w:highlight w:val="none"/>
        </w:rPr>
      </w:pPr>
      <w:r>
        <w:rPr>
          <w:rFonts w:hint="eastAsia" w:hAnsi="宋体" w:cs="宋体"/>
          <w:color w:val="auto"/>
          <w:sz w:val="24"/>
          <w:szCs w:val="21"/>
          <w:highlight w:val="none"/>
        </w:rPr>
        <w:t xml:space="preserve">                                供应商代表（</w:t>
      </w:r>
      <w:r>
        <w:rPr>
          <w:rFonts w:hint="eastAsia" w:hAnsi="宋体" w:cs="宋体"/>
          <w:color w:val="auto"/>
          <w:sz w:val="24"/>
          <w:highlight w:val="none"/>
        </w:rPr>
        <w:t>签字</w:t>
      </w:r>
      <w:r>
        <w:rPr>
          <w:rFonts w:hint="eastAsia" w:hAnsi="宋体" w:cs="宋体"/>
          <w:color w:val="auto"/>
          <w:sz w:val="24"/>
          <w:szCs w:val="21"/>
          <w:highlight w:val="none"/>
        </w:rPr>
        <w:t>）：</w:t>
      </w:r>
    </w:p>
    <w:p w14:paraId="7CB49281">
      <w:pPr>
        <w:pStyle w:val="69"/>
        <w:widowControl w:val="0"/>
        <w:snapToGrid w:val="0"/>
        <w:spacing w:line="500" w:lineRule="exact"/>
        <w:ind w:firstLine="480" w:firstLineChars="200"/>
        <w:jc w:val="both"/>
        <w:rPr>
          <w:rFonts w:hAnsi="宋体" w:cs="宋体"/>
          <w:color w:val="auto"/>
          <w:sz w:val="20"/>
          <w:highlight w:val="none"/>
        </w:rPr>
      </w:pPr>
      <w:r>
        <w:rPr>
          <w:rFonts w:hint="eastAsia" w:hAnsi="宋体" w:cs="宋体"/>
          <w:color w:val="auto"/>
          <w:sz w:val="24"/>
          <w:szCs w:val="21"/>
          <w:highlight w:val="none"/>
        </w:rPr>
        <w:t xml:space="preserve">                                    年  月  日</w:t>
      </w:r>
    </w:p>
    <w:p w14:paraId="6AE04966">
      <w:pPr>
        <w:pStyle w:val="4"/>
        <w:keepNext w:val="0"/>
        <w:keepLines w:val="0"/>
        <w:rPr>
          <w:color w:val="auto"/>
          <w:highlight w:val="none"/>
        </w:rPr>
      </w:pPr>
      <w:r>
        <w:rPr>
          <w:rFonts w:hint="eastAsia" w:ascii="宋体" w:hAnsi="宋体" w:eastAsia="宋体" w:cs="宋体"/>
          <w:color w:val="auto"/>
          <w:sz w:val="24"/>
          <w:highlight w:val="none"/>
        </w:rPr>
        <w:t>注：投标文件解密结束后，各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应签署《政府采购活动现场确认声明书》，并在30分钟内以扫描件或影印件方式发送发送至代理机构邮箱：</w:t>
      </w:r>
      <w:r>
        <w:rPr>
          <w:color w:val="auto"/>
          <w:highlight w:val="none"/>
        </w:rPr>
        <w:fldChar w:fldCharType="begin"/>
      </w:r>
      <w:r>
        <w:rPr>
          <w:color w:val="auto"/>
          <w:highlight w:val="none"/>
        </w:rPr>
        <w:instrText xml:space="preserve"> HYPERLINK "mailto:646289109@qq.com" </w:instrText>
      </w:r>
      <w:r>
        <w:rPr>
          <w:color w:val="auto"/>
          <w:highlight w:val="none"/>
        </w:rPr>
        <w:fldChar w:fldCharType="separate"/>
      </w:r>
      <w:r>
        <w:rPr>
          <w:rStyle w:val="31"/>
          <w:rFonts w:hint="eastAsia" w:ascii="宋体" w:hAnsi="宋体" w:eastAsia="宋体" w:cs="宋体"/>
          <w:color w:val="auto"/>
          <w:sz w:val="24"/>
          <w:highlight w:val="none"/>
          <w:lang w:eastAsia="zh-CN"/>
        </w:rPr>
        <w:t>646289109</w:t>
      </w:r>
      <w:r>
        <w:rPr>
          <w:rStyle w:val="31"/>
          <w:rFonts w:hint="eastAsia" w:ascii="宋体" w:hAnsi="宋体" w:eastAsia="宋体" w:cs="宋体"/>
          <w:color w:val="auto"/>
          <w:sz w:val="24"/>
          <w:highlight w:val="none"/>
        </w:rPr>
        <w:t>@qq.com</w:t>
      </w:r>
      <w:r>
        <w:rPr>
          <w:rStyle w:val="31"/>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p w14:paraId="199BDAFC">
      <w:pPr>
        <w:ind w:firstLine="482" w:firstLineChars="200"/>
        <w:rPr>
          <w:rFonts w:asciiTheme="minorEastAsia" w:hAnsiTheme="minorEastAsia" w:eastAsiaTheme="minorEastAsia"/>
          <w:b/>
          <w:sz w:val="24"/>
          <w:highlight w:val="none"/>
        </w:rPr>
      </w:pPr>
    </w:p>
    <w:sectPr>
      <w:footerReference r:id="rId7" w:type="default"/>
      <w:pgSz w:w="11906" w:h="16838"/>
      <w:pgMar w:top="1440" w:right="1247" w:bottom="1440" w:left="1247" w:header="283" w:footer="850"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D31E">
    <w:pPr>
      <w:spacing w:line="186" w:lineRule="auto"/>
      <w:ind w:left="8460" w:firstLine="360" w:firstLineChars="200"/>
      <w:rPr>
        <w:rFonts w:ascii="Times New Roman" w:hAnsi="Times New Roman" w:eastAsia="Times New Roman" w:cs="Times New Roman"/>
        <w:sz w:val="18"/>
        <w:szCs w:val="18"/>
      </w:rPr>
    </w:pPr>
    <w:r>
      <w:rPr>
        <w:rFonts w:ascii="Times New Roman" w:hAnsi="Times New Roman" w:eastAsia="仿宋" w:cs="Times New Roman"/>
        <w:sz w:val="18"/>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E42B8E">
                          <w:pPr>
                            <w:widowControl w:val="0"/>
                            <w:snapToGrid w:val="0"/>
                            <w:spacing w:line="288" w:lineRule="auto"/>
                            <w:ind w:firstLine="360" w:firstLineChars="200"/>
                            <w:jc w:val="left"/>
                            <w:rPr>
                              <w:rFonts w:ascii="Calibri" w:hAnsi="Calibri" w:eastAsia="仿宋" w:cs="Times New Roman"/>
                              <w:kern w:val="0"/>
                              <w:sz w:val="18"/>
                              <w:szCs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EE42B8E">
                    <w:pPr>
                      <w:widowControl w:val="0"/>
                      <w:snapToGrid w:val="0"/>
                      <w:spacing w:line="288" w:lineRule="auto"/>
                      <w:ind w:firstLine="360" w:firstLineChars="200"/>
                      <w:jc w:val="left"/>
                      <w:rPr>
                        <w:rFonts w:ascii="Calibri" w:hAnsi="Calibri" w:eastAsia="仿宋" w:cs="Times New Roman"/>
                        <w:kern w:val="0"/>
                        <w:sz w:val="18"/>
                        <w:szCs w:val="1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407C3">
    <w:pPr>
      <w:spacing w:line="186" w:lineRule="auto"/>
      <w:ind w:left="8460" w:firstLine="360" w:firstLineChars="2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266C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E266CC">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仿宋" w:cs="Times New Roman"/>
        <w:sz w:val="18"/>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DD6652">
                          <w:pPr>
                            <w:widowControl w:val="0"/>
                            <w:snapToGrid w:val="0"/>
                            <w:spacing w:line="288" w:lineRule="auto"/>
                            <w:ind w:firstLine="360" w:firstLineChars="200"/>
                            <w:jc w:val="left"/>
                            <w:rPr>
                              <w:rFonts w:ascii="Calibri" w:hAnsi="Calibri" w:eastAsia="仿宋" w:cs="Times New Roman"/>
                              <w:kern w:val="0"/>
                              <w:sz w:val="18"/>
                              <w:szCs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DD6652">
                    <w:pPr>
                      <w:widowControl w:val="0"/>
                      <w:snapToGrid w:val="0"/>
                      <w:spacing w:line="288" w:lineRule="auto"/>
                      <w:ind w:firstLine="360" w:firstLineChars="200"/>
                      <w:jc w:val="left"/>
                      <w:rPr>
                        <w:rFonts w:ascii="Calibri" w:hAnsi="Calibri" w:eastAsia="仿宋" w:cs="Times New Roman"/>
                        <w:kern w:val="0"/>
                        <w:sz w:val="18"/>
                        <w:szCs w:val="1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081AE">
    <w:pPr>
      <w:widowControl/>
      <w:adjustRightInd w:val="0"/>
      <w:snapToGrid w:val="0"/>
      <w:spacing w:line="340" w:lineRule="exact"/>
      <w:ind w:firstLine="5040" w:firstLineChars="2100"/>
      <w:jc w:val="right"/>
      <w:rPr>
        <w:rFonts w:hint="eastAsia" w:eastAsia="宋体"/>
        <w:i/>
        <w:iCs/>
        <w:sz w:val="24"/>
        <w:szCs w:val="22"/>
        <w:lang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868DF">
                          <w:pPr>
                            <w:pStyle w:val="1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F868DF">
                    <w:pPr>
                      <w:pStyle w:val="1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973C">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B29D4">
    <w:pPr>
      <w:widowControl w:val="0"/>
      <w:pBdr>
        <w:bottom w:val="none" w:color="auto" w:sz="0" w:space="0"/>
      </w:pBdr>
      <w:snapToGrid w:val="0"/>
      <w:spacing w:before="120" w:line="288" w:lineRule="auto"/>
      <w:ind w:firstLine="360" w:firstLineChars="200"/>
      <w:jc w:val="center"/>
      <w:rPr>
        <w:rFonts w:ascii="Calibri" w:hAnsi="Calibri" w:eastAsia="仿宋_GB2312" w:cs="Times New Roman"/>
        <w:kern w:val="0"/>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3"/>
      <w:numFmt w:val="chineseCounting"/>
      <w:suff w:val="nothing"/>
      <w:lvlText w:val="%1、"/>
      <w:lvlJc w:val="left"/>
    </w:lvl>
  </w:abstractNum>
  <w:abstractNum w:abstractNumId="1">
    <w:nsid w:val="0000000A"/>
    <w:multiLevelType w:val="singleLevel"/>
    <w:tmpl w:val="0000000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6EB648E"/>
    <w:rsid w:val="0000666F"/>
    <w:rsid w:val="000175EE"/>
    <w:rsid w:val="00060016"/>
    <w:rsid w:val="00062232"/>
    <w:rsid w:val="00066EFF"/>
    <w:rsid w:val="00067585"/>
    <w:rsid w:val="000A3C98"/>
    <w:rsid w:val="000A4FF1"/>
    <w:rsid w:val="000B04C9"/>
    <w:rsid w:val="000B7CFB"/>
    <w:rsid w:val="000C3637"/>
    <w:rsid w:val="000F455D"/>
    <w:rsid w:val="000F4D74"/>
    <w:rsid w:val="00101610"/>
    <w:rsid w:val="00102DF1"/>
    <w:rsid w:val="00103194"/>
    <w:rsid w:val="00106337"/>
    <w:rsid w:val="00106CE6"/>
    <w:rsid w:val="00107721"/>
    <w:rsid w:val="001237CA"/>
    <w:rsid w:val="0014272E"/>
    <w:rsid w:val="00150724"/>
    <w:rsid w:val="0015407F"/>
    <w:rsid w:val="00156E10"/>
    <w:rsid w:val="001727CB"/>
    <w:rsid w:val="00186A87"/>
    <w:rsid w:val="001A048F"/>
    <w:rsid w:val="001A2F4F"/>
    <w:rsid w:val="001A409B"/>
    <w:rsid w:val="001A5549"/>
    <w:rsid w:val="001B076B"/>
    <w:rsid w:val="001B5FE1"/>
    <w:rsid w:val="001B6BD0"/>
    <w:rsid w:val="001C2DE1"/>
    <w:rsid w:val="001D1A16"/>
    <w:rsid w:val="001D5FB4"/>
    <w:rsid w:val="001E0B9D"/>
    <w:rsid w:val="001E13BE"/>
    <w:rsid w:val="001F02D3"/>
    <w:rsid w:val="00211871"/>
    <w:rsid w:val="0021732C"/>
    <w:rsid w:val="00220FA9"/>
    <w:rsid w:val="00221BD1"/>
    <w:rsid w:val="00260887"/>
    <w:rsid w:val="00261431"/>
    <w:rsid w:val="00296707"/>
    <w:rsid w:val="002A59FE"/>
    <w:rsid w:val="002B0BC5"/>
    <w:rsid w:val="002B0E09"/>
    <w:rsid w:val="002B3843"/>
    <w:rsid w:val="002C2456"/>
    <w:rsid w:val="002C7876"/>
    <w:rsid w:val="002D2249"/>
    <w:rsid w:val="002E2D4A"/>
    <w:rsid w:val="002E33CB"/>
    <w:rsid w:val="002E7468"/>
    <w:rsid w:val="002F6FEE"/>
    <w:rsid w:val="00300A41"/>
    <w:rsid w:val="00304741"/>
    <w:rsid w:val="00307A95"/>
    <w:rsid w:val="00320712"/>
    <w:rsid w:val="00322C5C"/>
    <w:rsid w:val="0032589D"/>
    <w:rsid w:val="003316CB"/>
    <w:rsid w:val="003408F4"/>
    <w:rsid w:val="00343E1E"/>
    <w:rsid w:val="00346D87"/>
    <w:rsid w:val="00347D7F"/>
    <w:rsid w:val="00350649"/>
    <w:rsid w:val="00351874"/>
    <w:rsid w:val="00380977"/>
    <w:rsid w:val="00382F84"/>
    <w:rsid w:val="00386695"/>
    <w:rsid w:val="00392A85"/>
    <w:rsid w:val="00395662"/>
    <w:rsid w:val="003A2A6F"/>
    <w:rsid w:val="003A35EB"/>
    <w:rsid w:val="003A382D"/>
    <w:rsid w:val="003B5E6F"/>
    <w:rsid w:val="003B7715"/>
    <w:rsid w:val="003C1261"/>
    <w:rsid w:val="003C2660"/>
    <w:rsid w:val="003C680F"/>
    <w:rsid w:val="003C7331"/>
    <w:rsid w:val="003D0B95"/>
    <w:rsid w:val="003E7347"/>
    <w:rsid w:val="003F087F"/>
    <w:rsid w:val="00403ED1"/>
    <w:rsid w:val="00415BF4"/>
    <w:rsid w:val="00417184"/>
    <w:rsid w:val="00421E73"/>
    <w:rsid w:val="00423BE3"/>
    <w:rsid w:val="00424716"/>
    <w:rsid w:val="00450F57"/>
    <w:rsid w:val="004664DB"/>
    <w:rsid w:val="004A3867"/>
    <w:rsid w:val="004A3ECE"/>
    <w:rsid w:val="004A422B"/>
    <w:rsid w:val="004B41D1"/>
    <w:rsid w:val="004B7F45"/>
    <w:rsid w:val="004C0C6F"/>
    <w:rsid w:val="004C248B"/>
    <w:rsid w:val="004D0321"/>
    <w:rsid w:val="004D2E8C"/>
    <w:rsid w:val="004D7501"/>
    <w:rsid w:val="004F2E96"/>
    <w:rsid w:val="004F3552"/>
    <w:rsid w:val="005063F7"/>
    <w:rsid w:val="005218F7"/>
    <w:rsid w:val="00526FA9"/>
    <w:rsid w:val="005321CF"/>
    <w:rsid w:val="0053535D"/>
    <w:rsid w:val="0054124A"/>
    <w:rsid w:val="00564F8A"/>
    <w:rsid w:val="00574745"/>
    <w:rsid w:val="00580135"/>
    <w:rsid w:val="005833A8"/>
    <w:rsid w:val="00590CC5"/>
    <w:rsid w:val="00594F39"/>
    <w:rsid w:val="00596ACA"/>
    <w:rsid w:val="005A0552"/>
    <w:rsid w:val="005A07C9"/>
    <w:rsid w:val="005A143D"/>
    <w:rsid w:val="005C04A4"/>
    <w:rsid w:val="005D1A4A"/>
    <w:rsid w:val="005D2881"/>
    <w:rsid w:val="005D47C4"/>
    <w:rsid w:val="005E32D1"/>
    <w:rsid w:val="00614A6B"/>
    <w:rsid w:val="00623006"/>
    <w:rsid w:val="00623675"/>
    <w:rsid w:val="00623C40"/>
    <w:rsid w:val="006248AB"/>
    <w:rsid w:val="00635E27"/>
    <w:rsid w:val="00640ABF"/>
    <w:rsid w:val="00650A80"/>
    <w:rsid w:val="00682C77"/>
    <w:rsid w:val="00690C33"/>
    <w:rsid w:val="006A495E"/>
    <w:rsid w:val="006A589B"/>
    <w:rsid w:val="006B3F88"/>
    <w:rsid w:val="006B49AC"/>
    <w:rsid w:val="006D693C"/>
    <w:rsid w:val="006F6CC3"/>
    <w:rsid w:val="00701FB3"/>
    <w:rsid w:val="00733748"/>
    <w:rsid w:val="007346E8"/>
    <w:rsid w:val="0075244B"/>
    <w:rsid w:val="00752DF7"/>
    <w:rsid w:val="00757D44"/>
    <w:rsid w:val="007B5624"/>
    <w:rsid w:val="007C0650"/>
    <w:rsid w:val="007C0B49"/>
    <w:rsid w:val="007E20A9"/>
    <w:rsid w:val="007E7B39"/>
    <w:rsid w:val="007F3E54"/>
    <w:rsid w:val="008103FF"/>
    <w:rsid w:val="00816543"/>
    <w:rsid w:val="00830FD0"/>
    <w:rsid w:val="008468DC"/>
    <w:rsid w:val="0087068E"/>
    <w:rsid w:val="00875AAF"/>
    <w:rsid w:val="00892D30"/>
    <w:rsid w:val="008A7EEE"/>
    <w:rsid w:val="008B4D4F"/>
    <w:rsid w:val="008C598C"/>
    <w:rsid w:val="008D545D"/>
    <w:rsid w:val="009077B8"/>
    <w:rsid w:val="00910501"/>
    <w:rsid w:val="009520AF"/>
    <w:rsid w:val="00954FF4"/>
    <w:rsid w:val="0097383E"/>
    <w:rsid w:val="009771E2"/>
    <w:rsid w:val="009820E3"/>
    <w:rsid w:val="00984C27"/>
    <w:rsid w:val="009864F0"/>
    <w:rsid w:val="00996EE3"/>
    <w:rsid w:val="009B1E75"/>
    <w:rsid w:val="009B63D5"/>
    <w:rsid w:val="009C1FBA"/>
    <w:rsid w:val="009C529A"/>
    <w:rsid w:val="009D3A13"/>
    <w:rsid w:val="009D6BE0"/>
    <w:rsid w:val="009E2545"/>
    <w:rsid w:val="009E44B6"/>
    <w:rsid w:val="009F18DB"/>
    <w:rsid w:val="00A03C56"/>
    <w:rsid w:val="00A10B9A"/>
    <w:rsid w:val="00A20FC8"/>
    <w:rsid w:val="00A24353"/>
    <w:rsid w:val="00A30259"/>
    <w:rsid w:val="00A379AE"/>
    <w:rsid w:val="00A42D6F"/>
    <w:rsid w:val="00A51B3F"/>
    <w:rsid w:val="00A612BF"/>
    <w:rsid w:val="00A65211"/>
    <w:rsid w:val="00A72C04"/>
    <w:rsid w:val="00A81AFB"/>
    <w:rsid w:val="00AA54F3"/>
    <w:rsid w:val="00AC71CF"/>
    <w:rsid w:val="00AE4A26"/>
    <w:rsid w:val="00AE4B41"/>
    <w:rsid w:val="00AF07F2"/>
    <w:rsid w:val="00AF5370"/>
    <w:rsid w:val="00B1311B"/>
    <w:rsid w:val="00B150DB"/>
    <w:rsid w:val="00B202D5"/>
    <w:rsid w:val="00B24502"/>
    <w:rsid w:val="00B25E86"/>
    <w:rsid w:val="00B513EB"/>
    <w:rsid w:val="00B53F62"/>
    <w:rsid w:val="00B65B6D"/>
    <w:rsid w:val="00B76C88"/>
    <w:rsid w:val="00B82F0F"/>
    <w:rsid w:val="00BA7360"/>
    <w:rsid w:val="00BB504C"/>
    <w:rsid w:val="00BB5A12"/>
    <w:rsid w:val="00BC00B5"/>
    <w:rsid w:val="00BC2F85"/>
    <w:rsid w:val="00BD3BD2"/>
    <w:rsid w:val="00C2119D"/>
    <w:rsid w:val="00C224E6"/>
    <w:rsid w:val="00C238EE"/>
    <w:rsid w:val="00C56B73"/>
    <w:rsid w:val="00C65D34"/>
    <w:rsid w:val="00C70217"/>
    <w:rsid w:val="00C946AD"/>
    <w:rsid w:val="00CA2BB6"/>
    <w:rsid w:val="00CA4A06"/>
    <w:rsid w:val="00CB284D"/>
    <w:rsid w:val="00CC4F10"/>
    <w:rsid w:val="00CC7991"/>
    <w:rsid w:val="00D016B5"/>
    <w:rsid w:val="00D053A6"/>
    <w:rsid w:val="00D06A23"/>
    <w:rsid w:val="00D329CF"/>
    <w:rsid w:val="00D45232"/>
    <w:rsid w:val="00D464A1"/>
    <w:rsid w:val="00D835CB"/>
    <w:rsid w:val="00D97072"/>
    <w:rsid w:val="00DA1DEC"/>
    <w:rsid w:val="00DA5676"/>
    <w:rsid w:val="00DB61DF"/>
    <w:rsid w:val="00DC5D59"/>
    <w:rsid w:val="00DF5EAA"/>
    <w:rsid w:val="00E20FFA"/>
    <w:rsid w:val="00E21379"/>
    <w:rsid w:val="00E5221D"/>
    <w:rsid w:val="00E55463"/>
    <w:rsid w:val="00E61B32"/>
    <w:rsid w:val="00E66D7C"/>
    <w:rsid w:val="00E71341"/>
    <w:rsid w:val="00E74C92"/>
    <w:rsid w:val="00E80BA1"/>
    <w:rsid w:val="00E826EF"/>
    <w:rsid w:val="00E93F95"/>
    <w:rsid w:val="00EA6489"/>
    <w:rsid w:val="00EC7768"/>
    <w:rsid w:val="00ED74D7"/>
    <w:rsid w:val="00EE1FEA"/>
    <w:rsid w:val="00EF0EDD"/>
    <w:rsid w:val="00F10AC9"/>
    <w:rsid w:val="00F20C13"/>
    <w:rsid w:val="00F95255"/>
    <w:rsid w:val="00FA5D51"/>
    <w:rsid w:val="00FA6E7B"/>
    <w:rsid w:val="00FB7027"/>
    <w:rsid w:val="00FC2547"/>
    <w:rsid w:val="00FC315C"/>
    <w:rsid w:val="00FD5F1D"/>
    <w:rsid w:val="00FD7DBF"/>
    <w:rsid w:val="01001B5E"/>
    <w:rsid w:val="013B4944"/>
    <w:rsid w:val="015B6D94"/>
    <w:rsid w:val="01A25762"/>
    <w:rsid w:val="01A3071A"/>
    <w:rsid w:val="01DF4381"/>
    <w:rsid w:val="01F176F8"/>
    <w:rsid w:val="01F72270"/>
    <w:rsid w:val="0227136C"/>
    <w:rsid w:val="028C3D8E"/>
    <w:rsid w:val="02A4476B"/>
    <w:rsid w:val="02BB43EF"/>
    <w:rsid w:val="02E9543A"/>
    <w:rsid w:val="02F0175E"/>
    <w:rsid w:val="03125B78"/>
    <w:rsid w:val="03142C37"/>
    <w:rsid w:val="033511B3"/>
    <w:rsid w:val="03383B03"/>
    <w:rsid w:val="0348159A"/>
    <w:rsid w:val="034C108A"/>
    <w:rsid w:val="0362098C"/>
    <w:rsid w:val="036363D4"/>
    <w:rsid w:val="03710AF1"/>
    <w:rsid w:val="03977512"/>
    <w:rsid w:val="03AF2FB4"/>
    <w:rsid w:val="03CC3F79"/>
    <w:rsid w:val="03DB0660"/>
    <w:rsid w:val="040D57E4"/>
    <w:rsid w:val="04215D6F"/>
    <w:rsid w:val="042627C7"/>
    <w:rsid w:val="0430275A"/>
    <w:rsid w:val="047E3EF5"/>
    <w:rsid w:val="0497202B"/>
    <w:rsid w:val="04A15406"/>
    <w:rsid w:val="04D42A7D"/>
    <w:rsid w:val="04DF5F2E"/>
    <w:rsid w:val="04EB6681"/>
    <w:rsid w:val="04ED23F9"/>
    <w:rsid w:val="04FE247F"/>
    <w:rsid w:val="04FE4606"/>
    <w:rsid w:val="05177476"/>
    <w:rsid w:val="05407950"/>
    <w:rsid w:val="05454627"/>
    <w:rsid w:val="055406CA"/>
    <w:rsid w:val="056E6A08"/>
    <w:rsid w:val="057110CD"/>
    <w:rsid w:val="05A00373"/>
    <w:rsid w:val="05A828B2"/>
    <w:rsid w:val="05AA02EA"/>
    <w:rsid w:val="05BE78F1"/>
    <w:rsid w:val="06007F0A"/>
    <w:rsid w:val="061368AA"/>
    <w:rsid w:val="061645B5"/>
    <w:rsid w:val="0623618B"/>
    <w:rsid w:val="06580031"/>
    <w:rsid w:val="06690AA2"/>
    <w:rsid w:val="067D77AC"/>
    <w:rsid w:val="06A765D7"/>
    <w:rsid w:val="06C04B42"/>
    <w:rsid w:val="06F85085"/>
    <w:rsid w:val="06FF4665"/>
    <w:rsid w:val="071E0F8F"/>
    <w:rsid w:val="072B17E1"/>
    <w:rsid w:val="074E2EF7"/>
    <w:rsid w:val="07756798"/>
    <w:rsid w:val="07BD4EDC"/>
    <w:rsid w:val="07CF5DE6"/>
    <w:rsid w:val="08002443"/>
    <w:rsid w:val="081256B8"/>
    <w:rsid w:val="08181E21"/>
    <w:rsid w:val="0828199A"/>
    <w:rsid w:val="0834033F"/>
    <w:rsid w:val="085602B5"/>
    <w:rsid w:val="085B6BC9"/>
    <w:rsid w:val="08695CC6"/>
    <w:rsid w:val="087B7D1C"/>
    <w:rsid w:val="08915791"/>
    <w:rsid w:val="089E3E17"/>
    <w:rsid w:val="08B51480"/>
    <w:rsid w:val="08CE42EF"/>
    <w:rsid w:val="08D44585"/>
    <w:rsid w:val="08E154C3"/>
    <w:rsid w:val="08F57ACE"/>
    <w:rsid w:val="08FC70AE"/>
    <w:rsid w:val="090E40A3"/>
    <w:rsid w:val="09101100"/>
    <w:rsid w:val="092236FA"/>
    <w:rsid w:val="093A3733"/>
    <w:rsid w:val="097E5D15"/>
    <w:rsid w:val="098B2CC4"/>
    <w:rsid w:val="09A514F4"/>
    <w:rsid w:val="09C6146A"/>
    <w:rsid w:val="09D4442E"/>
    <w:rsid w:val="09E35B78"/>
    <w:rsid w:val="0A0C3321"/>
    <w:rsid w:val="0A302067"/>
    <w:rsid w:val="0A590531"/>
    <w:rsid w:val="0A5D356C"/>
    <w:rsid w:val="0A717628"/>
    <w:rsid w:val="0A9F737F"/>
    <w:rsid w:val="0AA7129C"/>
    <w:rsid w:val="0AC734B8"/>
    <w:rsid w:val="0ADF516F"/>
    <w:rsid w:val="0AF838A6"/>
    <w:rsid w:val="0B2221EB"/>
    <w:rsid w:val="0B8D2240"/>
    <w:rsid w:val="0B8E420A"/>
    <w:rsid w:val="0BB2614A"/>
    <w:rsid w:val="0BD7795F"/>
    <w:rsid w:val="0C0D15D3"/>
    <w:rsid w:val="0C1E373E"/>
    <w:rsid w:val="0C3703FE"/>
    <w:rsid w:val="0C405504"/>
    <w:rsid w:val="0C5138FA"/>
    <w:rsid w:val="0C547201"/>
    <w:rsid w:val="0C6A2581"/>
    <w:rsid w:val="0C7451AE"/>
    <w:rsid w:val="0C8961A9"/>
    <w:rsid w:val="0C9C64B3"/>
    <w:rsid w:val="0CBE034B"/>
    <w:rsid w:val="0CBE467B"/>
    <w:rsid w:val="0CBF6CAD"/>
    <w:rsid w:val="0CD81BE1"/>
    <w:rsid w:val="0D002EE5"/>
    <w:rsid w:val="0D31309F"/>
    <w:rsid w:val="0D3D4F30"/>
    <w:rsid w:val="0D52226A"/>
    <w:rsid w:val="0D6E7E4F"/>
    <w:rsid w:val="0DBA12E6"/>
    <w:rsid w:val="0E342E47"/>
    <w:rsid w:val="0E53702E"/>
    <w:rsid w:val="0E6247F1"/>
    <w:rsid w:val="0E7E2314"/>
    <w:rsid w:val="0E8544EA"/>
    <w:rsid w:val="0EA067EF"/>
    <w:rsid w:val="0EC817E1"/>
    <w:rsid w:val="0ED463D8"/>
    <w:rsid w:val="0EE14905"/>
    <w:rsid w:val="0EED500D"/>
    <w:rsid w:val="0F0A602D"/>
    <w:rsid w:val="0F276507"/>
    <w:rsid w:val="0F384BB8"/>
    <w:rsid w:val="0F4C41C0"/>
    <w:rsid w:val="0F53554E"/>
    <w:rsid w:val="0F714B25"/>
    <w:rsid w:val="0FD46404"/>
    <w:rsid w:val="0FF00FEF"/>
    <w:rsid w:val="10172A20"/>
    <w:rsid w:val="10251ED9"/>
    <w:rsid w:val="102B64CB"/>
    <w:rsid w:val="1046049F"/>
    <w:rsid w:val="10543FE7"/>
    <w:rsid w:val="10645539"/>
    <w:rsid w:val="109B71AD"/>
    <w:rsid w:val="10A74D0F"/>
    <w:rsid w:val="10E16B8A"/>
    <w:rsid w:val="10F22B45"/>
    <w:rsid w:val="113507E3"/>
    <w:rsid w:val="11405FA6"/>
    <w:rsid w:val="116779EF"/>
    <w:rsid w:val="11916802"/>
    <w:rsid w:val="11BD0B11"/>
    <w:rsid w:val="11F64BCE"/>
    <w:rsid w:val="1202325C"/>
    <w:rsid w:val="12135469"/>
    <w:rsid w:val="12166728"/>
    <w:rsid w:val="1218482D"/>
    <w:rsid w:val="1240455E"/>
    <w:rsid w:val="125C471A"/>
    <w:rsid w:val="126C3F86"/>
    <w:rsid w:val="12971BF6"/>
    <w:rsid w:val="12BC340B"/>
    <w:rsid w:val="12DF3364"/>
    <w:rsid w:val="12ED7A68"/>
    <w:rsid w:val="1300779B"/>
    <w:rsid w:val="13250FB0"/>
    <w:rsid w:val="132C0590"/>
    <w:rsid w:val="136E2957"/>
    <w:rsid w:val="137F2DB6"/>
    <w:rsid w:val="13826402"/>
    <w:rsid w:val="13C13492"/>
    <w:rsid w:val="13DF3855"/>
    <w:rsid w:val="13E76708"/>
    <w:rsid w:val="13FF7A53"/>
    <w:rsid w:val="14630C55"/>
    <w:rsid w:val="146D072E"/>
    <w:rsid w:val="14777F31"/>
    <w:rsid w:val="148F6261"/>
    <w:rsid w:val="149D4519"/>
    <w:rsid w:val="14CA0061"/>
    <w:rsid w:val="14E11694"/>
    <w:rsid w:val="14E4126B"/>
    <w:rsid w:val="14EC0B0E"/>
    <w:rsid w:val="14FE7D0A"/>
    <w:rsid w:val="15080B89"/>
    <w:rsid w:val="1512348F"/>
    <w:rsid w:val="151F68ED"/>
    <w:rsid w:val="152C0D1B"/>
    <w:rsid w:val="1553225A"/>
    <w:rsid w:val="155C6BCA"/>
    <w:rsid w:val="15826B8D"/>
    <w:rsid w:val="15AD0BFA"/>
    <w:rsid w:val="15CA22E2"/>
    <w:rsid w:val="15EE68BB"/>
    <w:rsid w:val="15F04620"/>
    <w:rsid w:val="16175528"/>
    <w:rsid w:val="16504596"/>
    <w:rsid w:val="1696670A"/>
    <w:rsid w:val="169A7F07"/>
    <w:rsid w:val="16A8738B"/>
    <w:rsid w:val="16AF095C"/>
    <w:rsid w:val="16F342B3"/>
    <w:rsid w:val="1711720E"/>
    <w:rsid w:val="175E63F9"/>
    <w:rsid w:val="178A747D"/>
    <w:rsid w:val="17A54DB5"/>
    <w:rsid w:val="17C32A4B"/>
    <w:rsid w:val="17D905BB"/>
    <w:rsid w:val="17DB4333"/>
    <w:rsid w:val="18307BAE"/>
    <w:rsid w:val="185F3244"/>
    <w:rsid w:val="1876528F"/>
    <w:rsid w:val="187D363C"/>
    <w:rsid w:val="187F73B4"/>
    <w:rsid w:val="18F71640"/>
    <w:rsid w:val="193A2B22"/>
    <w:rsid w:val="196A20B0"/>
    <w:rsid w:val="19706CFD"/>
    <w:rsid w:val="197762DD"/>
    <w:rsid w:val="19B1359D"/>
    <w:rsid w:val="19BB157B"/>
    <w:rsid w:val="19E86172"/>
    <w:rsid w:val="1A0358C6"/>
    <w:rsid w:val="1A147FD0"/>
    <w:rsid w:val="1A2521DD"/>
    <w:rsid w:val="1A255D39"/>
    <w:rsid w:val="1A402B73"/>
    <w:rsid w:val="1A4E313B"/>
    <w:rsid w:val="1A642CF7"/>
    <w:rsid w:val="1A9A0701"/>
    <w:rsid w:val="1AE45BF4"/>
    <w:rsid w:val="1AF02BBE"/>
    <w:rsid w:val="1B0D6EF9"/>
    <w:rsid w:val="1B140288"/>
    <w:rsid w:val="1B3A2C32"/>
    <w:rsid w:val="1B593EEC"/>
    <w:rsid w:val="1B5C5F61"/>
    <w:rsid w:val="1B670CB1"/>
    <w:rsid w:val="1B6805D3"/>
    <w:rsid w:val="1B863871"/>
    <w:rsid w:val="1BA83520"/>
    <w:rsid w:val="1BAA4748"/>
    <w:rsid w:val="1BBF43CB"/>
    <w:rsid w:val="1BDC7177"/>
    <w:rsid w:val="1BDD6CB3"/>
    <w:rsid w:val="1BEC2FB3"/>
    <w:rsid w:val="1C1F66F6"/>
    <w:rsid w:val="1CAB69CA"/>
    <w:rsid w:val="1CB3762C"/>
    <w:rsid w:val="1CCB706C"/>
    <w:rsid w:val="1CF54080"/>
    <w:rsid w:val="1D1F3AD3"/>
    <w:rsid w:val="1D915C9D"/>
    <w:rsid w:val="1DA578BD"/>
    <w:rsid w:val="1DD61FDD"/>
    <w:rsid w:val="1DFA3B28"/>
    <w:rsid w:val="1DFB7FBE"/>
    <w:rsid w:val="1E262080"/>
    <w:rsid w:val="1E6C2189"/>
    <w:rsid w:val="1EC04EF1"/>
    <w:rsid w:val="1ECE074D"/>
    <w:rsid w:val="1F0A4A11"/>
    <w:rsid w:val="1F157CC7"/>
    <w:rsid w:val="1F2760B0"/>
    <w:rsid w:val="1F2A7321"/>
    <w:rsid w:val="1F301215"/>
    <w:rsid w:val="1F370198"/>
    <w:rsid w:val="1F536EA5"/>
    <w:rsid w:val="1F6F0182"/>
    <w:rsid w:val="1F937602"/>
    <w:rsid w:val="1FFC578E"/>
    <w:rsid w:val="201C198C"/>
    <w:rsid w:val="20445315"/>
    <w:rsid w:val="205102FB"/>
    <w:rsid w:val="2067156E"/>
    <w:rsid w:val="2083575B"/>
    <w:rsid w:val="20920882"/>
    <w:rsid w:val="20936710"/>
    <w:rsid w:val="209D2ACD"/>
    <w:rsid w:val="20A21E92"/>
    <w:rsid w:val="20C73087"/>
    <w:rsid w:val="20E16435"/>
    <w:rsid w:val="20F32A4A"/>
    <w:rsid w:val="21076199"/>
    <w:rsid w:val="212E5E1B"/>
    <w:rsid w:val="216A0CFE"/>
    <w:rsid w:val="21C83B7A"/>
    <w:rsid w:val="21D4251F"/>
    <w:rsid w:val="21E45783"/>
    <w:rsid w:val="22286A32"/>
    <w:rsid w:val="22347461"/>
    <w:rsid w:val="22665141"/>
    <w:rsid w:val="2292483A"/>
    <w:rsid w:val="229D5007"/>
    <w:rsid w:val="229E0D7F"/>
    <w:rsid w:val="22DF7A65"/>
    <w:rsid w:val="22EE4559"/>
    <w:rsid w:val="2306260B"/>
    <w:rsid w:val="230C3F3A"/>
    <w:rsid w:val="23241284"/>
    <w:rsid w:val="237577D1"/>
    <w:rsid w:val="23866699"/>
    <w:rsid w:val="238E2BA1"/>
    <w:rsid w:val="23B73EA6"/>
    <w:rsid w:val="23C92E3B"/>
    <w:rsid w:val="23F528DC"/>
    <w:rsid w:val="24174945"/>
    <w:rsid w:val="2456720D"/>
    <w:rsid w:val="24572F93"/>
    <w:rsid w:val="24AD7057"/>
    <w:rsid w:val="24D2284F"/>
    <w:rsid w:val="24F353B2"/>
    <w:rsid w:val="251E1D03"/>
    <w:rsid w:val="25A07D92"/>
    <w:rsid w:val="25AC5561"/>
    <w:rsid w:val="25D33F8F"/>
    <w:rsid w:val="25E92311"/>
    <w:rsid w:val="260A3151"/>
    <w:rsid w:val="26160B1C"/>
    <w:rsid w:val="26215D42"/>
    <w:rsid w:val="2629095F"/>
    <w:rsid w:val="26326B51"/>
    <w:rsid w:val="26351137"/>
    <w:rsid w:val="263E440B"/>
    <w:rsid w:val="264D28A0"/>
    <w:rsid w:val="26A050C5"/>
    <w:rsid w:val="26A5448A"/>
    <w:rsid w:val="26AD77E2"/>
    <w:rsid w:val="26C07516"/>
    <w:rsid w:val="26C1503C"/>
    <w:rsid w:val="26DE3099"/>
    <w:rsid w:val="26E2748C"/>
    <w:rsid w:val="26E34FB2"/>
    <w:rsid w:val="26F40F6D"/>
    <w:rsid w:val="271049DE"/>
    <w:rsid w:val="277E3DDA"/>
    <w:rsid w:val="27934C2A"/>
    <w:rsid w:val="27B31686"/>
    <w:rsid w:val="27B84691"/>
    <w:rsid w:val="27C70430"/>
    <w:rsid w:val="27D25752"/>
    <w:rsid w:val="27E120AE"/>
    <w:rsid w:val="27EC60E8"/>
    <w:rsid w:val="27F21951"/>
    <w:rsid w:val="281D44F4"/>
    <w:rsid w:val="28283AB6"/>
    <w:rsid w:val="2874680A"/>
    <w:rsid w:val="28D42E04"/>
    <w:rsid w:val="28DF6C76"/>
    <w:rsid w:val="28E5709E"/>
    <w:rsid w:val="291F7CC7"/>
    <w:rsid w:val="29257B04"/>
    <w:rsid w:val="29592495"/>
    <w:rsid w:val="296A3769"/>
    <w:rsid w:val="29746395"/>
    <w:rsid w:val="29755D95"/>
    <w:rsid w:val="2987431B"/>
    <w:rsid w:val="299F78B6"/>
    <w:rsid w:val="29ED6EA3"/>
    <w:rsid w:val="29EE5092"/>
    <w:rsid w:val="2A1D07DB"/>
    <w:rsid w:val="2A336250"/>
    <w:rsid w:val="2A353D77"/>
    <w:rsid w:val="2A5A558B"/>
    <w:rsid w:val="2A7B7269"/>
    <w:rsid w:val="2A9C3DF6"/>
    <w:rsid w:val="2A9C5BA4"/>
    <w:rsid w:val="2AB84B24"/>
    <w:rsid w:val="2ABC1DA2"/>
    <w:rsid w:val="2AC12198"/>
    <w:rsid w:val="2ADD5950"/>
    <w:rsid w:val="2AEA1E9E"/>
    <w:rsid w:val="2AFD108B"/>
    <w:rsid w:val="2B083239"/>
    <w:rsid w:val="2B147E30"/>
    <w:rsid w:val="2B361B54"/>
    <w:rsid w:val="2B46495D"/>
    <w:rsid w:val="2B4A1AA4"/>
    <w:rsid w:val="2B83453A"/>
    <w:rsid w:val="2B8F5708"/>
    <w:rsid w:val="2B9842B3"/>
    <w:rsid w:val="2BA72A52"/>
    <w:rsid w:val="2BA9538F"/>
    <w:rsid w:val="2BD2164A"/>
    <w:rsid w:val="2BD80E5D"/>
    <w:rsid w:val="2CA53DCC"/>
    <w:rsid w:val="2CD94E8D"/>
    <w:rsid w:val="2D021C79"/>
    <w:rsid w:val="2D284A2D"/>
    <w:rsid w:val="2D306334"/>
    <w:rsid w:val="2D720E3E"/>
    <w:rsid w:val="2D947006"/>
    <w:rsid w:val="2D9E60D7"/>
    <w:rsid w:val="2DB12F9C"/>
    <w:rsid w:val="2DB9769F"/>
    <w:rsid w:val="2DC4027C"/>
    <w:rsid w:val="2DD83397"/>
    <w:rsid w:val="2E0C3040"/>
    <w:rsid w:val="2E233666"/>
    <w:rsid w:val="2E272F6B"/>
    <w:rsid w:val="2E3472AB"/>
    <w:rsid w:val="2E833AC1"/>
    <w:rsid w:val="2E841C1F"/>
    <w:rsid w:val="2E89643F"/>
    <w:rsid w:val="2ED0189A"/>
    <w:rsid w:val="2ED55B28"/>
    <w:rsid w:val="2F3E547B"/>
    <w:rsid w:val="2F453369"/>
    <w:rsid w:val="2F4B0C21"/>
    <w:rsid w:val="2F612793"/>
    <w:rsid w:val="2F713AA3"/>
    <w:rsid w:val="2F8512FC"/>
    <w:rsid w:val="2F930A0F"/>
    <w:rsid w:val="2FB37E3F"/>
    <w:rsid w:val="2FC35981"/>
    <w:rsid w:val="2FD308B4"/>
    <w:rsid w:val="2FFB336C"/>
    <w:rsid w:val="30172EAA"/>
    <w:rsid w:val="303625F7"/>
    <w:rsid w:val="30C07F4A"/>
    <w:rsid w:val="30E97669"/>
    <w:rsid w:val="30EB518F"/>
    <w:rsid w:val="31140B8A"/>
    <w:rsid w:val="312B5ED3"/>
    <w:rsid w:val="31496359"/>
    <w:rsid w:val="31E22EFB"/>
    <w:rsid w:val="320F1351"/>
    <w:rsid w:val="32290665"/>
    <w:rsid w:val="32292413"/>
    <w:rsid w:val="322F554F"/>
    <w:rsid w:val="325E39D4"/>
    <w:rsid w:val="32A84BDF"/>
    <w:rsid w:val="32B36180"/>
    <w:rsid w:val="32B75C71"/>
    <w:rsid w:val="32D7513E"/>
    <w:rsid w:val="32E0684A"/>
    <w:rsid w:val="32E36D1E"/>
    <w:rsid w:val="330E33B7"/>
    <w:rsid w:val="3313770E"/>
    <w:rsid w:val="3316226B"/>
    <w:rsid w:val="33254BC2"/>
    <w:rsid w:val="334A0BCD"/>
    <w:rsid w:val="334A28B5"/>
    <w:rsid w:val="335F5CC1"/>
    <w:rsid w:val="336C6902"/>
    <w:rsid w:val="33770F5C"/>
    <w:rsid w:val="337F42B4"/>
    <w:rsid w:val="33837901"/>
    <w:rsid w:val="338B2C59"/>
    <w:rsid w:val="339A2E9C"/>
    <w:rsid w:val="339B67B6"/>
    <w:rsid w:val="339D6B84"/>
    <w:rsid w:val="339F0F4B"/>
    <w:rsid w:val="33D87A69"/>
    <w:rsid w:val="33F26834"/>
    <w:rsid w:val="345E3ECA"/>
    <w:rsid w:val="34E15227"/>
    <w:rsid w:val="34E64C85"/>
    <w:rsid w:val="34E72111"/>
    <w:rsid w:val="34EC190D"/>
    <w:rsid w:val="35123632"/>
    <w:rsid w:val="353E4427"/>
    <w:rsid w:val="353F631E"/>
    <w:rsid w:val="355A21BC"/>
    <w:rsid w:val="358B207D"/>
    <w:rsid w:val="359F0C3E"/>
    <w:rsid w:val="35F34709"/>
    <w:rsid w:val="36220C48"/>
    <w:rsid w:val="365B6913"/>
    <w:rsid w:val="36647880"/>
    <w:rsid w:val="369E2CA4"/>
    <w:rsid w:val="36A8655A"/>
    <w:rsid w:val="36B370D4"/>
    <w:rsid w:val="36F01751"/>
    <w:rsid w:val="36F77460"/>
    <w:rsid w:val="373A7F33"/>
    <w:rsid w:val="37405B95"/>
    <w:rsid w:val="37C130EE"/>
    <w:rsid w:val="384653A1"/>
    <w:rsid w:val="38482EC7"/>
    <w:rsid w:val="384855BD"/>
    <w:rsid w:val="384F4255"/>
    <w:rsid w:val="38651CCB"/>
    <w:rsid w:val="386E7067"/>
    <w:rsid w:val="38F512A1"/>
    <w:rsid w:val="38F66DC7"/>
    <w:rsid w:val="39001DC5"/>
    <w:rsid w:val="39105EA6"/>
    <w:rsid w:val="392C00BC"/>
    <w:rsid w:val="395747DC"/>
    <w:rsid w:val="396B1563"/>
    <w:rsid w:val="397A3554"/>
    <w:rsid w:val="397C3770"/>
    <w:rsid w:val="3981130E"/>
    <w:rsid w:val="39C640C7"/>
    <w:rsid w:val="39D80976"/>
    <w:rsid w:val="39FE1322"/>
    <w:rsid w:val="3A1F5EA9"/>
    <w:rsid w:val="3A460A4F"/>
    <w:rsid w:val="3A500759"/>
    <w:rsid w:val="3A8C1329"/>
    <w:rsid w:val="3A9454BE"/>
    <w:rsid w:val="3AA12D62"/>
    <w:rsid w:val="3AC058DE"/>
    <w:rsid w:val="3ACB5E16"/>
    <w:rsid w:val="3B0A6B5A"/>
    <w:rsid w:val="3B251BE5"/>
    <w:rsid w:val="3B253993"/>
    <w:rsid w:val="3B577D8B"/>
    <w:rsid w:val="3B6C3370"/>
    <w:rsid w:val="3B8561E0"/>
    <w:rsid w:val="3B903503"/>
    <w:rsid w:val="3BC42CEF"/>
    <w:rsid w:val="3BCA4E0A"/>
    <w:rsid w:val="3BE21884"/>
    <w:rsid w:val="3C1E0196"/>
    <w:rsid w:val="3C395948"/>
    <w:rsid w:val="3C5A441A"/>
    <w:rsid w:val="3C634773"/>
    <w:rsid w:val="3C771FCD"/>
    <w:rsid w:val="3C853903"/>
    <w:rsid w:val="3C88242C"/>
    <w:rsid w:val="3CA205A6"/>
    <w:rsid w:val="3CB74ABF"/>
    <w:rsid w:val="3D0F66A9"/>
    <w:rsid w:val="3D1B6DFC"/>
    <w:rsid w:val="3D535C24"/>
    <w:rsid w:val="3D69400B"/>
    <w:rsid w:val="3D860398"/>
    <w:rsid w:val="3DAB63D2"/>
    <w:rsid w:val="3DBC05DF"/>
    <w:rsid w:val="3DD11BB1"/>
    <w:rsid w:val="3DD75419"/>
    <w:rsid w:val="3E057E5C"/>
    <w:rsid w:val="3E07403A"/>
    <w:rsid w:val="3E0930F8"/>
    <w:rsid w:val="3E0B6E71"/>
    <w:rsid w:val="3E1D6BA4"/>
    <w:rsid w:val="3E5212FA"/>
    <w:rsid w:val="3ED454B4"/>
    <w:rsid w:val="3ED92ACB"/>
    <w:rsid w:val="3EDE5E6D"/>
    <w:rsid w:val="3EDE6333"/>
    <w:rsid w:val="3EEF6792"/>
    <w:rsid w:val="3F165ACD"/>
    <w:rsid w:val="3F312907"/>
    <w:rsid w:val="3F36616F"/>
    <w:rsid w:val="3F4C0AAE"/>
    <w:rsid w:val="3F5B3E28"/>
    <w:rsid w:val="3F7A6532"/>
    <w:rsid w:val="3F886B2B"/>
    <w:rsid w:val="3FD339BE"/>
    <w:rsid w:val="40896772"/>
    <w:rsid w:val="4093139F"/>
    <w:rsid w:val="40A614D2"/>
    <w:rsid w:val="40A94D81"/>
    <w:rsid w:val="40D41E33"/>
    <w:rsid w:val="40DE261A"/>
    <w:rsid w:val="40E1035D"/>
    <w:rsid w:val="413B5CBF"/>
    <w:rsid w:val="413C37E5"/>
    <w:rsid w:val="414B67C3"/>
    <w:rsid w:val="41517290"/>
    <w:rsid w:val="41574E7E"/>
    <w:rsid w:val="415C5171"/>
    <w:rsid w:val="416845DA"/>
    <w:rsid w:val="41831D98"/>
    <w:rsid w:val="41A262D4"/>
    <w:rsid w:val="41A73354"/>
    <w:rsid w:val="41D3387E"/>
    <w:rsid w:val="41FF4F3E"/>
    <w:rsid w:val="42004812"/>
    <w:rsid w:val="42091919"/>
    <w:rsid w:val="42366486"/>
    <w:rsid w:val="423C113D"/>
    <w:rsid w:val="4254350E"/>
    <w:rsid w:val="42554B5E"/>
    <w:rsid w:val="42770F78"/>
    <w:rsid w:val="4290203A"/>
    <w:rsid w:val="42CA0FB4"/>
    <w:rsid w:val="42D72F9A"/>
    <w:rsid w:val="42E45EE2"/>
    <w:rsid w:val="42E934F8"/>
    <w:rsid w:val="42F04887"/>
    <w:rsid w:val="42FD4DA1"/>
    <w:rsid w:val="430A1082"/>
    <w:rsid w:val="43133B61"/>
    <w:rsid w:val="43284021"/>
    <w:rsid w:val="432E715D"/>
    <w:rsid w:val="435E5C94"/>
    <w:rsid w:val="436E7208"/>
    <w:rsid w:val="4379487C"/>
    <w:rsid w:val="4381218E"/>
    <w:rsid w:val="43B375B8"/>
    <w:rsid w:val="43BE6733"/>
    <w:rsid w:val="43CC0E50"/>
    <w:rsid w:val="441D16AC"/>
    <w:rsid w:val="44283CDF"/>
    <w:rsid w:val="4462201E"/>
    <w:rsid w:val="44705CD5"/>
    <w:rsid w:val="448B3C55"/>
    <w:rsid w:val="44B74CDE"/>
    <w:rsid w:val="44F543D6"/>
    <w:rsid w:val="452D6B44"/>
    <w:rsid w:val="453E552E"/>
    <w:rsid w:val="454E7F9D"/>
    <w:rsid w:val="45837C34"/>
    <w:rsid w:val="4585575A"/>
    <w:rsid w:val="458A2D71"/>
    <w:rsid w:val="458F1004"/>
    <w:rsid w:val="45A055AA"/>
    <w:rsid w:val="45C25850"/>
    <w:rsid w:val="46113492"/>
    <w:rsid w:val="463B050F"/>
    <w:rsid w:val="4653520F"/>
    <w:rsid w:val="468E06A9"/>
    <w:rsid w:val="46D70238"/>
    <w:rsid w:val="46F24D76"/>
    <w:rsid w:val="46F30DEA"/>
    <w:rsid w:val="47134FE8"/>
    <w:rsid w:val="47BC11DC"/>
    <w:rsid w:val="47DD4592"/>
    <w:rsid w:val="47E23F21"/>
    <w:rsid w:val="47EA5D49"/>
    <w:rsid w:val="47FB1D04"/>
    <w:rsid w:val="48045338"/>
    <w:rsid w:val="4807564C"/>
    <w:rsid w:val="48161E35"/>
    <w:rsid w:val="48284AC3"/>
    <w:rsid w:val="48470788"/>
    <w:rsid w:val="484C6A03"/>
    <w:rsid w:val="48657AC5"/>
    <w:rsid w:val="48C43A71"/>
    <w:rsid w:val="48C52312"/>
    <w:rsid w:val="48F350D1"/>
    <w:rsid w:val="490E63E9"/>
    <w:rsid w:val="4910358D"/>
    <w:rsid w:val="492D4750"/>
    <w:rsid w:val="492E5A12"/>
    <w:rsid w:val="49315DE8"/>
    <w:rsid w:val="49667651"/>
    <w:rsid w:val="49956188"/>
    <w:rsid w:val="49A14B2D"/>
    <w:rsid w:val="49AE2DA6"/>
    <w:rsid w:val="49B91E77"/>
    <w:rsid w:val="49C5081B"/>
    <w:rsid w:val="49D4280C"/>
    <w:rsid w:val="49D92519"/>
    <w:rsid w:val="49E36F7D"/>
    <w:rsid w:val="49F0669C"/>
    <w:rsid w:val="4A037596"/>
    <w:rsid w:val="4A9A1CA8"/>
    <w:rsid w:val="4AAC19DB"/>
    <w:rsid w:val="4AF8077D"/>
    <w:rsid w:val="4B1A4A6F"/>
    <w:rsid w:val="4B3D6AD7"/>
    <w:rsid w:val="4B433BB6"/>
    <w:rsid w:val="4B4D5E9B"/>
    <w:rsid w:val="4B511B95"/>
    <w:rsid w:val="4B55146A"/>
    <w:rsid w:val="4B7D0C82"/>
    <w:rsid w:val="4B8532DA"/>
    <w:rsid w:val="4B985ABC"/>
    <w:rsid w:val="4BA45B91"/>
    <w:rsid w:val="4BAA2A84"/>
    <w:rsid w:val="4BB5041C"/>
    <w:rsid w:val="4BEB02E1"/>
    <w:rsid w:val="4BFC429C"/>
    <w:rsid w:val="4C0D64AA"/>
    <w:rsid w:val="4C0F3FD0"/>
    <w:rsid w:val="4C6F4A6E"/>
    <w:rsid w:val="4C934C01"/>
    <w:rsid w:val="4CAF7561"/>
    <w:rsid w:val="4CBD3A2C"/>
    <w:rsid w:val="4CFA4C80"/>
    <w:rsid w:val="4D17628F"/>
    <w:rsid w:val="4D3D2DBF"/>
    <w:rsid w:val="4DBC268E"/>
    <w:rsid w:val="4DDE1EAC"/>
    <w:rsid w:val="4DFC67D6"/>
    <w:rsid w:val="4E2A3343"/>
    <w:rsid w:val="4E3D3D83"/>
    <w:rsid w:val="4E3E0B9C"/>
    <w:rsid w:val="4E5114A7"/>
    <w:rsid w:val="4EA938C8"/>
    <w:rsid w:val="4EDA36D9"/>
    <w:rsid w:val="4EF2647B"/>
    <w:rsid w:val="4EF456FF"/>
    <w:rsid w:val="4F05698E"/>
    <w:rsid w:val="4F195165"/>
    <w:rsid w:val="4F2C4E99"/>
    <w:rsid w:val="4F382AAA"/>
    <w:rsid w:val="4F451D18"/>
    <w:rsid w:val="4F7605E4"/>
    <w:rsid w:val="4F895E47"/>
    <w:rsid w:val="4F94767E"/>
    <w:rsid w:val="4FB530E0"/>
    <w:rsid w:val="4FC13833"/>
    <w:rsid w:val="4FC266AC"/>
    <w:rsid w:val="4FFA0AF3"/>
    <w:rsid w:val="4FFF5977"/>
    <w:rsid w:val="503404A9"/>
    <w:rsid w:val="50364221"/>
    <w:rsid w:val="50734A10"/>
    <w:rsid w:val="50BC7085"/>
    <w:rsid w:val="50C06F4B"/>
    <w:rsid w:val="50E21CB3"/>
    <w:rsid w:val="512A5FC8"/>
    <w:rsid w:val="514069D9"/>
    <w:rsid w:val="51B64EEE"/>
    <w:rsid w:val="51BF468D"/>
    <w:rsid w:val="51C31114"/>
    <w:rsid w:val="51D6148D"/>
    <w:rsid w:val="51EB5867"/>
    <w:rsid w:val="52350508"/>
    <w:rsid w:val="523A34B8"/>
    <w:rsid w:val="52531F4C"/>
    <w:rsid w:val="525356E4"/>
    <w:rsid w:val="52AE4350"/>
    <w:rsid w:val="52D87035"/>
    <w:rsid w:val="52DE46FC"/>
    <w:rsid w:val="52EA6406"/>
    <w:rsid w:val="52FE4D9E"/>
    <w:rsid w:val="5311062D"/>
    <w:rsid w:val="53312C35"/>
    <w:rsid w:val="53371F76"/>
    <w:rsid w:val="533802B0"/>
    <w:rsid w:val="53395DD6"/>
    <w:rsid w:val="535675A3"/>
    <w:rsid w:val="53590226"/>
    <w:rsid w:val="535E7F07"/>
    <w:rsid w:val="536C7460"/>
    <w:rsid w:val="538057B3"/>
    <w:rsid w:val="5385101B"/>
    <w:rsid w:val="53933738"/>
    <w:rsid w:val="539B25ED"/>
    <w:rsid w:val="53B45E61"/>
    <w:rsid w:val="53C90F08"/>
    <w:rsid w:val="53CD68E0"/>
    <w:rsid w:val="53E126F6"/>
    <w:rsid w:val="53EC5BF6"/>
    <w:rsid w:val="53F52EE4"/>
    <w:rsid w:val="540208BE"/>
    <w:rsid w:val="5415239F"/>
    <w:rsid w:val="543F566E"/>
    <w:rsid w:val="5494293C"/>
    <w:rsid w:val="54A730B3"/>
    <w:rsid w:val="54A84FC1"/>
    <w:rsid w:val="54BB2F47"/>
    <w:rsid w:val="551D5F8B"/>
    <w:rsid w:val="554D3604"/>
    <w:rsid w:val="55524F2D"/>
    <w:rsid w:val="556277B1"/>
    <w:rsid w:val="55D87ADA"/>
    <w:rsid w:val="55FA184D"/>
    <w:rsid w:val="560D2C1E"/>
    <w:rsid w:val="56440D1A"/>
    <w:rsid w:val="564660E1"/>
    <w:rsid w:val="565F7902"/>
    <w:rsid w:val="568B44D7"/>
    <w:rsid w:val="569B28BF"/>
    <w:rsid w:val="56A143BE"/>
    <w:rsid w:val="56B12EC7"/>
    <w:rsid w:val="56B37C4E"/>
    <w:rsid w:val="56B73201"/>
    <w:rsid w:val="56BA722E"/>
    <w:rsid w:val="56EB648E"/>
    <w:rsid w:val="5723429C"/>
    <w:rsid w:val="575046B3"/>
    <w:rsid w:val="5758162F"/>
    <w:rsid w:val="579637F7"/>
    <w:rsid w:val="57A31A70"/>
    <w:rsid w:val="57A9177C"/>
    <w:rsid w:val="57D04F5B"/>
    <w:rsid w:val="585F62DF"/>
    <w:rsid w:val="588875E4"/>
    <w:rsid w:val="58A837E2"/>
    <w:rsid w:val="58B72394"/>
    <w:rsid w:val="58EE4E52"/>
    <w:rsid w:val="58F307D5"/>
    <w:rsid w:val="59033F36"/>
    <w:rsid w:val="591E3AA4"/>
    <w:rsid w:val="592E180D"/>
    <w:rsid w:val="594C6863"/>
    <w:rsid w:val="598E4508"/>
    <w:rsid w:val="59AF294E"/>
    <w:rsid w:val="59D464F6"/>
    <w:rsid w:val="59DD74BB"/>
    <w:rsid w:val="5A1153B7"/>
    <w:rsid w:val="5A2E7D17"/>
    <w:rsid w:val="5A623E64"/>
    <w:rsid w:val="5AAC047B"/>
    <w:rsid w:val="5ABA5A4E"/>
    <w:rsid w:val="5AC601E7"/>
    <w:rsid w:val="5B127639"/>
    <w:rsid w:val="5B1909C7"/>
    <w:rsid w:val="5B1E7D8B"/>
    <w:rsid w:val="5B59067D"/>
    <w:rsid w:val="5B901FF9"/>
    <w:rsid w:val="5BBD6EF3"/>
    <w:rsid w:val="5BE73DB6"/>
    <w:rsid w:val="5C3600DE"/>
    <w:rsid w:val="5C4557EC"/>
    <w:rsid w:val="5C4E1AB5"/>
    <w:rsid w:val="5C85128B"/>
    <w:rsid w:val="5C8F6A67"/>
    <w:rsid w:val="5C9B3393"/>
    <w:rsid w:val="5CE45005"/>
    <w:rsid w:val="5D1C654D"/>
    <w:rsid w:val="5D5E0913"/>
    <w:rsid w:val="5D681792"/>
    <w:rsid w:val="5D72616D"/>
    <w:rsid w:val="5D83481E"/>
    <w:rsid w:val="5D8B36D2"/>
    <w:rsid w:val="5E79352B"/>
    <w:rsid w:val="5E7C5452"/>
    <w:rsid w:val="5E9D546B"/>
    <w:rsid w:val="5EB108A8"/>
    <w:rsid w:val="5F0B4ACB"/>
    <w:rsid w:val="5F245B8C"/>
    <w:rsid w:val="5F443B39"/>
    <w:rsid w:val="5F5C6189"/>
    <w:rsid w:val="5F610B8F"/>
    <w:rsid w:val="5F622211"/>
    <w:rsid w:val="5F6E54B0"/>
    <w:rsid w:val="5F922AF6"/>
    <w:rsid w:val="5FC058B5"/>
    <w:rsid w:val="60365B77"/>
    <w:rsid w:val="60C74999"/>
    <w:rsid w:val="60D809DC"/>
    <w:rsid w:val="610E43FE"/>
    <w:rsid w:val="61155A10"/>
    <w:rsid w:val="612956DC"/>
    <w:rsid w:val="61616240"/>
    <w:rsid w:val="618172C6"/>
    <w:rsid w:val="61826B9A"/>
    <w:rsid w:val="61B13C78"/>
    <w:rsid w:val="61DA0220"/>
    <w:rsid w:val="61DC5CCF"/>
    <w:rsid w:val="61DF5D9B"/>
    <w:rsid w:val="62375BD7"/>
    <w:rsid w:val="62465A76"/>
    <w:rsid w:val="624B4DEE"/>
    <w:rsid w:val="625978FB"/>
    <w:rsid w:val="62DB2A06"/>
    <w:rsid w:val="63161C90"/>
    <w:rsid w:val="63246DF5"/>
    <w:rsid w:val="636B5B38"/>
    <w:rsid w:val="63715118"/>
    <w:rsid w:val="63750765"/>
    <w:rsid w:val="63A177AC"/>
    <w:rsid w:val="63C27722"/>
    <w:rsid w:val="63EA68EF"/>
    <w:rsid w:val="64096253"/>
    <w:rsid w:val="644D7933"/>
    <w:rsid w:val="6481442D"/>
    <w:rsid w:val="64861ED8"/>
    <w:rsid w:val="648A6492"/>
    <w:rsid w:val="64A642D1"/>
    <w:rsid w:val="64BB489D"/>
    <w:rsid w:val="64F953C5"/>
    <w:rsid w:val="65064984"/>
    <w:rsid w:val="65271F32"/>
    <w:rsid w:val="652A557F"/>
    <w:rsid w:val="65366998"/>
    <w:rsid w:val="656211BC"/>
    <w:rsid w:val="65646CE3"/>
    <w:rsid w:val="656960A7"/>
    <w:rsid w:val="659F7D1B"/>
    <w:rsid w:val="65C21C5B"/>
    <w:rsid w:val="65DC2D1D"/>
    <w:rsid w:val="661029C7"/>
    <w:rsid w:val="661B1B7B"/>
    <w:rsid w:val="662E729C"/>
    <w:rsid w:val="66383CCB"/>
    <w:rsid w:val="664803B2"/>
    <w:rsid w:val="664A412A"/>
    <w:rsid w:val="667636F5"/>
    <w:rsid w:val="671169F6"/>
    <w:rsid w:val="67176A69"/>
    <w:rsid w:val="6728524B"/>
    <w:rsid w:val="674221B8"/>
    <w:rsid w:val="67713939"/>
    <w:rsid w:val="679435B3"/>
    <w:rsid w:val="679D472E"/>
    <w:rsid w:val="67B81568"/>
    <w:rsid w:val="67C24194"/>
    <w:rsid w:val="682F6610"/>
    <w:rsid w:val="684E77D6"/>
    <w:rsid w:val="6864524C"/>
    <w:rsid w:val="687E1952"/>
    <w:rsid w:val="68C8394A"/>
    <w:rsid w:val="68D3561F"/>
    <w:rsid w:val="68DE2D75"/>
    <w:rsid w:val="68EB00B3"/>
    <w:rsid w:val="693469CC"/>
    <w:rsid w:val="69532180"/>
    <w:rsid w:val="695C5FF1"/>
    <w:rsid w:val="69681829"/>
    <w:rsid w:val="69A73642"/>
    <w:rsid w:val="69D95A36"/>
    <w:rsid w:val="6A1A5B04"/>
    <w:rsid w:val="6A8F4802"/>
    <w:rsid w:val="6A9260A0"/>
    <w:rsid w:val="6A94006A"/>
    <w:rsid w:val="6AEA1A38"/>
    <w:rsid w:val="6AF1726A"/>
    <w:rsid w:val="6AFB1E97"/>
    <w:rsid w:val="6B106FC5"/>
    <w:rsid w:val="6B1E2419"/>
    <w:rsid w:val="6B217424"/>
    <w:rsid w:val="6B2A1044"/>
    <w:rsid w:val="6B5E4930"/>
    <w:rsid w:val="6B673089"/>
    <w:rsid w:val="6B8005EE"/>
    <w:rsid w:val="6B8B178D"/>
    <w:rsid w:val="6BA936A1"/>
    <w:rsid w:val="6BBC75FB"/>
    <w:rsid w:val="6BC229B5"/>
    <w:rsid w:val="6BEC5C84"/>
    <w:rsid w:val="6BFA3EFD"/>
    <w:rsid w:val="6C277408"/>
    <w:rsid w:val="6C4909E0"/>
    <w:rsid w:val="6C5D26DE"/>
    <w:rsid w:val="6C6A1697"/>
    <w:rsid w:val="6CD74D68"/>
    <w:rsid w:val="6CEE366B"/>
    <w:rsid w:val="6CF546C4"/>
    <w:rsid w:val="6CFA4BA3"/>
    <w:rsid w:val="6D033285"/>
    <w:rsid w:val="6D06067F"/>
    <w:rsid w:val="6D194017"/>
    <w:rsid w:val="6D21195D"/>
    <w:rsid w:val="6D36185D"/>
    <w:rsid w:val="6D4B0788"/>
    <w:rsid w:val="6D592EA5"/>
    <w:rsid w:val="6D8541DC"/>
    <w:rsid w:val="6D8A305E"/>
    <w:rsid w:val="6DE74955"/>
    <w:rsid w:val="6DF6353C"/>
    <w:rsid w:val="6E070B53"/>
    <w:rsid w:val="6E225B62"/>
    <w:rsid w:val="6E3D6323"/>
    <w:rsid w:val="6E421B8B"/>
    <w:rsid w:val="6E9417C7"/>
    <w:rsid w:val="6E9A1205"/>
    <w:rsid w:val="6EA12D56"/>
    <w:rsid w:val="6EBA7C66"/>
    <w:rsid w:val="6EBD0C91"/>
    <w:rsid w:val="6EBE3907"/>
    <w:rsid w:val="6ED11E23"/>
    <w:rsid w:val="6ED208EF"/>
    <w:rsid w:val="6EE77986"/>
    <w:rsid w:val="6F2D45E9"/>
    <w:rsid w:val="6F411E43"/>
    <w:rsid w:val="6F5109B3"/>
    <w:rsid w:val="6F7B5355"/>
    <w:rsid w:val="6F80296B"/>
    <w:rsid w:val="6FF11ABB"/>
    <w:rsid w:val="703B2D36"/>
    <w:rsid w:val="70981F36"/>
    <w:rsid w:val="70A73F27"/>
    <w:rsid w:val="70B30B1E"/>
    <w:rsid w:val="710E0D0D"/>
    <w:rsid w:val="71141D59"/>
    <w:rsid w:val="7161057A"/>
    <w:rsid w:val="71681909"/>
    <w:rsid w:val="71796B73"/>
    <w:rsid w:val="718C3AD4"/>
    <w:rsid w:val="718D75C1"/>
    <w:rsid w:val="72081CB6"/>
    <w:rsid w:val="7228141C"/>
    <w:rsid w:val="72317B2A"/>
    <w:rsid w:val="72554235"/>
    <w:rsid w:val="725E2D0C"/>
    <w:rsid w:val="726C367A"/>
    <w:rsid w:val="72916C3D"/>
    <w:rsid w:val="72A921D9"/>
    <w:rsid w:val="72BB1F0C"/>
    <w:rsid w:val="72BB3CBA"/>
    <w:rsid w:val="72E0414B"/>
    <w:rsid w:val="72F215BD"/>
    <w:rsid w:val="72F743C2"/>
    <w:rsid w:val="73944C37"/>
    <w:rsid w:val="73C31078"/>
    <w:rsid w:val="73DE5EB2"/>
    <w:rsid w:val="73E8630D"/>
    <w:rsid w:val="73EA007C"/>
    <w:rsid w:val="741170D2"/>
    <w:rsid w:val="744F11C2"/>
    <w:rsid w:val="74675F80"/>
    <w:rsid w:val="746F1200"/>
    <w:rsid w:val="747E1443"/>
    <w:rsid w:val="748B71CF"/>
    <w:rsid w:val="74956EB9"/>
    <w:rsid w:val="74B65081"/>
    <w:rsid w:val="75226272"/>
    <w:rsid w:val="75297601"/>
    <w:rsid w:val="752A12A7"/>
    <w:rsid w:val="75322959"/>
    <w:rsid w:val="75705230"/>
    <w:rsid w:val="75862CA5"/>
    <w:rsid w:val="75947170"/>
    <w:rsid w:val="75BC5BE6"/>
    <w:rsid w:val="75DD6302"/>
    <w:rsid w:val="7610256F"/>
    <w:rsid w:val="76287D86"/>
    <w:rsid w:val="764C17F9"/>
    <w:rsid w:val="7671300D"/>
    <w:rsid w:val="76CA0970"/>
    <w:rsid w:val="76CC2D67"/>
    <w:rsid w:val="76E557A9"/>
    <w:rsid w:val="774D6C92"/>
    <w:rsid w:val="77562203"/>
    <w:rsid w:val="77613082"/>
    <w:rsid w:val="77B8543C"/>
    <w:rsid w:val="77D01FB6"/>
    <w:rsid w:val="77EA751B"/>
    <w:rsid w:val="77F661E3"/>
    <w:rsid w:val="77FC2DAB"/>
    <w:rsid w:val="78167F02"/>
    <w:rsid w:val="781F4CEB"/>
    <w:rsid w:val="786D3CA8"/>
    <w:rsid w:val="787E7C64"/>
    <w:rsid w:val="789B25C4"/>
    <w:rsid w:val="789D458E"/>
    <w:rsid w:val="78A23952"/>
    <w:rsid w:val="78B348D2"/>
    <w:rsid w:val="78DB3308"/>
    <w:rsid w:val="78E35D19"/>
    <w:rsid w:val="78EE78A6"/>
    <w:rsid w:val="78F9378E"/>
    <w:rsid w:val="792E168A"/>
    <w:rsid w:val="7961380D"/>
    <w:rsid w:val="799040F2"/>
    <w:rsid w:val="79AC25AE"/>
    <w:rsid w:val="79C63670"/>
    <w:rsid w:val="79F91C98"/>
    <w:rsid w:val="79FB390F"/>
    <w:rsid w:val="7A5C165F"/>
    <w:rsid w:val="7A74131E"/>
    <w:rsid w:val="7A965738"/>
    <w:rsid w:val="7B08785C"/>
    <w:rsid w:val="7B58479C"/>
    <w:rsid w:val="7B784E3E"/>
    <w:rsid w:val="7B875081"/>
    <w:rsid w:val="7B886A60"/>
    <w:rsid w:val="7B931C78"/>
    <w:rsid w:val="7BAB0D70"/>
    <w:rsid w:val="7BE67119"/>
    <w:rsid w:val="7BF32717"/>
    <w:rsid w:val="7BFE17E7"/>
    <w:rsid w:val="7C21104D"/>
    <w:rsid w:val="7C3A6F09"/>
    <w:rsid w:val="7C6117F8"/>
    <w:rsid w:val="7C6A15B3"/>
    <w:rsid w:val="7CA53A11"/>
    <w:rsid w:val="7CDB1FF0"/>
    <w:rsid w:val="7D0C51B4"/>
    <w:rsid w:val="7D1367C2"/>
    <w:rsid w:val="7D145EBA"/>
    <w:rsid w:val="7D1E1A15"/>
    <w:rsid w:val="7D230DDA"/>
    <w:rsid w:val="7D3704A9"/>
    <w:rsid w:val="7D382AD7"/>
    <w:rsid w:val="7D3F758A"/>
    <w:rsid w:val="7D40198C"/>
    <w:rsid w:val="7D65185F"/>
    <w:rsid w:val="7D79479E"/>
    <w:rsid w:val="7DA77C5D"/>
    <w:rsid w:val="7DAA32A9"/>
    <w:rsid w:val="7DAB14FB"/>
    <w:rsid w:val="7DAC54A5"/>
    <w:rsid w:val="7DC66335"/>
    <w:rsid w:val="7DE31113"/>
    <w:rsid w:val="7DF34C50"/>
    <w:rsid w:val="7E2968C4"/>
    <w:rsid w:val="7EA608AC"/>
    <w:rsid w:val="7EBD2E72"/>
    <w:rsid w:val="7EC14D4E"/>
    <w:rsid w:val="7EE36ED9"/>
    <w:rsid w:val="7F1A196E"/>
    <w:rsid w:val="7F78365F"/>
    <w:rsid w:val="7F7E679B"/>
    <w:rsid w:val="7F840255"/>
    <w:rsid w:val="7FB126CD"/>
    <w:rsid w:val="7FB87EFF"/>
    <w:rsid w:val="7FD10FC1"/>
    <w:rsid w:val="7FD840FD"/>
    <w:rsid w:val="7FE707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59" w:semiHidden="0" w:name="Table Grid"/>
    <w:lsdException w:uiPriority="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4"/>
      <w:lang w:val="en-US" w:eastAsia="zh-CN" w:bidi="ar-SA"/>
    </w:rPr>
  </w:style>
  <w:style w:type="paragraph" w:styleId="3">
    <w:name w:val="heading 1"/>
    <w:basedOn w:val="1"/>
    <w:next w:val="1"/>
    <w:link w:val="44"/>
    <w:qFormat/>
    <w:uiPriority w:val="99"/>
    <w:pPr>
      <w:keepNext/>
      <w:keepLines/>
      <w:jc w:val="center"/>
      <w:outlineLvl w:val="0"/>
    </w:pPr>
    <w:rPr>
      <w:rFonts w:ascii="Tahoma" w:hAnsi="Tahoma"/>
      <w:b/>
      <w:kern w:val="44"/>
      <w:sz w:val="44"/>
      <w:szCs w:val="22"/>
    </w:rPr>
  </w:style>
  <w:style w:type="paragraph" w:styleId="4">
    <w:name w:val="heading 2"/>
    <w:basedOn w:val="1"/>
    <w:next w:val="1"/>
    <w:link w:val="45"/>
    <w:qFormat/>
    <w:uiPriority w:val="99"/>
    <w:pPr>
      <w:keepNext/>
      <w:keepLines/>
      <w:spacing w:line="413" w:lineRule="auto"/>
      <w:outlineLvl w:val="1"/>
    </w:pPr>
    <w:rPr>
      <w:rFonts w:ascii="Arial" w:hAnsi="Arial" w:eastAsia="黑体"/>
      <w:b/>
      <w:sz w:val="32"/>
      <w:szCs w:val="20"/>
    </w:rPr>
  </w:style>
  <w:style w:type="paragraph" w:styleId="5">
    <w:name w:val="heading 3"/>
    <w:basedOn w:val="1"/>
    <w:next w:val="1"/>
    <w:link w:val="46"/>
    <w:qFormat/>
    <w:uiPriority w:val="99"/>
    <w:pPr>
      <w:keepNext/>
      <w:keepLines/>
      <w:snapToGrid w:val="0"/>
      <w:jc w:val="center"/>
      <w:outlineLvl w:val="2"/>
    </w:pPr>
    <w:rPr>
      <w:rFonts w:ascii="黑体" w:hAnsi="黑体"/>
      <w:b/>
      <w:bCs/>
      <w:sz w:val="32"/>
      <w:szCs w:val="32"/>
    </w:rPr>
  </w:style>
  <w:style w:type="paragraph" w:styleId="6">
    <w:name w:val="heading 4"/>
    <w:basedOn w:val="1"/>
    <w:next w:val="7"/>
    <w:link w:val="47"/>
    <w:qFormat/>
    <w:uiPriority w:val="99"/>
    <w:pPr>
      <w:keepNext/>
      <w:keepLines/>
      <w:tabs>
        <w:tab w:val="left" w:pos="1198"/>
      </w:tabs>
      <w:spacing w:before="120" w:line="360" w:lineRule="auto"/>
      <w:ind w:left="1198" w:hanging="420"/>
      <w:outlineLvl w:val="3"/>
    </w:pPr>
    <w:rPr>
      <w:b/>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49"/>
    <w:qFormat/>
    <w:uiPriority w:val="99"/>
    <w:pPr>
      <w:spacing w:line="300" w:lineRule="auto"/>
      <w:ind w:firstLine="476"/>
    </w:pPr>
  </w:style>
  <w:style w:type="paragraph" w:customStyle="1" w:styleId="7">
    <w:name w:val="正文缩进2"/>
    <w:basedOn w:val="1"/>
    <w:qFormat/>
    <w:uiPriority w:val="99"/>
    <w:pPr>
      <w:spacing w:before="60"/>
      <w:ind w:firstLine="476"/>
    </w:pPr>
  </w:style>
  <w:style w:type="paragraph" w:styleId="8">
    <w:name w:val="Normal Indent"/>
    <w:basedOn w:val="1"/>
    <w:next w:val="9"/>
    <w:qFormat/>
    <w:uiPriority w:val="99"/>
    <w:pPr>
      <w:ind w:firstLine="420"/>
    </w:pPr>
    <w:rPr>
      <w:sz w:val="21"/>
      <w:szCs w:val="20"/>
    </w:rPr>
  </w:style>
  <w:style w:type="paragraph" w:styleId="9">
    <w:name w:val="Body Text Indent"/>
    <w:basedOn w:val="1"/>
    <w:link w:val="51"/>
    <w:qFormat/>
    <w:uiPriority w:val="99"/>
    <w:pPr>
      <w:spacing w:line="200" w:lineRule="atLeast"/>
      <w:ind w:firstLine="301"/>
    </w:pPr>
    <w:rPr>
      <w:rFonts w:ascii="宋体" w:hAnsi="Courier New"/>
      <w:spacing w:val="-4"/>
      <w:sz w:val="18"/>
      <w:szCs w:val="20"/>
    </w:rPr>
  </w:style>
  <w:style w:type="paragraph" w:styleId="10">
    <w:name w:val="caption"/>
    <w:basedOn w:val="1"/>
    <w:next w:val="1"/>
    <w:qFormat/>
    <w:uiPriority w:val="99"/>
    <w:pPr>
      <w:spacing w:before="152" w:after="160" w:line="360" w:lineRule="auto"/>
      <w:ind w:firstLine="476"/>
    </w:pPr>
    <w:rPr>
      <w:rFonts w:ascii="Arial" w:hAnsi="Arial" w:eastAsia="黑体"/>
      <w:spacing w:val="10"/>
      <w:sz w:val="20"/>
    </w:rPr>
  </w:style>
  <w:style w:type="paragraph" w:styleId="11">
    <w:name w:val="annotation text"/>
    <w:basedOn w:val="1"/>
    <w:link w:val="65"/>
    <w:semiHidden/>
    <w:unhideWhenUsed/>
    <w:qFormat/>
    <w:uiPriority w:val="99"/>
    <w:pPr>
      <w:jc w:val="left"/>
    </w:pPr>
  </w:style>
  <w:style w:type="paragraph" w:styleId="12">
    <w:name w:val="Body Text 3"/>
    <w:basedOn w:val="1"/>
    <w:link w:val="50"/>
    <w:qFormat/>
    <w:uiPriority w:val="99"/>
    <w:pPr>
      <w:spacing w:after="120"/>
    </w:pPr>
    <w:rPr>
      <w:sz w:val="16"/>
      <w:szCs w:val="16"/>
    </w:rPr>
  </w:style>
  <w:style w:type="paragraph" w:styleId="13">
    <w:name w:val="Body Text"/>
    <w:basedOn w:val="1"/>
    <w:next w:val="2"/>
    <w:link w:val="48"/>
    <w:qFormat/>
    <w:uiPriority w:val="99"/>
    <w:pPr>
      <w:spacing w:after="120"/>
    </w:pPr>
  </w:style>
  <w:style w:type="paragraph" w:styleId="14">
    <w:name w:val="List 2"/>
    <w:basedOn w:val="1"/>
    <w:qFormat/>
    <w:uiPriority w:val="99"/>
    <w:pPr>
      <w:spacing w:after="120" w:line="400" w:lineRule="exact"/>
    </w:pPr>
    <w:rPr>
      <w:sz w:val="24"/>
      <w:szCs w:val="20"/>
    </w:rPr>
  </w:style>
  <w:style w:type="paragraph" w:styleId="15">
    <w:name w:val="Block Text"/>
    <w:basedOn w:val="1"/>
    <w:qFormat/>
    <w:uiPriority w:val="0"/>
    <w:pPr>
      <w:ind w:left="0" w:firstLine="0"/>
    </w:pPr>
  </w:style>
  <w:style w:type="paragraph" w:styleId="16">
    <w:name w:val="Plain Text"/>
    <w:basedOn w:val="1"/>
    <w:next w:val="13"/>
    <w:link w:val="52"/>
    <w:qFormat/>
    <w:uiPriority w:val="99"/>
    <w:pPr>
      <w:spacing w:beforeLines="50" w:afterLines="50" w:line="400" w:lineRule="atLeast"/>
    </w:pPr>
    <w:rPr>
      <w:rFonts w:ascii="宋体" w:hAnsi="Courier New"/>
      <w:sz w:val="24"/>
    </w:rPr>
  </w:style>
  <w:style w:type="paragraph" w:styleId="17">
    <w:name w:val="Balloon Text"/>
    <w:basedOn w:val="1"/>
    <w:link w:val="53"/>
    <w:qFormat/>
    <w:uiPriority w:val="99"/>
    <w:pPr>
      <w:adjustRightInd w:val="0"/>
      <w:spacing w:before="100" w:beforeAutospacing="1" w:after="100" w:afterAutospacing="1" w:line="400" w:lineRule="atLeast"/>
      <w:ind w:firstLine="454"/>
      <w:textAlignment w:val="baseline"/>
    </w:pPr>
    <w:rPr>
      <w:rFonts w:ascii="宋体"/>
      <w:color w:val="FF0000"/>
      <w:kern w:val="0"/>
      <w:sz w:val="20"/>
      <w:szCs w:val="20"/>
    </w:rPr>
  </w:style>
  <w:style w:type="paragraph" w:styleId="18">
    <w:name w:val="footer"/>
    <w:basedOn w:val="1"/>
    <w:link w:val="54"/>
    <w:qFormat/>
    <w:uiPriority w:val="99"/>
    <w:pPr>
      <w:tabs>
        <w:tab w:val="center" w:pos="4153"/>
        <w:tab w:val="right" w:pos="8306"/>
      </w:tabs>
      <w:snapToGrid w:val="0"/>
      <w:jc w:val="left"/>
    </w:pPr>
    <w:rPr>
      <w:sz w:val="18"/>
      <w:szCs w:val="18"/>
    </w:rPr>
  </w:style>
  <w:style w:type="paragraph" w:styleId="19">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20">
    <w:name w:val="header"/>
    <w:basedOn w:val="1"/>
    <w:link w:val="55"/>
    <w:qFormat/>
    <w:uiPriority w:val="99"/>
    <w:pPr>
      <w:tabs>
        <w:tab w:val="center" w:pos="4153"/>
        <w:tab w:val="right" w:pos="8306"/>
      </w:tabs>
      <w:snapToGrid w:val="0"/>
      <w:jc w:val="center"/>
    </w:pPr>
    <w:rPr>
      <w:sz w:val="18"/>
      <w:szCs w:val="18"/>
    </w:rPr>
  </w:style>
  <w:style w:type="paragraph" w:styleId="21">
    <w:name w:val="List"/>
    <w:basedOn w:val="1"/>
    <w:qFormat/>
    <w:uiPriority w:val="99"/>
    <w:pPr>
      <w:ind w:left="200" w:hanging="200" w:hangingChars="200"/>
    </w:pPr>
  </w:style>
  <w:style w:type="paragraph" w:styleId="22">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3">
    <w:name w:val="Normal (Web)"/>
    <w:basedOn w:val="1"/>
    <w:qFormat/>
    <w:uiPriority w:val="99"/>
    <w:pPr>
      <w:widowControl/>
      <w:spacing w:before="100" w:beforeAutospacing="1" w:after="100" w:afterAutospacing="1"/>
      <w:jc w:val="left"/>
    </w:pPr>
    <w:rPr>
      <w:rFonts w:ascii="宋体" w:hAnsi="宋体"/>
      <w:kern w:val="0"/>
      <w:sz w:val="22"/>
    </w:rPr>
  </w:style>
  <w:style w:type="paragraph" w:styleId="24">
    <w:name w:val="Title"/>
    <w:basedOn w:val="1"/>
    <w:next w:val="1"/>
    <w:qFormat/>
    <w:locked/>
    <w:uiPriority w:val="10"/>
    <w:pPr>
      <w:jc w:val="center"/>
    </w:pPr>
    <w:rPr>
      <w:rFonts w:ascii="Arial" w:hAnsi="Arial"/>
      <w:b/>
      <w:kern w:val="0"/>
      <w:sz w:val="36"/>
      <w:szCs w:val="20"/>
      <w:lang w:eastAsia="en-US"/>
    </w:rPr>
  </w:style>
  <w:style w:type="paragraph" w:styleId="25">
    <w:name w:val="annotation subject"/>
    <w:basedOn w:val="11"/>
    <w:next w:val="11"/>
    <w:link w:val="66"/>
    <w:semiHidden/>
    <w:unhideWhenUsed/>
    <w:qFormat/>
    <w:uiPriority w:val="99"/>
    <w:rPr>
      <w:b/>
      <w:bCs/>
    </w:rPr>
  </w:style>
  <w:style w:type="paragraph" w:styleId="26">
    <w:name w:val="Body Text First Indent 2"/>
    <w:basedOn w:val="9"/>
    <w:next w:val="1"/>
    <w:link w:val="56"/>
    <w:qFormat/>
    <w:uiPriority w:val="99"/>
    <w:pPr>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locked/>
    <w:uiPriority w:val="0"/>
    <w:rPr>
      <w:b/>
    </w:rPr>
  </w:style>
  <w:style w:type="character" w:styleId="31">
    <w:name w:val="Hyperlink"/>
    <w:qFormat/>
    <w:uiPriority w:val="99"/>
    <w:rPr>
      <w:rFonts w:cs="Times New Roman"/>
      <w:color w:val="5579A7"/>
      <w:u w:val="none"/>
    </w:rPr>
  </w:style>
  <w:style w:type="character" w:styleId="32">
    <w:name w:val="annotation reference"/>
    <w:semiHidden/>
    <w:unhideWhenUsed/>
    <w:qFormat/>
    <w:uiPriority w:val="99"/>
    <w:rPr>
      <w:sz w:val="21"/>
      <w:szCs w:val="21"/>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表格文字"/>
    <w:next w:val="13"/>
    <w:qFormat/>
    <w:uiPriority w:val="0"/>
    <w:pPr>
      <w:widowControl w:val="0"/>
      <w:overflowPunct w:val="0"/>
      <w:autoSpaceDE w:val="0"/>
      <w:autoSpaceDN w:val="0"/>
      <w:adjustRightInd w:val="0"/>
      <w:spacing w:line="420" w:lineRule="atLeast"/>
      <w:jc w:val="both"/>
      <w:textAlignment w:val="baseline"/>
    </w:pPr>
    <w:rPr>
      <w:rFonts w:hint="default" w:ascii="宋体" w:hAnsi="Courier New" w:eastAsia="宋体" w:cs="Times New Roman"/>
      <w:kern w:val="0"/>
      <w:sz w:val="21"/>
      <w:szCs w:val="20"/>
      <w:lang w:val="en-US" w:eastAsia="zh-CN" w:bidi="ar-SA"/>
    </w:rPr>
  </w:style>
  <w:style w:type="paragraph" w:customStyle="1" w:styleId="35">
    <w:name w:val="正文首行缩进1"/>
    <w:basedOn w:val="13"/>
    <w:qFormat/>
    <w:uiPriority w:val="0"/>
    <w:pPr>
      <w:spacing w:after="120"/>
      <w:ind w:firstLine="420" w:firstLineChars="100"/>
    </w:pPr>
    <w:rPr>
      <w:rFonts w:ascii="Calibri" w:hAnsi="Calibri"/>
      <w:sz w:val="21"/>
    </w:rPr>
  </w:style>
  <w:style w:type="paragraph" w:customStyle="1" w:styleId="36">
    <w:name w:val="文章正文"/>
    <w:next w:val="37"/>
    <w:qFormat/>
    <w:uiPriority w:val="0"/>
    <w:pPr>
      <w:widowControl w:val="0"/>
      <w:spacing w:line="360" w:lineRule="auto"/>
      <w:ind w:firstLine="200" w:firstLineChars="200"/>
      <w:jc w:val="both"/>
    </w:pPr>
    <w:rPr>
      <w:rFonts w:ascii="Calibri" w:hAnsi="Calibri" w:eastAsia="宋体" w:cs="宋体"/>
      <w:snapToGrid/>
      <w:kern w:val="2"/>
      <w:sz w:val="24"/>
      <w:szCs w:val="24"/>
      <w:lang w:val="en-US" w:eastAsia="zh-CN" w:bidi="ar-SA"/>
    </w:rPr>
  </w:style>
  <w:style w:type="paragraph" w:customStyle="1" w:styleId="37">
    <w:name w:val="公式样式 变量"/>
    <w:qFormat/>
    <w:uiPriority w:val="0"/>
    <w:rPr>
      <w:rFonts w:ascii="Times New Roman" w:hAnsi="Times New Roman" w:eastAsia="宋体" w:cs="Times New Roman"/>
      <w:i/>
      <w:lang w:val="en-US" w:eastAsia="zh-CN" w:bidi="ar-SA"/>
    </w:rPr>
  </w:style>
  <w:style w:type="paragraph" w:customStyle="1" w:styleId="38">
    <w:name w:val="样式 表格正文 + 两端对齐"/>
    <w:basedOn w:val="1"/>
    <w:next w:val="39"/>
    <w:qFormat/>
    <w:uiPriority w:val="99"/>
    <w:pPr>
      <w:spacing w:line="300" w:lineRule="auto"/>
    </w:pPr>
    <w:rPr>
      <w:sz w:val="24"/>
    </w:rPr>
  </w:style>
  <w:style w:type="paragraph" w:customStyle="1" w:styleId="3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0">
    <w:name w:val="自动更正"/>
    <w:next w:val="41"/>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41">
    <w:name w:val="xl39"/>
    <w:basedOn w:val="1"/>
    <w:next w:val="42"/>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2">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 w:type="paragraph" w:customStyle="1" w:styleId="43">
    <w:name w:val="DAS正文"/>
    <w:basedOn w:val="1"/>
    <w:qFormat/>
    <w:uiPriority w:val="99"/>
    <w:pPr>
      <w:spacing w:line="360" w:lineRule="auto"/>
      <w:ind w:right="181" w:firstLine="480" w:firstLineChars="200"/>
    </w:pPr>
    <w:rPr>
      <w:rFonts w:ascii="Verdana" w:hAnsi="Verdana"/>
      <w:sz w:val="24"/>
    </w:rPr>
  </w:style>
  <w:style w:type="character" w:customStyle="1" w:styleId="44">
    <w:name w:val="标题 1 Char"/>
    <w:link w:val="3"/>
    <w:qFormat/>
    <w:locked/>
    <w:uiPriority w:val="9"/>
    <w:rPr>
      <w:rFonts w:ascii="Tahoma" w:hAnsi="Tahoma" w:eastAsia="宋体"/>
      <w:b/>
      <w:kern w:val="44"/>
      <w:sz w:val="22"/>
    </w:rPr>
  </w:style>
  <w:style w:type="character" w:customStyle="1" w:styleId="45">
    <w:name w:val="标题 2 Char"/>
    <w:link w:val="4"/>
    <w:qFormat/>
    <w:locked/>
    <w:uiPriority w:val="99"/>
    <w:rPr>
      <w:rFonts w:ascii="Arial" w:hAnsi="Arial" w:eastAsia="黑体"/>
      <w:b/>
      <w:kern w:val="2"/>
      <w:sz w:val="32"/>
      <w:lang w:val="en-US" w:eastAsia="zh-CN"/>
    </w:rPr>
  </w:style>
  <w:style w:type="character" w:customStyle="1" w:styleId="46">
    <w:name w:val="标题 3 Char"/>
    <w:link w:val="5"/>
    <w:semiHidden/>
    <w:qFormat/>
    <w:uiPriority w:val="9"/>
    <w:rPr>
      <w:b/>
      <w:bCs/>
      <w:sz w:val="32"/>
      <w:szCs w:val="32"/>
    </w:rPr>
  </w:style>
  <w:style w:type="character" w:customStyle="1" w:styleId="47">
    <w:name w:val="标题 4 Char"/>
    <w:link w:val="6"/>
    <w:semiHidden/>
    <w:qFormat/>
    <w:uiPriority w:val="9"/>
    <w:rPr>
      <w:rFonts w:ascii="Cambria" w:hAnsi="Cambria" w:eastAsia="宋体" w:cs="Times New Roman"/>
      <w:b/>
      <w:bCs/>
      <w:sz w:val="28"/>
      <w:szCs w:val="28"/>
    </w:rPr>
  </w:style>
  <w:style w:type="character" w:customStyle="1" w:styleId="48">
    <w:name w:val="正文文本 Char"/>
    <w:link w:val="13"/>
    <w:semiHidden/>
    <w:qFormat/>
    <w:uiPriority w:val="99"/>
    <w:rPr>
      <w:sz w:val="28"/>
      <w:szCs w:val="24"/>
    </w:rPr>
  </w:style>
  <w:style w:type="character" w:customStyle="1" w:styleId="49">
    <w:name w:val="正文首行缩进 Char"/>
    <w:basedOn w:val="48"/>
    <w:link w:val="2"/>
    <w:semiHidden/>
    <w:qFormat/>
    <w:uiPriority w:val="99"/>
    <w:rPr>
      <w:sz w:val="28"/>
      <w:szCs w:val="24"/>
    </w:rPr>
  </w:style>
  <w:style w:type="character" w:customStyle="1" w:styleId="50">
    <w:name w:val="正文文本 3 Char"/>
    <w:link w:val="12"/>
    <w:semiHidden/>
    <w:qFormat/>
    <w:uiPriority w:val="99"/>
    <w:rPr>
      <w:sz w:val="16"/>
      <w:szCs w:val="16"/>
    </w:rPr>
  </w:style>
  <w:style w:type="character" w:customStyle="1" w:styleId="51">
    <w:name w:val="正文文本缩进 Char"/>
    <w:link w:val="9"/>
    <w:semiHidden/>
    <w:qFormat/>
    <w:uiPriority w:val="99"/>
    <w:rPr>
      <w:sz w:val="28"/>
      <w:szCs w:val="24"/>
    </w:rPr>
  </w:style>
  <w:style w:type="character" w:customStyle="1" w:styleId="52">
    <w:name w:val="纯文本 Char"/>
    <w:link w:val="16"/>
    <w:qFormat/>
    <w:uiPriority w:val="99"/>
    <w:rPr>
      <w:rFonts w:ascii="宋体" w:hAnsi="Courier New" w:cs="Courier New"/>
      <w:szCs w:val="21"/>
    </w:rPr>
  </w:style>
  <w:style w:type="character" w:customStyle="1" w:styleId="53">
    <w:name w:val="批注框文本 Char"/>
    <w:link w:val="17"/>
    <w:semiHidden/>
    <w:qFormat/>
    <w:locked/>
    <w:uiPriority w:val="99"/>
    <w:rPr>
      <w:rFonts w:ascii="宋体"/>
      <w:color w:val="FF0000"/>
    </w:rPr>
  </w:style>
  <w:style w:type="character" w:customStyle="1" w:styleId="54">
    <w:name w:val="页脚 Char"/>
    <w:link w:val="18"/>
    <w:semiHidden/>
    <w:qFormat/>
    <w:uiPriority w:val="99"/>
    <w:rPr>
      <w:sz w:val="18"/>
      <w:szCs w:val="18"/>
    </w:rPr>
  </w:style>
  <w:style w:type="character" w:customStyle="1" w:styleId="55">
    <w:name w:val="页眉 Char"/>
    <w:link w:val="20"/>
    <w:semiHidden/>
    <w:qFormat/>
    <w:uiPriority w:val="99"/>
    <w:rPr>
      <w:sz w:val="18"/>
      <w:szCs w:val="18"/>
    </w:rPr>
  </w:style>
  <w:style w:type="character" w:customStyle="1" w:styleId="56">
    <w:name w:val="正文首行缩进 2 Char"/>
    <w:basedOn w:val="51"/>
    <w:link w:val="26"/>
    <w:semiHidden/>
    <w:qFormat/>
    <w:uiPriority w:val="99"/>
    <w:rPr>
      <w:sz w:val="28"/>
      <w:szCs w:val="24"/>
    </w:rPr>
  </w:style>
  <w:style w:type="paragraph" w:customStyle="1" w:styleId="57">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58">
    <w:name w:val="默认段落字体 Para Char Char Char Char Char Char Char Char Char1 Char Char Char Char"/>
    <w:basedOn w:val="1"/>
    <w:qFormat/>
    <w:uiPriority w:val="99"/>
    <w:rPr>
      <w:rFonts w:ascii="Tahoma" w:hAnsi="Tahoma"/>
      <w:sz w:val="24"/>
      <w:szCs w:val="20"/>
    </w:rPr>
  </w:style>
  <w:style w:type="paragraph" w:customStyle="1" w:styleId="59">
    <w:name w:val="Default"/>
    <w:next w:val="60"/>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TOC 71"/>
    <w:next w:val="1"/>
    <w:qFormat/>
    <w:uiPriority w:val="99"/>
    <w:pPr>
      <w:wordWrap w:val="0"/>
      <w:ind w:left="2550"/>
      <w:jc w:val="both"/>
    </w:pPr>
    <w:rPr>
      <w:rFonts w:ascii="Calibri" w:hAnsi="Calibri" w:eastAsia="宋体" w:cs="Times New Roman"/>
      <w:sz w:val="21"/>
      <w:szCs w:val="22"/>
      <w:lang w:val="en-US" w:eastAsia="zh-CN" w:bidi="ar-SA"/>
    </w:rPr>
  </w:style>
  <w:style w:type="paragraph" w:customStyle="1" w:styleId="62">
    <w:name w:val="正文段"/>
    <w:basedOn w:val="1"/>
    <w:qFormat/>
    <w:uiPriority w:val="99"/>
    <w:pPr>
      <w:spacing w:afterLines="50"/>
      <w:ind w:firstLine="200" w:firstLineChars="200"/>
    </w:pPr>
    <w:rPr>
      <w:sz w:val="24"/>
      <w:szCs w:val="20"/>
    </w:rPr>
  </w:style>
  <w:style w:type="paragraph" w:customStyle="1" w:styleId="63">
    <w:name w:val="正文缩进1"/>
    <w:basedOn w:val="1"/>
    <w:next w:val="9"/>
    <w:qFormat/>
    <w:uiPriority w:val="99"/>
    <w:pPr>
      <w:widowControl/>
      <w:ind w:firstLine="420"/>
      <w:jc w:val="left"/>
    </w:pPr>
    <w:rPr>
      <w:kern w:val="0"/>
    </w:rPr>
  </w:style>
  <w:style w:type="paragraph" w:customStyle="1" w:styleId="64">
    <w:name w:val="p0"/>
    <w:basedOn w:val="1"/>
    <w:qFormat/>
    <w:uiPriority w:val="99"/>
    <w:pPr>
      <w:widowControl/>
      <w:spacing w:before="100" w:beforeAutospacing="1" w:after="100" w:afterAutospacing="1"/>
      <w:jc w:val="left"/>
    </w:pPr>
    <w:rPr>
      <w:rFonts w:ascii="宋体" w:hAnsi="宋体"/>
      <w:kern w:val="0"/>
    </w:rPr>
  </w:style>
  <w:style w:type="character" w:customStyle="1" w:styleId="65">
    <w:name w:val="批注文字 Char"/>
    <w:link w:val="11"/>
    <w:semiHidden/>
    <w:qFormat/>
    <w:uiPriority w:val="99"/>
    <w:rPr>
      <w:kern w:val="2"/>
      <w:sz w:val="28"/>
      <w:szCs w:val="24"/>
    </w:rPr>
  </w:style>
  <w:style w:type="character" w:customStyle="1" w:styleId="66">
    <w:name w:val="批注主题 Char"/>
    <w:link w:val="25"/>
    <w:semiHidden/>
    <w:qFormat/>
    <w:uiPriority w:val="99"/>
    <w:rPr>
      <w:b/>
      <w:bCs/>
      <w:kern w:val="2"/>
      <w:sz w:val="28"/>
      <w:szCs w:val="24"/>
    </w:rPr>
  </w:style>
  <w:style w:type="paragraph" w:styleId="67">
    <w:name w:val="No Spacing"/>
    <w:qFormat/>
    <w:uiPriority w:val="99"/>
    <w:pPr>
      <w:widowControl w:val="0"/>
      <w:jc w:val="both"/>
    </w:pPr>
    <w:rPr>
      <w:rFonts w:ascii="Times New Roman" w:hAnsi="Times New Roman" w:eastAsia="仿宋_GB2312" w:cs="Times New Roman"/>
      <w:kern w:val="2"/>
      <w:sz w:val="32"/>
      <w:lang w:val="en-US" w:eastAsia="zh-CN" w:bidi="ar-SA"/>
    </w:rPr>
  </w:style>
  <w:style w:type="paragraph" w:styleId="68">
    <w:name w:val="List Paragraph"/>
    <w:basedOn w:val="1"/>
    <w:unhideWhenUsed/>
    <w:qFormat/>
    <w:uiPriority w:val="99"/>
    <w:pPr>
      <w:ind w:firstLine="420" w:firstLineChars="200"/>
    </w:pPr>
  </w:style>
  <w:style w:type="paragraph" w:customStyle="1" w:styleId="69">
    <w:name w:val="纯文本1"/>
    <w:basedOn w:val="39"/>
    <w:qFormat/>
    <w:uiPriority w:val="0"/>
    <w:pPr>
      <w:widowControl/>
      <w:jc w:val="left"/>
    </w:pPr>
    <w:rPr>
      <w:rFonts w:ascii="宋体" w:hAnsi="Courier New"/>
    </w:rPr>
  </w:style>
  <w:style w:type="paragraph" w:customStyle="1" w:styleId="70">
    <w:name w:val="Body Text First Indent 21"/>
    <w:basedOn w:val="71"/>
    <w:qFormat/>
    <w:uiPriority w:val="0"/>
    <w:pPr>
      <w:ind w:left="420" w:leftChars="200" w:firstLine="420"/>
    </w:pPr>
    <w:rPr>
      <w:szCs w:val="21"/>
    </w:rPr>
  </w:style>
  <w:style w:type="paragraph" w:customStyle="1" w:styleId="71">
    <w:name w:val="Body Text Indent1"/>
    <w:basedOn w:val="1"/>
    <w:qFormat/>
    <w:uiPriority w:val="0"/>
    <w:pPr>
      <w:spacing w:line="360" w:lineRule="auto"/>
      <w:ind w:firstLine="435"/>
    </w:pPr>
  </w:style>
  <w:style w:type="paragraph" w:customStyle="1" w:styleId="72">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73">
    <w:name w:val="Body text|1"/>
    <w:basedOn w:val="1"/>
    <w:qFormat/>
    <w:uiPriority w:val="0"/>
    <w:pPr>
      <w:spacing w:line="360" w:lineRule="auto"/>
      <w:ind w:firstLine="400"/>
    </w:pPr>
    <w:rPr>
      <w:rFonts w:ascii="宋体" w:hAnsi="宋体" w:cs="宋体"/>
      <w:sz w:val="22"/>
      <w:szCs w:val="22"/>
      <w:lang w:val="zh-TW" w:eastAsia="zh-TW" w:bidi="zh-TW"/>
    </w:rPr>
  </w:style>
  <w:style w:type="character" w:customStyle="1" w:styleId="74">
    <w:name w:val="font51"/>
    <w:basedOn w:val="29"/>
    <w:qFormat/>
    <w:uiPriority w:val="0"/>
    <w:rPr>
      <w:rFonts w:hint="eastAsia" w:ascii="宋体" w:hAnsi="宋体" w:eastAsia="宋体" w:cs="宋体"/>
      <w:b/>
      <w:bCs/>
      <w:color w:val="000000"/>
      <w:sz w:val="24"/>
      <w:szCs w:val="24"/>
      <w:u w:val="none"/>
    </w:rPr>
  </w:style>
  <w:style w:type="character" w:customStyle="1" w:styleId="75">
    <w:name w:val="font81"/>
    <w:basedOn w:val="29"/>
    <w:qFormat/>
    <w:uiPriority w:val="0"/>
    <w:rPr>
      <w:rFonts w:hint="eastAsia" w:ascii="宋体" w:hAnsi="宋体" w:eastAsia="宋体" w:cs="宋体"/>
      <w:b/>
      <w:bCs/>
      <w:color w:val="FF0000"/>
      <w:sz w:val="24"/>
      <w:szCs w:val="24"/>
      <w:u w:val="none"/>
    </w:rPr>
  </w:style>
  <w:style w:type="paragraph" w:customStyle="1" w:styleId="76">
    <w:name w:val="text-tag"/>
    <w:semiHidden/>
    <w:qFormat/>
    <w:uiPriority w:val="99"/>
    <w:pPr>
      <w:widowControl/>
      <w:adjustRightInd/>
      <w:spacing w:before="100" w:beforeAutospacing="1" w:after="100" w:afterAutospacing="1" w:line="288" w:lineRule="auto"/>
      <w:ind w:firstLine="1204" w:firstLineChars="200"/>
      <w:jc w:val="left"/>
    </w:pPr>
    <w:rPr>
      <w:rFonts w:ascii="宋体" w:hAnsi="宋体" w:eastAsia="仿宋" w:cs="宋体"/>
      <w:kern w:val="0"/>
      <w:sz w:val="24"/>
      <w:lang w:val="en-US" w:eastAsia="zh-CN" w:bidi="ar-SA"/>
    </w:rPr>
  </w:style>
  <w:style w:type="paragraph" w:customStyle="1" w:styleId="77">
    <w:name w:val="报告正文"/>
    <w:qFormat/>
    <w:uiPriority w:val="99"/>
    <w:pPr>
      <w:widowControl w:val="0"/>
      <w:adjustRightInd w:val="0"/>
      <w:snapToGrid w:val="0"/>
      <w:spacing w:line="288" w:lineRule="auto"/>
      <w:ind w:left="3060" w:leftChars="1700"/>
      <w:jc w:val="both"/>
    </w:pPr>
    <w:rPr>
      <w:rFonts w:hint="eastAsia" w:ascii="华文细黑" w:hAnsi="华文细黑" w:eastAsia="华文细黑" w:cs="宋体"/>
      <w:kern w:val="2"/>
      <w:sz w:val="21"/>
      <w:lang w:val="en-US" w:eastAsia="zh-CN" w:bidi="ar-SA"/>
    </w:rPr>
  </w:style>
  <w:style w:type="paragraph" w:customStyle="1" w:styleId="78">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character" w:customStyle="1" w:styleId="79">
    <w:name w:val="font21"/>
    <w:qFormat/>
    <w:uiPriority w:val="0"/>
    <w:rPr>
      <w:rFonts w:hint="eastAsia" w:ascii="宋体" w:hAnsi="宋体" w:eastAsia="宋体" w:cs="宋体"/>
      <w:color w:val="000000"/>
      <w:sz w:val="15"/>
      <w:szCs w:val="15"/>
      <w:u w:val="none"/>
    </w:rPr>
  </w:style>
  <w:style w:type="character" w:customStyle="1" w:styleId="80">
    <w:name w:val="font31"/>
    <w:qFormat/>
    <w:uiPriority w:val="0"/>
    <w:rPr>
      <w:rFonts w:hint="eastAsia" w:ascii="宋体" w:hAnsi="宋体" w:eastAsia="宋体" w:cs="宋体"/>
      <w:color w:val="000000"/>
      <w:sz w:val="14"/>
      <w:szCs w:val="14"/>
      <w:u w:val="none"/>
    </w:rPr>
  </w:style>
  <w:style w:type="character" w:customStyle="1" w:styleId="81">
    <w:name w:val="font01"/>
    <w:basedOn w:val="29"/>
    <w:qFormat/>
    <w:uiPriority w:val="0"/>
    <w:rPr>
      <w:rFonts w:ascii="Arial" w:hAnsi="Arial" w:cs="Arial"/>
      <w:color w:val="000000"/>
      <w:sz w:val="20"/>
      <w:szCs w:val="20"/>
      <w:u w:val="none"/>
    </w:rPr>
  </w:style>
  <w:style w:type="character" w:customStyle="1" w:styleId="82">
    <w:name w:val="font1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FB7AB-0FB2-481B-B966-0F9954790CF3}">
  <ds:schemaRefs/>
</ds:datastoreItem>
</file>

<file path=docProps/app.xml><?xml version="1.0" encoding="utf-8"?>
<Properties xmlns="http://schemas.openxmlformats.org/officeDocument/2006/extended-properties" xmlns:vt="http://schemas.openxmlformats.org/officeDocument/2006/docPropsVTypes">
  <Template>Normal</Template>
  <Company>衢州市税务局</Company>
  <Pages>98</Pages>
  <Words>16054</Words>
  <Characters>17452</Characters>
  <Lines>210</Lines>
  <Paragraphs>59</Paragraphs>
  <TotalTime>1</TotalTime>
  <ScaleCrop>false</ScaleCrop>
  <LinksUpToDate>false</LinksUpToDate>
  <CharactersWithSpaces>17642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2020-05-25T08:31:00Z</dcterms:created>
  <dc:creator>包包大人</dc:creator>
  <cp:lastModifiedBy>点点妈</cp:lastModifiedBy>
  <cp:lastPrinted>2023-11-14T01:30:00Z</cp:lastPrinted>
  <dcterms:modified xsi:type="dcterms:W3CDTF">2025-07-14T09:57:20Z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B110111DE2B74118A6601B5B63468C2F_13</vt:lpwstr>
  </property>
  <property fmtid="{D5CDD505-2E9C-101B-9397-08002B2CF9AE}" pid="4" name="KSOTemplateDocerSaveRecord">
    <vt:lpwstr>eyJoZGlkIjoiMzEwNTM5NzYwMDRjMzkwZTVkZjY2ODkwMGIxNGU0OTUiLCJ1c2VySWQiOiIxMTQ4NDA1NjM4In0=</vt:lpwstr>
  </property>
</Properties>
</file>