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0C5D6">
      <w:pPr>
        <w:ind w:firstLine="422"/>
        <w:rPr>
          <w:rFonts w:ascii="Times New Roman" w:hAnsi="Times New Roman" w:cs="Times New Roman"/>
          <w:color w:val="000000" w:themeColor="text1"/>
          <w14:textFill>
            <w14:solidFill>
              <w14:schemeClr w14:val="tx1"/>
            </w14:solidFill>
          </w14:textFill>
        </w:rPr>
      </w:pPr>
    </w:p>
    <w:p w14:paraId="459C1BE1">
      <w:pPr>
        <w:ind w:right="-105" w:rightChars="-50" w:firstLine="374"/>
        <w:jc w:val="center"/>
        <w:rPr>
          <w:rFonts w:ascii="Times New Roman" w:hAnsi="Times New Roman" w:cs="Times New Roman"/>
          <w:color w:val="000000" w:themeColor="text1"/>
          <w:spacing w:val="-12"/>
          <w:szCs w:val="21"/>
          <w14:textFill>
            <w14:solidFill>
              <w14:schemeClr w14:val="tx1"/>
            </w14:solidFill>
          </w14:textFill>
        </w:rPr>
      </w:pPr>
    </w:p>
    <w:p w14:paraId="7DF11674">
      <w:pPr>
        <w:pStyle w:val="11"/>
        <w:ind w:firstLine="883"/>
        <w:rPr>
          <w:rFonts w:ascii="Times New Roman" w:hAnsi="Times New Roman" w:cs="Times New Roman"/>
          <w:color w:val="000000" w:themeColor="text1"/>
          <w:sz w:val="44"/>
          <w:szCs w:val="44"/>
          <w14:textFill>
            <w14:solidFill>
              <w14:schemeClr w14:val="tx1"/>
            </w14:solidFill>
          </w14:textFill>
        </w:rPr>
      </w:pPr>
    </w:p>
    <w:p w14:paraId="1CD73EB0">
      <w:pPr>
        <w:spacing w:line="360" w:lineRule="auto"/>
        <w:ind w:right="-105" w:rightChars="-50" w:firstLine="0" w:firstLineChars="0"/>
        <w:jc w:val="both"/>
        <w:rPr>
          <w:rFonts w:ascii="Times New Roman" w:hAnsi="Times New Roman" w:cs="Times New Roman"/>
          <w:color w:val="000000" w:themeColor="text1"/>
          <w:sz w:val="48"/>
          <w:szCs w:val="48"/>
          <w14:textFill>
            <w14:solidFill>
              <w14:schemeClr w14:val="tx1"/>
            </w14:solidFill>
          </w14:textFill>
        </w:rPr>
      </w:pPr>
      <w:r>
        <w:rPr>
          <w:rFonts w:hint="eastAsia" w:ascii="Times New Roman" w:hAnsi="Times New Roman" w:cs="Times New Roman"/>
          <w:color w:val="000000" w:themeColor="text1"/>
          <w:sz w:val="48"/>
          <w:szCs w:val="48"/>
          <w14:textFill>
            <w14:solidFill>
              <w14:schemeClr w14:val="tx1"/>
            </w14:solidFill>
          </w14:textFill>
        </w:rPr>
        <w:t>温州园博会——“舟山园”项目采购</w:t>
      </w:r>
    </w:p>
    <w:p w14:paraId="0DD272C0">
      <w:pPr>
        <w:ind w:right="-105" w:rightChars="-50" w:firstLine="1446"/>
        <w:jc w:val="center"/>
        <w:rPr>
          <w:rFonts w:ascii="Times New Roman" w:hAnsi="Times New Roman" w:cs="Times New Roman"/>
          <w:color w:val="000000" w:themeColor="text1"/>
          <w:sz w:val="72"/>
          <w:szCs w:val="72"/>
          <w14:textFill>
            <w14:solidFill>
              <w14:schemeClr w14:val="tx1"/>
            </w14:solidFill>
          </w14:textFill>
        </w:rPr>
      </w:pPr>
    </w:p>
    <w:p w14:paraId="0638430D">
      <w:pPr>
        <w:pStyle w:val="11"/>
        <w:ind w:firstLine="562"/>
        <w:rPr>
          <w:rFonts w:ascii="Times New Roman" w:hAnsi="Times New Roman" w:cs="Times New Roman"/>
          <w:color w:val="000000" w:themeColor="text1"/>
          <w14:textFill>
            <w14:solidFill>
              <w14:schemeClr w14:val="tx1"/>
            </w14:solidFill>
          </w14:textFill>
        </w:rPr>
      </w:pPr>
    </w:p>
    <w:p w14:paraId="560700F2">
      <w:pPr>
        <w:pStyle w:val="11"/>
        <w:ind w:firstLine="562"/>
        <w:rPr>
          <w:rFonts w:ascii="Times New Roman" w:hAnsi="Times New Roman" w:cs="Times New Roman"/>
          <w:color w:val="000000" w:themeColor="text1"/>
          <w14:textFill>
            <w14:solidFill>
              <w14:schemeClr w14:val="tx1"/>
            </w14:solidFill>
          </w14:textFill>
        </w:rPr>
      </w:pPr>
    </w:p>
    <w:p w14:paraId="2788599A">
      <w:pPr>
        <w:ind w:right="-105" w:rightChars="-50" w:firstLine="1446"/>
        <w:jc w:val="both"/>
        <w:rPr>
          <w:rFonts w:ascii="Times New Roman" w:hAnsi="Times New Roman" w:cs="Times New Roman"/>
          <w:color w:val="000000" w:themeColor="text1"/>
          <w:sz w:val="72"/>
          <w:szCs w:val="72"/>
          <w14:textFill>
            <w14:solidFill>
              <w14:schemeClr w14:val="tx1"/>
            </w14:solidFill>
          </w14:textFill>
        </w:rPr>
      </w:pPr>
      <w:r>
        <w:rPr>
          <w:rFonts w:hint="eastAsia" w:ascii="Times New Roman" w:hAnsi="Times New Roman" w:cs="Times New Roman"/>
          <w:color w:val="000000" w:themeColor="text1"/>
          <w:sz w:val="72"/>
          <w:szCs w:val="72"/>
          <w14:textFill>
            <w14:solidFill>
              <w14:schemeClr w14:val="tx1"/>
            </w14:solidFill>
          </w14:textFill>
        </w:rPr>
        <w:t>竞争性磋商文件</w:t>
      </w:r>
    </w:p>
    <w:p w14:paraId="42D5681A">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6243B5CE">
      <w:pPr>
        <w:pStyle w:val="3"/>
        <w:ind w:firstLine="643"/>
        <w:rPr>
          <w:rFonts w:ascii="Times New Roman" w:hAnsi="Times New Roman" w:eastAsia="宋体" w:cs="Times New Roman"/>
          <w:color w:val="000000" w:themeColor="text1"/>
          <w14:textFill>
            <w14:solidFill>
              <w14:schemeClr w14:val="tx1"/>
            </w14:solidFill>
          </w14:textFill>
        </w:rPr>
      </w:pPr>
    </w:p>
    <w:p w14:paraId="17756A29">
      <w:pPr>
        <w:ind w:right="-105" w:rightChars="-50" w:firstLine="562"/>
        <w:rPr>
          <w:rFonts w:ascii="Times New Roman" w:hAnsi="Times New Roman" w:cs="Times New Roman"/>
          <w:color w:val="000000" w:themeColor="text1"/>
          <w:sz w:val="28"/>
          <w:szCs w:val="28"/>
          <w14:textFill>
            <w14:solidFill>
              <w14:schemeClr w14:val="tx1"/>
            </w14:solidFill>
          </w14:textFill>
        </w:rPr>
      </w:pPr>
    </w:p>
    <w:p w14:paraId="47E8970A">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2BA97A80">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6A97F32E">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7E10880F">
      <w:pPr>
        <w:spacing w:line="480" w:lineRule="auto"/>
        <w:ind w:left="0" w:leftChars="0" w:right="-424" w:rightChars="-202" w:firstLine="0"/>
        <w:rPr>
          <w:rFonts w:hint="default" w:ascii="Times New Roman" w:hAnsi="Times New Roman" w:eastAsia="宋体" w:cs="Times New Roman"/>
          <w:color w:val="000000" w:themeColor="text1"/>
          <w:sz w:val="30"/>
          <w:szCs w:val="30"/>
          <w:lang w:val="en-US" w:eastAsia="zh-CN"/>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项目编号：TLZB-2025-</w:t>
      </w:r>
      <w:r>
        <w:rPr>
          <w:rFonts w:hint="eastAsia" w:ascii="Times New Roman" w:hAnsi="Times New Roman" w:cs="Times New Roman"/>
          <w:color w:val="000000" w:themeColor="text1"/>
          <w:sz w:val="30"/>
          <w:szCs w:val="30"/>
          <w:lang w:val="en-US" w:eastAsia="zh-CN"/>
          <w14:textFill>
            <w14:solidFill>
              <w14:schemeClr w14:val="tx1"/>
            </w14:solidFill>
          </w14:textFill>
        </w:rPr>
        <w:t xml:space="preserve">210   </w:t>
      </w:r>
    </w:p>
    <w:p w14:paraId="4A7D0C3F">
      <w:pPr>
        <w:spacing w:line="480" w:lineRule="auto"/>
        <w:ind w:left="0" w:leftChars="0" w:right="-424" w:rightChars="-202" w:firstLine="0" w:firstLineChars="0"/>
        <w:rPr>
          <w:rFonts w:ascii="Times New Roman" w:hAnsi="Times New Roman" w:cs="Times New Roman"/>
          <w:color w:val="000000" w:themeColor="text1"/>
          <w:sz w:val="30"/>
          <w:szCs w:val="30"/>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项目名称：温州园博会——“舟山园”项目采购</w:t>
      </w:r>
    </w:p>
    <w:p w14:paraId="13511C94">
      <w:pPr>
        <w:spacing w:line="480" w:lineRule="auto"/>
        <w:ind w:left="0" w:leftChars="0" w:right="-424" w:rightChars="-202" w:firstLine="0"/>
        <w:rPr>
          <w:rFonts w:ascii="Times New Roman" w:hAnsi="Times New Roman" w:cs="Times New Roman"/>
          <w:color w:val="000000" w:themeColor="text1"/>
          <w:sz w:val="30"/>
          <w:szCs w:val="30"/>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采购单位：</w:t>
      </w:r>
      <w:r>
        <w:rPr>
          <w:rFonts w:hint="eastAsia" w:ascii="Times New Roman" w:hAnsi="Times New Roman" w:cs="Times New Roman"/>
          <w:color w:val="000000" w:themeColor="text1"/>
          <w:sz w:val="30"/>
          <w:szCs w:val="30"/>
          <w:lang w:val="en-US" w:eastAsia="zh-CN"/>
          <w14:textFill>
            <w14:solidFill>
              <w14:schemeClr w14:val="tx1"/>
            </w14:solidFill>
          </w14:textFill>
        </w:rPr>
        <w:t>舟山市住房和城乡建设局</w:t>
      </w:r>
    </w:p>
    <w:p w14:paraId="1B5885BB">
      <w:pPr>
        <w:spacing w:line="480" w:lineRule="auto"/>
        <w:ind w:left="0" w:leftChars="0" w:right="-424" w:rightChars="-202" w:firstLine="0"/>
        <w:rPr>
          <w:rFonts w:ascii="Times New Roman" w:hAnsi="Times New Roman" w:cs="Times New Roman"/>
          <w:color w:val="000000" w:themeColor="text1"/>
          <w:sz w:val="44"/>
          <w:szCs w:val="44"/>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招标代理单位：浙江天隆工程管理有限公司</w:t>
      </w:r>
    </w:p>
    <w:p w14:paraId="3E2F47B6">
      <w:pPr>
        <w:pStyle w:val="15"/>
        <w:shd w:val="clear"/>
        <w:spacing w:before="120" w:after="120" w:line="600" w:lineRule="auto"/>
        <w:ind w:firstLine="0" w:firstLineChars="0"/>
        <w:jc w:val="center"/>
        <w:rPr>
          <w:rFonts w:ascii="Times New Roman" w:hAnsi="Times New Roman" w:eastAsia="宋体" w:cs="Times New Roman"/>
          <w:color w:val="000000" w:themeColor="text1"/>
          <w:sz w:val="44"/>
          <w:szCs w:val="44"/>
          <w14:textFill>
            <w14:solidFill>
              <w14:schemeClr w14:val="tx1"/>
            </w14:solidFill>
          </w14:textFill>
        </w:rPr>
      </w:pPr>
      <w:r>
        <w:rPr>
          <w:rFonts w:hint="eastAsia" w:ascii="Times New Roman" w:hAnsi="Times New Roman" w:eastAsia="宋体" w:cs="Times New Roman"/>
          <w:color w:val="000000" w:themeColor="text1"/>
          <w:kern w:val="2"/>
          <w:sz w:val="30"/>
          <w:szCs w:val="30"/>
          <w:lang w:val="en-US" w:eastAsia="zh-CN" w:bidi="ar-SA"/>
          <w14:textFill>
            <w14:solidFill>
              <w14:schemeClr w14:val="tx1"/>
            </w14:solidFill>
          </w14:textFill>
        </w:rPr>
        <w:t>时    间：二〇二五年六月   日</w:t>
      </w:r>
      <w:r>
        <w:rPr>
          <w:rFonts w:ascii="Times New Roman" w:hAnsi="Times New Roman" w:eastAsia="宋体" w:cs="Times New Roman"/>
          <w:color w:val="000000" w:themeColor="text1"/>
          <w:sz w:val="44"/>
          <w:szCs w:val="44"/>
          <w14:textFill>
            <w14:solidFill>
              <w14:schemeClr w14:val="tx1"/>
            </w14:solidFill>
          </w14:textFill>
        </w:rPr>
        <w:br w:type="page"/>
      </w:r>
      <w:r>
        <w:rPr>
          <w:rFonts w:hint="eastAsia" w:ascii="Times New Roman" w:hAnsi="Times New Roman" w:eastAsia="宋体" w:cs="Times New Roman"/>
          <w:color w:val="000000" w:themeColor="text1"/>
          <w:sz w:val="44"/>
          <w:szCs w:val="44"/>
          <w14:textFill>
            <w14:solidFill>
              <w14:schemeClr w14:val="tx1"/>
            </w14:solidFill>
          </w14:textFill>
        </w:rPr>
        <w:t>目    录</w:t>
      </w:r>
    </w:p>
    <w:p w14:paraId="64CCBD62">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第一章  竞争性磋商公告</w:t>
      </w:r>
    </w:p>
    <w:p w14:paraId="5E7E151B">
      <w:pPr>
        <w:shd w:val="clear"/>
        <w:tabs>
          <w:tab w:val="left" w:pos="7248"/>
        </w:tabs>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第二章  采购需求</w:t>
      </w:r>
      <w:r>
        <w:rPr>
          <w:rFonts w:ascii="Times New Roman" w:hAnsi="Times New Roman" w:cs="Times New Roman"/>
          <w:color w:val="000000" w:themeColor="text1"/>
          <w:sz w:val="32"/>
          <w:szCs w:val="32"/>
          <w14:textFill>
            <w14:solidFill>
              <w14:schemeClr w14:val="tx1"/>
            </w14:solidFill>
          </w14:textFill>
        </w:rPr>
        <w:tab/>
      </w:r>
    </w:p>
    <w:p w14:paraId="616BF998">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第三章  响应人须知</w:t>
      </w:r>
    </w:p>
    <w:p w14:paraId="22E402EA">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 xml:space="preserve">前附表 </w:t>
      </w:r>
    </w:p>
    <w:p w14:paraId="2B93A761">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一、总 则</w:t>
      </w:r>
    </w:p>
    <w:p w14:paraId="16834AC6">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二、竞争性磋商文件</w:t>
      </w:r>
    </w:p>
    <w:p w14:paraId="086DB08C">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三、响应文件的编制</w:t>
      </w:r>
    </w:p>
    <w:p w14:paraId="1FDA77A3">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四、开标</w:t>
      </w:r>
    </w:p>
    <w:p w14:paraId="5D71A314">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五、评标</w:t>
      </w:r>
    </w:p>
    <w:p w14:paraId="4F2682A1">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六、定标</w:t>
      </w:r>
    </w:p>
    <w:p w14:paraId="28C4D93B">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七、合同授予</w:t>
      </w:r>
    </w:p>
    <w:p w14:paraId="142B8295">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第四章  磋商办法及标准</w:t>
      </w:r>
    </w:p>
    <w:p w14:paraId="6A43E54A">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第五章  合同主要条款</w:t>
      </w:r>
    </w:p>
    <w:p w14:paraId="49AE33C0">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第六章  响应文件格式</w:t>
      </w:r>
    </w:p>
    <w:p w14:paraId="208F900E">
      <w:pPr>
        <w:shd w:val="clear"/>
        <w:ind w:firstLine="602"/>
        <w:jc w:val="center"/>
        <w:rPr>
          <w:rFonts w:ascii="Times New Roman" w:hAnsi="Times New Roman" w:cs="Times New Roman"/>
          <w:b/>
          <w:color w:val="000000" w:themeColor="text1"/>
          <w:sz w:val="30"/>
          <w14:textFill>
            <w14:solidFill>
              <w14:schemeClr w14:val="tx1"/>
            </w14:solidFill>
          </w14:textFill>
        </w:rPr>
      </w:pPr>
      <w:r>
        <w:rPr>
          <w:rFonts w:ascii="Times New Roman" w:hAnsi="Times New Roman" w:cs="Times New Roman"/>
          <w:b/>
          <w:color w:val="000000" w:themeColor="text1"/>
          <w:sz w:val="30"/>
          <w:szCs w:val="30"/>
          <w14:textFill>
            <w14:solidFill>
              <w14:schemeClr w14:val="tx1"/>
            </w14:solidFill>
          </w14:textFill>
        </w:rPr>
        <w:br w:type="page"/>
      </w:r>
      <w:bookmarkStart w:id="0" w:name="OLE_LINK1"/>
      <w:r>
        <w:rPr>
          <w:rFonts w:hint="eastAsia" w:ascii="Times New Roman" w:hAnsi="Times New Roman" w:cs="Times New Roman"/>
          <w:b/>
          <w:color w:val="000000" w:themeColor="text1"/>
          <w:sz w:val="30"/>
          <w14:textFill>
            <w14:solidFill>
              <w14:schemeClr w14:val="tx1"/>
            </w14:solidFill>
          </w14:textFill>
        </w:rPr>
        <w:t xml:space="preserve">第一章 </w:t>
      </w:r>
      <w:bookmarkStart w:id="1" w:name="OLE_LINK3"/>
      <w:r>
        <w:rPr>
          <w:rFonts w:hint="eastAsia" w:ascii="Times New Roman" w:hAnsi="Times New Roman" w:cs="Times New Roman"/>
          <w:b/>
          <w:color w:val="000000" w:themeColor="text1"/>
          <w:sz w:val="30"/>
          <w14:textFill>
            <w14:solidFill>
              <w14:schemeClr w14:val="tx1"/>
            </w14:solidFill>
          </w14:textFill>
        </w:rPr>
        <w:t xml:space="preserve"> </w:t>
      </w:r>
      <w:bookmarkStart w:id="2" w:name="OLE_LINK4"/>
      <w:bookmarkStart w:id="3" w:name="OLE_LINK2"/>
      <w:r>
        <w:rPr>
          <w:rFonts w:hint="eastAsia" w:ascii="Times New Roman" w:hAnsi="Times New Roman" w:cs="Times New Roman"/>
          <w:b/>
          <w:color w:val="000000" w:themeColor="text1"/>
          <w:sz w:val="30"/>
          <w14:textFill>
            <w14:solidFill>
              <w14:schemeClr w14:val="tx1"/>
            </w14:solidFill>
          </w14:textFill>
        </w:rPr>
        <w:t>竞争性磋商公告</w:t>
      </w:r>
    </w:p>
    <w:bookmarkEnd w:id="0"/>
    <w:bookmarkEnd w:id="1"/>
    <w:bookmarkEnd w:id="2"/>
    <w:bookmarkEnd w:id="3"/>
    <w:p w14:paraId="278AE332">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p>
    <w:tbl>
      <w:tblPr>
        <w:tblStyle w:val="30"/>
        <w:tblW w:w="93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3"/>
      </w:tblGrid>
      <w:tr w14:paraId="7370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3" w:type="dxa"/>
          </w:tcPr>
          <w:p w14:paraId="0E356FA8">
            <w:pPr>
              <w:widowControl/>
              <w:shd w:val="clear"/>
              <w:spacing w:line="360" w:lineRule="exact"/>
              <w:ind w:firstLine="422"/>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项目概况</w:t>
            </w:r>
          </w:p>
          <w:p w14:paraId="74998563">
            <w:pPr>
              <w:widowControl/>
              <w:shd w:val="clear"/>
              <w:spacing w:line="360" w:lineRule="exact"/>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温州园博会——“舟山园”项目采购的潜在供应商应在浙江政府采购网http://zfcg.czt.zj.gov.cn/（用“政采云”注册账号、密码登录系统后获取招标文件） 获取（下载）采购文件，并于2025年</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月</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日</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（北京时间）前提交（上传）响应文件。</w:t>
            </w:r>
          </w:p>
        </w:tc>
      </w:tr>
    </w:tbl>
    <w:p w14:paraId="5F73D23A">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p>
    <w:p w14:paraId="5DF7A905">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一、项目基本情况</w:t>
      </w:r>
      <w:r>
        <w:rPr>
          <w:rFonts w:hint="eastAsia" w:ascii="Times New Roman" w:hAnsi="Times New Roman" w:cs="Times New Roman"/>
          <w:color w:val="000000" w:themeColor="text1"/>
          <w:kern w:val="0"/>
          <w:szCs w:val="21"/>
          <w14:textFill>
            <w14:solidFill>
              <w14:schemeClr w14:val="tx1"/>
            </w14:solidFill>
          </w14:textFill>
        </w:rPr>
        <w:t xml:space="preserve"> </w:t>
      </w:r>
    </w:p>
    <w:p w14:paraId="4A3EE4FC">
      <w:pPr>
        <w:widowControl/>
        <w:shd w:val="clear"/>
        <w:adjustRightInd w:val="0"/>
        <w:snapToGrid w:val="0"/>
        <w:spacing w:line="360" w:lineRule="exact"/>
        <w:ind w:firstLine="422"/>
        <w:rPr>
          <w:rFonts w:hint="default" w:ascii="Times New Roman" w:hAnsi="Times New Roman" w:cs="Times New Roman"/>
          <w:color w:val="000000" w:themeColor="text1"/>
          <w:kern w:val="0"/>
          <w:szCs w:val="21"/>
          <w:highlight w:val="none"/>
          <w:lang w:val="en-US"/>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项目编号：</w:t>
      </w:r>
      <w:r>
        <w:rPr>
          <w:rFonts w:hint="eastAsia" w:ascii="Times New Roman" w:hAnsi="Times New Roman" w:cs="Times New Roman"/>
          <w:color w:val="auto"/>
          <w:szCs w:val="21"/>
          <w:highlight w:val="none"/>
        </w:rPr>
        <w:t>TLZB-202</w:t>
      </w:r>
      <w:r>
        <w:rPr>
          <w:rFonts w:hint="eastAsia" w:ascii="Times New Roman" w:hAnsi="Times New Roman" w:cs="Times New Roman"/>
          <w:color w:val="auto"/>
          <w:szCs w:val="21"/>
          <w:highlight w:val="none"/>
          <w:lang w:val="en-US" w:eastAsia="zh-CN"/>
        </w:rPr>
        <w:t>5</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 xml:space="preserve">210   </w:t>
      </w:r>
    </w:p>
    <w:p w14:paraId="25DF766C">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项目名称：温州园博会——“舟山园”项目采购</w:t>
      </w:r>
    </w:p>
    <w:p w14:paraId="64F7BE11">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采购方式：竞争性磋商</w:t>
      </w:r>
    </w:p>
    <w:p w14:paraId="29E3FA29">
      <w:pPr>
        <w:widowControl/>
        <w:shd w:val="clear"/>
        <w:adjustRightInd w:val="0"/>
        <w:snapToGrid w:val="0"/>
        <w:spacing w:line="360" w:lineRule="exact"/>
        <w:ind w:firstLine="422"/>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预算金额（元）：</w:t>
      </w:r>
      <w:r>
        <w:rPr>
          <w:rFonts w:hint="eastAsia" w:cs="Times New Roman"/>
          <w:color w:val="000000" w:themeColor="text1"/>
          <w:kern w:val="0"/>
          <w:szCs w:val="21"/>
          <w:highlight w:val="none"/>
          <w:lang w:val="en-US" w:eastAsia="zh-CN"/>
          <w14:textFill>
            <w14:solidFill>
              <w14:schemeClr w14:val="tx1"/>
            </w14:solidFill>
          </w14:textFill>
        </w:rPr>
        <w:t>3980000</w:t>
      </w:r>
    </w:p>
    <w:p w14:paraId="08B67D73">
      <w:pPr>
        <w:widowControl/>
        <w:shd w:val="clear"/>
        <w:adjustRightInd w:val="0"/>
        <w:snapToGrid w:val="0"/>
        <w:spacing w:line="360" w:lineRule="exact"/>
        <w:ind w:firstLine="422"/>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最高限价（元）：</w:t>
      </w:r>
      <w:r>
        <w:rPr>
          <w:rFonts w:hint="eastAsia" w:cs="Times New Roman"/>
          <w:b/>
          <w:bCs/>
          <w:color w:val="000000" w:themeColor="text1"/>
          <w:kern w:val="0"/>
          <w:szCs w:val="21"/>
          <w:highlight w:val="none"/>
          <w:lang w:val="en-US" w:eastAsia="zh-CN"/>
          <w14:textFill>
            <w14:solidFill>
              <w14:schemeClr w14:val="tx1"/>
            </w14:solidFill>
          </w14:textFill>
        </w:rPr>
        <w:t>3980000</w:t>
      </w:r>
    </w:p>
    <w:p w14:paraId="335D7379">
      <w:pPr>
        <w:widowControl/>
        <w:shd w:val="clear"/>
        <w:adjustRightInd w:val="0"/>
        <w:snapToGrid w:val="0"/>
        <w:spacing w:line="360" w:lineRule="exact"/>
        <w:ind w:firstLine="422"/>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采购需求：</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详见采购文件</w:t>
      </w:r>
    </w:p>
    <w:p w14:paraId="46851988">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p>
    <w:p w14:paraId="66556FD0">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数量</w:t>
      </w:r>
      <w:r>
        <w:rPr>
          <w:rFonts w:hint="eastAsia"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1</w:t>
      </w:r>
    </w:p>
    <w:p w14:paraId="4A25DC6B">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预算金额（元）：</w:t>
      </w:r>
    </w:p>
    <w:p w14:paraId="19F39746">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单位：项</w:t>
      </w:r>
    </w:p>
    <w:p w14:paraId="43EE5AA3">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简要规格描述：围绕温州园博会的“诗画山海·共享创意生活”主题，传承“天人合一”观念和山水美学思想，以“绿色舟山、创新舟山、特色舟山”向全国展示舟山群岛新区这张独特的城市名片，打造集园林艺术、文化展示、生态文明于一体的“舟山园”。</w:t>
      </w:r>
    </w:p>
    <w:p w14:paraId="68D198BA">
      <w:pPr>
        <w:widowControl/>
        <w:shd w:val="clear"/>
        <w:adjustRightInd w:val="0"/>
        <w:snapToGrid w:val="0"/>
        <w:spacing w:line="360" w:lineRule="exact"/>
        <w:ind w:firstLine="422"/>
        <w:rPr>
          <w:rFonts w:hint="eastAsia"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备注：</w:t>
      </w:r>
    </w:p>
    <w:p w14:paraId="58003EFE">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合同履约期限：</w:t>
      </w:r>
      <w:r>
        <w:rPr>
          <w:rFonts w:hint="eastAsia" w:cs="Times New Roman"/>
          <w:color w:val="000000" w:themeColor="text1"/>
          <w:kern w:val="0"/>
          <w:szCs w:val="21"/>
          <w:highlight w:val="none"/>
          <w:lang w:val="en-US" w:eastAsia="zh-CN"/>
          <w14:textFill>
            <w14:solidFill>
              <w14:schemeClr w14:val="tx1"/>
            </w14:solidFill>
          </w14:textFill>
        </w:rPr>
        <w:t>详见采购需求。</w:t>
      </w:r>
      <w:r>
        <w:rPr>
          <w:rFonts w:hint="eastAsia" w:ascii="Times New Roman" w:hAnsi="Times New Roman" w:cs="Times New Roman"/>
          <w:color w:val="auto"/>
          <w:highlight w:val="none"/>
        </w:rPr>
        <w:t xml:space="preserve"> </w:t>
      </w:r>
    </w:p>
    <w:p w14:paraId="6275E36D">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本项目（否）接受联合体投标。</w:t>
      </w:r>
    </w:p>
    <w:p w14:paraId="02FD6F73">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二、申请人的资格要求：</w:t>
      </w:r>
    </w:p>
    <w:p w14:paraId="28D1FFA5">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0540C043">
      <w:pPr>
        <w:keepNext w:val="0"/>
        <w:keepLines w:val="0"/>
        <w:pageBreakBefore w:val="0"/>
        <w:shd w:val="clear"/>
        <w:kinsoku/>
        <w:wordWrap/>
        <w:overflowPunct/>
        <w:topLinePunct w:val="0"/>
        <w:autoSpaceDE/>
        <w:autoSpaceDN/>
        <w:bidi w:val="0"/>
        <w:spacing w:line="360" w:lineRule="exact"/>
        <w:ind w:firstLine="420" w:firstLineChars="200"/>
        <w:textAlignment w:val="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2.落实政府采购政策需满足的资格要求：标项1：本项目属于专门面向中小企业采购的项目，供应商应为符合《政府采购促进中小企业发展管理办法》（财库﹝2020﹞46 号）的中小企业，提供中小企业声明函（其中，小微企业包括视同为小型、微型企业的监狱企业、残疾人福利性单位）。</w:t>
      </w:r>
    </w:p>
    <w:p w14:paraId="56E3F60F">
      <w:pPr>
        <w:keepNext w:val="0"/>
        <w:keepLines w:val="0"/>
        <w:pageBreakBefore w:val="0"/>
        <w:widowControl/>
        <w:shd w:val="clear"/>
        <w:kinsoku/>
        <w:wordWrap/>
        <w:overflowPunct/>
        <w:topLinePunct w:val="0"/>
        <w:autoSpaceDE/>
        <w:autoSpaceDN/>
        <w:bidi w:val="0"/>
        <w:adjustRightInd w:val="0"/>
        <w:snapToGrid w:val="0"/>
        <w:spacing w:line="360" w:lineRule="exact"/>
        <w:ind w:firstLine="422"/>
        <w:textAlignment w:val="auto"/>
        <w:rPr>
          <w:rFonts w:ascii="Times New Roman" w:hAnsi="Times New Roman" w:cs="Times New Roman"/>
          <w:color w:val="auto"/>
          <w:szCs w:val="21"/>
        </w:rPr>
      </w:pPr>
      <w:r>
        <w:rPr>
          <w:rFonts w:hint="eastAsia" w:ascii="Times New Roman" w:hAnsi="Times New Roman" w:cs="Times New Roman"/>
          <w:color w:val="auto"/>
          <w:kern w:val="0"/>
          <w:szCs w:val="21"/>
        </w:rPr>
        <w:t>3.本项目的特定资格要求：无</w:t>
      </w:r>
      <w:r>
        <w:rPr>
          <w:rFonts w:hint="eastAsia" w:ascii="Times New Roman" w:hAnsi="Times New Roman" w:cs="Times New Roman"/>
          <w:color w:val="auto"/>
          <w:szCs w:val="21"/>
        </w:rPr>
        <w:t>。</w:t>
      </w:r>
    </w:p>
    <w:p w14:paraId="78AD9902">
      <w:pPr>
        <w:keepNext w:val="0"/>
        <w:keepLines w:val="0"/>
        <w:pageBreakBefore w:val="0"/>
        <w:widowControl/>
        <w:shd w:val="clear"/>
        <w:kinsoku/>
        <w:wordWrap/>
        <w:overflowPunct/>
        <w:topLinePunct w:val="0"/>
        <w:autoSpaceDE/>
        <w:autoSpaceDN/>
        <w:bidi w:val="0"/>
        <w:adjustRightInd w:val="0"/>
        <w:snapToGrid w:val="0"/>
        <w:spacing w:line="360" w:lineRule="exact"/>
        <w:textAlignment w:val="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三、获取（下载）采购文件</w:t>
      </w:r>
      <w:r>
        <w:rPr>
          <w:rFonts w:hint="eastAsia" w:ascii="Times New Roman" w:hAnsi="Times New Roman" w:cs="Times New Roman"/>
          <w:color w:val="000000" w:themeColor="text1"/>
          <w:kern w:val="0"/>
          <w:szCs w:val="21"/>
          <w14:textFill>
            <w14:solidFill>
              <w14:schemeClr w14:val="tx1"/>
            </w14:solidFill>
          </w14:textFill>
        </w:rPr>
        <w:t> </w:t>
      </w:r>
    </w:p>
    <w:p w14:paraId="321CFEA4">
      <w:pPr>
        <w:keepNext w:val="0"/>
        <w:keepLines w:val="0"/>
        <w:pageBreakBefore w:val="0"/>
        <w:widowControl/>
        <w:shd w:val="clear"/>
        <w:kinsoku/>
        <w:wordWrap/>
        <w:overflowPunct/>
        <w:topLinePunct w:val="0"/>
        <w:autoSpaceDE/>
        <w:autoSpaceDN/>
        <w:bidi w:val="0"/>
        <w:adjustRightInd w:val="0"/>
        <w:snapToGrid w:val="0"/>
        <w:spacing w:line="360" w:lineRule="exact"/>
        <w:ind w:firstLine="422"/>
        <w:textAlignment w:val="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时间：至2025年</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月</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日，每天上午00:00至12:00 ，下午12:00至23:59（北京时间，线上获取法定节假日均可，线下获取文件法定节假日除外）</w:t>
      </w:r>
    </w:p>
    <w:p w14:paraId="69FB9ED5">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地点（网址）：政府采购云平台（</w:t>
      </w:r>
      <w:r>
        <w:rPr>
          <w:rFonts w:ascii="Times New Roman" w:hAnsi="Times New Roman" w:cs="Times New Roman"/>
        </w:rPr>
        <w:fldChar w:fldCharType="begin"/>
      </w:r>
      <w:r>
        <w:rPr>
          <w:rFonts w:ascii="Times New Roman" w:hAnsi="Times New Roman" w:cs="Times New Roman"/>
        </w:rPr>
        <w:instrText xml:space="preserve"> HYPERLINK "https://www.zcygov.cn/" </w:instrText>
      </w:r>
      <w:r>
        <w:rPr>
          <w:rFonts w:ascii="Times New Roman" w:hAnsi="Times New Roman" w:cs="Times New Roman"/>
        </w:rPr>
        <w:fldChar w:fldCharType="separate"/>
      </w:r>
      <w:r>
        <w:rPr>
          <w:rStyle w:val="36"/>
          <w:rFonts w:hint="eastAsia" w:ascii="Times New Roman" w:hAnsi="Times New Roman" w:cs="Times New Roman"/>
          <w:color w:val="000000" w:themeColor="text1"/>
          <w:kern w:val="0"/>
          <w14:textFill>
            <w14:solidFill>
              <w14:schemeClr w14:val="tx1"/>
            </w14:solidFill>
          </w14:textFill>
        </w:rPr>
        <w:t>https://www.zcygov.cn/</w:t>
      </w:r>
      <w:r>
        <w:rPr>
          <w:rStyle w:val="36"/>
          <w:rFonts w:hint="eastAsia" w:ascii="Times New Roman" w:hAnsi="Times New Roman" w:cs="Times New Roman"/>
          <w:color w:val="000000" w:themeColor="text1"/>
          <w:kern w:val="0"/>
          <w14:textFill>
            <w14:solidFill>
              <w14:schemeClr w14:val="tx1"/>
            </w14:solidFill>
          </w14:textFill>
        </w:rPr>
        <w:fldChar w:fldCharType="end"/>
      </w:r>
      <w:r>
        <w:rPr>
          <w:rFonts w:hint="eastAsia" w:ascii="Times New Roman" w:hAnsi="Times New Roman" w:cs="Times New Roman"/>
          <w:color w:val="000000" w:themeColor="text1"/>
          <w:kern w:val="0"/>
          <w:szCs w:val="21"/>
          <w14:textFill>
            <w14:solidFill>
              <w14:schemeClr w14:val="tx1"/>
            </w14:solidFill>
          </w14:textFill>
        </w:rPr>
        <w:t xml:space="preserve">） </w:t>
      </w:r>
    </w:p>
    <w:p w14:paraId="40C2A1DC">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方式：供应商登录政采云平台https://www.zcygov.cn/在线申请获取采购文件（进入“项目采购”应用，在获取采购文件菜单中选择项目，申请获取采购文件）</w:t>
      </w:r>
    </w:p>
    <w:p w14:paraId="74C4BAE0">
      <w:pPr>
        <w:widowControl/>
        <w:shd w:val="clear"/>
        <w:adjustRightInd w:val="0"/>
        <w:snapToGrid w:val="0"/>
        <w:spacing w:line="360" w:lineRule="exact"/>
        <w:ind w:firstLine="422"/>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售价（元）：0</w:t>
      </w:r>
    </w:p>
    <w:p w14:paraId="024B81FD">
      <w:pPr>
        <w:widowControl/>
        <w:shd w:val="clear"/>
        <w:adjustRightInd w:val="0"/>
        <w:snapToGrid w:val="0"/>
        <w:spacing w:line="360" w:lineRule="exac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 xml:space="preserve">四、响应文件提交（上传） </w:t>
      </w:r>
    </w:p>
    <w:p w14:paraId="25C68071">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截止时间：2025年</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月</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日</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（北京时间）</w:t>
      </w:r>
    </w:p>
    <w:p w14:paraId="16F41688">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地点（网址）：请登录政采云投标客户端投标</w:t>
      </w:r>
    </w:p>
    <w:p w14:paraId="2C6E3ED9">
      <w:pPr>
        <w:widowControl/>
        <w:shd w:val="clear"/>
        <w:adjustRightInd w:val="0"/>
        <w:snapToGrid w:val="0"/>
        <w:spacing w:line="360" w:lineRule="exac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 xml:space="preserve">五、响应文件开启 </w:t>
      </w:r>
    </w:p>
    <w:p w14:paraId="480781CE">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开启时间：2025年</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月</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日</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（北京时间）</w:t>
      </w:r>
    </w:p>
    <w:p w14:paraId="537B6C30">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地点（网址）：政府采购云平台（www.zcygov.cn）</w:t>
      </w:r>
    </w:p>
    <w:p w14:paraId="32A5C7CC">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六、公告期限</w:t>
      </w:r>
    </w:p>
    <w:p w14:paraId="402B7FCC">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自本公告发布之日起5个工作日。</w:t>
      </w:r>
    </w:p>
    <w:p w14:paraId="6A53BB69">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七、其他补充事宜</w:t>
      </w:r>
    </w:p>
    <w:p w14:paraId="39D5B0DC">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41C5E7">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4B0DF9">
      <w:pPr>
        <w:widowControl/>
        <w:shd w:val="clear"/>
        <w:spacing w:line="360" w:lineRule="exact"/>
        <w:ind w:firstLine="422"/>
        <w:jc w:val="left"/>
        <w:rPr>
          <w:rFonts w:hint="eastAsia"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97CECF">
      <w:pPr>
        <w:widowControl/>
        <w:shd w:val="clear"/>
        <w:spacing w:line="360" w:lineRule="exact"/>
        <w:ind w:firstLine="422"/>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其他事项：（1）成交人应在合同签订前成为浙江政府采购网正式注册供应商。（2）供应商须在线获取CA数字证书（完成CA数字证书办理预计一周左右，建议各响应人自行把握时间），并登录“浙江省政府采购网”（zfcg.czt.zj.gov.cn），进入“下载专区”下载“电子交易客户端”，制作投标文件。（3）潜在供应商应当按照规定方式获取采购文件（附件里的采购文件仅供阅览使</w:t>
      </w:r>
      <w:r>
        <w:rPr>
          <w:rFonts w:hint="eastAsia" w:ascii="Times New Roman" w:hAnsi="Times New Roman" w:cs="Times New Roman"/>
          <w:color w:val="000000" w:themeColor="text1"/>
          <w:kern w:val="0"/>
          <w:szCs w:val="21"/>
          <w:highlight w:val="none"/>
          <w14:textFill>
            <w14:solidFill>
              <w14:schemeClr w14:val="tx1"/>
            </w14:solidFill>
          </w14:textFill>
        </w:rPr>
        <w:t>用），未按照规定方式获取采购文件的，不得对采购文件提起质疑投诉。</w:t>
      </w:r>
    </w:p>
    <w:p w14:paraId="67DC8F35">
      <w:pPr>
        <w:widowControl/>
        <w:shd w:val="clear"/>
        <w:adjustRightInd w:val="0"/>
        <w:snapToGrid w:val="0"/>
        <w:spacing w:line="360" w:lineRule="exac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八、对本次采购提出询问、质疑、投诉，请按以下方式联系</w:t>
      </w:r>
    </w:p>
    <w:p w14:paraId="173A50E7">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1.采购人信息</w:t>
      </w:r>
    </w:p>
    <w:p w14:paraId="00EC4CE9">
      <w:pPr>
        <w:widowControl/>
        <w:shd w:val="clear"/>
        <w:spacing w:line="360" w:lineRule="exact"/>
        <w:ind w:firstLine="422"/>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名称：舟山市住房和城乡建设局</w:t>
      </w:r>
    </w:p>
    <w:p w14:paraId="2589A570">
      <w:pPr>
        <w:widowControl/>
        <w:shd w:val="clear"/>
        <w:spacing w:line="360" w:lineRule="exact"/>
        <w:ind w:firstLine="422"/>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地址：舟山市新城海天大道681号7号楼</w:t>
      </w:r>
    </w:p>
    <w:p w14:paraId="587FEE3D">
      <w:pPr>
        <w:widowControl/>
        <w:adjustRightInd w:val="0"/>
        <w:snapToGrid w:val="0"/>
        <w:spacing w:line="360" w:lineRule="exact"/>
        <w:ind w:firstLine="422"/>
        <w:rPr>
          <w:rFonts w:hint="eastAsia"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项目联系人（询问）：陈辰</w:t>
      </w:r>
    </w:p>
    <w:p w14:paraId="06306F0F">
      <w:pPr>
        <w:widowControl/>
        <w:adjustRightInd w:val="0"/>
        <w:snapToGrid w:val="0"/>
        <w:spacing w:line="360" w:lineRule="exact"/>
        <w:ind w:firstLine="422"/>
        <w:rPr>
          <w:rFonts w:hint="eastAsia"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项目联系方式（询问）：0580-2283034</w:t>
      </w:r>
    </w:p>
    <w:p w14:paraId="436286CE">
      <w:pPr>
        <w:widowControl/>
        <w:adjustRightInd w:val="0"/>
        <w:snapToGrid w:val="0"/>
        <w:spacing w:line="360" w:lineRule="exact"/>
        <w:ind w:firstLine="422"/>
        <w:rPr>
          <w:rFonts w:hint="eastAsia"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质疑联系人：陈华杰</w:t>
      </w:r>
    </w:p>
    <w:p w14:paraId="09C5A09B">
      <w:pPr>
        <w:widowControl/>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质疑联系方式：0580-2283171</w:t>
      </w:r>
    </w:p>
    <w:p w14:paraId="2D297F8A">
      <w:pPr>
        <w:widowControl/>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 xml:space="preserve">2.采购代理机构信息 </w:t>
      </w:r>
    </w:p>
    <w:p w14:paraId="26318308">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名称：浙江天隆工程管理有限公司</w:t>
      </w:r>
    </w:p>
    <w:p w14:paraId="6B04A3C1">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地址：</w:t>
      </w:r>
      <w:r>
        <w:rPr>
          <w:rFonts w:hint="eastAsia" w:ascii="Times New Roman" w:hAnsi="Times New Roman" w:cs="Times New Roman" w:eastAsiaTheme="minorEastAsia"/>
          <w:color w:val="auto"/>
          <w:shd w:val="clear" w:color="auto" w:fill="FFFFFF"/>
        </w:rPr>
        <w:t>浙江省</w:t>
      </w:r>
      <w:r>
        <w:rPr>
          <w:rFonts w:hint="eastAsia" w:ascii="Times New Roman" w:hAnsi="Times New Roman" w:cs="Times New Roman" w:eastAsiaTheme="minorEastAsia"/>
          <w:color w:val="auto"/>
        </w:rPr>
        <w:t>舟山市定沈路620号工行金跃大厦23楼</w:t>
      </w:r>
    </w:p>
    <w:p w14:paraId="1464EE7A">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传真：</w:t>
      </w:r>
      <w:r>
        <w:rPr>
          <w:rFonts w:hint="eastAsia" w:ascii="Times New Roman" w:hAnsi="Times New Roman" w:cs="Times New Roman" w:eastAsiaTheme="minorEastAsia"/>
          <w:color w:val="auto"/>
          <w:shd w:val="clear" w:color="auto" w:fill="FFFFFF"/>
        </w:rPr>
        <w:t>0580-8260928</w:t>
      </w:r>
    </w:p>
    <w:p w14:paraId="280BC4B0">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项目联系人（询问）：</w:t>
      </w:r>
      <w:r>
        <w:rPr>
          <w:rFonts w:hint="eastAsia" w:ascii="Times New Roman" w:hAnsi="Times New Roman" w:cs="Times New Roman" w:eastAsiaTheme="minorEastAsia"/>
          <w:color w:val="auto"/>
          <w:shd w:val="clear" w:color="auto" w:fill="FFFFFF"/>
        </w:rPr>
        <w:t>王迪</w:t>
      </w:r>
    </w:p>
    <w:p w14:paraId="349DC491">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项目联系方式（询问）：</w:t>
      </w:r>
      <w:r>
        <w:rPr>
          <w:rFonts w:hint="eastAsia" w:ascii="Times New Roman" w:hAnsi="Times New Roman" w:cs="Times New Roman" w:eastAsiaTheme="minorEastAsia"/>
          <w:color w:val="auto"/>
          <w:shd w:val="clear" w:color="auto" w:fill="FFFFFF"/>
        </w:rPr>
        <w:t>0580-8260928</w:t>
      </w:r>
    </w:p>
    <w:p w14:paraId="30AD8372">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质疑联系人：</w:t>
      </w:r>
      <w:r>
        <w:rPr>
          <w:rFonts w:hint="eastAsia" w:ascii="Times New Roman" w:hAnsi="Times New Roman" w:cs="Times New Roman" w:eastAsiaTheme="minorEastAsia"/>
          <w:color w:val="auto"/>
          <w:shd w:val="clear" w:color="auto" w:fill="FFFFFF"/>
        </w:rPr>
        <w:t>李云飞</w:t>
      </w:r>
    </w:p>
    <w:p w14:paraId="65ABBCED">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auto"/>
          <w:szCs w:val="21"/>
        </w:rPr>
        <w:t>质疑联系方式：</w:t>
      </w:r>
      <w:r>
        <w:rPr>
          <w:rFonts w:hint="eastAsia" w:ascii="Times New Roman" w:hAnsi="Times New Roman" w:cs="Times New Roman" w:eastAsiaTheme="minorEastAsia"/>
          <w:color w:val="auto"/>
          <w:shd w:val="clear" w:color="auto" w:fill="FFFFFF"/>
        </w:rPr>
        <w:t>0580-8260928</w:t>
      </w:r>
    </w:p>
    <w:p w14:paraId="23A343B9">
      <w:pPr>
        <w:widowControl/>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   </w:t>
      </w:r>
    </w:p>
    <w:p w14:paraId="56665FF4">
      <w:pPr>
        <w:widowControl/>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3.同级政府采购监督管理部门  </w:t>
      </w:r>
    </w:p>
    <w:p w14:paraId="66FA11CC">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名称：舟山市财政局政府采购监管处</w:t>
      </w:r>
    </w:p>
    <w:p w14:paraId="662ECAE5">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传真：/</w:t>
      </w:r>
    </w:p>
    <w:p w14:paraId="1D0BEEDC">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联系人：</w:t>
      </w:r>
      <w:r>
        <w:rPr>
          <w:rFonts w:hint="eastAsia" w:ascii="Times New Roman" w:hAnsi="Times New Roman" w:cs="Times New Roman"/>
          <w:color w:val="auto"/>
          <w:szCs w:val="21"/>
        </w:rPr>
        <w:t>王女士</w:t>
      </w:r>
    </w:p>
    <w:p w14:paraId="69BFDACD">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监督投诉电话：</w:t>
      </w:r>
      <w:r>
        <w:rPr>
          <w:rFonts w:hint="eastAsia" w:ascii="Times New Roman" w:hAnsi="Times New Roman" w:cs="Times New Roman"/>
          <w:color w:val="auto"/>
          <w:sz w:val="21"/>
          <w:szCs w:val="21"/>
        </w:rPr>
        <w:t>0580-2282591</w:t>
      </w:r>
    </w:p>
    <w:p w14:paraId="4E77F8BD">
      <w:pPr>
        <w:adjustRightInd w:val="0"/>
        <w:snapToGrid w:val="0"/>
        <w:spacing w:line="360" w:lineRule="exact"/>
        <w:ind w:firstLine="422" w:firstLineChars="200"/>
        <w:rPr>
          <w:rFonts w:ascii="Times New Roman" w:hAnsi="Times New Roman" w:cs="Times New Roman"/>
          <w:b/>
          <w:color w:val="000000" w:themeColor="text1"/>
          <w:kern w:val="0"/>
          <w:szCs w:val="21"/>
          <w14:textFill>
            <w14:solidFill>
              <w14:schemeClr w14:val="tx1"/>
            </w14:solidFill>
          </w14:textFill>
        </w:rPr>
      </w:pPr>
    </w:p>
    <w:p w14:paraId="7955B585">
      <w:pPr>
        <w:widowControl/>
        <w:adjustRightInd w:val="0"/>
        <w:snapToGrid w:val="0"/>
        <w:spacing w:line="360" w:lineRule="exact"/>
        <w:ind w:firstLine="420" w:firstLineChars="20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90DB4D4">
      <w:pPr>
        <w:widowControl/>
        <w:adjustRightInd w:val="0"/>
        <w:snapToGrid w:val="0"/>
        <w:spacing w:line="360" w:lineRule="exact"/>
        <w:ind w:firstLine="420" w:firstLineChars="20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CA问题联系电话（人工）：汇信CA 400-888-4636；天谷CA 400-087-8198。</w:t>
      </w:r>
    </w:p>
    <w:p w14:paraId="26791526">
      <w:pPr>
        <w:pStyle w:val="15"/>
        <w:ind w:firstLine="602"/>
        <w:rPr>
          <w:rFonts w:ascii="Times New Roman" w:hAnsi="Times New Roman" w:eastAsia="宋体" w:cs="Times New Roman"/>
          <w:color w:val="000000" w:themeColor="text1"/>
          <w14:textFill>
            <w14:solidFill>
              <w14:schemeClr w14:val="tx1"/>
            </w14:solidFill>
          </w14:textFill>
        </w:rPr>
      </w:pPr>
    </w:p>
    <w:p w14:paraId="5DA4B9BD">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0"/>
        <w:rPr>
          <w:rFonts w:hint="eastAsia" w:ascii="Times New Roman" w:hAnsi="Times New Roman" w:cs="Times New Roman"/>
          <w:b/>
          <w:color w:val="000000" w:themeColor="text1"/>
          <w:sz w:val="30"/>
          <w14:textFill>
            <w14:solidFill>
              <w14:schemeClr w14:val="tx1"/>
            </w14:solidFill>
          </w14:textFill>
        </w:rPr>
      </w:pPr>
      <w:r>
        <w:rPr>
          <w:rFonts w:hint="eastAsia" w:ascii="Times New Roman" w:hAnsi="Times New Roman" w:cs="Times New Roman"/>
          <w:b/>
          <w:color w:val="000000" w:themeColor="text1"/>
          <w:sz w:val="30"/>
          <w14:textFill>
            <w14:solidFill>
              <w14:schemeClr w14:val="tx1"/>
            </w14:solidFill>
          </w14:textFill>
        </w:rPr>
        <w:br w:type="page"/>
      </w:r>
    </w:p>
    <w:p w14:paraId="11DE86D2">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outlineLvl w:val="0"/>
        <w:rPr>
          <w:rFonts w:hint="default" w:ascii="Times New Roman" w:hAnsi="Times New Roman" w:eastAsia="宋体" w:cs="Times New Roman"/>
          <w:b/>
          <w:color w:val="000000" w:themeColor="text1"/>
          <w:sz w:val="30"/>
          <w:lang w:val="en-US" w:eastAsia="zh-CN"/>
          <w14:textFill>
            <w14:solidFill>
              <w14:schemeClr w14:val="tx1"/>
            </w14:solidFill>
          </w14:textFill>
        </w:rPr>
      </w:pPr>
      <w:r>
        <w:rPr>
          <w:rFonts w:hint="eastAsia" w:ascii="Times New Roman" w:hAnsi="Times New Roman" w:cs="Times New Roman"/>
          <w:b/>
          <w:color w:val="000000" w:themeColor="text1"/>
          <w:sz w:val="30"/>
          <w:lang w:val="en-US" w:eastAsia="zh-CN"/>
          <w14:textFill>
            <w14:solidFill>
              <w14:schemeClr w14:val="tx1"/>
            </w14:solidFill>
          </w14:textFill>
        </w:rPr>
        <w:t>第二章 采购需求</w:t>
      </w:r>
    </w:p>
    <w:p w14:paraId="0C5F3C35">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宋体" w:hAnsi="宋体" w:eastAsia="宋体" w:cs="宋体"/>
          <w:sz w:val="21"/>
          <w:szCs w:val="21"/>
        </w:rPr>
      </w:pPr>
      <w:r>
        <w:rPr>
          <w:rFonts w:hint="eastAsia" w:ascii="宋体" w:hAnsi="宋体" w:eastAsia="宋体" w:cs="宋体"/>
          <w:sz w:val="21"/>
          <w:szCs w:val="21"/>
        </w:rPr>
        <w:t>项目需求</w:t>
      </w:r>
    </w:p>
    <w:p w14:paraId="1FB19B75">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项目名称：</w:t>
      </w:r>
      <w:r>
        <w:rPr>
          <w:rFonts w:hint="eastAsia" w:ascii="宋体" w:hAnsi="宋体" w:eastAsia="宋体" w:cs="宋体"/>
          <w:b w:val="0"/>
          <w:color w:val="auto"/>
          <w:kern w:val="2"/>
          <w:sz w:val="21"/>
          <w:szCs w:val="21"/>
          <w:lang w:val="en-US" w:eastAsia="zh-CN" w:bidi="ar-SA"/>
        </w:rPr>
        <w:t>温州园博会——“舟山园”项目采购</w:t>
      </w:r>
    </w:p>
    <w:p w14:paraId="6E7EC778">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宋体" w:hAnsi="宋体" w:eastAsia="宋体" w:cs="宋体"/>
          <w:sz w:val="21"/>
          <w:szCs w:val="21"/>
        </w:rPr>
      </w:pPr>
      <w:r>
        <w:rPr>
          <w:rFonts w:hint="eastAsia" w:ascii="宋体" w:hAnsi="宋体" w:eastAsia="宋体" w:cs="宋体"/>
          <w:sz w:val="21"/>
          <w:szCs w:val="21"/>
        </w:rPr>
        <w:t>实施范围</w:t>
      </w:r>
    </w:p>
    <w:p w14:paraId="09B918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本届园博会项目位于温州市瓯海区，园博会总面积230.5公顷。“舟山园”展区位于园区浙山浙水展区第B6号园，园区面积约1500平方米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项目景观范围约2000平方米，</w:t>
      </w:r>
      <w:r>
        <w:rPr>
          <w:rFonts w:hint="eastAsia" w:ascii="宋体" w:hAnsi="宋体" w:eastAsia="宋体" w:cs="宋体"/>
          <w:color w:val="auto"/>
          <w:sz w:val="21"/>
          <w:szCs w:val="21"/>
          <w:highlight w:val="none"/>
        </w:rPr>
        <w:t>建筑占地面积</w:t>
      </w:r>
      <w:r>
        <w:rPr>
          <w:rFonts w:hint="eastAsia" w:ascii="宋体" w:hAnsi="宋体" w:eastAsia="宋体" w:cs="宋体"/>
          <w:color w:val="auto"/>
          <w:sz w:val="21"/>
          <w:szCs w:val="21"/>
          <w:highlight w:val="none"/>
          <w:lang w:val="en-US" w:eastAsia="zh-CN"/>
        </w:rPr>
        <w:t>84.7</w:t>
      </w:r>
      <w:r>
        <w:rPr>
          <w:rFonts w:hint="eastAsia" w:ascii="宋体" w:hAnsi="宋体" w:eastAsia="宋体" w:cs="宋体"/>
          <w:color w:val="auto"/>
          <w:sz w:val="21"/>
          <w:szCs w:val="21"/>
          <w:highlight w:val="none"/>
        </w:rPr>
        <w:t>平方米，建筑面积</w:t>
      </w:r>
      <w:r>
        <w:rPr>
          <w:rFonts w:hint="eastAsia" w:ascii="宋体" w:hAnsi="宋体" w:eastAsia="宋体" w:cs="宋体"/>
          <w:color w:val="auto"/>
          <w:sz w:val="21"/>
          <w:szCs w:val="21"/>
          <w:highlight w:val="none"/>
          <w:lang w:val="en-US" w:eastAsia="zh-CN"/>
        </w:rPr>
        <w:t>84.7</w:t>
      </w:r>
      <w:r>
        <w:rPr>
          <w:rFonts w:hint="eastAsia" w:ascii="宋体" w:hAnsi="宋体" w:eastAsia="宋体" w:cs="宋体"/>
          <w:color w:val="auto"/>
          <w:sz w:val="21"/>
          <w:szCs w:val="21"/>
          <w:highlight w:val="none"/>
        </w:rPr>
        <w:t>平方米，主体建筑1层，建筑檐口高度3米，建筑高度为</w:t>
      </w:r>
      <w:r>
        <w:rPr>
          <w:rFonts w:hint="eastAsia" w:ascii="宋体" w:hAnsi="宋体" w:eastAsia="宋体" w:cs="宋体"/>
          <w:color w:val="auto"/>
          <w:sz w:val="21"/>
          <w:szCs w:val="21"/>
          <w:highlight w:val="none"/>
          <w:lang w:val="en-US" w:eastAsia="zh-CN"/>
        </w:rPr>
        <w:t>6.95</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lang w:eastAsia="zh-CN"/>
        </w:rPr>
        <w:t>。</w:t>
      </w:r>
    </w:p>
    <w:p w14:paraId="7F06C7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含但不限于红线范围内景观绿化（景观道路、园林小品、景观池、景石堆砌、绿地、景观照明电气、景观给排水、景观弱电、灌溉给水、造浪设备、雾森系统、水净化设备等）、建筑（含灯塔）及室内外装修（含精装修、室内电气、室内给排水、室内弱电等）、造浪系统机房、配套设施、室外综合管线等以及为完成本工程所需的所有措施项目、竣工验收及保修服务。</w:t>
      </w:r>
    </w:p>
    <w:p w14:paraId="56AFEE00">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项目背景</w:t>
      </w:r>
    </w:p>
    <w:p w14:paraId="11A93A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年12月，住房城乡建设部确定温州市为第十五届中国国际园林园博会承办城市。根据《第十五届中国（温州）国际园林博览会展园设计导则》要求：浙山浙水园作为美丽中国的浙江窗口，要注重塑造新时代的浙江园林，成为“中国诗画山水的浙江版本”、成为“绿色发展时代的鲜活样板”。</w:t>
      </w:r>
    </w:p>
    <w:p w14:paraId="1353C794">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项目意义</w:t>
      </w:r>
    </w:p>
    <w:p w14:paraId="27F890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展园博会有利于展示舟山特色风貌，提升城市知名度与形象，充分展现舟山园林绿化事业的高质量发展成果，进一步宣传舟山海上花园城市的靓丽名片，宣传舟山城市风貌和非遗文化，有利于提升舟山城市竞争力，助力舟山海洋经济和城市建设发展。</w:t>
      </w:r>
    </w:p>
    <w:p w14:paraId="181FEF22">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建设目标</w:t>
      </w:r>
    </w:p>
    <w:p w14:paraId="67C6BF1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围绕温州园博会的“诗画山海·共享创意生活”主题，传承“天人合一”观念和山水美学思想，“舟山园”以“绿色舟山、创新舟山、特色舟山”的理念，向全国展示舟山群岛新区这张独特的城市名片，打造集园林艺术、文化展示、生态文明于一体的“舟山园”。</w:t>
      </w:r>
    </w:p>
    <w:p w14:paraId="72CDC27B">
      <w:pPr>
        <w:pStyle w:val="3"/>
        <w:numPr>
          <w:ilvl w:val="1"/>
          <w:numId w:val="2"/>
        </w:numPr>
        <w:ind w:left="20" w:firstLine="400"/>
        <w:outlineLvl w:val="1"/>
        <w:rPr>
          <w:rFonts w:hint="eastAsia" w:ascii="宋体" w:hAnsi="宋体" w:eastAsia="宋体" w:cs="宋体"/>
          <w:sz w:val="21"/>
          <w:szCs w:val="21"/>
        </w:rPr>
      </w:pPr>
      <w:r>
        <w:rPr>
          <w:rFonts w:hint="eastAsia" w:ascii="宋体" w:hAnsi="宋体" w:eastAsia="宋体" w:cs="宋体"/>
          <w:sz w:val="21"/>
          <w:szCs w:val="21"/>
          <w:lang w:val="en-US" w:eastAsia="zh-CN"/>
        </w:rPr>
        <w:t>建设原则：</w:t>
      </w:r>
      <w:r>
        <w:rPr>
          <w:rFonts w:hint="eastAsia" w:ascii="宋体" w:hAnsi="宋体" w:eastAsia="宋体" w:cs="宋体"/>
          <w:b w:val="0"/>
          <w:bCs w:val="0"/>
          <w:sz w:val="21"/>
          <w:szCs w:val="21"/>
          <w:lang w:val="en-US" w:eastAsia="zh-CN"/>
        </w:rPr>
        <w:t>遵循《第十五届中国（温州）国际园林博览会浙山浙水展园设计导则》要求。</w:t>
      </w:r>
      <w:r>
        <w:rPr>
          <w:rFonts w:hint="eastAsia" w:ascii="宋体" w:hAnsi="宋体" w:eastAsia="宋体" w:cs="宋体"/>
          <w:b w:val="0"/>
          <w:bCs w:val="0"/>
          <w:sz w:val="21"/>
          <w:szCs w:val="21"/>
          <w:highlight w:val="none"/>
          <w:lang w:val="en-US" w:eastAsia="zh-CN"/>
        </w:rPr>
        <w:t>（具体详见附件）</w:t>
      </w:r>
    </w:p>
    <w:p w14:paraId="6BFF8DC8">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项目</w:t>
      </w:r>
      <w:r>
        <w:rPr>
          <w:rFonts w:hint="eastAsia" w:ascii="宋体" w:hAnsi="宋体" w:eastAsia="宋体" w:cs="宋体"/>
          <w:sz w:val="21"/>
          <w:szCs w:val="21"/>
          <w:lang w:val="en-US" w:eastAsia="zh-CN"/>
        </w:rPr>
        <w:t>要求</w:t>
      </w:r>
    </w:p>
    <w:p w14:paraId="5057A183">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outlineLvl w:val="1"/>
        <w:rPr>
          <w:rFonts w:hint="eastAsia" w:ascii="宋体" w:hAnsi="宋体" w:eastAsia="宋体" w:cs="宋体"/>
          <w:b w:val="0"/>
          <w:bCs w:val="0"/>
          <w:sz w:val="21"/>
          <w:szCs w:val="21"/>
        </w:rPr>
      </w:pPr>
      <w:r>
        <w:rPr>
          <w:rFonts w:hint="eastAsia" w:ascii="宋体" w:hAnsi="宋体" w:eastAsia="宋体" w:cs="宋体"/>
          <w:sz w:val="21"/>
          <w:szCs w:val="21"/>
        </w:rPr>
        <w:t>项目质量要求</w:t>
      </w:r>
      <w:r>
        <w:rPr>
          <w:rFonts w:hint="eastAsia" w:ascii="宋体" w:hAnsi="宋体" w:eastAsia="宋体" w:cs="宋体"/>
          <w:sz w:val="21"/>
          <w:szCs w:val="21"/>
          <w:lang w:eastAsia="zh-CN"/>
        </w:rPr>
        <w:t>：</w:t>
      </w:r>
    </w:p>
    <w:p w14:paraId="2F954D8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lang w:val="en-US" w:eastAsia="zh-CN" w:bidi="ar-SA"/>
        </w:rPr>
        <w:t>本项目质量目标：符合现行建设工程施工质量验收规范和标准及施工图纸及《中国国际园林博览会</w:t>
      </w:r>
      <w:r>
        <w:rPr>
          <w:rFonts w:hint="eastAsia" w:ascii="宋体" w:hAnsi="宋体" w:eastAsia="宋体" w:cs="宋体"/>
          <w:b w:val="0"/>
          <w:bCs w:val="0"/>
          <w:color w:val="auto"/>
          <w:kern w:val="2"/>
          <w:sz w:val="21"/>
          <w:szCs w:val="21"/>
          <w:highlight w:val="none"/>
          <w:lang w:val="en-US" w:eastAsia="zh-CN" w:bidi="ar-SA"/>
        </w:rPr>
        <w:t>管理办法》要求，一次性验收合格。</w:t>
      </w:r>
    </w:p>
    <w:p w14:paraId="638FB70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工程所有物资（设备）采购质量标准：符合招标文件、设计图纸及有关标准、规范的要求。</w:t>
      </w:r>
    </w:p>
    <w:p w14:paraId="653585E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园林绿化养护管理：符合《园林绿化养护标准》GJJ/T287-2018要求，如有调整按最新文件执行。</w:t>
      </w:r>
    </w:p>
    <w:p w14:paraId="11707A1B">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default" w:ascii="宋体" w:hAnsi="宋体" w:eastAsia="宋体" w:cs="宋体"/>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园林绿化建设/施工要求：按现行最新标准执行</w:t>
      </w:r>
    </w:p>
    <w:p w14:paraId="78A60B7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景观苗木选择：按设计规格要求物色合适的花卉和苗木，选择长势优良健壮、株型美观、无病虫害、品质优良的精品苗，要求优先选择能展示舟山特色的乡土苗木。</w:t>
      </w:r>
    </w:p>
    <w:p w14:paraId="5B3A697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样品：如有暂估价的材料供货前应向发包人提供样品。</w:t>
      </w:r>
    </w:p>
    <w:p w14:paraId="3611F7F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中标人须无条件接受质量</w:t>
      </w:r>
      <w:r>
        <w:rPr>
          <w:rFonts w:hint="eastAsia" w:ascii="宋体" w:hAnsi="宋体" w:eastAsia="宋体" w:cs="宋体"/>
          <w:b w:val="0"/>
          <w:bCs w:val="0"/>
          <w:color w:val="auto"/>
          <w:kern w:val="2"/>
          <w:sz w:val="21"/>
          <w:szCs w:val="21"/>
          <w:highlight w:val="none"/>
          <w:lang w:eastAsia="zh-CN" w:bidi="ar-SA"/>
        </w:rPr>
        <w:t>、安全</w:t>
      </w:r>
      <w:r>
        <w:rPr>
          <w:rFonts w:hint="eastAsia" w:ascii="宋体" w:hAnsi="宋体" w:eastAsia="宋体" w:cs="宋体"/>
          <w:b w:val="0"/>
          <w:bCs w:val="0"/>
          <w:color w:val="auto"/>
          <w:kern w:val="2"/>
          <w:sz w:val="21"/>
          <w:szCs w:val="21"/>
          <w:highlight w:val="none"/>
          <w:lang w:val="en-US" w:eastAsia="zh-CN" w:bidi="ar-SA"/>
        </w:rPr>
        <w:t>监督管理部门和监理方的质量检查和管理，共同把好质量关。</w:t>
      </w:r>
    </w:p>
    <w:p w14:paraId="69E85A88">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highlight w:val="none"/>
        </w:rPr>
        <w:t>项目实施要求：</w:t>
      </w:r>
      <w:r>
        <w:rPr>
          <w:rFonts w:hint="eastAsia" w:ascii="宋体" w:hAnsi="宋体" w:eastAsia="宋体" w:cs="宋体"/>
          <w:b w:val="0"/>
          <w:bCs w:val="0"/>
          <w:color w:val="auto"/>
          <w:kern w:val="2"/>
          <w:sz w:val="21"/>
          <w:szCs w:val="21"/>
          <w:highlight w:val="none"/>
          <w:lang w:val="en-US" w:eastAsia="zh-CN" w:bidi="ar-SA"/>
        </w:rPr>
        <w:t>施工应按国家相关规定进行，隐蔽工程经监理方验收合格后方可进入下一道工序施工。</w:t>
      </w:r>
    </w:p>
    <w:p w14:paraId="4BC39349">
      <w:pPr>
        <w:pStyle w:val="4"/>
        <w:keepNext w:val="0"/>
        <w:keepLines w:val="0"/>
        <w:pageBreakBefore w:val="0"/>
        <w:widowControl w:val="0"/>
        <w:numPr>
          <w:ilvl w:val="1"/>
          <w:numId w:val="2"/>
        </w:numPr>
        <w:kinsoku/>
        <w:wordWrap/>
        <w:overflowPunct/>
        <w:topLinePunct w:val="0"/>
        <w:autoSpaceDE/>
        <w:autoSpaceDN/>
        <w:bidi w:val="0"/>
        <w:adjustRightInd/>
        <w:spacing w:before="0" w:beforeLines="0" w:after="0" w:afterLines="0" w:line="360" w:lineRule="auto"/>
        <w:ind w:left="20" w:leftChars="0" w:firstLine="400" w:firstLineChars="0"/>
        <w:textAlignment w:val="auto"/>
        <w:outlineLvl w:val="2"/>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施工材料供应</w:t>
      </w:r>
    </w:p>
    <w:p w14:paraId="2395D9B7">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范围内的施工材料均由中标人根据本招标文件、深化设计图纸和国家有关规定的具体要求进行采购、送货运输、进场检验、现场保管。所有材料须有产品合格证和质量保证书，符合节能、环保要求和国家规定的技术标准。监理方可根据相关规定对具体的材料提出提供质检证明、现场抽检等要求，按国家规范要求的材料复检费用由中标人自行承担。</w:t>
      </w:r>
    </w:p>
    <w:p w14:paraId="53D0CECF">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项目的材料（即装饰完成后暴露在外，人眼可见的材料，包括墙地砖、开关面板、油漆涂料、饰面板、灯具、洁具、门窗、家电等）、大宗主要材料、以及展柜、布展材料等，中标人应在采购前向采购人（监理方）送样确认，未经确认不得擅自进场。</w:t>
      </w:r>
    </w:p>
    <w:p w14:paraId="3DF0CB83">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由中标人采购的主要施工材料，当中标人选定的产品质量达不到设计要求（或效果要求）和预期质量目标时，采购人保留更换的权利，费用不增加。</w:t>
      </w:r>
    </w:p>
    <w:p w14:paraId="499C82F7">
      <w:pPr>
        <w:pStyle w:val="4"/>
        <w:keepNext w:val="0"/>
        <w:keepLines w:val="0"/>
        <w:pageBreakBefore w:val="0"/>
        <w:widowControl w:val="0"/>
        <w:numPr>
          <w:ilvl w:val="1"/>
          <w:numId w:val="2"/>
        </w:numPr>
        <w:kinsoku/>
        <w:wordWrap/>
        <w:overflowPunct/>
        <w:topLinePunct w:val="0"/>
        <w:autoSpaceDE/>
        <w:autoSpaceDN/>
        <w:bidi w:val="0"/>
        <w:adjustRightInd/>
        <w:spacing w:before="0" w:beforeLines="0" w:after="0" w:afterLines="0" w:line="360" w:lineRule="auto"/>
        <w:ind w:left="20" w:leftChars="0" w:firstLine="400" w:firstLineChars="0"/>
        <w:textAlignment w:val="auto"/>
        <w:outlineLvl w:val="2"/>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项目实施具体要求</w:t>
      </w:r>
    </w:p>
    <w:p w14:paraId="732E1981">
      <w:pPr>
        <w:pStyle w:val="5"/>
        <w:keepNext w:val="0"/>
        <w:keepLines w:val="0"/>
        <w:pageBreakBefore w:val="0"/>
        <w:widowControl w:val="0"/>
        <w:numPr>
          <w:ilvl w:val="2"/>
          <w:numId w:val="2"/>
        </w:numPr>
        <w:kinsoku/>
        <w:wordWrap/>
        <w:overflowPunct/>
        <w:topLinePunct w:val="0"/>
        <w:autoSpaceDE/>
        <w:autoSpaceDN/>
        <w:bidi w:val="0"/>
        <w:adjustRightInd/>
        <w:spacing w:before="0" w:beforeLines="0" w:after="0" w:afterLines="0" w:line="360" w:lineRule="auto"/>
        <w:ind w:left="20" w:leftChars="0" w:firstLine="402" w:firstLineChars="0"/>
        <w:textAlignment w:val="auto"/>
        <w:outlineLvl w:val="3"/>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装饰结构部分</w:t>
      </w:r>
    </w:p>
    <w:p w14:paraId="4425D2EC">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根据展园的用途和功能确定承重结构，确保安全可靠。</w:t>
      </w:r>
    </w:p>
    <w:p w14:paraId="051204F7">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合理布置结构，确保施工完成后空间稳定性和承载能力。</w:t>
      </w:r>
    </w:p>
    <w:p w14:paraId="1476E943">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选择适合展园使用环境的结构材料。</w:t>
      </w:r>
    </w:p>
    <w:p w14:paraId="6224D4D7">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确保符合相关国家标准和规范。</w:t>
      </w:r>
    </w:p>
    <w:p w14:paraId="037C24D3">
      <w:pPr>
        <w:pStyle w:val="5"/>
        <w:keepNext w:val="0"/>
        <w:keepLines w:val="0"/>
        <w:pageBreakBefore w:val="0"/>
        <w:widowControl w:val="0"/>
        <w:numPr>
          <w:ilvl w:val="2"/>
          <w:numId w:val="2"/>
        </w:numPr>
        <w:kinsoku/>
        <w:wordWrap/>
        <w:overflowPunct/>
        <w:topLinePunct w:val="0"/>
        <w:autoSpaceDE/>
        <w:autoSpaceDN/>
        <w:bidi w:val="0"/>
        <w:adjustRightInd/>
        <w:spacing w:before="0" w:beforeLines="0" w:after="0" w:afterLines="0" w:line="360" w:lineRule="auto"/>
        <w:ind w:left="20" w:leftChars="0" w:firstLine="402" w:firstLineChars="0"/>
        <w:textAlignment w:val="auto"/>
        <w:outlineLvl w:val="3"/>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景观绿化部分</w:t>
      </w:r>
    </w:p>
    <w:p w14:paraId="50EA56E0">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选择适宜的植物种类：根据展馆的气候条件和环境特点，选择适应性强、具有观赏价值和生态功能的植物种类，能够体现舟山地方特色的植物。</w:t>
      </w:r>
    </w:p>
    <w:p w14:paraId="6CCF87B3">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景观绿化应满足多季节展示要求。</w:t>
      </w:r>
    </w:p>
    <w:p w14:paraId="4581A3D7">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展陈设备部分</w:t>
      </w:r>
    </w:p>
    <w:p w14:paraId="498040EC">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展项的设备产品，满足使用寿命长，且每日的连续使用时长须达到10小时或以上，技术成熟及市场保有量多的设备，最低标准必须满足技术参数，采用知名品牌产品。</w:t>
      </w:r>
    </w:p>
    <w:p w14:paraId="72317EFD">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展示内容的策划与制作必须结合整体的设计方案，达到主题鲜明、具有视觉的冲击力，可逆性的修改，满足采购人的需求等；</w:t>
      </w:r>
    </w:p>
    <w:p w14:paraId="190938EC">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应使用环保材料，并采用节能设计，做到环保节能标准。</w:t>
      </w:r>
    </w:p>
    <w:p w14:paraId="2792592A">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p w14:paraId="1E065B03">
      <w:pPr>
        <w:pStyle w:val="3"/>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1.项目完成递交资料：</w:t>
      </w:r>
    </w:p>
    <w:p w14:paraId="425CBF98">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竣工图，竣工图应符合建设工程相关要求。</w:t>
      </w:r>
    </w:p>
    <w:p w14:paraId="444703C9">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设备材料：技术说明书（含电气原理图及其符号说明）；安装图纸（部件安装图，电气接线图）；安装、调试、使用保养维修手册（或说明书）；产品技术标准（含验收标准）和试验方法，产品原产地出厂合格证</w:t>
      </w:r>
      <w:r>
        <w:rPr>
          <w:rFonts w:hint="eastAsia" w:ascii="宋体" w:hAnsi="宋体" w:eastAsia="宋体" w:cs="宋体"/>
          <w:color w:val="auto"/>
          <w:sz w:val="21"/>
          <w:szCs w:val="21"/>
          <w:highlight w:val="none"/>
          <w:lang w:eastAsia="zh-CN"/>
        </w:rPr>
        <w:t>等相关内容</w:t>
      </w:r>
      <w:r>
        <w:rPr>
          <w:rFonts w:hint="eastAsia" w:ascii="宋体" w:hAnsi="宋体" w:eastAsia="宋体" w:cs="宋体"/>
          <w:color w:val="auto"/>
          <w:sz w:val="21"/>
          <w:szCs w:val="21"/>
          <w:highlight w:val="none"/>
        </w:rPr>
        <w:t>。</w:t>
      </w:r>
    </w:p>
    <w:p w14:paraId="4DCFC5FE">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业主其他合理资料需求</w:t>
      </w:r>
      <w:r>
        <w:rPr>
          <w:rFonts w:hint="eastAsia" w:ascii="宋体" w:hAnsi="宋体" w:eastAsia="宋体" w:cs="宋体"/>
          <w:color w:val="auto"/>
          <w:sz w:val="21"/>
          <w:szCs w:val="21"/>
          <w:highlight w:val="none"/>
          <w:lang w:eastAsia="zh-CN"/>
        </w:rPr>
        <w:t>。</w:t>
      </w:r>
    </w:p>
    <w:p w14:paraId="1F4717BB">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宋体" w:hAnsi="宋体" w:eastAsia="宋体" w:cs="宋体"/>
          <w:color w:val="auto"/>
          <w:sz w:val="21"/>
          <w:szCs w:val="21"/>
          <w:highlight w:val="none"/>
        </w:rPr>
      </w:pPr>
    </w:p>
    <w:p w14:paraId="0FC08C8F">
      <w:pPr>
        <w:pStyle w:val="3"/>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▲2.项目班子人员及要求</w:t>
      </w:r>
    </w:p>
    <w:p w14:paraId="2DF113E9">
      <w:pPr>
        <w:ind w:firstLine="630" w:firstLineChars="300"/>
        <w:rPr>
          <w:rFonts w:hint="default"/>
          <w:highlight w:val="none"/>
          <w:lang w:val="en-US" w:eastAsia="zh-CN"/>
        </w:rPr>
      </w:pPr>
      <w:r>
        <w:rPr>
          <w:rFonts w:hint="eastAsia" w:ascii="宋体" w:hAnsi="宋体" w:cs="宋体"/>
          <w:sz w:val="21"/>
          <w:szCs w:val="21"/>
          <w:highlight w:val="none"/>
          <w:lang w:val="en-US" w:eastAsia="zh-CN"/>
        </w:rPr>
        <w:t>本项目班子人员不少于5名，</w:t>
      </w:r>
      <w:r>
        <w:rPr>
          <w:rFonts w:hint="eastAsia" w:ascii="宋体" w:hAnsi="宋体" w:eastAsia="宋体" w:cs="宋体"/>
          <w:color w:val="auto"/>
          <w:sz w:val="21"/>
          <w:szCs w:val="21"/>
          <w:highlight w:val="none"/>
          <w:lang w:val="en-US" w:eastAsia="zh-CN"/>
        </w:rPr>
        <w:t>施工项目负责人</w:t>
      </w:r>
      <w:r>
        <w:rPr>
          <w:rFonts w:hint="eastAsia" w:ascii="宋体" w:hAnsi="宋体" w:cs="宋体"/>
          <w:color w:val="auto"/>
          <w:sz w:val="21"/>
          <w:szCs w:val="21"/>
          <w:highlight w:val="none"/>
          <w:lang w:val="en-US" w:eastAsia="zh-CN"/>
        </w:rPr>
        <w:t>1名，</w:t>
      </w:r>
      <w:r>
        <w:rPr>
          <w:rFonts w:hint="eastAsia" w:ascii="宋体" w:hAnsi="宋体" w:eastAsia="宋体" w:cs="宋体"/>
          <w:color w:val="auto"/>
          <w:sz w:val="21"/>
          <w:szCs w:val="21"/>
          <w:highlight w:val="none"/>
          <w:lang w:val="en-US" w:eastAsia="zh-CN"/>
        </w:rPr>
        <w:t>施工项目技术负责人</w:t>
      </w:r>
      <w:r>
        <w:rPr>
          <w:rFonts w:hint="eastAsia" w:ascii="宋体" w:hAnsi="宋体" w:cs="宋体"/>
          <w:color w:val="auto"/>
          <w:sz w:val="21"/>
          <w:szCs w:val="21"/>
          <w:highlight w:val="none"/>
          <w:lang w:val="en-US" w:eastAsia="zh-CN"/>
        </w:rPr>
        <w:t>1名，安全员、施工员、质检员各1名。具体要求如下：</w:t>
      </w:r>
    </w:p>
    <w:p w14:paraId="11A8FA63">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（1）施工项目负责人具有建筑或市政专业注册建造师二级及以上资格，同时具有安全生产考核B证，且无在建工程。</w:t>
      </w:r>
    </w:p>
    <w:p w14:paraId="40F093BE">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安全员：具有《安全生产考核合格证书》（C证）。</w:t>
      </w:r>
    </w:p>
    <w:p w14:paraId="10633D7E">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施工员：具有上岗证书。</w:t>
      </w:r>
    </w:p>
    <w:p w14:paraId="0D54FB56">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质检员：具有上岗证书。</w:t>
      </w:r>
    </w:p>
    <w:p w14:paraId="080918E3">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投标文件须提供以上施工人员相关证书及近三个月内任意一个月本单位社保缴纳证明材料复印件。</w:t>
      </w:r>
    </w:p>
    <w:p w14:paraId="0D9728CB">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施工项目部成员中的技术负责人、施工员、质检员由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施工项目负责人按照上述资格标准组建。施工单位要严格按照园林工程项目施工的安全标准进行，确保人员和财产的安全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项目组人员须</w:t>
      </w:r>
      <w:r>
        <w:rPr>
          <w:rFonts w:hint="eastAsia" w:ascii="宋体" w:hAnsi="宋体" w:eastAsia="宋体" w:cs="宋体"/>
          <w:color w:val="auto"/>
          <w:sz w:val="21"/>
          <w:szCs w:val="21"/>
          <w:highlight w:val="none"/>
          <w:lang w:eastAsia="zh-CN"/>
        </w:rPr>
        <w:t>常驻现场工作。</w:t>
      </w:r>
    </w:p>
    <w:p w14:paraId="3C828384">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p>
    <w:p w14:paraId="71154A9D">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质保：服务质量保证期内，中标人应对出现的质量及安全问题负责处理解决并承担一切费用（服务质量保证期：至本届园博会结束，具体时间以采购人通知为主）。</w:t>
      </w:r>
    </w:p>
    <w:p w14:paraId="3661021B">
      <w:pPr>
        <w:pStyle w:val="26"/>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若采购人需要施工验收的，则中标人需无条件配合。</w:t>
      </w:r>
    </w:p>
    <w:p w14:paraId="2CF6AA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3.本项目合同履约期限：</w:t>
      </w:r>
      <w:bookmarkStart w:id="4" w:name="_Hlk172751118"/>
      <w:r>
        <w:rPr>
          <w:rFonts w:hint="eastAsia" w:ascii="宋体" w:hAnsi="宋体" w:eastAsia="宋体" w:cs="宋体"/>
          <w:b w:val="0"/>
          <w:bCs w:val="0"/>
          <w:sz w:val="21"/>
          <w:szCs w:val="21"/>
          <w:highlight w:val="none"/>
          <w:lang w:val="en-US" w:eastAsia="zh-CN"/>
        </w:rPr>
        <w:t>建园期限：温州园博会开园前一个月完成，养护期限：建园后直至闭园移交结束，2025年11月底前完成主体工程（除布展、时令</w:t>
      </w:r>
      <w:r>
        <w:rPr>
          <w:rFonts w:hint="eastAsia" w:ascii="宋体" w:hAnsi="宋体" w:eastAsia="宋体" w:cs="宋体"/>
          <w:b w:val="0"/>
          <w:bCs w:val="0"/>
          <w:sz w:val="21"/>
          <w:szCs w:val="21"/>
          <w:highlight w:val="none"/>
          <w:lang w:eastAsia="zh-CN"/>
        </w:rPr>
        <w:t>花境</w:t>
      </w:r>
      <w:r>
        <w:rPr>
          <w:rFonts w:hint="eastAsia" w:ascii="宋体" w:hAnsi="宋体" w:eastAsia="宋体" w:cs="宋体"/>
          <w:b w:val="0"/>
          <w:bCs w:val="0"/>
          <w:sz w:val="21"/>
          <w:szCs w:val="21"/>
          <w:highlight w:val="none"/>
          <w:lang w:val="en-US" w:eastAsia="zh-CN"/>
        </w:rPr>
        <w:t>布设外）；园博会开幕前按甲方要求完成展陈和景观调整，达到设计效果。具体期限根据园博会实际安排确定。</w:t>
      </w:r>
      <w:bookmarkEnd w:id="4"/>
    </w:p>
    <w:p w14:paraId="73DF3DB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4.付款方式：</w:t>
      </w:r>
      <w:r>
        <w:rPr>
          <w:rFonts w:hint="eastAsia" w:ascii="宋体" w:hAnsi="宋体" w:eastAsia="宋体" w:cs="宋体"/>
          <w:b w:val="0"/>
          <w:bCs w:val="0"/>
          <w:color w:val="auto"/>
          <w:sz w:val="21"/>
          <w:szCs w:val="21"/>
          <w:highlight w:val="none"/>
          <w:lang w:val="en-US" w:eastAsia="zh-CN"/>
        </w:rPr>
        <w:t>按《浙江省财政厅关于进一步发挥政府采购政策功能全力推动经济稳进提质的通知》（浙财采监〔2022〕3号）等文件要求执行。在合同生效以及具备实施条件后7个工作日内支付合同总价的40%（乙方须提交与预付款等额的预付款担保）；项目主体基本完工后支付合同总价的</w:t>
      </w:r>
      <w:r>
        <w:rPr>
          <w:rFonts w:hint="eastAsia" w:ascii="宋体" w:hAnsi="宋体" w:eastAsia="宋体" w:cs="宋体"/>
          <w:b w:val="0"/>
          <w:bCs w:val="0"/>
          <w:color w:val="auto"/>
          <w:sz w:val="21"/>
          <w:szCs w:val="21"/>
          <w:highlight w:val="none"/>
          <w:shd w:val="clear"/>
          <w:lang w:val="en-US" w:eastAsia="zh-CN"/>
        </w:rPr>
        <w:t>45%</w:t>
      </w:r>
      <w:r>
        <w:rPr>
          <w:rFonts w:hint="eastAsia" w:ascii="宋体" w:hAnsi="宋体" w:eastAsia="宋体" w:cs="宋体"/>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余款</w:t>
      </w:r>
      <w:r>
        <w:rPr>
          <w:rFonts w:hint="eastAsia" w:ascii="宋体" w:hAnsi="宋体" w:eastAsia="宋体" w:cs="宋体"/>
          <w:b w:val="0"/>
          <w:bCs w:val="0"/>
          <w:color w:val="auto"/>
          <w:sz w:val="21"/>
          <w:szCs w:val="21"/>
          <w:highlight w:val="none"/>
          <w:lang w:val="en-US" w:eastAsia="zh-CN"/>
        </w:rPr>
        <w:t>根据第三方审定的结算价结清。</w:t>
      </w:r>
    </w:p>
    <w:p w14:paraId="337782CB">
      <w:pPr>
        <w:pStyle w:val="3"/>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val="0"/>
          <w:bCs/>
          <w:sz w:val="21"/>
          <w:szCs w:val="21"/>
          <w:highlight w:val="none"/>
        </w:rPr>
      </w:pPr>
      <w:r>
        <w:rPr>
          <w:rFonts w:hint="eastAsia" w:ascii="宋体" w:hAnsi="宋体" w:eastAsia="宋体" w:cs="宋体"/>
          <w:sz w:val="21"/>
          <w:szCs w:val="21"/>
          <w:highlight w:val="none"/>
          <w:lang w:val="en-US" w:eastAsia="zh-CN"/>
        </w:rPr>
        <w:t>5.需求调整：</w:t>
      </w:r>
      <w:r>
        <w:rPr>
          <w:rFonts w:hint="eastAsia" w:ascii="宋体" w:hAnsi="宋体" w:eastAsia="宋体" w:cs="宋体"/>
          <w:b w:val="0"/>
          <w:bCs w:val="0"/>
          <w:sz w:val="21"/>
          <w:szCs w:val="21"/>
          <w:highlight w:val="none"/>
          <w:lang w:val="en-US" w:eastAsia="zh-CN"/>
        </w:rPr>
        <w:t>对于中标人自身原因造成的项目造价上升，采购人不予补贴或增加费用。</w:t>
      </w:r>
      <w:bookmarkStart w:id="5" w:name="_Toc24219"/>
      <w:bookmarkStart w:id="6" w:name="_Toc42261953"/>
    </w:p>
    <w:p w14:paraId="1C0975C6">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2" w:firstLineChars="200"/>
        <w:textAlignment w:val="auto"/>
        <w:rPr>
          <w:rFonts w:hint="default" w:ascii="宋体" w:hAnsi="宋体" w:eastAsia="宋体" w:cs="宋体"/>
          <w:b/>
          <w:bCs/>
          <w:strike w:val="0"/>
          <w:dstrike w:val="0"/>
          <w:color w:val="auto"/>
          <w:sz w:val="21"/>
          <w:szCs w:val="21"/>
          <w:highlight w:val="none"/>
          <w:lang w:val="en-US" w:eastAsia="zh-CN"/>
        </w:rPr>
      </w:pPr>
      <w:r>
        <w:rPr>
          <w:rFonts w:hint="eastAsia" w:ascii="宋体" w:hAnsi="宋体" w:cs="宋体"/>
          <w:b/>
          <w:bCs/>
          <w:strike w:val="0"/>
          <w:dstrike w:val="0"/>
          <w:kern w:val="2"/>
          <w:sz w:val="21"/>
          <w:szCs w:val="21"/>
          <w:highlight w:val="none"/>
          <w:lang w:val="en-US" w:eastAsia="zh-CN" w:bidi="ar-SA"/>
        </w:rPr>
        <w:t>6.</w:t>
      </w:r>
      <w:r>
        <w:rPr>
          <w:rFonts w:hint="eastAsia" w:ascii="宋体" w:hAnsi="宋体" w:eastAsia="宋体" w:cs="宋体"/>
          <w:b/>
          <w:bCs/>
          <w:strike w:val="0"/>
          <w:dstrike w:val="0"/>
          <w:kern w:val="2"/>
          <w:sz w:val="21"/>
          <w:szCs w:val="21"/>
          <w:highlight w:val="none"/>
          <w:lang w:val="en-US" w:eastAsia="zh-CN" w:bidi="ar-SA"/>
        </w:rPr>
        <w:t>本项目采用</w:t>
      </w:r>
      <w:r>
        <w:rPr>
          <w:rFonts w:hint="eastAsia" w:ascii="宋体" w:hAnsi="宋体" w:cs="宋体"/>
          <w:b/>
          <w:bCs/>
          <w:strike w:val="0"/>
          <w:dstrike w:val="0"/>
          <w:kern w:val="2"/>
          <w:sz w:val="21"/>
          <w:szCs w:val="21"/>
          <w:highlight w:val="none"/>
          <w:lang w:val="en-US" w:eastAsia="zh-CN" w:bidi="ar-SA"/>
        </w:rPr>
        <w:t>固定总价</w:t>
      </w:r>
      <w:r>
        <w:rPr>
          <w:rFonts w:hint="eastAsia" w:ascii="宋体" w:hAnsi="宋体" w:eastAsia="宋体" w:cs="宋体"/>
          <w:b w:val="0"/>
          <w:bCs w:val="0"/>
          <w:strike w:val="0"/>
          <w:dstrike w:val="0"/>
          <w:kern w:val="2"/>
          <w:sz w:val="21"/>
          <w:szCs w:val="21"/>
          <w:highlight w:val="none"/>
          <w:lang w:val="en-US" w:eastAsia="zh-CN" w:bidi="ar-SA"/>
        </w:rPr>
        <w:t>，</w:t>
      </w:r>
      <w:r>
        <w:rPr>
          <w:rFonts w:hint="eastAsia" w:ascii="宋体" w:hAnsi="宋体" w:cs="宋体"/>
          <w:b w:val="0"/>
          <w:bCs w:val="0"/>
          <w:strike w:val="0"/>
          <w:dstrike w:val="0"/>
          <w:kern w:val="2"/>
          <w:sz w:val="21"/>
          <w:szCs w:val="21"/>
          <w:highlight w:val="none"/>
          <w:lang w:val="en-US" w:eastAsia="zh-CN" w:bidi="ar-SA"/>
        </w:rPr>
        <w:t>因采购人原因造成的造价上升，调整部分须另行签订补充协议，</w:t>
      </w:r>
      <w:r>
        <w:rPr>
          <w:rFonts w:hint="eastAsia" w:ascii="宋体" w:hAnsi="宋体" w:eastAsia="宋体" w:cs="宋体"/>
          <w:b w:val="0"/>
          <w:bCs w:val="0"/>
          <w:kern w:val="2"/>
          <w:sz w:val="21"/>
          <w:szCs w:val="21"/>
          <w:highlight w:val="none"/>
          <w:lang w:val="en-US" w:eastAsia="zh-CN" w:bidi="ar-SA"/>
        </w:rPr>
        <w:t>增加部分不得超过合同价的10%</w:t>
      </w:r>
      <w:r>
        <w:rPr>
          <w:rFonts w:hint="eastAsia" w:ascii="宋体" w:hAnsi="宋体" w:cs="宋体"/>
          <w:b w:val="0"/>
          <w:bCs w:val="0"/>
          <w:kern w:val="2"/>
          <w:sz w:val="21"/>
          <w:szCs w:val="21"/>
          <w:highlight w:val="none"/>
          <w:lang w:val="en-US" w:eastAsia="zh-CN" w:bidi="ar-SA"/>
        </w:rPr>
        <w:t>。</w:t>
      </w:r>
    </w:p>
    <w:p w14:paraId="30B46465">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highlight w:val="none"/>
          <w:lang w:val="en-US" w:eastAsia="zh-CN"/>
        </w:rPr>
      </w:pPr>
      <w:r>
        <w:rPr>
          <w:rFonts w:hint="eastAsia" w:ascii="宋体" w:hAnsi="宋体" w:cs="宋体"/>
          <w:b w:val="0"/>
          <w:bCs w:val="0"/>
          <w:kern w:val="2"/>
          <w:sz w:val="21"/>
          <w:szCs w:val="21"/>
          <w:highlight w:val="none"/>
          <w:lang w:val="en-US" w:eastAsia="zh-CN" w:bidi="ar-SA"/>
        </w:rPr>
        <w:t>7.本项目</w:t>
      </w:r>
      <w:r>
        <w:rPr>
          <w:rFonts w:hint="eastAsia" w:ascii="宋体" w:hAnsi="宋体" w:eastAsia="宋体" w:cs="宋体"/>
          <w:b w:val="0"/>
          <w:bCs w:val="0"/>
          <w:kern w:val="2"/>
          <w:sz w:val="21"/>
          <w:szCs w:val="21"/>
          <w:highlight w:val="none"/>
          <w:lang w:val="en-US" w:eastAsia="zh-CN" w:bidi="ar-SA"/>
        </w:rPr>
        <w:t>最终结算总价不得超过398万元。</w:t>
      </w:r>
      <w:r>
        <w:rPr>
          <w:rFonts w:hint="eastAsia" w:ascii="宋体" w:hAnsi="宋体" w:eastAsia="宋体" w:cs="宋体"/>
          <w:b/>
          <w:bCs/>
          <w:color w:val="auto"/>
          <w:sz w:val="21"/>
          <w:szCs w:val="21"/>
          <w:highlight w:val="none"/>
          <w:lang w:val="en-US" w:eastAsia="zh-CN"/>
        </w:rPr>
        <w:t>超出部分费用及相关风险由中标人自行承担。</w:t>
      </w:r>
      <w:r>
        <w:rPr>
          <w:rFonts w:hint="eastAsia"/>
          <w:b/>
          <w:bCs/>
          <w:color w:val="auto"/>
          <w:highlight w:val="none"/>
        </w:rPr>
        <w:t>如有错、漏工程量清单项目的或</w:t>
      </w:r>
      <w:r>
        <w:rPr>
          <w:rFonts w:hint="eastAsia"/>
          <w:b/>
          <w:bCs/>
          <w:color w:val="auto"/>
          <w:highlight w:val="none"/>
          <w:lang w:val="en-US" w:eastAsia="zh-CN"/>
        </w:rPr>
        <w:t>中标人</w:t>
      </w:r>
      <w:r>
        <w:rPr>
          <w:rFonts w:hint="eastAsia"/>
          <w:b/>
          <w:bCs/>
          <w:color w:val="auto"/>
          <w:highlight w:val="none"/>
        </w:rPr>
        <w:t>对上述费用有漏报或不报的，采购人将视为有关费用已包括在本项目的其他报价中而不予另行支付。</w:t>
      </w:r>
    </w:p>
    <w:p w14:paraId="7D0D829F">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cs="宋体"/>
          <w:b w:val="0"/>
          <w:bCs w:val="0"/>
          <w:kern w:val="2"/>
          <w:sz w:val="21"/>
          <w:szCs w:val="21"/>
          <w:highlight w:val="none"/>
          <w:lang w:val="en-US" w:eastAsia="zh-CN" w:bidi="ar-SA"/>
        </w:rPr>
        <w:t>8.</w:t>
      </w:r>
      <w:r>
        <w:rPr>
          <w:rFonts w:hint="eastAsia" w:ascii="宋体" w:hAnsi="宋体" w:eastAsia="宋体" w:cs="宋体"/>
          <w:b w:val="0"/>
          <w:bCs w:val="0"/>
          <w:kern w:val="2"/>
          <w:sz w:val="21"/>
          <w:szCs w:val="21"/>
          <w:highlight w:val="none"/>
          <w:lang w:val="en-US" w:eastAsia="zh-CN" w:bidi="ar-SA"/>
        </w:rPr>
        <w:t>本项目投标报价中应包含项目实物及材料等所有检测费，投标人须自行考虑。</w:t>
      </w:r>
    </w:p>
    <w:p w14:paraId="39406B40">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w:t>
      </w:r>
      <w:r>
        <w:rPr>
          <w:rFonts w:hint="eastAsia" w:ascii="宋体" w:hAnsi="宋体" w:eastAsia="宋体" w:cs="宋体"/>
          <w:color w:val="000000"/>
          <w:kern w:val="0"/>
          <w:szCs w:val="21"/>
          <w:highlight w:val="none"/>
          <w:lang w:val="en-US" w:eastAsia="zh-CN"/>
        </w:rPr>
        <w:t>中标人须对本项目花境、苗木</w:t>
      </w:r>
      <w:r>
        <w:rPr>
          <w:rFonts w:hint="eastAsia" w:ascii="宋体" w:hAnsi="宋体" w:cs="宋体"/>
          <w:color w:val="000000"/>
          <w:kern w:val="0"/>
          <w:szCs w:val="21"/>
          <w:highlight w:val="none"/>
          <w:lang w:val="en-US" w:eastAsia="zh-CN"/>
        </w:rPr>
        <w:t>、</w:t>
      </w:r>
      <w:r>
        <w:rPr>
          <w:rFonts w:hint="eastAsia" w:ascii="宋体" w:hAnsi="宋体" w:eastAsia="宋体" w:cs="宋体"/>
          <w:color w:val="000000"/>
          <w:kern w:val="0"/>
          <w:szCs w:val="21"/>
          <w:highlight w:val="none"/>
          <w:lang w:val="en-US" w:eastAsia="zh-CN"/>
        </w:rPr>
        <w:t>设备</w:t>
      </w:r>
      <w:r>
        <w:rPr>
          <w:rFonts w:hint="eastAsia" w:ascii="宋体" w:hAnsi="宋体" w:cs="宋体"/>
          <w:color w:val="000000"/>
          <w:kern w:val="0"/>
          <w:szCs w:val="21"/>
          <w:highlight w:val="none"/>
          <w:lang w:val="en-US" w:eastAsia="zh-CN"/>
        </w:rPr>
        <w:t>、构筑物、装修和布展</w:t>
      </w:r>
      <w:r>
        <w:rPr>
          <w:rFonts w:hint="eastAsia" w:ascii="宋体" w:hAnsi="宋体" w:eastAsia="宋体" w:cs="宋体"/>
          <w:color w:val="000000"/>
          <w:kern w:val="0"/>
          <w:szCs w:val="21"/>
          <w:highlight w:val="none"/>
          <w:lang w:val="en-US" w:eastAsia="zh-CN"/>
        </w:rPr>
        <w:t>进行合理优化，最终优化方案须经采购人及设计人确认，方可实施。</w:t>
      </w:r>
    </w:p>
    <w:p w14:paraId="234F7D90">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本项目装修布展部分不得超过2000元/㎡，范围包括但不限于土建工程、水电隐蔽工程（包含弱电）、泥工工程、木作工程、油漆工程、安装工程、软装、墙面装饰、地面装饰、天花板装饰、布线、布展、陈列设备、成品家具、照明设施设备、消防设施设备等全部装修布展内容，显示设备不小于98寸，空调不小于5匹且满足该区域空间制冷效果，满足展陈效果。</w:t>
      </w:r>
    </w:p>
    <w:p w14:paraId="6BF96F88">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11.本项目附件中的效果图仅供参考，</w:t>
      </w:r>
      <w:r>
        <w:rPr>
          <w:rFonts w:hint="eastAsia" w:ascii="宋体" w:hAnsi="宋体" w:eastAsia="宋体" w:cs="宋体"/>
          <w:color w:val="000000"/>
          <w:kern w:val="0"/>
          <w:szCs w:val="21"/>
          <w:highlight w:val="none"/>
          <w:lang w:val="en-US" w:eastAsia="zh-CN"/>
        </w:rPr>
        <w:t>最终优化方案须经采购人及设计人确认，方可实施。</w:t>
      </w:r>
    </w:p>
    <w:p w14:paraId="5B2A6D9B">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12.本项目苗木、花境中的品种（具体品种详见本项目附件中推荐品种）、数量须根据采购人最终确认的方案进行调整，费用不再进行调整，投标人须自行考虑。</w:t>
      </w:r>
    </w:p>
    <w:p w14:paraId="415132D6">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13.</w:t>
      </w:r>
      <w:r>
        <w:rPr>
          <w:rFonts w:hint="eastAsia" w:ascii="宋体" w:hAnsi="宋体" w:eastAsia="宋体" w:cs="宋体"/>
          <w:color w:val="000000"/>
          <w:kern w:val="0"/>
          <w:szCs w:val="21"/>
          <w:highlight w:val="none"/>
          <w:lang w:val="en-US" w:eastAsia="zh-CN"/>
        </w:rPr>
        <w:t>绿化养护期限：至</w:t>
      </w:r>
      <w:r>
        <w:rPr>
          <w:rFonts w:hint="eastAsia" w:ascii="宋体" w:hAnsi="宋体" w:cs="宋体"/>
          <w:color w:val="000000"/>
          <w:kern w:val="0"/>
          <w:szCs w:val="21"/>
          <w:highlight w:val="none"/>
          <w:lang w:val="en-US" w:eastAsia="zh-CN"/>
        </w:rPr>
        <w:t>园博会</w:t>
      </w:r>
      <w:r>
        <w:rPr>
          <w:rFonts w:hint="eastAsia" w:ascii="宋体" w:hAnsi="宋体" w:eastAsia="宋体" w:cs="宋体"/>
          <w:color w:val="000000"/>
          <w:kern w:val="0"/>
          <w:szCs w:val="21"/>
          <w:highlight w:val="none"/>
          <w:lang w:val="en-US" w:eastAsia="zh-CN"/>
        </w:rPr>
        <w:t>闭园移交结束</w:t>
      </w:r>
      <w:r>
        <w:rPr>
          <w:rFonts w:hint="eastAsia" w:ascii="宋体" w:hAnsi="宋体" w:cs="宋体"/>
          <w:color w:val="000000"/>
          <w:kern w:val="0"/>
          <w:szCs w:val="21"/>
          <w:highlight w:val="none"/>
          <w:lang w:val="en-US" w:eastAsia="zh-CN"/>
        </w:rPr>
        <w:t>（具体以采购人通知为准）</w:t>
      </w:r>
      <w:r>
        <w:rPr>
          <w:rFonts w:hint="eastAsia" w:ascii="宋体" w:hAnsi="宋体" w:eastAsia="宋体" w:cs="宋体"/>
          <w:color w:val="000000"/>
          <w:kern w:val="0"/>
          <w:szCs w:val="21"/>
          <w:highlight w:val="none"/>
          <w:lang w:val="en-US" w:eastAsia="zh-CN"/>
        </w:rPr>
        <w:t>，苗木养护服务须确保全周期成活率和质量，展会服务期内累计更换不低于2次。</w:t>
      </w:r>
    </w:p>
    <w:p w14:paraId="1BA1E583">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宋体" w:hAnsi="宋体" w:eastAsia="宋体" w:cs="宋体"/>
          <w:color w:val="auto"/>
          <w:sz w:val="21"/>
          <w:szCs w:val="21"/>
          <w:highlight w:val="none"/>
          <w:lang w:val="en-US" w:eastAsia="zh-CN"/>
        </w:rPr>
        <w:sectPr>
          <w:footerReference r:id="rId3" w:type="default"/>
          <w:type w:val="continuous"/>
          <w:pgSz w:w="11905" w:h="16838"/>
          <w:pgMar w:top="1304" w:right="1531" w:bottom="833" w:left="1531" w:header="1304" w:footer="1304" w:gutter="0"/>
          <w:pgNumType w:fmt="decimal"/>
          <w:cols w:space="0" w:num="1"/>
          <w:rtlGutter w:val="0"/>
          <w:docGrid w:linePitch="0" w:charSpace="0"/>
        </w:sectPr>
      </w:pPr>
      <w:r>
        <w:rPr>
          <w:rFonts w:hint="eastAsia" w:ascii="宋体" w:hAnsi="宋体" w:eastAsia="宋体" w:cs="宋体"/>
          <w:sz w:val="21"/>
          <w:szCs w:val="21"/>
          <w:highlight w:val="none"/>
          <w:lang w:val="en-US" w:eastAsia="zh-CN"/>
        </w:rPr>
        <w:t>主要项目工程量清单</w:t>
      </w:r>
      <w:bookmarkEnd w:id="5"/>
      <w:bookmarkEnd w:id="6"/>
      <w:r>
        <w:rPr>
          <w:rFonts w:hint="eastAsia" w:ascii="宋体" w:hAnsi="宋体" w:cs="宋体"/>
          <w:sz w:val="21"/>
          <w:szCs w:val="21"/>
          <w:highlight w:val="none"/>
          <w:lang w:val="en-US" w:eastAsia="zh-CN"/>
        </w:rPr>
        <w:t>（详见附件）</w:t>
      </w:r>
    </w:p>
    <w:p w14:paraId="5EB8DEF9">
      <w:pPr>
        <w:snapToGrid w:val="0"/>
        <w:spacing w:before="240" w:after="240"/>
        <w:ind w:firstLine="602"/>
        <w:jc w:val="center"/>
        <w:rPr>
          <w:rFonts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第三章   响应人须知</w:t>
      </w:r>
    </w:p>
    <w:p w14:paraId="22EBAEB4">
      <w:pPr>
        <w:snapToGrid w:val="0"/>
        <w:spacing w:after="240"/>
        <w:ind w:firstLine="602"/>
        <w:jc w:val="center"/>
        <w:rPr>
          <w:rFonts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前附表</w:t>
      </w:r>
    </w:p>
    <w:tbl>
      <w:tblPr>
        <w:tblStyle w:val="30"/>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16FE487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A0915F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7D974CC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内容说明及要求</w:t>
            </w:r>
          </w:p>
        </w:tc>
      </w:tr>
      <w:tr w14:paraId="6F33183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071B76D">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0EA16B8">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E682AED">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温州园博会——“舟山园”项目采购</w:t>
            </w:r>
          </w:p>
        </w:tc>
      </w:tr>
      <w:tr w14:paraId="09E4093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584CE3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6A6887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19CD518">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舟山市住房和城乡建设局</w:t>
            </w:r>
          </w:p>
        </w:tc>
      </w:tr>
      <w:tr w14:paraId="4A00422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836D05B">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42485C2">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3BD1EE9">
            <w:pPr>
              <w:spacing w:line="320" w:lineRule="exact"/>
              <w:jc w:val="left"/>
              <w:rPr>
                <w:rFonts w:ascii="Times New Roman" w:hAnsi="Times New Roman" w:cs="Times New Roman"/>
                <w:color w:val="auto"/>
                <w:kern w:val="0"/>
                <w:szCs w:val="21"/>
                <w:highlight w:val="none"/>
              </w:rPr>
            </w:pPr>
            <w:r>
              <w:rPr>
                <w:rFonts w:hint="eastAsia" w:ascii="Times New Roman" w:hAnsi="Times New Roman" w:cs="Times New Roman"/>
                <w:color w:val="000000" w:themeColor="text1"/>
                <w:kern w:val="0"/>
                <w:szCs w:val="21"/>
                <w:highlight w:val="none"/>
                <w14:textFill>
                  <w14:solidFill>
                    <w14:schemeClr w14:val="tx1"/>
                  </w14:solidFill>
                </w14:textFill>
              </w:rPr>
              <w:t>围绕温州园博会的“诗画山海·共享创意生活”主题，传承“天人合一”观念和山水美学思想，以“绿色舟山、创新舟山、特色舟山”向全国展示舟山群岛新区这张独特的城市名片，打造集园林艺术、文化展示、生态文明于一体的“舟山园”。</w:t>
            </w:r>
            <w:r>
              <w:rPr>
                <w:rFonts w:hint="eastAsia" w:ascii="Times New Roman" w:hAnsi="Times New Roman" w:cs="Times New Roman"/>
                <w:color w:val="auto"/>
                <w:kern w:val="0"/>
                <w:szCs w:val="21"/>
                <w:highlight w:val="none"/>
              </w:rPr>
              <w:t>具体内容详见采购需求。</w:t>
            </w:r>
          </w:p>
        </w:tc>
      </w:tr>
      <w:tr w14:paraId="4A4BA67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257BD25">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D957B40">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4C0AE8E">
            <w:pPr>
              <w:spacing w:line="320" w:lineRule="exact"/>
              <w:jc w:val="left"/>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3</w:t>
            </w:r>
            <w:r>
              <w:rPr>
                <w:rFonts w:hint="eastAsia" w:ascii="Times New Roman" w:hAnsi="Times New Roman" w:cs="Times New Roman"/>
                <w:color w:val="auto"/>
                <w:kern w:val="0"/>
                <w:szCs w:val="21"/>
                <w:highlight w:val="none"/>
                <w:lang w:val="en-US" w:eastAsia="zh-CN"/>
              </w:rPr>
              <w:t>98</w:t>
            </w:r>
            <w:r>
              <w:rPr>
                <w:rFonts w:hint="eastAsia" w:ascii="Times New Roman" w:hAnsi="Times New Roman" w:cs="Times New Roman"/>
                <w:color w:val="auto"/>
                <w:kern w:val="0"/>
                <w:szCs w:val="21"/>
                <w:highlight w:val="none"/>
              </w:rPr>
              <w:t>万元</w:t>
            </w:r>
          </w:p>
        </w:tc>
      </w:tr>
      <w:tr w14:paraId="5C60ABD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D971A31">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29BBE0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896A1B9">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90日</w:t>
            </w:r>
            <w:r>
              <w:rPr>
                <w:rFonts w:hint="eastAsia" w:ascii="Times New Roman" w:hAnsi="Times New Roman" w:cs="Times New Roman"/>
                <w:color w:val="auto"/>
                <w:szCs w:val="21"/>
                <w:highlight w:val="none"/>
              </w:rPr>
              <w:t>历天。（从投标截止之日算起）</w:t>
            </w:r>
          </w:p>
        </w:tc>
      </w:tr>
      <w:tr w14:paraId="58E50F0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2289E18">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685E4B7">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磋商办法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6F30388">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综合评分法</w:t>
            </w:r>
          </w:p>
        </w:tc>
      </w:tr>
      <w:tr w14:paraId="68394402">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03FAF16">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D2308D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highlight w:val="none"/>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57D2EE6">
            <w:pPr>
              <w:jc w:val="left"/>
              <w:rPr>
                <w:rFonts w:ascii="Times New Roman" w:hAnsi="Times New Roman" w:cs="Times New Roman"/>
                <w:color w:val="auto"/>
                <w:highlight w:val="none"/>
              </w:rPr>
            </w:pPr>
            <w:r>
              <w:rPr>
                <w:rFonts w:hint="eastAsia" w:ascii="宋体" w:hAnsi="宋体" w:eastAsia="宋体" w:cs="宋体"/>
                <w:b w:val="0"/>
                <w:bCs w:val="0"/>
                <w:color w:val="auto"/>
                <w:sz w:val="21"/>
                <w:szCs w:val="21"/>
                <w:highlight w:val="none"/>
                <w:lang w:val="en-US" w:eastAsia="zh-CN"/>
              </w:rPr>
              <w:t>按《浙江省财政厅关于进一步发挥政府采购政策功能全力推动经济稳进提质的通知》（浙财采监〔2022〕3号）等文件要求执行。在合同生效以及具备实施条件后7个工作日内支付合同总价的40%（乙方须提交与预付款等额的预付款担保）；项目主体基本完工后支付合同总价的</w:t>
            </w:r>
            <w:r>
              <w:rPr>
                <w:rFonts w:hint="eastAsia" w:ascii="宋体" w:hAnsi="宋体" w:eastAsia="宋体" w:cs="宋体"/>
                <w:b w:val="0"/>
                <w:bCs w:val="0"/>
                <w:color w:val="auto"/>
                <w:sz w:val="21"/>
                <w:szCs w:val="21"/>
                <w:highlight w:val="none"/>
                <w:shd w:val="clear"/>
                <w:lang w:val="en-US" w:eastAsia="zh-CN"/>
              </w:rPr>
              <w:t>45%</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余款</w:t>
            </w:r>
            <w:r>
              <w:rPr>
                <w:rFonts w:hint="eastAsia" w:ascii="宋体" w:hAnsi="宋体" w:eastAsia="宋体" w:cs="宋体"/>
                <w:b w:val="0"/>
                <w:bCs w:val="0"/>
                <w:color w:val="auto"/>
                <w:sz w:val="21"/>
                <w:szCs w:val="21"/>
                <w:highlight w:val="none"/>
                <w:lang w:val="en-US" w:eastAsia="zh-CN"/>
              </w:rPr>
              <w:t>根据第三方审定的结算价结清。</w:t>
            </w:r>
          </w:p>
        </w:tc>
      </w:tr>
      <w:tr w14:paraId="423CBAC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58EEA9D">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74ACD35">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响应报价</w:t>
            </w:r>
          </w:p>
          <w:p w14:paraId="72F6CB57">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EF72CF8">
            <w:pPr>
              <w:numPr>
                <w:ilvl w:val="0"/>
                <w:numId w:val="3"/>
              </w:numPr>
              <w:shd w:val="clear"/>
              <w:rPr>
                <w:rFonts w:hint="eastAsia" w:cs="Times New Roman"/>
                <w:color w:val="auto"/>
                <w:szCs w:val="21"/>
                <w:highlight w:val="none"/>
                <w:shd w:val="clear" w:fill="FF0000"/>
                <w:lang w:eastAsia="zh-CN"/>
              </w:rPr>
            </w:pPr>
            <w:r>
              <w:rPr>
                <w:rFonts w:hint="eastAsia" w:ascii="Times New Roman" w:hAnsi="Times New Roman" w:cs="Times New Roman"/>
                <w:color w:val="auto"/>
                <w:szCs w:val="21"/>
                <w:highlight w:val="none"/>
              </w:rPr>
              <w:t>投标人所投报的投标报价为投标人所能承受的整个项目的一次性最终最低合同总价，</w:t>
            </w:r>
            <w:bookmarkStart w:id="7" w:name="_Hlk172751011"/>
            <w:r>
              <w:rPr>
                <w:rFonts w:hint="eastAsia" w:ascii="Times New Roman" w:hAnsi="Times New Roman" w:cs="Times New Roman"/>
                <w:color w:val="auto"/>
                <w:szCs w:val="21"/>
                <w:highlight w:val="none"/>
              </w:rPr>
              <w:t>包含但不限于红线范围内</w:t>
            </w:r>
            <w:r>
              <w:rPr>
                <w:rFonts w:hint="eastAsia" w:ascii="宋体" w:hAnsi="宋体" w:eastAsia="宋体" w:cs="宋体"/>
                <w:color w:val="auto"/>
                <w:sz w:val="21"/>
                <w:szCs w:val="21"/>
                <w:highlight w:val="none"/>
                <w:lang w:val="en-US" w:eastAsia="zh-CN"/>
              </w:rPr>
              <w:t>景观绿化（景观道路、园林小品、景观池、景石堆砌、绿地、景观照明电气、景观给排水、景观弱电、灌溉给水、造浪设备、雾森系统、水净化设备等）、建筑（含灯塔）及室内外装修（含精装修、室内电气、室内给排水、室内弱电等）、造浪系统机房、配套设施、室外综合管线等以及为完成本工程所需的所有措施项目、竣工验收及保修服务所需的所有材料、设备、运行、备品备件、零星设备、安装、售后服务等一切费用</w:t>
            </w:r>
            <w:bookmarkEnd w:id="7"/>
            <w:r>
              <w:rPr>
                <w:rFonts w:hint="eastAsia" w:ascii="宋体" w:hAnsi="宋体" w:eastAsia="宋体" w:cs="宋体"/>
                <w:color w:val="auto"/>
                <w:sz w:val="21"/>
                <w:szCs w:val="21"/>
                <w:highlight w:val="none"/>
                <w:lang w:val="en-US" w:eastAsia="zh-CN"/>
              </w:rPr>
              <w:t>。最终结算总价增加部分不得超过合同价的10%，且不得超过398万元。</w:t>
            </w:r>
            <w:bookmarkStart w:id="356" w:name="_GoBack"/>
            <w:bookmarkEnd w:id="356"/>
          </w:p>
          <w:p w14:paraId="35583449">
            <w:pPr>
              <w:numPr>
                <w:ilvl w:val="0"/>
                <w:numId w:val="3"/>
              </w:numPr>
              <w:shd w:val="clea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不论投标结果如何，响应人均应自行承担所有与投标有关的全部费用。</w:t>
            </w:r>
          </w:p>
          <w:p w14:paraId="369F8A84">
            <w:pPr>
              <w:spacing w:line="360" w:lineRule="exact"/>
              <w:rPr>
                <w:rFonts w:hint="eastAsia" w:ascii="Times New Roman" w:hAnsi="Times New Roman" w:cs="Times New Roman"/>
                <w:color w:val="auto"/>
                <w:szCs w:val="21"/>
                <w:highlight w:val="none"/>
                <w:lang w:val="en-US" w:eastAsia="zh-CN"/>
              </w:rPr>
            </w:pPr>
            <w:bookmarkStart w:id="8" w:name="_Hlk61602443"/>
            <w:r>
              <w:rPr>
                <w:rFonts w:hint="eastAsia" w:ascii="Times New Roman" w:hAnsi="Times New Roman" w:cs="Times New Roman"/>
                <w:b/>
                <w:bCs/>
                <w:color w:val="auto"/>
                <w:szCs w:val="21"/>
                <w:highlight w:val="none"/>
              </w:rPr>
              <w:t>3、</w:t>
            </w:r>
            <w:bookmarkEnd w:id="8"/>
            <w:r>
              <w:rPr>
                <w:rFonts w:hint="eastAsia" w:ascii="Times New Roman" w:hAnsi="Times New Roman" w:cs="Times New Roman"/>
                <w:color w:val="auto"/>
                <w:szCs w:val="21"/>
                <w:highlight w:val="none"/>
                <w:lang w:val="en-US" w:eastAsia="zh-CN"/>
              </w:rPr>
              <w:t>本项目招标代理服务费2.48万元由中标单位领取中标通知书时一次性全额支付。</w:t>
            </w:r>
          </w:p>
          <w:p w14:paraId="15027E7F">
            <w:pPr>
              <w:spacing w:line="36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开户银行：舟山定海海洋农商银行营业部          </w:t>
            </w:r>
          </w:p>
          <w:p w14:paraId="69A28807">
            <w:pPr>
              <w:spacing w:line="36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帐    号：201000012335992     </w:t>
            </w:r>
          </w:p>
          <w:p w14:paraId="239CB070">
            <w:pPr>
              <w:rPr>
                <w:rFonts w:ascii="Times New Roman" w:hAnsi="Times New Roman" w:cs="Times New Roman"/>
                <w:b/>
                <w:color w:val="auto"/>
                <w:highlight w:val="none"/>
              </w:rPr>
            </w:pPr>
            <w:r>
              <w:rPr>
                <w:rFonts w:hint="default" w:ascii="Times New Roman" w:hAnsi="Times New Roman" w:cs="Times New Roman"/>
                <w:color w:val="auto"/>
                <w:szCs w:val="21"/>
                <w:highlight w:val="none"/>
                <w:lang w:val="en-US" w:eastAsia="zh-CN"/>
              </w:rPr>
              <w:t>收 款 人：浙江天隆工程管理有限公司</w:t>
            </w:r>
          </w:p>
        </w:tc>
      </w:tr>
      <w:tr w14:paraId="449ACD1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681CBB">
            <w:pPr>
              <w:spacing w:line="320" w:lineRule="exact"/>
              <w:jc w:val="center"/>
              <w:rPr>
                <w:rFonts w:hint="default" w:ascii="Times New Roman" w:hAnsi="Times New Roman" w:eastAsia="宋体" w:cs="Times New Roman"/>
                <w:b/>
                <w:color w:val="auto"/>
                <w:szCs w:val="21"/>
                <w:highlight w:val="none"/>
                <w:shd w:val="pct10" w:color="auto" w:fill="FFFFFF"/>
                <w:lang w:val="en-US" w:eastAsia="zh-CN"/>
              </w:rPr>
            </w:pPr>
            <w:r>
              <w:rPr>
                <w:rFonts w:hint="eastAsia" w:cs="Times New Roman"/>
                <w:b/>
                <w:color w:val="auto"/>
                <w:szCs w:val="21"/>
                <w:highlight w:val="none"/>
                <w:shd w:val="pct10" w:color="auto" w:fill="FFFFFF"/>
                <w:lang w:val="en-US" w:eastAsia="zh-CN"/>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644680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AA9FAED">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本项目实行电子投标。</w:t>
            </w:r>
          </w:p>
          <w:p w14:paraId="7DB39D15">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响应人应准备电子响应文件和以介质存储的数据电文形式的备份响应文件：</w:t>
            </w:r>
          </w:p>
          <w:p w14:paraId="21144E70">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（1）电子响应文件，按政采云平台项目采购-电子交易操作指南及本竞争性磋商文件要求递交。</w:t>
            </w:r>
          </w:p>
          <w:p w14:paraId="66F5941F">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（2）以介质存储的数据电文形式的备份响应文件，按政采云平台项目采购-电子交易操作指南中上传的电子响应文件格式。</w:t>
            </w:r>
          </w:p>
          <w:p w14:paraId="18B88AAF">
            <w:pPr>
              <w:spacing w:line="320" w:lineRule="exact"/>
              <w:rPr>
                <w:rFonts w:ascii="Times New Roman" w:hAnsi="Times New Roman" w:cs="Times New Roman"/>
                <w:color w:val="auto"/>
                <w:highlight w:val="none"/>
              </w:rPr>
            </w:pPr>
            <w:r>
              <w:rPr>
                <w:rFonts w:hint="eastAsia" w:ascii="Times New Roman" w:hAnsi="Times New Roman" w:cs="Times New Roman"/>
                <w:color w:val="auto"/>
                <w:szCs w:val="21"/>
                <w:highlight w:val="none"/>
              </w:rPr>
              <w:t>响应文件均由响应报价文件、资格证明文件、商务技术文件组成。</w:t>
            </w:r>
          </w:p>
        </w:tc>
      </w:tr>
      <w:tr w14:paraId="0A11952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C053774">
            <w:pPr>
              <w:spacing w:line="320" w:lineRule="exact"/>
              <w:jc w:val="center"/>
              <w:rPr>
                <w:rFonts w:hint="eastAsia" w:ascii="Times New Roman" w:hAnsi="Times New Roman" w:eastAsia="宋体" w:cs="Times New Roman"/>
                <w:b/>
                <w:color w:val="auto"/>
                <w:szCs w:val="21"/>
                <w:highlight w:val="none"/>
                <w:shd w:val="pct10" w:color="auto" w:fill="FFFFFF"/>
                <w:lang w:eastAsia="zh-CN"/>
              </w:rPr>
            </w:pPr>
            <w:r>
              <w:rPr>
                <w:rFonts w:hint="eastAsia" w:ascii="Times New Roman" w:hAnsi="Times New Roman" w:cs="Times New Roman"/>
                <w:b/>
                <w:color w:val="auto"/>
                <w:szCs w:val="21"/>
                <w:highlight w:val="none"/>
                <w:shd w:val="pct10" w:color="auto" w:fill="FFFFFF"/>
              </w:rPr>
              <w:t>1</w:t>
            </w:r>
            <w:r>
              <w:rPr>
                <w:rFonts w:hint="eastAsia" w:cs="Times New Roman"/>
                <w:b/>
                <w:color w:val="auto"/>
                <w:szCs w:val="21"/>
                <w:highlight w:val="none"/>
                <w:shd w:val="pct10" w:color="auto" w:fill="FFFFFF"/>
                <w:lang w:val="en-US" w:eastAsia="zh-CN"/>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A01B86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2AF13AC">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14:paraId="0BD63936">
            <w:pPr>
              <w:wordWrap w:val="0"/>
              <w:spacing w:line="36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（2）本项目实行电子投标，投标人无须授权代表参加现场开标会议。投标人应当于2025年</w:t>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月</w:t>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日</w:t>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19DB8050">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响应人递交以介质存储的数据电文形式的备份响应文件时，如出现下列情况之一的，将被拒收：</w:t>
            </w:r>
          </w:p>
          <w:p w14:paraId="0843496B">
            <w:pPr>
              <w:spacing w:line="320" w:lineRule="exact"/>
              <w:ind w:firstLine="210" w:firstLineChars="1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1）未成功办理响应人竞争性磋商文件获取手续的； </w:t>
            </w:r>
          </w:p>
          <w:p w14:paraId="2DD3B7B8">
            <w:pPr>
              <w:spacing w:line="320" w:lineRule="exact"/>
              <w:ind w:firstLine="210" w:firstLineChars="1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2）未按规定要求提供后缀为.bfbs电子备份响应文件的；</w:t>
            </w:r>
          </w:p>
          <w:p w14:paraId="2E5AC10F">
            <w:pPr>
              <w:spacing w:line="320" w:lineRule="exact"/>
              <w:ind w:firstLine="210" w:firstLineChars="1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3）超过响应截止时间发送的。</w:t>
            </w:r>
          </w:p>
          <w:p w14:paraId="7DE8B489">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仅提供备份响应文件的，投标无效，相关风险由响应人自行承担。</w:t>
            </w:r>
          </w:p>
        </w:tc>
      </w:tr>
      <w:tr w14:paraId="5CE4D1A9">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7025BD5">
            <w:pPr>
              <w:spacing w:line="320" w:lineRule="exact"/>
              <w:jc w:val="center"/>
              <w:rPr>
                <w:rFonts w:hint="eastAsia" w:ascii="Times New Roman" w:hAnsi="Times New Roman" w:eastAsia="宋体" w:cs="Times New Roman"/>
                <w:b/>
                <w:color w:val="auto"/>
                <w:szCs w:val="21"/>
                <w:highlight w:val="none"/>
                <w:shd w:val="pct10" w:color="auto" w:fill="FFFFFF"/>
                <w:lang w:eastAsia="zh-CN"/>
              </w:rPr>
            </w:pPr>
            <w:r>
              <w:rPr>
                <w:rFonts w:hint="eastAsia" w:ascii="Times New Roman" w:hAnsi="Times New Roman" w:cs="Times New Roman"/>
                <w:b/>
                <w:color w:val="auto"/>
                <w:szCs w:val="21"/>
                <w:highlight w:val="none"/>
                <w:shd w:val="pct10" w:color="auto" w:fill="FFFFFF"/>
              </w:rPr>
              <w:t>1</w:t>
            </w:r>
            <w:r>
              <w:rPr>
                <w:rFonts w:hint="eastAsia" w:cs="Times New Roman"/>
                <w:b/>
                <w:color w:val="auto"/>
                <w:szCs w:val="21"/>
                <w:highlight w:val="none"/>
                <w:shd w:val="pct10" w:color="auto" w:fill="FFFFFF"/>
                <w:lang w:val="en-US" w:eastAsia="zh-CN"/>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B0CAA57">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9C918D1">
            <w:pPr>
              <w:spacing w:line="320" w:lineRule="exact"/>
              <w:rPr>
                <w:rFonts w:ascii="Times New Roman" w:hAnsi="Times New Roman" w:cs="Times New Roman"/>
                <w:color w:val="auto"/>
                <w:szCs w:val="21"/>
                <w:highlight w:val="none"/>
              </w:rPr>
            </w:pPr>
            <w:r>
              <w:rPr>
                <w:rFonts w:hint="eastAsia" w:ascii="Times New Roman" w:hAnsi="Times New Roman" w:cs="Times New Roman"/>
                <w:b/>
                <w:color w:val="auto"/>
                <w:kern w:val="0"/>
                <w:szCs w:val="21"/>
                <w:highlight w:val="none"/>
              </w:rPr>
              <w:t>响应人需通过“政府采购云平台（www.zcygov.cn）”在线投标响应。</w:t>
            </w:r>
          </w:p>
        </w:tc>
      </w:tr>
      <w:tr w14:paraId="4DA3D9F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F2B94FE">
            <w:pPr>
              <w:spacing w:line="320" w:lineRule="exact"/>
              <w:jc w:val="center"/>
              <w:rPr>
                <w:rFonts w:hint="eastAsia" w:ascii="Times New Roman" w:hAnsi="Times New Roman" w:eastAsia="宋体" w:cs="Times New Roman"/>
                <w:b/>
                <w:color w:val="auto"/>
                <w:szCs w:val="21"/>
                <w:highlight w:val="none"/>
                <w:shd w:val="pct10" w:color="auto" w:fill="FFFFFF"/>
                <w:lang w:eastAsia="zh-CN"/>
              </w:rPr>
            </w:pPr>
            <w:r>
              <w:rPr>
                <w:rFonts w:hint="eastAsia" w:ascii="Times New Roman" w:hAnsi="Times New Roman" w:cs="Times New Roman"/>
                <w:b/>
                <w:color w:val="auto"/>
                <w:szCs w:val="21"/>
                <w:highlight w:val="none"/>
                <w:shd w:val="pct10" w:color="auto" w:fill="FFFFFF"/>
              </w:rPr>
              <w:t>1</w:t>
            </w:r>
            <w:r>
              <w:rPr>
                <w:rFonts w:hint="eastAsia" w:cs="Times New Roman"/>
                <w:b/>
                <w:color w:val="auto"/>
                <w:szCs w:val="21"/>
                <w:highlight w:val="none"/>
                <w:shd w:val="pct10" w:color="auto" w:fill="FFFFFF"/>
                <w:lang w:val="en-US" w:eastAsia="zh-CN"/>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46EB105">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FD09842">
            <w:pPr>
              <w:spacing w:line="320" w:lineRule="exact"/>
              <w:jc w:val="left"/>
              <w:rPr>
                <w:rFonts w:hint="default" w:ascii="Times New Roman" w:hAnsi="Times New Roman" w:eastAsia="宋体" w:cs="Times New Roman"/>
                <w:b/>
                <w:color w:val="auto"/>
                <w:szCs w:val="21"/>
                <w:highlight w:val="none"/>
                <w:lang w:val="en-US" w:eastAsia="zh-CN"/>
              </w:rPr>
            </w:pPr>
            <w:r>
              <w:rPr>
                <w:rFonts w:hint="eastAsia" w:ascii="Times New Roman" w:hAnsi="Times New Roman" w:cs="Times New Roman"/>
                <w:b/>
                <w:color w:val="auto"/>
                <w:szCs w:val="21"/>
                <w:highlight w:val="none"/>
              </w:rPr>
              <w:t>2025年</w:t>
            </w:r>
            <w:r>
              <w:rPr>
                <w:rFonts w:hint="eastAsia" w:ascii="Times New Roman" w:hAnsi="Times New Roman" w:cs="Times New Roman"/>
                <w:b/>
                <w:color w:val="auto"/>
                <w:szCs w:val="21"/>
                <w:highlight w:val="none"/>
                <w:lang w:val="en-US" w:eastAsia="zh-CN"/>
              </w:rPr>
              <w:t xml:space="preserve">  </w:t>
            </w:r>
            <w:r>
              <w:rPr>
                <w:rFonts w:hint="eastAsia" w:ascii="Times New Roman" w:hAnsi="Times New Roman" w:cs="Times New Roman"/>
                <w:b/>
                <w:color w:val="auto"/>
                <w:szCs w:val="21"/>
                <w:highlight w:val="none"/>
              </w:rPr>
              <w:t>月</w:t>
            </w:r>
            <w:r>
              <w:rPr>
                <w:rFonts w:hint="eastAsia" w:ascii="Times New Roman" w:hAnsi="Times New Roman" w:cs="Times New Roman"/>
                <w:b/>
                <w:color w:val="auto"/>
                <w:szCs w:val="21"/>
                <w:highlight w:val="none"/>
                <w:lang w:val="en-US" w:eastAsia="zh-CN"/>
              </w:rPr>
              <w:t xml:space="preserve">    </w:t>
            </w:r>
            <w:r>
              <w:rPr>
                <w:rFonts w:hint="eastAsia" w:ascii="Times New Roman" w:hAnsi="Times New Roman" w:cs="Times New Roman"/>
                <w:b/>
                <w:color w:val="auto"/>
                <w:szCs w:val="21"/>
                <w:highlight w:val="none"/>
              </w:rPr>
              <w:t>日</w:t>
            </w:r>
            <w:r>
              <w:rPr>
                <w:rFonts w:hint="eastAsia" w:ascii="Times New Roman" w:hAnsi="Times New Roman" w:cs="Times New Roman"/>
                <w:b/>
                <w:color w:val="auto"/>
                <w:szCs w:val="21"/>
                <w:highlight w:val="none"/>
                <w:lang w:val="en-US" w:eastAsia="zh-CN"/>
              </w:rPr>
              <w:t xml:space="preserve">  </w:t>
            </w:r>
            <w:r>
              <w:rPr>
                <w:rFonts w:hint="eastAsia"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 xml:space="preserve">   </w:t>
            </w:r>
          </w:p>
        </w:tc>
      </w:tr>
      <w:tr w14:paraId="2081B02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3E1DBDD">
            <w:pPr>
              <w:spacing w:line="320" w:lineRule="exact"/>
              <w:jc w:val="center"/>
              <w:rPr>
                <w:rFonts w:hint="default" w:ascii="Times New Roman" w:hAnsi="Times New Roman" w:eastAsia="宋体" w:cs="Times New Roman"/>
                <w:b/>
                <w:color w:val="auto"/>
                <w:szCs w:val="21"/>
                <w:highlight w:val="none"/>
                <w:shd w:val="pct10" w:color="auto" w:fill="FFFFFF"/>
                <w:lang w:val="en-US" w:eastAsia="zh-CN"/>
              </w:rPr>
            </w:pPr>
            <w:r>
              <w:rPr>
                <w:rFonts w:hint="eastAsia" w:cs="Times New Roman"/>
                <w:b/>
                <w:color w:val="auto"/>
                <w:szCs w:val="21"/>
                <w:highlight w:val="none"/>
                <w:shd w:val="pct10" w:color="auto" w:fill="FFFFFF"/>
                <w:lang w:val="en-US" w:eastAsia="zh-CN"/>
              </w:rPr>
              <w:t>15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3EEF8FE">
            <w:pPr>
              <w:spacing w:line="320" w:lineRule="exact"/>
              <w:jc w:val="center"/>
              <w:rPr>
                <w:rFonts w:ascii="Times New Roman" w:hAnsi="Times New Roman" w:cs="Times New Roman"/>
                <w:color w:val="auto"/>
                <w:sz w:val="24"/>
                <w:highlight w:val="none"/>
              </w:rPr>
            </w:pPr>
            <w:r>
              <w:rPr>
                <w:rFonts w:hint="eastAsia" w:ascii="Times New Roman" w:hAnsi="Times New Roman" w:cs="Times New Roman"/>
                <w:b/>
                <w:color w:val="auto"/>
                <w:szCs w:val="21"/>
                <w:highlight w:val="none"/>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E4AF9B9">
            <w:pPr>
              <w:spacing w:line="320" w:lineRule="exact"/>
              <w:jc w:val="left"/>
              <w:rPr>
                <w:rFonts w:hint="eastAsia" w:ascii="Times New Roman" w:hAnsi="Times New Roman" w:eastAsia="宋体" w:cs="Times New Roman"/>
                <w:b/>
                <w:color w:val="auto"/>
                <w:kern w:val="0"/>
                <w:szCs w:val="21"/>
                <w:highlight w:val="none"/>
                <w:lang w:eastAsia="zh-CN"/>
              </w:rPr>
            </w:pPr>
            <w:r>
              <w:rPr>
                <w:rFonts w:hint="eastAsia" w:ascii="Times New Roman" w:hAnsi="Times New Roman" w:cs="Times New Roman"/>
                <w:b/>
                <w:color w:val="auto"/>
                <w:kern w:val="0"/>
                <w:szCs w:val="21"/>
                <w:highlight w:val="none"/>
              </w:rPr>
              <w:t>采购标的：温州园博会——“舟山园”项目采购</w:t>
            </w:r>
            <w:r>
              <w:rPr>
                <w:rFonts w:hint="eastAsia" w:ascii="Times New Roman" w:hAnsi="Times New Roman" w:cs="Times New Roman"/>
                <w:b/>
                <w:color w:val="auto"/>
                <w:kern w:val="0"/>
                <w:szCs w:val="21"/>
                <w:highlight w:val="none"/>
                <w:lang w:eastAsia="zh-CN"/>
              </w:rPr>
              <w:t>。</w:t>
            </w:r>
          </w:p>
          <w:p w14:paraId="28CC874C">
            <w:pPr>
              <w:spacing w:line="320" w:lineRule="exact"/>
              <w:jc w:val="left"/>
              <w:rPr>
                <w:rFonts w:hint="eastAsia" w:ascii="Times New Roman" w:hAnsi="Times New Roman" w:cs="Times New Roman"/>
                <w:b/>
                <w:color w:val="auto"/>
                <w:kern w:val="0"/>
                <w:szCs w:val="21"/>
                <w:highlight w:val="none"/>
                <w:lang w:eastAsia="zh-CN"/>
              </w:rPr>
            </w:pPr>
            <w:r>
              <w:rPr>
                <w:rFonts w:hint="eastAsia" w:ascii="Times New Roman" w:hAnsi="Times New Roman" w:cs="Times New Roman" w:eastAsiaTheme="minorEastAsia"/>
                <w:b/>
                <w:color w:val="auto"/>
                <w:kern w:val="0"/>
                <w:szCs w:val="21"/>
                <w:highlight w:val="none"/>
              </w:rPr>
              <w:t>所属行业：其他未列明行业</w:t>
            </w:r>
            <w:r>
              <w:rPr>
                <w:rFonts w:hint="eastAsia" w:ascii="Times New Roman" w:hAnsi="Times New Roman" w:cs="Times New Roman"/>
                <w:b/>
                <w:color w:val="auto"/>
                <w:kern w:val="0"/>
                <w:szCs w:val="21"/>
                <w:highlight w:val="none"/>
                <w:lang w:eastAsia="zh-CN"/>
              </w:rPr>
              <w:t>。</w:t>
            </w:r>
          </w:p>
          <w:p w14:paraId="4F7EB50B">
            <w:pPr>
              <w:spacing w:line="320" w:lineRule="exact"/>
              <w:jc w:val="left"/>
              <w:rPr>
                <w:rFonts w:ascii="Times New Roman" w:hAnsi="Times New Roman" w:cs="Times New Roman"/>
                <w:color w:val="auto"/>
                <w:highlight w:val="none"/>
              </w:rPr>
            </w:pPr>
            <w:r>
              <w:rPr>
                <w:rFonts w:hint="eastAsia" w:ascii="Times New Roman" w:hAnsi="Times New Roman" w:eastAsia="宋体" w:cs="Times New Roman"/>
                <w:b/>
                <w:color w:val="auto"/>
                <w:kern w:val="0"/>
                <w:szCs w:val="21"/>
                <w:highlight w:val="none"/>
              </w:rPr>
              <w:t>（从业人员300人以下的为中小微型企业。其中，从业人员100人及以上的为中型企业；从业人员10人及以上的为小型企业；从业人员10人以下的为微型企业。）</w:t>
            </w:r>
          </w:p>
        </w:tc>
      </w:tr>
      <w:tr w14:paraId="6A71C9D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EEFF73D">
            <w:pPr>
              <w:spacing w:line="320" w:lineRule="exact"/>
              <w:jc w:val="center"/>
              <w:rPr>
                <w:rFonts w:hint="default" w:ascii="Times New Roman" w:hAnsi="Times New Roman" w:eastAsia="宋体" w:cs="Times New Roman"/>
                <w:b/>
                <w:color w:val="auto"/>
                <w:szCs w:val="21"/>
                <w:highlight w:val="none"/>
                <w:shd w:val="pct10" w:color="auto" w:fill="FFFFFF"/>
                <w:lang w:val="en-US" w:eastAsia="zh-CN"/>
              </w:rPr>
            </w:pPr>
            <w:r>
              <w:rPr>
                <w:rFonts w:hint="eastAsia" w:cs="Times New Roman"/>
                <w:b/>
                <w:color w:val="auto"/>
                <w:szCs w:val="21"/>
                <w:highlight w:val="none"/>
                <w:shd w:val="pct10" w:color="auto" w:fill="FFFFFF"/>
                <w:lang w:val="en-US" w:eastAsia="zh-CN"/>
              </w:rPr>
              <w:t>16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492C08B">
            <w:pPr>
              <w:spacing w:line="360" w:lineRule="exact"/>
              <w:jc w:val="center"/>
              <w:rPr>
                <w:rFonts w:hint="eastAsia" w:ascii="Times New Roman" w:hAnsi="Times New Roman" w:cs="Times New Roman"/>
                <w:b/>
                <w:color w:val="auto"/>
                <w:szCs w:val="21"/>
                <w:highlight w:val="none"/>
              </w:rPr>
            </w:pPr>
            <w:r>
              <w:rPr>
                <w:rFonts w:hint="eastAsia" w:ascii="Times New Roman" w:hAnsi="Times New Roman" w:cs="Times New Roman"/>
                <w:b/>
                <w:color w:val="auto"/>
                <w:szCs w:val="21"/>
                <w:highlight w:val="none"/>
              </w:rPr>
              <w:t>中小企业</w:t>
            </w:r>
          </w:p>
          <w:p w14:paraId="72A43268">
            <w:pPr>
              <w:spacing w:line="320" w:lineRule="exact"/>
              <w:jc w:val="center"/>
              <w:rPr>
                <w:rFonts w:hint="eastAsia"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rPr>
              <w:t>扶持政策</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041D479">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一、根据《政府采购促进中小企业发展管理办法》（财库[2020]46号）规定：</w:t>
            </w:r>
          </w:p>
          <w:p w14:paraId="5AFB098D">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6A9A39C8">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符合中小企业划分标准的个体工商户，在政府采购活动中视同中小企业。</w:t>
            </w:r>
          </w:p>
          <w:p w14:paraId="77880995">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2.在政府采购活动中，供应商提供的货物、工程或者服务符合下列情形的，享受本办法规定的中小企业扶持政策：</w:t>
            </w:r>
          </w:p>
          <w:p w14:paraId="1199D570">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（1）在货物采购项目中，货物由中小企业制造，即货物由中小企业生产且使用该中小企业商号或者注册商标； </w:t>
            </w:r>
          </w:p>
          <w:p w14:paraId="4B34C816">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（2）在工程采购项目中，工程由中小企业承建，即工程施工单位为中小企业； </w:t>
            </w:r>
          </w:p>
          <w:p w14:paraId="4E19FC3A">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（3）在服务采购项目中，服务由中小企业承接，即提供服务的人员为中小企业依照《中华人民共和国劳动合同法》订立劳动合同的从业人员。 </w:t>
            </w:r>
          </w:p>
          <w:p w14:paraId="25C20078">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在货物采购项目中，供应商提供的货物既有中小企业制造货物，也有大型企业制造货物的，不享受本办法规定的中小企业扶持政策。 </w:t>
            </w:r>
          </w:p>
          <w:p w14:paraId="3814FAFE">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3D009E">
            <w:pPr>
              <w:spacing w:line="360" w:lineRule="exact"/>
              <w:jc w:val="left"/>
              <w:rPr>
                <w:rFonts w:hint="eastAsia" w:ascii="Times New Roman" w:hAnsi="Times New Roman" w:cs="Times New Roman" w:eastAsiaTheme="minorEastAsia"/>
                <w:b/>
                <w:color w:val="auto"/>
                <w:kern w:val="0"/>
                <w:szCs w:val="21"/>
                <w:highlight w:val="none"/>
              </w:rPr>
            </w:pPr>
            <w:r>
              <w:rPr>
                <w:rFonts w:hint="eastAsia" w:ascii="Times New Roman" w:hAnsi="Times New Roman" w:cs="Times New Roman"/>
                <w:b/>
                <w:color w:val="auto"/>
                <w:szCs w:val="21"/>
                <w:highlight w:val="none"/>
                <w:lang w:val="en-US" w:eastAsia="zh-CN"/>
              </w:rPr>
              <w:t>4.本项目专门面向中小企业采购（参加投标供应商须出具《中小企业声明函》，未提供不认定为中小企业，此次投标无效）。</w:t>
            </w:r>
          </w:p>
        </w:tc>
      </w:tr>
    </w:tbl>
    <w:p w14:paraId="01146889">
      <w:pPr>
        <w:snapToGrid w:val="0"/>
        <w:spacing w:after="240" w:line="276" w:lineRule="auto"/>
        <w:ind w:firstLine="560"/>
        <w:jc w:val="center"/>
        <w:rPr>
          <w:rFonts w:ascii="Times New Roman" w:hAnsi="Times New Roman" w:cs="Times New Roman"/>
          <w:b/>
          <w:color w:val="000000" w:themeColor="text1"/>
          <w:sz w:val="28"/>
          <w:szCs w:val="30"/>
          <w:highlight w:val="none"/>
          <w14:textFill>
            <w14:solidFill>
              <w14:schemeClr w14:val="tx1"/>
            </w14:solidFill>
          </w14:textFill>
        </w:rPr>
      </w:pPr>
    </w:p>
    <w:p w14:paraId="21BF8AFA">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br w:type="page"/>
      </w:r>
      <w:r>
        <w:rPr>
          <w:rFonts w:hint="eastAsia" w:ascii="Times New Roman" w:hAnsi="Times New Roman" w:cs="Times New Roman"/>
          <w:b/>
          <w:color w:val="000000" w:themeColor="text1"/>
          <w:sz w:val="28"/>
          <w:szCs w:val="30"/>
          <w:highlight w:val="none"/>
          <w14:textFill>
            <w14:solidFill>
              <w14:schemeClr w14:val="tx1"/>
            </w14:solidFill>
          </w14:textFill>
        </w:rPr>
        <w:t>一、总  则</w:t>
      </w:r>
    </w:p>
    <w:p w14:paraId="0A2DE746">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（一）适用范围</w:t>
      </w:r>
    </w:p>
    <w:p w14:paraId="35FAB4C2">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本竞争性磋商文件适用于本次项目的评标、定标、验收、合同履约、付款等（法律、法规另有规定的，从其规定）。</w:t>
      </w:r>
    </w:p>
    <w:p w14:paraId="79C4F709">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（二）定义</w:t>
      </w:r>
    </w:p>
    <w:p w14:paraId="356AE206">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1.招标采购单位系指组织本次招标的代理机构和采购单位。</w:t>
      </w:r>
    </w:p>
    <w:p w14:paraId="5A560F14">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2.“响应人（响应人）”系指向招标方提交响应文件的单位。</w:t>
      </w:r>
    </w:p>
    <w:p w14:paraId="1980D43E">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3.“产品”系指供方按竞争性磋商文件规定，须向采购人提供的一切设备、保险、税金、备品备件、工具、手册及其它有关技术资料和材料。</w:t>
      </w:r>
    </w:p>
    <w:p w14:paraId="36607513">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4.“服务”系指竞争性磋商文件规定响应人须承担的服务等义务。</w:t>
      </w:r>
    </w:p>
    <w:p w14:paraId="7BF38BF3">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5.“项目”系指响应人按竞争性磋商文件规定向采购人提供服务。</w:t>
      </w:r>
    </w:p>
    <w:p w14:paraId="43ACC90D">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6.“书面形式”包括信函、传真、电报、电子文档等。</w:t>
      </w:r>
    </w:p>
    <w:p w14:paraId="19B63145">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7.“▲”系指实质性要求条款。</w:t>
      </w:r>
    </w:p>
    <w:p w14:paraId="06DB7F43">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（三）招标方式</w:t>
      </w:r>
    </w:p>
    <w:p w14:paraId="50EE8F4D">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1.本次招标采用竞争性磋商方式进行。</w:t>
      </w:r>
    </w:p>
    <w:p w14:paraId="40095B49">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2.本次招标</w:t>
      </w:r>
      <w:r>
        <w:rPr>
          <w:rFonts w:hint="eastAsia" w:ascii="Times New Roman" w:hAnsi="Times New Roman" w:eastAsia="宋体" w:cs="Times New Roman"/>
          <w:b/>
          <w:color w:val="000000" w:themeColor="text1"/>
          <w:sz w:val="21"/>
          <w:szCs w:val="21"/>
          <w:highlight w:val="none"/>
          <w14:textFill>
            <w14:solidFill>
              <w14:schemeClr w14:val="tx1"/>
            </w14:solidFill>
          </w14:textFill>
        </w:rPr>
        <w:t>最高限价</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398</w:t>
      </w:r>
      <w:r>
        <w:rPr>
          <w:rFonts w:hint="eastAsia" w:ascii="Times New Roman" w:hAnsi="Times New Roman" w:eastAsia="宋体" w:cs="Times New Roman"/>
          <w:b/>
          <w:color w:val="000000" w:themeColor="text1"/>
          <w:sz w:val="21"/>
          <w:szCs w:val="21"/>
          <w:highlight w:val="none"/>
          <w14:textFill>
            <w14:solidFill>
              <w14:schemeClr w14:val="tx1"/>
            </w14:solidFill>
          </w14:textFill>
        </w:rPr>
        <w:t>万元</w:t>
      </w:r>
      <w:r>
        <w:rPr>
          <w:rFonts w:hint="eastAsia" w:ascii="Times New Roman" w:hAnsi="Times New Roman" w:eastAsia="宋体" w:cs="Times New Roman"/>
          <w:color w:val="000000" w:themeColor="text1"/>
          <w:sz w:val="21"/>
          <w:szCs w:val="21"/>
          <w:highlight w:val="none"/>
          <w14:textFill>
            <w14:solidFill>
              <w14:schemeClr w14:val="tx1"/>
            </w14:solidFill>
          </w14:textFill>
        </w:rPr>
        <w:t>，超过作无效投标处理。</w:t>
      </w:r>
    </w:p>
    <w:p w14:paraId="1C332658">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（四）投标费用</w:t>
      </w:r>
    </w:p>
    <w:p w14:paraId="7A603B01">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不论投标结果如何，响应人均应自行承担所有与投标有关的全部费用（竞争性磋商文件另有规定除外）。</w:t>
      </w:r>
    </w:p>
    <w:p w14:paraId="5FC4C7EE">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（五）联合体投标</w:t>
      </w:r>
    </w:p>
    <w:p w14:paraId="2C59F611">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本项目</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不接受</w:t>
      </w:r>
      <w:r>
        <w:rPr>
          <w:rFonts w:hint="eastAsia" w:ascii="Times New Roman" w:hAnsi="Times New Roman" w:eastAsia="宋体" w:cs="Times New Roman"/>
          <w:color w:val="000000" w:themeColor="text1"/>
          <w:sz w:val="21"/>
          <w:szCs w:val="21"/>
          <w:highlight w:val="none"/>
          <w14:textFill>
            <w14:solidFill>
              <w14:schemeClr w14:val="tx1"/>
            </w14:solidFill>
          </w14:textFill>
        </w:rPr>
        <w:t>联合体投标。</w:t>
      </w:r>
    </w:p>
    <w:p w14:paraId="78A0395A">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（六）转包与分包</w:t>
      </w:r>
    </w:p>
    <w:p w14:paraId="0DBBEEB2">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1.本项目不允许转包。</w:t>
      </w:r>
    </w:p>
    <w:p w14:paraId="7542066A">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（七）特别说明：</w:t>
      </w:r>
    </w:p>
    <w:p w14:paraId="63E09A65">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1.单位负责人为同一人或者存在直接控股、管理关系的不同供应商，不得参加同一合同项下的政府采购活动。违法该款规定的，相关投标均无效。</w:t>
      </w:r>
    </w:p>
    <w:p w14:paraId="201F5ADF">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2.响应人投标所使用的资格、信誉、荣誉、业绩与企业认证必须为本法人所拥有。响应人投标所使用的采购项目实施人员必须为本法人或控股公司正式员工。</w:t>
      </w:r>
    </w:p>
    <w:p w14:paraId="285A2AD6">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3.响应人应仔细阅读竞争性磋商文件的所有内容，按照竞争性磋商文件的要求提交响应文件，并对所提供的全部资料的真实性承担法律责任。</w:t>
      </w:r>
    </w:p>
    <w:p w14:paraId="4C151253">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响应人在投标活动中提供任何虚假材料,其投标无效，并报监管部门查处；中标后发现的,成交人须依照《中华人民共和国消费者权益保护法》的规定双倍赔偿采购人，且民事赔偿并不免除违法响应人的行政与刑事责任。</w:t>
      </w:r>
    </w:p>
    <w:p w14:paraId="5EA1A3FF">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（八）答疑与澄清</w:t>
      </w:r>
    </w:p>
    <w:p w14:paraId="00D1A0EE">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bookmarkStart w:id="9" w:name="_Hlk42953507"/>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供应商若对采购文件有任何疑问，要求澄清或认为有必要与招标采购单位进行技术交流时，应于其在知道或者应知其权益受到损害之日起7个工作日内，通过书面向招标采购单位提问。</w:t>
      </w:r>
      <w:bookmarkEnd w:id="9"/>
    </w:p>
    <w:p w14:paraId="62106221">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1、根据《中华人民共和国政府采购法实施条例》第五十三条：政府采购法第五十二条规定的供应商应知其权益受到损害之日，是指：</w:t>
      </w:r>
    </w:p>
    <w:p w14:paraId="33FA4AED">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①对可以质疑的采购文件提出质疑的，为收到采购文件之日或者采购文件公告期限届满之日；</w:t>
      </w:r>
    </w:p>
    <w:p w14:paraId="7F043B94">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②对采购过程提出质疑的，为各采购程序环节结束之日；</w:t>
      </w:r>
    </w:p>
    <w:p w14:paraId="2FE5F719">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③对中标或者成交结果提出质疑的，为中标或者成交结果公告期限届满之日。采购结果公告期限为1个工作日。</w:t>
      </w:r>
    </w:p>
    <w:p w14:paraId="1DB1E79D">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2、质疑书应包括下列主要内容：</w:t>
      </w:r>
    </w:p>
    <w:p w14:paraId="291D0862">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①质疑人的名称、地址、邮政编码、联系人、联系电话，以及被质疑人名称及联系方式；</w:t>
      </w:r>
    </w:p>
    <w:p w14:paraId="7E45BC60">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②被质疑采购项目名称、编号及采购内容；</w:t>
      </w:r>
    </w:p>
    <w:p w14:paraId="76016F30">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③具体的质疑事项及事实依据；</w:t>
      </w:r>
    </w:p>
    <w:p w14:paraId="47F76AC0">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④认为自己合法权益受到损害或可能受到损害的相关证据材料；</w:t>
      </w:r>
    </w:p>
    <w:p w14:paraId="607286DD">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⑤提出质疑的日期。</w:t>
      </w:r>
    </w:p>
    <w:p w14:paraId="73827D60">
      <w:pPr>
        <w:pStyle w:val="15"/>
        <w:numPr>
          <w:ilvl w:val="0"/>
          <w:numId w:val="4"/>
        </w:numPr>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582F7F77">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供应商提出的询问或者质疑超出采购人对采购代理机构委托授权范围的，采购代理机构应当告知供应商向采购人提出。</w:t>
      </w:r>
    </w:p>
    <w:p w14:paraId="2DF3891A">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供应商对评审过程、中标或者成交结果提出质疑的，采购人、采购代理机构可以组织原评标委员会、竞争性谈判小组、询价小组或者竞争性磋商小组协助答复质疑。</w:t>
      </w:r>
    </w:p>
    <w:p w14:paraId="12F2B333">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4、质疑供应商对采购人、采购代理机构的答复不满意或者采购人、采购代理机构未在规定的时间内作出答复的，可以在答复期满后十五个工作日内向同级政府采购监督管理部门投诉。</w:t>
      </w:r>
    </w:p>
    <w:p w14:paraId="1E5DBF67">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2A3E79A">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6、采购人或者采购代理机构对已发出的采购文件进行必要的澄清或者修改的，应当在原公告发布媒体上发布澄清公告，澄清或者修改的内容为采购文件的组成部分。</w:t>
      </w:r>
    </w:p>
    <w:p w14:paraId="1A39FA62">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（九）信用相关</w:t>
      </w:r>
    </w:p>
    <w:p w14:paraId="3C0A348C">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1、信用信息查询的截止时点：投标截止时间前查询；</w:t>
      </w:r>
    </w:p>
    <w:p w14:paraId="1C4BA109">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2、查询渠道：</w:t>
      </w:r>
    </w:p>
    <w:p w14:paraId="522B4E26">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信用中国（www.creditchina.gov.cn）；</w:t>
      </w:r>
    </w:p>
    <w:p w14:paraId="3C611D0A">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中国政府采购网（www.ccgp.gov.cn）；</w:t>
      </w:r>
    </w:p>
    <w:p w14:paraId="016590CA">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3、信用信息查询记录和证据留存具体方式：采购代理机构经办人和监督人员将查询网页打印与其他竞争性磋商文件一并保存。</w:t>
      </w:r>
    </w:p>
    <w:p w14:paraId="5D354566">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4、信用信息的使用规则：响应人存在不良信用记录的，其投标将被作为无效投标被拒绝。</w:t>
      </w:r>
    </w:p>
    <w:p w14:paraId="12A33606">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不良信用记录指：被列入失信被执行人、重大税收违法案件当事人名单、政府采购严重违法失信行为记录名单。</w:t>
      </w:r>
    </w:p>
    <w:p w14:paraId="4C74637B">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（十）小、微企业（含监狱企业、残疾人福利性单位）扶持政策说明</w:t>
      </w:r>
    </w:p>
    <w:p w14:paraId="546322D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1、文件依据</w:t>
      </w:r>
    </w:p>
    <w:p w14:paraId="0A99FA94">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1.1 关于印发《政府采购促进中小企业发展管理办法》的通知财库[2020]46号</w:t>
      </w:r>
    </w:p>
    <w:p w14:paraId="696BFEAF">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1.2 浙江省省财政厅《关于开展政府采购供应商网上注册登记和诚信管理工作的通知》（浙财采监〔2010〕8号)</w:t>
      </w:r>
    </w:p>
    <w:p w14:paraId="09C88995">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 《工业和信息化部、国家统计局、国家发展和改革委员会、财政部关于印发中小企业划型标准规定的通知》（工信部联企业[2011]300号）</w:t>
      </w:r>
    </w:p>
    <w:p w14:paraId="31ED2C56">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1.4财政部、司法部《关于政府采购支持监狱企业发展有关问题的通知》（财库〔2014〕68号）</w:t>
      </w:r>
    </w:p>
    <w:p w14:paraId="39140C8D">
      <w:pPr>
        <w:spacing w:line="360" w:lineRule="exact"/>
        <w:ind w:firstLine="525" w:firstLineChars="25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17383F94">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1.6《浙江省财政厅关于进一步发挥政府采购政策功能全力推动经济稳进提质的通知》（浙财采监[2022]3号）。</w:t>
      </w:r>
    </w:p>
    <w:p w14:paraId="59BAB6CC">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1.7《关于进一步加大政府采购支持中小企业力度的通知》（财库[2022]19号）。</w:t>
      </w:r>
    </w:p>
    <w:p w14:paraId="6F8B0A82">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1.8《浙江省财政厅关于进一步加大政府采购支持中小企业力度 助力扎实稳住经济的通知》（浙财采监[2022]8号）。</w:t>
      </w:r>
    </w:p>
    <w:p w14:paraId="027BE2C2">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2、享受小微企业价格折扣应具备的条件与价格折扣比例</w:t>
      </w:r>
    </w:p>
    <w:p w14:paraId="78E3205E">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2.1 符合中小企业划分标准；</w:t>
      </w:r>
    </w:p>
    <w:p w14:paraId="3E9D31BA">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2.2 提供本企业制造的货物、承担的工程或者服务，或者提供其他中小企业制造的货物。本项所称货物不包括使用大型企业注册商标的货物。</w:t>
      </w:r>
    </w:p>
    <w:p w14:paraId="6D587A48">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中小企业划分标准，是指国务院有关部门根据企业从业人员、营业收入、资产总额等指标制定的中小企业划型标准。</w:t>
      </w:r>
    </w:p>
    <w:p w14:paraId="01934123">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小型、微型企业提供中型企业制造的货物的，视同为中型企业。</w:t>
      </w:r>
    </w:p>
    <w:p w14:paraId="3DA9961B">
      <w:pPr>
        <w:spacing w:line="360" w:lineRule="exact"/>
        <w:ind w:firstLine="420" w:firstLineChars="200"/>
        <w:jc w:val="left"/>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 xml:space="preserve">2.3 </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1</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本项目专门面向中小企业采购（参加投标供应商须出具《中小企业声明函》，未提供不认定为中小企业，此次投标无效）。</w:t>
      </w:r>
    </w:p>
    <w:p w14:paraId="08EDEF55">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Cs w:val="21"/>
          <w:highlight w:val="none"/>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01C3CD8A">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AB67F7C">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3、投标时应提供以下证明材料：</w:t>
      </w:r>
    </w:p>
    <w:p w14:paraId="792F4B54">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05245AF7">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bookmarkStart w:id="10" w:name="_Hlk56696288"/>
      <w:r>
        <w:rPr>
          <w:rFonts w:hint="eastAsia" w:ascii="Times New Roman" w:hAnsi="Times New Roman" w:eastAsia="宋体" w:cs="Times New Roman"/>
          <w:b/>
          <w:color w:val="000000" w:themeColor="text1"/>
          <w:sz w:val="21"/>
          <w:szCs w:val="21"/>
          <w:highlight w:val="none"/>
          <w14:textFill>
            <w14:solidFill>
              <w14:schemeClr w14:val="tx1"/>
            </w14:solidFill>
          </w14:textFill>
        </w:rPr>
        <w:t>（十一）节能、环保政策</w:t>
      </w:r>
    </w:p>
    <w:p w14:paraId="000759C1">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1、文件依据</w:t>
      </w:r>
    </w:p>
    <w:p w14:paraId="230CAECF">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1.1 国务院办公厅关于建立政府强制采购节能产品制度的通知（国办发〔2007〕51号）</w:t>
      </w:r>
    </w:p>
    <w:p w14:paraId="4C55515B">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1.2财政部 发展改革委 生态环境部 市场监管总局关于调整优化节能产品、环境标志产品政府采购执行机制的通知（财库〔2019〕9号）</w:t>
      </w:r>
    </w:p>
    <w:p w14:paraId="75F7845D">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1.3关于印发环境标志产品政府采购品目清单的通知财库〔2019〕18号</w:t>
      </w:r>
    </w:p>
    <w:p w14:paraId="69582E6D">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1.4关于印发节能产品政府采购品目清单的通知（财库〔2019〕19号）</w:t>
      </w:r>
    </w:p>
    <w:p w14:paraId="5A3FEBB2">
      <w:pPr>
        <w:snapToGrid w:val="0"/>
        <w:spacing w:line="360" w:lineRule="exact"/>
        <w:ind w:firstLine="420" w:firstLineChars="200"/>
        <w:jc w:val="left"/>
        <w:outlineLvl w:val="1"/>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1.5市场监管总局关于发布参与实施政府采购节能产品、环境标志产品认证机构名录的公告（2019年第16号）</w:t>
      </w:r>
    </w:p>
    <w:p w14:paraId="0B42763E">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2、享受节能、环保政策优惠应具备的条件和优惠</w:t>
      </w:r>
    </w:p>
    <w:p w14:paraId="3268DB8E">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2.1 产品在节能、环境标志品目清单范围内；</w:t>
      </w:r>
    </w:p>
    <w:p w14:paraId="17863CAB">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2.2 提供国家确定的认证机构出具的、处于有效期之内的节能产品、环境标志产品认证证书，或提供中国政府采购网节能、环境标志产品查询截图。</w:t>
      </w:r>
    </w:p>
    <w:p w14:paraId="34E10730">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2.3 优惠</w:t>
      </w:r>
    </w:p>
    <w:p w14:paraId="1CF2F168">
      <w:pPr>
        <w:snapToGrid w:val="0"/>
        <w:spacing w:line="360" w:lineRule="exact"/>
        <w:ind w:firstLine="422" w:firstLineChars="200"/>
        <w:jc w:val="left"/>
        <w:outlineLvl w:val="1"/>
        <w:rPr>
          <w:rFonts w:ascii="Times New Roman" w:hAnsi="Times New Roman" w:cs="Times New Roman"/>
          <w:b/>
          <w:bCs/>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szCs w:val="21"/>
          <w:highlight w:val="none"/>
          <w14:textFill>
            <w14:solidFill>
              <w14:schemeClr w14:val="tx1"/>
            </w14:solidFill>
          </w14:textFill>
        </w:rPr>
        <w:t>本项目不适用。</w:t>
      </w:r>
    </w:p>
    <w:p w14:paraId="209F79D4">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3、投标时享受节能、环境标志产品优惠应提供以下证明材料：</w:t>
      </w:r>
    </w:p>
    <w:p w14:paraId="1A46AB47">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国家确定的认证机构出具的、处于有效期之内的节能产品或环境标志产品认证证书，或提供中国政府采购网节能、环境标志产品查询截图。</w:t>
      </w:r>
    </w:p>
    <w:p w14:paraId="63802B04">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（十二）</w:t>
      </w:r>
      <w:bookmarkEnd w:id="10"/>
      <w:r>
        <w:rPr>
          <w:rFonts w:hint="eastAsia" w:ascii="Times New Roman" w:hAnsi="Times New Roman" w:eastAsia="宋体" w:cs="Times New Roman"/>
          <w:b/>
          <w:color w:val="000000" w:themeColor="text1"/>
          <w:sz w:val="21"/>
          <w:szCs w:val="21"/>
          <w:highlight w:val="none"/>
          <w14:textFill>
            <w14:solidFill>
              <w14:schemeClr w14:val="tx1"/>
            </w14:solidFill>
          </w14:textFill>
        </w:rPr>
        <w:t>信贷政策</w:t>
      </w:r>
    </w:p>
    <w:p w14:paraId="6389B9E9">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47"/>
        <w:gridCol w:w="1842"/>
        <w:gridCol w:w="1614"/>
      </w:tblGrid>
      <w:tr w14:paraId="10E5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1D19DA7">
            <w:pPr>
              <w:ind w:firstLine="422"/>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舟山市政府采购信用融资合作银行</w:t>
            </w:r>
          </w:p>
        </w:tc>
      </w:tr>
      <w:tr w14:paraId="4FDA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7CA664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银行名称</w:t>
            </w:r>
          </w:p>
        </w:tc>
        <w:tc>
          <w:tcPr>
            <w:tcW w:w="4647" w:type="dxa"/>
            <w:vAlign w:val="center"/>
          </w:tcPr>
          <w:p w14:paraId="3527A99B">
            <w:pPr>
              <w:ind w:firstLine="422"/>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各银行介绍的产品特点</w:t>
            </w:r>
          </w:p>
        </w:tc>
        <w:tc>
          <w:tcPr>
            <w:tcW w:w="1842" w:type="dxa"/>
            <w:vAlign w:val="center"/>
          </w:tcPr>
          <w:p w14:paraId="154A5ED4">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经办人</w:t>
            </w:r>
          </w:p>
        </w:tc>
        <w:tc>
          <w:tcPr>
            <w:tcW w:w="1614" w:type="dxa"/>
            <w:vAlign w:val="center"/>
          </w:tcPr>
          <w:p w14:paraId="1336EB02">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联系方式</w:t>
            </w:r>
          </w:p>
        </w:tc>
      </w:tr>
      <w:tr w14:paraId="7075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45FE88A">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中国工商银行股份有限公司舟山分行</w:t>
            </w:r>
          </w:p>
        </w:tc>
        <w:tc>
          <w:tcPr>
            <w:tcW w:w="4647" w:type="dxa"/>
          </w:tcPr>
          <w:p w14:paraId="2A4C2AE9">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1.融资额度高，融资金额最高可至订单金额70%，线上申请，随借随还。</w:t>
            </w:r>
          </w:p>
          <w:p w14:paraId="1DBE542C">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2.融资利率低，最低可至当期LPR利率。</w:t>
            </w:r>
          </w:p>
          <w:p w14:paraId="560B0289">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3.担保方式灵活，以政府采购合同进行融资，无需另外抵押。</w:t>
            </w:r>
          </w:p>
        </w:tc>
        <w:tc>
          <w:tcPr>
            <w:tcW w:w="1842" w:type="dxa"/>
            <w:vAlign w:val="center"/>
          </w:tcPr>
          <w:p w14:paraId="551ABA2A">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柳超颖</w:t>
            </w:r>
          </w:p>
        </w:tc>
        <w:tc>
          <w:tcPr>
            <w:tcW w:w="1614" w:type="dxa"/>
            <w:vAlign w:val="center"/>
          </w:tcPr>
          <w:p w14:paraId="760EF716">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0580-2166242, 15858076468</w:t>
            </w:r>
          </w:p>
        </w:tc>
      </w:tr>
      <w:tr w14:paraId="7686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204421B">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中国建设银行股份有限公司舟山分行</w:t>
            </w:r>
          </w:p>
        </w:tc>
        <w:tc>
          <w:tcPr>
            <w:tcW w:w="4647" w:type="dxa"/>
          </w:tcPr>
          <w:p w14:paraId="3AF73DF8">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1.快速便捷：全流程线上操作，通过浙江省政府采购网数据审核信用额度，建行供应链平台快速放款。</w:t>
            </w:r>
          </w:p>
          <w:p w14:paraId="7AB763D4">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2.申请额度高：单笔融资额度最高可达政府采购合同金额的90%，单户额度最高可达3000万。</w:t>
            </w:r>
          </w:p>
          <w:p w14:paraId="6C9454BA">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3.无需额外抵押：以浙江省政府采购网备案公示的政府采购合同进行融资，无需额外抵押担保。</w:t>
            </w:r>
          </w:p>
          <w:p w14:paraId="76729031">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4.利率优惠：给予流动资金贷款最优惠利率。</w:t>
            </w:r>
          </w:p>
        </w:tc>
        <w:tc>
          <w:tcPr>
            <w:tcW w:w="1842" w:type="dxa"/>
            <w:vAlign w:val="center"/>
          </w:tcPr>
          <w:p w14:paraId="3ACEBB4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普陀片区：蔡妮妮</w:t>
            </w:r>
          </w:p>
          <w:p w14:paraId="02B3A1EB">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定海片区：杨莹</w:t>
            </w:r>
          </w:p>
          <w:p w14:paraId="02023AD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自贸区片区：方晓</w:t>
            </w:r>
          </w:p>
        </w:tc>
        <w:tc>
          <w:tcPr>
            <w:tcW w:w="1614" w:type="dxa"/>
            <w:vAlign w:val="center"/>
          </w:tcPr>
          <w:p w14:paraId="5439674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普陀片区：13957201791</w:t>
            </w:r>
          </w:p>
          <w:p w14:paraId="39EFBABF">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定海片区：13655803997</w:t>
            </w:r>
          </w:p>
          <w:p w14:paraId="4C3DE399">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自贸区片区：13587086324</w:t>
            </w:r>
          </w:p>
        </w:tc>
      </w:tr>
      <w:tr w14:paraId="0E4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7D3AB34">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杭州银行股份有限公司舟山市分行</w:t>
            </w:r>
          </w:p>
        </w:tc>
        <w:tc>
          <w:tcPr>
            <w:tcW w:w="4647" w:type="dxa"/>
          </w:tcPr>
          <w:p w14:paraId="4E237F6B">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842" w:type="dxa"/>
            <w:vAlign w:val="center"/>
          </w:tcPr>
          <w:p w14:paraId="1127335C">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方经理</w:t>
            </w:r>
          </w:p>
        </w:tc>
        <w:tc>
          <w:tcPr>
            <w:tcW w:w="1614" w:type="dxa"/>
            <w:vAlign w:val="center"/>
          </w:tcPr>
          <w:p w14:paraId="39499D55">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0580-2185201，18205800451</w:t>
            </w:r>
          </w:p>
        </w:tc>
      </w:tr>
      <w:tr w14:paraId="2154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BA489E0">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招商银行股份有限公司浙江自贸试验区舟山分行</w:t>
            </w:r>
          </w:p>
        </w:tc>
        <w:tc>
          <w:tcPr>
            <w:tcW w:w="4647" w:type="dxa"/>
          </w:tcPr>
          <w:p w14:paraId="37CBD30A">
            <w:pP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842" w:type="dxa"/>
            <w:vAlign w:val="center"/>
          </w:tcPr>
          <w:p w14:paraId="4AC822DA">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李玲</w:t>
            </w:r>
          </w:p>
        </w:tc>
        <w:tc>
          <w:tcPr>
            <w:tcW w:w="1614" w:type="dxa"/>
            <w:vAlign w:val="center"/>
          </w:tcPr>
          <w:p w14:paraId="54D31C1F">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0580-2061710，13957227971</w:t>
            </w:r>
          </w:p>
        </w:tc>
      </w:tr>
      <w:tr w14:paraId="0EC6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46B3B49">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温州银行股份有限公司舟山市分行</w:t>
            </w:r>
          </w:p>
        </w:tc>
        <w:tc>
          <w:tcPr>
            <w:tcW w:w="4647" w:type="dxa"/>
          </w:tcPr>
          <w:p w14:paraId="07C3976D">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1.单户授信敞口最高不超过1000万元，且最高额度核定一般不超过借款人（含实际控制人控制的其他经营实体）最近13个月合计有效中标合同金额的70%。</w:t>
            </w:r>
          </w:p>
          <w:p w14:paraId="6B89AB41">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2.单笔借款额度最高不超过1000万元，单笔业务授信额度不超过“政采云平台”提供的中标通知书承载的中标金额或本次申请授信提供的采购合同金额的80%，且用信金额不超过采购合同未付金额的80%。</w:t>
            </w:r>
          </w:p>
          <w:p w14:paraId="4FBABB9E">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3.借款人中标采购人自行采购项目并向我行发起授信申请的，单笔业务授信敞口不超500万元，且不超过借款人中标通知书承载的中标金额或本次申请授信提供的采购合同的80%。</w:t>
            </w:r>
          </w:p>
          <w:p w14:paraId="09D00657">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4.符合我行采购人资质的，且负债率不超75%，配合应收账款质押登记确认的，并可出具确认函，单笔借款额度可按不超过采购合同的90%办理。</w:t>
            </w:r>
          </w:p>
        </w:tc>
        <w:tc>
          <w:tcPr>
            <w:tcW w:w="1842" w:type="dxa"/>
            <w:vAlign w:val="center"/>
          </w:tcPr>
          <w:p w14:paraId="3620A279">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郑贤栋</w:t>
            </w:r>
          </w:p>
        </w:tc>
        <w:tc>
          <w:tcPr>
            <w:tcW w:w="1614" w:type="dxa"/>
            <w:vAlign w:val="center"/>
          </w:tcPr>
          <w:p w14:paraId="309A07E9">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058—8866086</w:t>
            </w:r>
          </w:p>
        </w:tc>
      </w:tr>
      <w:tr w14:paraId="156D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16ECC4D">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交通银行股份有限公司舟山分行</w:t>
            </w:r>
          </w:p>
        </w:tc>
        <w:tc>
          <w:tcPr>
            <w:tcW w:w="4647" w:type="dxa"/>
          </w:tcPr>
          <w:p w14:paraId="7E1C33E1">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r>
              <w:rPr>
                <w:rFonts w:ascii="Times New Roman" w:hAnsi="Times New Roman" w:cs="Times New Roman"/>
                <w:color w:val="000000" w:themeColor="text1"/>
                <w:szCs w:val="21"/>
                <w:highlight w:val="none"/>
                <w14:textFill>
                  <w14:solidFill>
                    <w14:schemeClr w14:val="tx1"/>
                  </w14:solidFill>
                </w14:textFill>
              </w:rPr>
              <w:t>。</w:t>
            </w:r>
          </w:p>
        </w:tc>
        <w:tc>
          <w:tcPr>
            <w:tcW w:w="1842" w:type="dxa"/>
            <w:vAlign w:val="center"/>
          </w:tcPr>
          <w:p w14:paraId="6FDF12B6">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赵争艳</w:t>
            </w:r>
          </w:p>
        </w:tc>
        <w:tc>
          <w:tcPr>
            <w:tcW w:w="1614" w:type="dxa"/>
            <w:vAlign w:val="center"/>
          </w:tcPr>
          <w:p w14:paraId="08454B84">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0580-2260728</w:t>
            </w:r>
          </w:p>
          <w:p w14:paraId="5A4DB6F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13758007280</w:t>
            </w:r>
          </w:p>
        </w:tc>
      </w:tr>
      <w:tr w14:paraId="7D73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72CCDAC">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中信银行股份有限公司舟山分行</w:t>
            </w:r>
          </w:p>
        </w:tc>
        <w:tc>
          <w:tcPr>
            <w:tcW w:w="4647" w:type="dxa"/>
          </w:tcPr>
          <w:p w14:paraId="7200A2CC">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842" w:type="dxa"/>
            <w:vAlign w:val="center"/>
          </w:tcPr>
          <w:p w14:paraId="089A7314">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黄丽</w:t>
            </w:r>
          </w:p>
        </w:tc>
        <w:tc>
          <w:tcPr>
            <w:tcW w:w="1614" w:type="dxa"/>
            <w:vAlign w:val="center"/>
          </w:tcPr>
          <w:p w14:paraId="7B2AD1DA">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13905808032</w:t>
            </w:r>
          </w:p>
        </w:tc>
      </w:tr>
      <w:tr w14:paraId="4F5E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28F9992">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泰隆银行舟山市分行</w:t>
            </w:r>
          </w:p>
        </w:tc>
        <w:tc>
          <w:tcPr>
            <w:tcW w:w="4647" w:type="dxa"/>
          </w:tcPr>
          <w:p w14:paraId="2E0BF068">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842" w:type="dxa"/>
            <w:vAlign w:val="center"/>
          </w:tcPr>
          <w:p w14:paraId="7B4E6785">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胡亢宇</w:t>
            </w:r>
          </w:p>
        </w:tc>
        <w:tc>
          <w:tcPr>
            <w:tcW w:w="1614" w:type="dxa"/>
            <w:vAlign w:val="center"/>
          </w:tcPr>
          <w:p w14:paraId="638A6E80">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17605868703</w:t>
            </w:r>
          </w:p>
        </w:tc>
      </w:tr>
      <w:tr w14:paraId="39F2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E2F3316">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中国农业银行股份有限公司舟山分行</w:t>
            </w:r>
          </w:p>
        </w:tc>
        <w:tc>
          <w:tcPr>
            <w:tcW w:w="4647" w:type="dxa"/>
          </w:tcPr>
          <w:p w14:paraId="76872163">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842" w:type="dxa"/>
            <w:vAlign w:val="center"/>
          </w:tcPr>
          <w:p w14:paraId="00FF052E">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苏华瞻</w:t>
            </w:r>
          </w:p>
        </w:tc>
        <w:tc>
          <w:tcPr>
            <w:tcW w:w="1614" w:type="dxa"/>
            <w:vAlign w:val="center"/>
          </w:tcPr>
          <w:p w14:paraId="17457CB1">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13967228926</w:t>
            </w:r>
          </w:p>
        </w:tc>
      </w:tr>
      <w:tr w14:paraId="571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463EB58">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中国邮政储蓄银行股份有限公司舟山市分行</w:t>
            </w:r>
          </w:p>
        </w:tc>
        <w:tc>
          <w:tcPr>
            <w:tcW w:w="4647" w:type="dxa"/>
          </w:tcPr>
          <w:p w14:paraId="1818F1F2">
            <w:pPr>
              <w:tabs>
                <w:tab w:val="left" w:pos="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1842" w:type="dxa"/>
            <w:vAlign w:val="center"/>
          </w:tcPr>
          <w:p w14:paraId="3F1FF1B1">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蒋志燕</w:t>
            </w:r>
          </w:p>
        </w:tc>
        <w:tc>
          <w:tcPr>
            <w:tcW w:w="1614" w:type="dxa"/>
            <w:vAlign w:val="center"/>
          </w:tcPr>
          <w:p w14:paraId="1771C19F">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13732527321</w:t>
            </w:r>
          </w:p>
        </w:tc>
      </w:tr>
    </w:tbl>
    <w:p w14:paraId="6BAED290">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2.一般步骤</w:t>
      </w:r>
    </w:p>
    <w:p w14:paraId="7832035E">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（1）供应商先与银行对接，办理融资前期手续；</w:t>
      </w:r>
    </w:p>
    <w:p w14:paraId="3DD3417F">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（2）供应商中标后，凭中标通知书等材料，向相关合作银行发出融资申请；</w:t>
      </w:r>
    </w:p>
    <w:p w14:paraId="72C6C5B0">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（3）银行、供应商线上办理审批、放贷事宜。</w:t>
      </w:r>
    </w:p>
    <w:p w14:paraId="3E098A25">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3.注意事项</w:t>
      </w:r>
    </w:p>
    <w:p w14:paraId="007B58DC">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（1）成交供应商需确保政府采购合同的收款账户与融资银行开户账户一致。</w:t>
      </w:r>
    </w:p>
    <w:p w14:paraId="1A422BF1">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（2）用于政府采购信用融资的政府采购合同，应当包含如下条款：“第   条：政府采购合同贷款</w:t>
      </w:r>
    </w:p>
    <w:p w14:paraId="2EB71260">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本合同同时用于乙方向银行（金融机构）申请政府采购信用贷款。</w:t>
      </w:r>
    </w:p>
    <w:p w14:paraId="0F153263">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本</w:t>
      </w:r>
      <w:r>
        <w:rPr>
          <w:rFonts w:ascii="Times New Roman" w:hAnsi="Times New Roman" w:cs="Times New Roman"/>
          <w:color w:val="000000" w:themeColor="text1"/>
          <w:szCs w:val="21"/>
          <w:highlight w:val="none"/>
          <w14:textFill>
            <w14:solidFill>
              <w14:schemeClr w14:val="tx1"/>
            </w14:solidFill>
          </w14:textFill>
        </w:rPr>
        <w:t>合同一经签订，原则上不得更改</w:t>
      </w:r>
      <w:r>
        <w:rPr>
          <w:rFonts w:hint="eastAsia" w:ascii="Times New Roman" w:hAnsi="Times New Roman" w:cs="Times New Roman"/>
          <w:color w:val="000000" w:themeColor="text1"/>
          <w:szCs w:val="21"/>
          <w:highlight w:val="none"/>
          <w14:textFill>
            <w14:solidFill>
              <w14:schemeClr w14:val="tx1"/>
            </w14:solidFill>
          </w14:textFill>
        </w:rPr>
        <w:t>乙方收</w:t>
      </w:r>
      <w:r>
        <w:rPr>
          <w:rFonts w:ascii="Times New Roman" w:hAnsi="Times New Roman" w:cs="Times New Roman"/>
          <w:color w:val="000000" w:themeColor="text1"/>
          <w:szCs w:val="21"/>
          <w:highlight w:val="none"/>
          <w14:textFill>
            <w14:solidFill>
              <w14:schemeClr w14:val="tx1"/>
            </w14:solidFill>
          </w14:textFill>
        </w:rPr>
        <w:t>款</w:t>
      </w:r>
      <w:r>
        <w:rPr>
          <w:rFonts w:hint="eastAsia" w:ascii="Times New Roman" w:hAnsi="Times New Roman" w:cs="Times New Roman"/>
          <w:color w:val="000000" w:themeColor="text1"/>
          <w:szCs w:val="21"/>
          <w:highlight w:val="none"/>
          <w14:textFill>
            <w14:solidFill>
              <w14:schemeClr w14:val="tx1"/>
            </w14:solidFill>
          </w14:textFill>
        </w:rPr>
        <w:t>账户</w:t>
      </w:r>
      <w:r>
        <w:rPr>
          <w:rFonts w:ascii="Times New Roman" w:hAnsi="Times New Roman" w:cs="Times New Roman"/>
          <w:color w:val="000000" w:themeColor="text1"/>
          <w:szCs w:val="21"/>
          <w:highlight w:val="none"/>
          <w14:textFill>
            <w14:solidFill>
              <w14:schemeClr w14:val="tx1"/>
            </w14:solidFill>
          </w14:textFill>
        </w:rPr>
        <w:t>信息</w:t>
      </w:r>
      <w:r>
        <w:rPr>
          <w:rFonts w:hint="eastAsia" w:ascii="Times New Roman" w:hAnsi="Times New Roman" w:cs="Times New Roman"/>
          <w:color w:val="000000" w:themeColor="text1"/>
          <w:szCs w:val="21"/>
          <w:highlight w:val="none"/>
          <w14:textFill>
            <w14:solidFill>
              <w14:schemeClr w14:val="tx1"/>
            </w14:solidFill>
          </w14:textFill>
        </w:rPr>
        <w:t>。确</w:t>
      </w:r>
      <w:r>
        <w:rPr>
          <w:rFonts w:ascii="Times New Roman" w:hAnsi="Times New Roman" w:cs="Times New Roman"/>
          <w:color w:val="000000" w:themeColor="text1"/>
          <w:szCs w:val="21"/>
          <w:highlight w:val="none"/>
          <w14:textFill>
            <w14:solidFill>
              <w14:schemeClr w14:val="tx1"/>
            </w14:solidFill>
          </w14:textFill>
        </w:rPr>
        <w:t>须更改的，</w:t>
      </w:r>
      <w:r>
        <w:rPr>
          <w:rFonts w:hint="eastAsia" w:ascii="Times New Roman" w:hAnsi="Times New Roman" w:cs="Times New Roman"/>
          <w:color w:val="000000" w:themeColor="text1"/>
          <w:szCs w:val="21"/>
          <w:highlight w:val="none"/>
          <w14:textFill>
            <w14:solidFill>
              <w14:schemeClr w14:val="tx1"/>
            </w14:solidFill>
          </w14:textFill>
        </w:rPr>
        <w:t>乙方应</w:t>
      </w:r>
      <w:r>
        <w:rPr>
          <w:rFonts w:ascii="Times New Roman" w:hAnsi="Times New Roman" w:cs="Times New Roman"/>
          <w:color w:val="000000" w:themeColor="text1"/>
          <w:szCs w:val="21"/>
          <w:highlight w:val="none"/>
          <w14:textFill>
            <w14:solidFill>
              <w14:schemeClr w14:val="tx1"/>
            </w14:solidFill>
          </w14:textFill>
        </w:rPr>
        <w:t>取得</w:t>
      </w:r>
      <w:r>
        <w:rPr>
          <w:rFonts w:hint="eastAsia" w:ascii="Times New Roman" w:hAnsi="Times New Roman" w:cs="Times New Roman"/>
          <w:color w:val="000000" w:themeColor="text1"/>
          <w:szCs w:val="21"/>
          <w:highlight w:val="none"/>
          <w14:textFill>
            <w14:solidFill>
              <w14:schemeClr w14:val="tx1"/>
            </w14:solidFill>
          </w14:textFill>
        </w:rPr>
        <w:t>原</w:t>
      </w:r>
      <w:r>
        <w:rPr>
          <w:rFonts w:ascii="Times New Roman" w:hAnsi="Times New Roman" w:cs="Times New Roman"/>
          <w:color w:val="000000" w:themeColor="text1"/>
          <w:szCs w:val="21"/>
          <w:highlight w:val="none"/>
          <w14:textFill>
            <w14:solidFill>
              <w14:schemeClr w14:val="tx1"/>
            </w14:solidFill>
          </w14:textFill>
        </w:rPr>
        <w:t>合同收款账户开户银行书面同意，</w:t>
      </w:r>
      <w:r>
        <w:rPr>
          <w:rFonts w:hint="eastAsia" w:ascii="Times New Roman" w:hAnsi="Times New Roman" w:cs="Times New Roman"/>
          <w:color w:val="000000" w:themeColor="text1"/>
          <w:szCs w:val="21"/>
          <w:highlight w:val="none"/>
          <w14:textFill>
            <w14:solidFill>
              <w14:schemeClr w14:val="tx1"/>
            </w14:solidFill>
          </w14:textFill>
        </w:rPr>
        <w:t>否则修改后</w:t>
      </w:r>
      <w:r>
        <w:rPr>
          <w:rFonts w:ascii="Times New Roman" w:hAnsi="Times New Roman" w:cs="Times New Roman"/>
          <w:color w:val="000000" w:themeColor="text1"/>
          <w:szCs w:val="21"/>
          <w:highlight w:val="none"/>
          <w14:textFill>
            <w14:solidFill>
              <w14:schemeClr w14:val="tx1"/>
            </w14:solidFill>
          </w14:textFill>
        </w:rPr>
        <w:t>的合同不予</w:t>
      </w:r>
      <w:r>
        <w:rPr>
          <w:rFonts w:hint="eastAsia" w:ascii="Times New Roman" w:hAnsi="Times New Roman" w:cs="Times New Roman"/>
          <w:color w:val="000000" w:themeColor="text1"/>
          <w:szCs w:val="21"/>
          <w:highlight w:val="none"/>
          <w14:textFill>
            <w14:solidFill>
              <w14:schemeClr w14:val="tx1"/>
            </w14:solidFill>
          </w14:textFill>
        </w:rPr>
        <w:t>备案</w:t>
      </w:r>
      <w:r>
        <w:rPr>
          <w:rFonts w:ascii="Times New Roman" w:hAnsi="Times New Roman" w:cs="Times New Roman"/>
          <w:color w:val="000000" w:themeColor="text1"/>
          <w:szCs w:val="21"/>
          <w:highlight w:val="none"/>
          <w14:textFill>
            <w14:solidFill>
              <w14:schemeClr w14:val="tx1"/>
            </w14:solidFill>
          </w14:textFill>
        </w:rPr>
        <w:t>，采购资金不予</w:t>
      </w:r>
      <w:r>
        <w:rPr>
          <w:rFonts w:hint="eastAsia" w:ascii="Times New Roman" w:hAnsi="Times New Roman" w:cs="Times New Roman"/>
          <w:color w:val="000000" w:themeColor="text1"/>
          <w:szCs w:val="21"/>
          <w:highlight w:val="none"/>
          <w14:textFill>
            <w14:solidFill>
              <w14:schemeClr w14:val="tx1"/>
            </w14:solidFill>
          </w14:textFill>
        </w:rPr>
        <w:t>支付。”</w:t>
      </w:r>
    </w:p>
    <w:p w14:paraId="75DD2DFC">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（十三）</w:t>
      </w:r>
      <w:r>
        <w:rPr>
          <w:rFonts w:hint="eastAsia" w:ascii="Times New Roman" w:hAnsi="Times New Roman" w:eastAsia="宋体" w:cs="Times New Roman"/>
          <w:b/>
          <w:color w:val="000000" w:themeColor="text1"/>
          <w:sz w:val="21"/>
          <w:szCs w:val="21"/>
          <w:highlight w:val="none"/>
          <w:lang w:eastAsia="zh-CN"/>
          <w14:textFill>
            <w14:solidFill>
              <w14:schemeClr w14:val="tx1"/>
            </w14:solidFill>
          </w14:textFill>
        </w:rPr>
        <w:t>浙江天隆工程管理有限公司</w:t>
      </w:r>
      <w:r>
        <w:rPr>
          <w:rFonts w:hint="eastAsia" w:ascii="Times New Roman" w:hAnsi="Times New Roman" w:eastAsia="宋体" w:cs="Times New Roman"/>
          <w:b/>
          <w:color w:val="000000" w:themeColor="text1"/>
          <w:sz w:val="21"/>
          <w:szCs w:val="21"/>
          <w:highlight w:val="none"/>
          <w14:textFill>
            <w14:solidFill>
              <w14:schemeClr w14:val="tx1"/>
            </w14:solidFill>
          </w14:textFill>
        </w:rPr>
        <w:t>拥有本竞争性磋商文件最终解释权。</w:t>
      </w:r>
    </w:p>
    <w:p w14:paraId="7310C0D7">
      <w:pPr>
        <w:snapToGrid w:val="0"/>
        <w:spacing w:after="240" w:line="276" w:lineRule="auto"/>
        <w:ind w:firstLine="560"/>
        <w:jc w:val="center"/>
        <w:rPr>
          <w:rFonts w:ascii="Times New Roman" w:hAnsi="Times New Roman" w:cs="Times New Roman"/>
          <w:b/>
          <w:color w:val="000000" w:themeColor="text1"/>
          <w:sz w:val="28"/>
          <w:szCs w:val="30"/>
          <w:highlight w:val="none"/>
          <w14:textFill>
            <w14:solidFill>
              <w14:schemeClr w14:val="tx1"/>
            </w14:solidFill>
          </w14:textFill>
        </w:rPr>
      </w:pPr>
    </w:p>
    <w:p w14:paraId="79120767">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二、竞争性磋商文件</w:t>
      </w:r>
    </w:p>
    <w:p w14:paraId="489FA363">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（一）竞争性磋商文件的构成</w:t>
      </w:r>
    </w:p>
    <w:p w14:paraId="49D0FC9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第一章  竞争性磋商公告</w:t>
      </w:r>
    </w:p>
    <w:p w14:paraId="3605D0E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第二章  采购需求</w:t>
      </w:r>
    </w:p>
    <w:p w14:paraId="7437FFD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第三章  响应人须知</w:t>
      </w:r>
    </w:p>
    <w:p w14:paraId="7742E35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第四章  评标办法及标准</w:t>
      </w:r>
    </w:p>
    <w:p w14:paraId="0301DF8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第五章  合同主要条款</w:t>
      </w:r>
    </w:p>
    <w:p w14:paraId="55B09B7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第六章  响应文件格式</w:t>
      </w:r>
    </w:p>
    <w:p w14:paraId="27DA6FC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其他有关补充文件</w:t>
      </w:r>
    </w:p>
    <w:p w14:paraId="7F3414A4">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 xml:space="preserve">（二）竞争性磋商文件的澄清与修改 </w:t>
      </w:r>
    </w:p>
    <w:p w14:paraId="79AFFE3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5天前，在相关的采购信息发布媒体上发布更正公告，请潜在响应人自行关注。</w:t>
      </w:r>
    </w:p>
    <w:p w14:paraId="046DA4CA">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14:paraId="6D99806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竞争性磋商文件的答复、澄清、修改、补充通知实质上改变采购需求相关内容，且自竞争性磋商文件的答复、澄清、修改、补充通知发出之日起至投标截止时间止不足5天的，采购人可视情况推迟投标截止时间和开标时间，按规定在相关的采购信息发布媒体上发布变更公告，请潜在响应人自行关注。</w:t>
      </w:r>
    </w:p>
    <w:p w14:paraId="379433E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竞争性磋商文件澄清、答复、修改、补充的内容为竞争性磋商文件的组成部分。当竞争性磋商文件与竞争性磋商文件的答复、澄清、修改、补充通知就同一内容的表述不一致时，以最后补充文件明确的内容为准。</w:t>
      </w:r>
    </w:p>
    <w:p w14:paraId="6218EAE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5、竞争性磋商文件的澄清、答复、修改或补充都应该通过本采购代理机构以法定形式发布，采购人非通过本采购代理机构的，不得擅自澄清、答复、修改或补充竞争性磋商文件。</w:t>
      </w:r>
    </w:p>
    <w:p w14:paraId="690185CA">
      <w:pPr>
        <w:pStyle w:val="15"/>
        <w:snapToGrid w:val="0"/>
        <w:spacing w:line="360" w:lineRule="auto"/>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p>
    <w:p w14:paraId="6766A2A4">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三、响应文件的编制</w:t>
      </w:r>
    </w:p>
    <w:p w14:paraId="099F70D8">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（一）响应文件的组成</w:t>
      </w:r>
    </w:p>
    <w:p w14:paraId="2C96AA1C">
      <w:pPr>
        <w:tabs>
          <w:tab w:val="left" w:pos="0"/>
        </w:tabs>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响应文件由投标报价文件、资格证明文件、商务技术文件三部分组成。电子响应文件中所须加盖公章部分均采用CA签章。（以下响应文件的部分格式详见本竞争性磋商文件第六部分，如本竞争性磋商文件没有提供相应的格式，响应人可自行制表填写）</w:t>
      </w:r>
    </w:p>
    <w:p w14:paraId="01E7B743">
      <w:pPr>
        <w:snapToGrid w:val="0"/>
        <w:spacing w:line="360" w:lineRule="exact"/>
        <w:ind w:firstLine="413" w:firstLineChars="196"/>
        <w:jc w:val="left"/>
        <w:outlineLvl w:val="0"/>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1、资格证明部份：</w:t>
      </w:r>
    </w:p>
    <w:p w14:paraId="0232A3BC">
      <w:pPr>
        <w:tabs>
          <w:tab w:val="left" w:pos="0"/>
        </w:tabs>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550650C8">
      <w:pPr>
        <w:tabs>
          <w:tab w:val="left" w:pos="0"/>
        </w:tabs>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1.2提供营业执照复印件或事业单位法人证复印件；</w:t>
      </w:r>
    </w:p>
    <w:p w14:paraId="15236C04">
      <w:pPr>
        <w:tabs>
          <w:tab w:val="left" w:pos="0"/>
        </w:tabs>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1.3响应人未被信用中国（www.creditchina.gov.cn）、中国政府采购网（www.ccgp.gov.cn） 列入失信被执行人、重大税收违法案件当事人名单、政府采购严重违法失信行为记录名单，提供网页截图；（具体以开标现场网页查询结果为准。）</w:t>
      </w:r>
    </w:p>
    <w:p w14:paraId="7A0CC079">
      <w:pPr>
        <w:tabs>
          <w:tab w:val="left" w:pos="0"/>
        </w:tabs>
        <w:spacing w:line="360" w:lineRule="exact"/>
        <w:ind w:firstLine="420" w:firstLineChars="200"/>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1.4 法定代表人证明书或法定代表人委托授权书原件；</w:t>
      </w:r>
    </w:p>
    <w:p w14:paraId="47E3F694">
      <w:pPr>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cs="Times New Roman"/>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14:textFill>
            <w14:solidFill>
              <w14:schemeClr w14:val="tx1"/>
            </w14:solidFill>
          </w14:textFill>
        </w:rPr>
        <w:t>本竞争性磋商文件要求提供的和响应人认为需要提供的其它说明和资料/文件。</w:t>
      </w:r>
    </w:p>
    <w:p w14:paraId="5BA0C846">
      <w:pPr>
        <w:snapToGrid w:val="0"/>
        <w:spacing w:line="360" w:lineRule="exact"/>
        <w:ind w:firstLine="413" w:firstLineChars="196"/>
        <w:jc w:val="left"/>
        <w:outlineLvl w:val="0"/>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2、商务技术文件：</w:t>
      </w:r>
    </w:p>
    <w:p w14:paraId="2A421C56">
      <w:pPr>
        <w:snapToGrid w:val="0"/>
        <w:spacing w:line="360" w:lineRule="exact"/>
        <w:ind w:firstLine="426" w:firstLineChars="202"/>
        <w:rPr>
          <w:rFonts w:ascii="Times New Roman" w:hAnsi="Times New Roman" w:cs="Times New Roman"/>
          <w:b/>
          <w:bCs/>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szCs w:val="21"/>
          <w:highlight w:val="none"/>
          <w14:textFill>
            <w14:solidFill>
              <w14:schemeClr w14:val="tx1"/>
            </w14:solidFill>
          </w14:textFill>
        </w:rPr>
        <w:t>响应人自评表</w:t>
      </w:r>
    </w:p>
    <w:p w14:paraId="2B9F77B6">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2.1响应人企业业绩复印件；</w:t>
      </w:r>
    </w:p>
    <w:p w14:paraId="52837B81">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2.2重点难点分析及对策；</w:t>
      </w:r>
    </w:p>
    <w:p w14:paraId="11C885D9">
      <w:pPr>
        <w:snapToGrid w:val="0"/>
        <w:spacing w:line="360" w:lineRule="exact"/>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cs="Times New Roman"/>
          <w:bCs/>
          <w:color w:val="auto"/>
          <w:szCs w:val="21"/>
          <w:highlight w:val="none"/>
        </w:rPr>
        <w:t>2.3整体实施方案</w:t>
      </w:r>
      <w:r>
        <w:rPr>
          <w:rFonts w:hint="eastAsia" w:ascii="Times New Roman" w:hAnsi="Times New Roman" w:cs="Times New Roman"/>
          <w:bCs/>
          <w:color w:val="auto"/>
          <w:szCs w:val="21"/>
          <w:highlight w:val="none"/>
          <w:lang w:eastAsia="zh-CN"/>
        </w:rPr>
        <w:t>；</w:t>
      </w:r>
    </w:p>
    <w:p w14:paraId="15E176D3">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2.4养护方案；</w:t>
      </w:r>
    </w:p>
    <w:p w14:paraId="56208D5E">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2.5投入设备</w:t>
      </w:r>
      <w:r>
        <w:rPr>
          <w:rFonts w:hint="eastAsia" w:ascii="Times New Roman" w:hAnsi="Times New Roman" w:cs="Times New Roman"/>
          <w:bCs/>
          <w:color w:val="auto"/>
          <w:szCs w:val="21"/>
          <w:highlight w:val="none"/>
          <w:lang w:val="en-US" w:eastAsia="zh-CN"/>
        </w:rPr>
        <w:t>材料</w:t>
      </w:r>
      <w:r>
        <w:rPr>
          <w:rFonts w:hint="eastAsia" w:ascii="Times New Roman" w:hAnsi="Times New Roman" w:cs="Times New Roman"/>
          <w:bCs/>
          <w:color w:val="auto"/>
          <w:szCs w:val="21"/>
          <w:highlight w:val="none"/>
        </w:rPr>
        <w:t>；</w:t>
      </w:r>
    </w:p>
    <w:p w14:paraId="4203F2AA">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2.6人员配置</w:t>
      </w:r>
      <w:r>
        <w:rPr>
          <w:rFonts w:hint="eastAsia" w:ascii="Times New Roman" w:hAnsi="Times New Roman" w:cs="Times New Roman"/>
          <w:bCs/>
          <w:color w:val="auto"/>
          <w:szCs w:val="21"/>
          <w:highlight w:val="none"/>
          <w:lang w:val="en-US" w:eastAsia="zh-CN"/>
        </w:rPr>
        <w:t>资料</w:t>
      </w:r>
      <w:r>
        <w:rPr>
          <w:rFonts w:hint="eastAsia" w:ascii="Times New Roman" w:hAnsi="Times New Roman" w:cs="Times New Roman"/>
          <w:bCs/>
          <w:color w:val="auto"/>
          <w:szCs w:val="21"/>
          <w:highlight w:val="none"/>
        </w:rPr>
        <w:t>；</w:t>
      </w:r>
    </w:p>
    <w:p w14:paraId="5F1182F4">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2.7质量保证</w:t>
      </w:r>
      <w:r>
        <w:rPr>
          <w:rFonts w:hint="eastAsia" w:ascii="Times New Roman" w:hAnsi="Times New Roman" w:cs="Times New Roman"/>
          <w:bCs/>
          <w:color w:val="auto"/>
          <w:szCs w:val="21"/>
          <w:highlight w:val="none"/>
          <w:lang w:val="en-US" w:eastAsia="zh-CN"/>
        </w:rPr>
        <w:t>方案</w:t>
      </w:r>
      <w:r>
        <w:rPr>
          <w:rFonts w:hint="eastAsia" w:ascii="Times New Roman" w:hAnsi="Times New Roman" w:cs="Times New Roman"/>
          <w:bCs/>
          <w:color w:val="auto"/>
          <w:szCs w:val="21"/>
          <w:highlight w:val="none"/>
        </w:rPr>
        <w:t>；</w:t>
      </w:r>
    </w:p>
    <w:p w14:paraId="1267CD5E">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2.9应急预案</w:t>
      </w:r>
      <w:r>
        <w:rPr>
          <w:rFonts w:hint="eastAsia" w:ascii="Times New Roman" w:hAnsi="Times New Roman" w:cs="Times New Roman"/>
          <w:bCs/>
          <w:color w:val="auto"/>
          <w:szCs w:val="21"/>
          <w:highlight w:val="none"/>
          <w:lang w:val="en-US" w:eastAsia="zh-CN"/>
        </w:rPr>
        <w:t>方案</w:t>
      </w:r>
      <w:r>
        <w:rPr>
          <w:rFonts w:hint="eastAsia" w:ascii="Times New Roman" w:hAnsi="Times New Roman" w:cs="Times New Roman"/>
          <w:bCs/>
          <w:color w:val="auto"/>
          <w:szCs w:val="21"/>
          <w:highlight w:val="none"/>
        </w:rPr>
        <w:t>；</w:t>
      </w:r>
    </w:p>
    <w:p w14:paraId="0B01163D">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2.10售后服务</w:t>
      </w:r>
      <w:r>
        <w:rPr>
          <w:rFonts w:hint="eastAsia" w:ascii="Times New Roman" w:hAnsi="Times New Roman" w:cs="Times New Roman"/>
          <w:bCs/>
          <w:color w:val="auto"/>
          <w:szCs w:val="21"/>
          <w:highlight w:val="none"/>
          <w:lang w:val="en-US" w:eastAsia="zh-CN"/>
        </w:rPr>
        <w:t>方案</w:t>
      </w:r>
      <w:r>
        <w:rPr>
          <w:rFonts w:hint="eastAsia" w:ascii="Times New Roman" w:hAnsi="Times New Roman" w:cs="Times New Roman"/>
          <w:bCs/>
          <w:color w:val="auto"/>
          <w:szCs w:val="21"/>
          <w:highlight w:val="none"/>
        </w:rPr>
        <w:t>；</w:t>
      </w:r>
    </w:p>
    <w:p w14:paraId="74F0A6E2">
      <w:pPr>
        <w:tabs>
          <w:tab w:val="left" w:pos="0"/>
        </w:tabs>
        <w:spacing w:line="360" w:lineRule="exact"/>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bCs/>
          <w:color w:val="auto"/>
          <w:szCs w:val="21"/>
          <w:highlight w:val="none"/>
        </w:rPr>
        <w:t>2.1</w:t>
      </w:r>
      <w:r>
        <w:rPr>
          <w:rFonts w:hint="eastAsia" w:ascii="Times New Roman" w:hAnsi="Times New Roman" w:cs="Times New Roman"/>
          <w:bCs/>
          <w:color w:val="auto"/>
          <w:szCs w:val="21"/>
          <w:highlight w:val="none"/>
          <w:lang w:val="en-US" w:eastAsia="zh-CN"/>
        </w:rPr>
        <w:t>2</w:t>
      </w:r>
      <w:r>
        <w:rPr>
          <w:rFonts w:hint="eastAsia" w:ascii="Times New Roman" w:hAnsi="Times New Roman" w:cs="Times New Roman"/>
          <w:bCs/>
          <w:color w:val="auto"/>
          <w:szCs w:val="21"/>
          <w:highlight w:val="none"/>
        </w:rPr>
        <w:t>本竞争性磋商文件要求提供的和响应人认为需要提供的其它资料/文件</w:t>
      </w:r>
      <w:r>
        <w:rPr>
          <w:rFonts w:hint="eastAsia" w:ascii="Times New Roman" w:hAnsi="Times New Roman" w:cs="Times New Roman"/>
          <w:color w:val="auto"/>
          <w:szCs w:val="21"/>
          <w:highlight w:val="none"/>
        </w:rPr>
        <w:t>。</w:t>
      </w:r>
    </w:p>
    <w:p w14:paraId="09A068A0">
      <w:pPr>
        <w:tabs>
          <w:tab w:val="left" w:pos="0"/>
        </w:tabs>
        <w:spacing w:line="360" w:lineRule="exact"/>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2.13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cs="Times New Roman"/>
          <w:color w:val="auto"/>
          <w:szCs w:val="21"/>
          <w:highlight w:val="none"/>
          <w:lang w:val="en-US" w:eastAsia="zh-CN"/>
        </w:rPr>
        <w:t>。</w:t>
      </w:r>
    </w:p>
    <w:p w14:paraId="6BEE78EC">
      <w:pPr>
        <w:snapToGrid w:val="0"/>
        <w:spacing w:line="360" w:lineRule="exact"/>
        <w:ind w:firstLine="422" w:firstLineChars="200"/>
        <w:jc w:val="left"/>
        <w:outlineLvl w:val="0"/>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3、响应报价文件：</w:t>
      </w:r>
    </w:p>
    <w:p w14:paraId="74A763FC">
      <w:pPr>
        <w:snapToGrid w:val="0"/>
        <w:spacing w:line="360" w:lineRule="exact"/>
        <w:ind w:firstLine="424" w:firstLineChars="20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3.1初次报价一览表；</w:t>
      </w:r>
    </w:p>
    <w:p w14:paraId="280FBF0D">
      <w:pPr>
        <w:snapToGrid w:val="0"/>
        <w:spacing w:line="360" w:lineRule="exact"/>
        <w:ind w:firstLine="424" w:firstLineChars="20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w:t>
      </w:r>
      <w:r>
        <w:rPr>
          <w:rFonts w:hint="eastAsia" w:cs="Times New Roman"/>
          <w:color w:val="000000" w:themeColor="text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Cs w:val="21"/>
          <w:highlight w:val="none"/>
          <w14:textFill>
            <w14:solidFill>
              <w14:schemeClr w14:val="tx1"/>
            </w14:solidFill>
          </w14:textFill>
        </w:rPr>
        <w:t>响应人针对报价需要说明的其他文件和说明。</w:t>
      </w:r>
    </w:p>
    <w:p w14:paraId="4088B86C">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（二）响应文件的语言及计量</w:t>
      </w:r>
    </w:p>
    <w:p w14:paraId="2FCB635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1、响应文件以及响应人与采购代理机构就有关投标事宜的所有来往函电，均应以中文汉语书写。除签名、盖章、专用名称、特殊证明材料等情形外，以中文汉语以外的文字表述的响应文件视同未提供。</w:t>
      </w:r>
    </w:p>
    <w:p w14:paraId="42F98B47">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2、响应计量单位，应采用中华人民共和国法定计量单位（货币单位：人民币元），否则视同未响应。</w:t>
      </w:r>
    </w:p>
    <w:p w14:paraId="2E6F4B67">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（三）响应报价</w:t>
      </w:r>
    </w:p>
    <w:p w14:paraId="38777FE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1、见响应人须知前附表。 </w:t>
      </w:r>
    </w:p>
    <w:p w14:paraId="6C1A3554">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（四）响应文件的有效期</w:t>
      </w:r>
    </w:p>
    <w:p w14:paraId="6AB41A28">
      <w:pPr>
        <w:pStyle w:val="15"/>
        <w:snapToGrid w:val="0"/>
        <w:spacing w:line="360" w:lineRule="exact"/>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1、自投标截止日起90天响应文件应保持有效。有效期不足的响应文件将被拒绝。</w:t>
      </w:r>
    </w:p>
    <w:p w14:paraId="678970B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2、在特殊情况下，采购人可与响应人协商延长响应文件的有效期，这种要求和答复均以书面形式进行。</w:t>
      </w:r>
    </w:p>
    <w:p w14:paraId="5C9349F7">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3、同意延长有效期的响应人不能修改响应文件。 </w:t>
      </w:r>
    </w:p>
    <w:p w14:paraId="63D2F67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4、成交人的响应文件自开标之日起至合同履行完毕止均应保持有效。</w:t>
      </w:r>
    </w:p>
    <w:p w14:paraId="06B83AD5">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（五）响应文件的包装、递交、修改和撤回</w:t>
      </w:r>
    </w:p>
    <w:p w14:paraId="0EE131CC">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715ADD3E">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2、响应人应当在投标截止时间前将以介质存储的数据电文形式的备份响应文件</w:t>
      </w:r>
      <w:r>
        <w:rPr>
          <w:rFonts w:hint="eastAsia" w:ascii="Times New Roman" w:hAnsi="Times New Roman" w:cs="Times New Roman"/>
          <w:color w:val="000000" w:themeColor="text1"/>
          <w:szCs w:val="21"/>
          <w:highlight w:val="none"/>
          <w14:textFill>
            <w14:solidFill>
              <w14:schemeClr w14:val="tx1"/>
            </w14:solidFill>
          </w14:textFill>
        </w:rPr>
        <w:t>（后缀为.bfbs）</w:t>
      </w:r>
      <w:r>
        <w:rPr>
          <w:rFonts w:hint="eastAsia" w:ascii="Times New Roman" w:hAnsi="Times New Roman" w:cs="Times New Roman"/>
          <w:color w:val="000000" w:themeColor="text1"/>
          <w:highlight w:val="none"/>
          <w14:textFill>
            <w14:solidFill>
              <w14:schemeClr w14:val="tx1"/>
            </w14:solidFill>
          </w14:textFill>
        </w:rPr>
        <w:t>发送至指定邮箱，逾期发送的视为备份文件无效。</w:t>
      </w:r>
    </w:p>
    <w:p w14:paraId="318104DC">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响应人递交以介质存储的数据电文形式的备份响应文件时，如出现下列情况之一的，将被拒收：</w:t>
      </w:r>
    </w:p>
    <w:p w14:paraId="54C70D48">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xml:space="preserve">（1）未成功办理响应人竞争性磋商文件获取手续的； </w:t>
      </w:r>
    </w:p>
    <w:p w14:paraId="537585E0">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（2）未按规定要求提供后缀为.bfbs电子备份响应文件的；</w:t>
      </w:r>
    </w:p>
    <w:p w14:paraId="63A3F3AD">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（3）超过投标截止时间发送的；</w:t>
      </w:r>
    </w:p>
    <w:p w14:paraId="61686916">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仅提供备份响应文件的，投标无效，相关风险由响应人自行承担。</w:t>
      </w:r>
    </w:p>
    <w:p w14:paraId="2BBA28AB">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3、响应文件未按时解密，响应人提供了备份响应文件的，以备份响应文件作为依据，否则视为响应文件撤回。</w:t>
      </w:r>
    </w:p>
    <w:p w14:paraId="7A0A6B35">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（六）投标无效的情形</w:t>
      </w:r>
    </w:p>
    <w:p w14:paraId="408627B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实质上没有响应竞争性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14:paraId="7D8BBAE9">
      <w:pPr>
        <w:pStyle w:val="15"/>
        <w:snapToGrid w:val="0"/>
        <w:spacing w:line="360" w:lineRule="exact"/>
        <w:ind w:firstLine="417" w:firstLineChars="198"/>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1、在商务评审时，如发现下列情形之一的，响应文件将被视为无效投标：</w:t>
      </w:r>
    </w:p>
    <w:p w14:paraId="6D6FE60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（1）未按竞争性磋商文件要求签字、盖章或电子签章的；</w:t>
      </w:r>
    </w:p>
    <w:p w14:paraId="7FD6AFFE">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（2）资格证明文件不全的，或者不符合竞争性磋商文件标明的资格要求的；</w:t>
      </w:r>
    </w:p>
    <w:p w14:paraId="72560E5D">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（3）响应文件组成不全的；</w:t>
      </w:r>
    </w:p>
    <w:p w14:paraId="6CAF939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（4）响应文件的实质性内容未使用中文表述、意思表述不明确、前后矛盾或者使用计量单位不符合竞争性磋商文件要求的；（经磋商小组认定允许其当场更正的笔误除外）</w:t>
      </w:r>
    </w:p>
    <w:p w14:paraId="4168EFA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（5）响应文件的关键内容字迹模糊、无法辨认的，或者响应文件中经修正的内容字迹模糊难以辩认或者修改处未按规定签名盖章或电子签章的；</w:t>
      </w:r>
    </w:p>
    <w:p w14:paraId="22DD94C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（6）投标有效期、服务期限等条款不能满足竞争性磋商文件要求的；</w:t>
      </w:r>
    </w:p>
    <w:p w14:paraId="5962BC17">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（7）在商务技术文件中出现响应报价的；</w:t>
      </w:r>
    </w:p>
    <w:p w14:paraId="6399C37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（8）电子响应文件解密失败的，且未在规定时间内提交备份响应文件的；</w:t>
      </w:r>
    </w:p>
    <w:p w14:paraId="7FEE07F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（9）不响应竞争性磋商文件要求或者响应文件有采购人不能接受的附加条件的。</w:t>
      </w:r>
    </w:p>
    <w:p w14:paraId="4036558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10）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CE223AE">
      <w:pPr>
        <w:pStyle w:val="15"/>
        <w:snapToGrid w:val="0"/>
        <w:spacing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2、在技术评审时，如发现下列情形之一的，响应文件将被视为无效投标：</w:t>
      </w:r>
    </w:p>
    <w:p w14:paraId="509F96C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（1）响应文件标明的响应或偏离与事实不符或虚假投标的；</w:t>
      </w:r>
    </w:p>
    <w:p w14:paraId="0F0E03E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（2）投标技术方案不明确，存在一个或一个以上备选（替代）投标的。</w:t>
      </w:r>
    </w:p>
    <w:p w14:paraId="1900D53A">
      <w:pPr>
        <w:pStyle w:val="15"/>
        <w:snapToGrid w:val="0"/>
        <w:spacing w:line="360" w:lineRule="exact"/>
        <w:ind w:firstLine="417" w:firstLineChars="198"/>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3、在响应报价文件评审时，如发现下列情形之一的，响应文件将被视为无效投标：</w:t>
      </w:r>
    </w:p>
    <w:p w14:paraId="4B6EA49E">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（1）未按照竞争性磋商文件标明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形式</w:t>
      </w:r>
      <w:r>
        <w:rPr>
          <w:rFonts w:hint="eastAsia" w:ascii="Times New Roman" w:hAnsi="Times New Roman" w:eastAsia="宋体" w:cs="Times New Roman"/>
          <w:color w:val="000000" w:themeColor="text1"/>
          <w:sz w:val="21"/>
          <w:szCs w:val="21"/>
          <w:highlight w:val="none"/>
          <w14:textFill>
            <w14:solidFill>
              <w14:schemeClr w14:val="tx1"/>
            </w14:solidFill>
          </w14:textFill>
        </w:rPr>
        <w:t>报价的；</w:t>
      </w:r>
    </w:p>
    <w:p w14:paraId="110DCCB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（2）报价超出采购预算金额或最高限价，采购人不能支付的；</w:t>
      </w:r>
    </w:p>
    <w:p w14:paraId="19EC031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）响应报价具有选择性的；</w:t>
      </w:r>
    </w:p>
    <w:p w14:paraId="087DC61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磋商小组认为响应人的报价明显低于其他通过符合性审查响应人的报价，有可能影响服务质量或者不能诚信履约，且响应人无法在评标现场合理的时间内提供书面说明或相关证明材料以证明其报价合理性的。</w:t>
      </w:r>
    </w:p>
    <w:p w14:paraId="30B2BBEF">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（七）出现以下情形，导致电子交易平台无法正常运行，或者无法保证电子交易的公平、公正和安全时，中止电子交易活动：</w:t>
      </w:r>
    </w:p>
    <w:p w14:paraId="29966B18">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1、电子交易平台发生故障而无法登录访问的；</w:t>
      </w:r>
    </w:p>
    <w:p w14:paraId="4EBF6507">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2、电子交易平台应用或数据库出现错误，不能进行正常操作的；</w:t>
      </w:r>
    </w:p>
    <w:p w14:paraId="3908A10B">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3、电子交易平台发现严重安全漏洞，有潜在泄密危险的；</w:t>
      </w:r>
    </w:p>
    <w:p w14:paraId="501688BA">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4、病毒发作导致不能进行正常操作的；</w:t>
      </w:r>
    </w:p>
    <w:p w14:paraId="79B97D25">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5、其他无法保证电子交易的公平、公正和安全的情况。</w:t>
      </w:r>
    </w:p>
    <w:p w14:paraId="0BDEF2F9">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14:paraId="14CAC707">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（八）被拒绝的响应文件为无效。</w:t>
      </w:r>
    </w:p>
    <w:p w14:paraId="0DBD60CC">
      <w:pPr>
        <w:snapToGrid w:val="0"/>
        <w:spacing w:after="240" w:line="276" w:lineRule="auto"/>
        <w:ind w:firstLine="562"/>
        <w:jc w:val="center"/>
        <w:rPr>
          <w:rFonts w:hint="eastAsia" w:ascii="Times New Roman" w:hAnsi="Times New Roman" w:cs="Times New Roman"/>
          <w:b/>
          <w:color w:val="000000" w:themeColor="text1"/>
          <w:sz w:val="28"/>
          <w:szCs w:val="30"/>
          <w:highlight w:val="none"/>
          <w14:textFill>
            <w14:solidFill>
              <w14:schemeClr w14:val="tx1"/>
            </w14:solidFill>
          </w14:textFill>
        </w:rPr>
      </w:pPr>
    </w:p>
    <w:p w14:paraId="58F34404">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四、开标</w:t>
      </w:r>
    </w:p>
    <w:p w14:paraId="5EF9FC87">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（一）开标准备</w:t>
      </w:r>
    </w:p>
    <w:p w14:paraId="14209E13">
      <w:pPr>
        <w:pStyle w:val="15"/>
        <w:snapToGrid w:val="0"/>
        <w:spacing w:line="360" w:lineRule="exact"/>
        <w:ind w:firstLine="413" w:firstLineChars="196"/>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1.1采购代理机构按本竞争性磋商文件投标规定的时间和地点公开开标，所有响应人不需要派代表参加现场开标，响应人须通过政采云电子交易系统在线参与本项目的开标活动。</w:t>
      </w:r>
    </w:p>
    <w:p w14:paraId="2B6BC057">
      <w:pPr>
        <w:pStyle w:val="15"/>
        <w:snapToGrid w:val="0"/>
        <w:spacing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1.2按规定提交合格的撤回通知的响应文件不予开封，并退回给响应人；开标时出现的无效响应文件，不予评审，但不退还给响应人。</w:t>
      </w:r>
    </w:p>
    <w:p w14:paraId="43B96963">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（二）开标程序</w:t>
      </w:r>
    </w:p>
    <w:p w14:paraId="520425B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2.1开标现场会由采购代理机构工作人员负责主持，投标截止时间后主持人宣布开标会开始，同时宣读现场纪律。</w:t>
      </w:r>
    </w:p>
    <w:p w14:paraId="304409DD">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2.2主持人介绍招标项目基本情况、评标程序、评标办法以及参加本项目的响应人名称和各响应人响应文件送达的时间；主持人介绍到会供应商等情况，并要求响应人代表书面提出其中是否有应当回避的情况。</w:t>
      </w:r>
    </w:p>
    <w:p w14:paraId="3A1B5D2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3、电子招投标开标及评审程序</w:t>
      </w:r>
    </w:p>
    <w:p w14:paraId="5BD85C9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3.1 投标截止时间后，响应人登录政采云平台，用“项目采购-开标评标”功能对电子响应文件进行在线解密。在线解密电子响应文件时间为开标时间起半个小时内；</w:t>
      </w:r>
    </w:p>
    <w:p w14:paraId="092569A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3.2.</w:t>
      </w:r>
      <w:r>
        <w:rPr>
          <w:rFonts w:hint="eastAsia"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磋商小组对响应人的资格进行审查。资格审查合格后，由磋商小组对商务技术响应文件进行评审；</w:t>
      </w:r>
    </w:p>
    <w:p w14:paraId="5C60FF7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3.3磋商小组对报价情况进行评审；</w:t>
      </w:r>
    </w:p>
    <w:p w14:paraId="047F4371">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3.4磋商小组与有效投标响应人进行磋商；</w:t>
      </w:r>
    </w:p>
    <w:p w14:paraId="6AC0BEF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3.5磋商后，响应人通过系统进行报价；</w:t>
      </w:r>
    </w:p>
    <w:p w14:paraId="66C5FAC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3.6在系统上公布评审结果。</w:t>
      </w:r>
    </w:p>
    <w:p w14:paraId="2BF663B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特别说明：政采云公司如对电子化开标及评审程序有调整的，按调整后的程序操作。</w:t>
      </w:r>
    </w:p>
    <w:p w14:paraId="185A62A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4、采购代理机构工作人员对开标过程进行记录（含音视频记录），并存档备查。</w:t>
      </w:r>
    </w:p>
    <w:p w14:paraId="6520665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5、本项目原则上采用政采云电子招投标开标及评审程序，但有下情形的，按以下情况处理：</w:t>
      </w:r>
    </w:p>
    <w:p w14:paraId="06EB0A0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5.1若所有响应人在规定时间内无法解密或解密失败，采购组织机构将开启所有响应人递交的以介质存储云平台项目采购模块，以完成开标，电子投的数据电文形式的备份响应文件，上传至政采标文件自动失效</w:t>
      </w:r>
    </w:p>
    <w:p w14:paraId="7ED84637">
      <w:pPr>
        <w:pStyle w:val="15"/>
        <w:snapToGrid w:val="0"/>
        <w:spacing w:line="360" w:lineRule="auto"/>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p>
    <w:p w14:paraId="39661756">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五、评标</w:t>
      </w:r>
    </w:p>
    <w:p w14:paraId="052D1C04">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（一）组建磋商小组</w:t>
      </w:r>
    </w:p>
    <w:p w14:paraId="67E11BFD">
      <w:pPr>
        <w:pStyle w:val="15"/>
        <w:snapToGrid w:val="0"/>
        <w:spacing w:line="360" w:lineRule="exact"/>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本项目磋商小组由政府采购评审专家和采购人代表组成3人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及以上</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p>
    <w:p w14:paraId="079A4A43">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（二）评标程序</w:t>
      </w:r>
    </w:p>
    <w:p w14:paraId="0432AC8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1、资格审查</w:t>
      </w:r>
    </w:p>
    <w:p w14:paraId="6AA00B8E">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依据法律法规和竞争性磋商文件的规定，磋商小组对响应人的资格进行审查。</w:t>
      </w:r>
    </w:p>
    <w:p w14:paraId="2CB9C54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2、实质审查与比较</w:t>
      </w:r>
    </w:p>
    <w:p w14:paraId="6D3B84EA">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2.1磋商小组审查响应文件的实质性内容是否符合竞争性磋商文件的实质性要求。</w:t>
      </w:r>
    </w:p>
    <w:p w14:paraId="28C3B931">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2.2磋商小组将根据响应人的响应文件进行审查、核对，如有疑问，将对响应人进行询标，响应人要向磋商小组澄清有关问题，并最终以书面形式进行答复。</w:t>
      </w:r>
    </w:p>
    <w:p w14:paraId="3CC12D4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2.3响应人代表未及时澄清或者拒绝澄清或者澄清的内容改变了响应文件的实质性内容的，磋商小组有权对该响应文件作出不利于响应人的评判。</w:t>
      </w:r>
    </w:p>
    <w:p w14:paraId="03D8D7C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2.4各响应人的商务技术得分由指定专人进行计算复核。</w:t>
      </w:r>
    </w:p>
    <w:p w14:paraId="3CA8AD4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2.5各响应人报价得分根据评分标准计算。</w:t>
      </w:r>
    </w:p>
    <w:p w14:paraId="4755570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2.6磋商小组完成评标后，对各部分得分汇总，得出本项目最终得分，磋商小组按评标原则推荐中标候选人同时起草评审报告。</w:t>
      </w:r>
    </w:p>
    <w:p w14:paraId="79523BD6">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（三）澄清问题的形式</w:t>
      </w:r>
    </w:p>
    <w:p w14:paraId="7CF5E53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773CBE3F">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（四）错误修正</w:t>
      </w:r>
    </w:p>
    <w:p w14:paraId="1D7A1BF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响应文件如果出现计算或表达上的错误，修正错误的原则如下：</w:t>
      </w:r>
    </w:p>
    <w:p w14:paraId="3D833B3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1、响应文件中开标一览表（报价表）内容与响应文件中相应内容不一致的，以开标一览表（报价表）为准；</w:t>
      </w:r>
    </w:p>
    <w:p w14:paraId="7B8B458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2、大写金额和小写金额不一致的，以大写金额为准；</w:t>
      </w:r>
    </w:p>
    <w:p w14:paraId="16F530A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3、单价金额小数点或者百分比有明显错位的，以开标一览表的总价为准，并修改单价；</w:t>
      </w:r>
    </w:p>
    <w:p w14:paraId="0AD0B39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4、总价金额与按单价汇总金额不一致的，以单价金额计算结果为准。</w:t>
      </w:r>
    </w:p>
    <w:p w14:paraId="038BE214">
      <w:pPr>
        <w:pStyle w:val="15"/>
        <w:adjustRightInd w:val="0"/>
        <w:snapToGrid w:val="0"/>
        <w:spacing w:before="60" w:after="20" w:line="360" w:lineRule="exact"/>
        <w:ind w:firstLine="422" w:firstLineChars="200"/>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同时出现两种以上不一致的，按照前款规定的顺序修正。修正后的报价经响应人同意并盖章确认后产生约束力，如果响应人不接受修正后的报价或其不确认的，则其投标将作为无效投标处理。</w:t>
      </w:r>
    </w:p>
    <w:p w14:paraId="7505FF3C">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（五）评标原则和磋商办法</w:t>
      </w:r>
    </w:p>
    <w:p w14:paraId="160075A8">
      <w:pPr>
        <w:pStyle w:val="15"/>
        <w:snapToGrid w:val="0"/>
        <w:spacing w:line="360" w:lineRule="exact"/>
        <w:ind w:firstLine="520" w:firstLineChars="24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1、磋商小组必须公平、公正、客观，不带任何倾向性和启发性；不得向外界透露任何与磋商有关的内容；任何单位和个人不得干扰、影响磋商的正常进行；磋商小组及有关工作人员不得私下与响应人接触。</w:t>
      </w:r>
    </w:p>
    <w:p w14:paraId="4A85DEC6">
      <w:pPr>
        <w:pStyle w:val="15"/>
        <w:snapToGrid w:val="0"/>
        <w:spacing w:line="360" w:lineRule="exact"/>
        <w:ind w:firstLine="520" w:firstLineChars="24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2、磋商办法。本项目磋商办法是</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综合评分法</w:t>
      </w:r>
      <w:r>
        <w:rPr>
          <w:rFonts w:hint="eastAsia" w:ascii="Times New Roman" w:hAnsi="Times New Roman" w:eastAsia="宋体" w:cs="Times New Roman"/>
          <w:color w:val="000000" w:themeColor="text1"/>
          <w:sz w:val="21"/>
          <w:szCs w:val="21"/>
          <w:highlight w:val="none"/>
          <w14:textFill>
            <w14:solidFill>
              <w14:schemeClr w14:val="tx1"/>
            </w14:solidFill>
          </w14:textFill>
        </w:rPr>
        <w:t>，具体评标内容及评分标准等详见《第四章：磋商办法及评分标准》。</w:t>
      </w:r>
    </w:p>
    <w:p w14:paraId="0F3E1B7F">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（六）磋商过程的监控</w:t>
      </w:r>
    </w:p>
    <w:p w14:paraId="19A5BC8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本项目磋商过程实行全程录音、录像监控，响应人在评标过程中所进行的试图影响评标结果的不公正活动，可能导致其投标被拒绝。</w:t>
      </w:r>
    </w:p>
    <w:p w14:paraId="62373BBC">
      <w:pPr>
        <w:snapToGrid w:val="0"/>
        <w:spacing w:after="240" w:line="276" w:lineRule="auto"/>
        <w:ind w:firstLine="562"/>
        <w:jc w:val="center"/>
        <w:rPr>
          <w:rFonts w:hint="eastAsia" w:ascii="Times New Roman" w:hAnsi="Times New Roman" w:cs="Times New Roman"/>
          <w:b/>
          <w:color w:val="000000" w:themeColor="text1"/>
          <w:sz w:val="28"/>
          <w:szCs w:val="30"/>
          <w:highlight w:val="none"/>
          <w14:textFill>
            <w14:solidFill>
              <w14:schemeClr w14:val="tx1"/>
            </w14:solidFill>
          </w14:textFill>
        </w:rPr>
      </w:pPr>
    </w:p>
    <w:p w14:paraId="150F4967">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六、定标</w:t>
      </w:r>
    </w:p>
    <w:p w14:paraId="04C422BC">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（一）确定成交人。本项目由采购人（或采购人事先授权磋商小组）确定成交人。</w:t>
      </w:r>
    </w:p>
    <w:p w14:paraId="24099D31">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1.采购代理机构在评审结束后2个工作日内将评审报告送采购人确认。</w:t>
      </w:r>
    </w:p>
    <w:p w14:paraId="4C25768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2.采购人应当自收到评审报告之日起5个工作日内，在评审报告确定的成交候选人名单中按顺序确定成交人。</w:t>
      </w:r>
    </w:p>
    <w:p w14:paraId="5ECD891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3.采购人或者采购代理机构应当自成交人确定之日起2个工作日内，在省级以上财政部门指定的媒体上公告中标结果，在公告中标结果的同时，采购人或者采购代理机构应当向成交人发出成交通知书。</w:t>
      </w:r>
    </w:p>
    <w:p w14:paraId="656B0F7B">
      <w:pPr>
        <w:pStyle w:val="15"/>
        <w:adjustRightInd w:val="0"/>
        <w:snapToGrid w:val="0"/>
        <w:spacing w:before="60" w:after="20" w:line="360" w:lineRule="exact"/>
        <w:ind w:firstLine="420" w:firstLineChars="200"/>
        <w:rPr>
          <w:rFonts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54D23FF8">
      <w:pPr>
        <w:snapToGrid w:val="0"/>
        <w:spacing w:line="276" w:lineRule="auto"/>
        <w:ind w:firstLine="560"/>
        <w:jc w:val="center"/>
        <w:rPr>
          <w:rFonts w:ascii="Times New Roman" w:hAnsi="Times New Roman" w:cs="Times New Roman"/>
          <w:b/>
          <w:color w:val="000000" w:themeColor="text1"/>
          <w:sz w:val="28"/>
          <w:szCs w:val="30"/>
          <w:highlight w:val="none"/>
          <w14:textFill>
            <w14:solidFill>
              <w14:schemeClr w14:val="tx1"/>
            </w14:solidFill>
          </w14:textFill>
        </w:rPr>
      </w:pPr>
    </w:p>
    <w:p w14:paraId="7CC1EC2A">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七、合同授予</w:t>
      </w:r>
    </w:p>
    <w:p w14:paraId="22F22CDC">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（一）签订合同</w:t>
      </w:r>
    </w:p>
    <w:p w14:paraId="047B865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1、成交人应在《成交通知书》发出之日起30日内与采购人签定合同。同时，采购代理机构对合同内容进行审查，如发现与采购结果和投标承诺内容不一致的，应予以纠正。</w:t>
      </w:r>
    </w:p>
    <w:p w14:paraId="5BFE3A9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2、成交人拖延、拒签合同的，将上报监管部门并取消中标资格。</w:t>
      </w:r>
    </w:p>
    <w:p w14:paraId="740584B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3、成交人和采购人签订合同，按合同规定的服务时间完成服务。</w:t>
      </w:r>
    </w:p>
    <w:p w14:paraId="1868E0A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683903B8">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（二）合同公告</w:t>
      </w:r>
    </w:p>
    <w:p w14:paraId="76779329">
      <w:pPr>
        <w:pStyle w:val="15"/>
        <w:snapToGrid w:val="0"/>
        <w:spacing w:line="360" w:lineRule="exact"/>
        <w:ind w:firstLine="415" w:firstLineChars="198"/>
        <w:jc w:val="center"/>
        <w:rPr>
          <w:rFonts w:hint="eastAsia" w:ascii="Times New Roman" w:hAnsi="Times New Roman" w:eastAsia="宋体" w:cs="Times New Roman"/>
          <w:b/>
          <w:color w:val="auto"/>
          <w:kern w:val="2"/>
          <w:sz w:val="30"/>
          <w:szCs w:val="30"/>
          <w:highlight w:val="none"/>
          <w:lang w:val="en-US" w:eastAsia="zh-CN" w:bidi="ar-SA"/>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采购人在政府采购合同签订后，将政府采购合同在省级以上人民政府财政部门指定的媒体上公告，但政府采购合同中涉及国家秘密、商业秘密的内容除外。</w:t>
      </w:r>
      <w:r>
        <w:rPr>
          <w:rFonts w:ascii="Times New Roman" w:hAnsi="Times New Roman" w:eastAsia="宋体" w:cs="Times New Roman"/>
          <w:color w:val="000000" w:themeColor="text1"/>
          <w:sz w:val="21"/>
          <w:szCs w:val="21"/>
          <w:highlight w:val="none"/>
          <w14:textFill>
            <w14:solidFill>
              <w14:schemeClr w14:val="tx1"/>
            </w14:solidFill>
          </w14:textFill>
        </w:rPr>
        <w:br w:type="page"/>
      </w:r>
      <w:r>
        <w:rPr>
          <w:rFonts w:hint="eastAsia" w:ascii="Times New Roman" w:hAnsi="Times New Roman" w:eastAsia="宋体" w:cs="Times New Roman"/>
          <w:b/>
          <w:color w:val="auto"/>
          <w:kern w:val="2"/>
          <w:sz w:val="30"/>
          <w:szCs w:val="30"/>
          <w:highlight w:val="none"/>
          <w:lang w:val="en-US" w:eastAsia="zh-CN" w:bidi="ar-SA"/>
        </w:rPr>
        <w:t>第四章  磋商办法及标准</w:t>
      </w:r>
    </w:p>
    <w:p w14:paraId="2ACF4226">
      <w:pPr>
        <w:pStyle w:val="15"/>
        <w:adjustRightInd w:val="0"/>
        <w:snapToGrid w:val="0"/>
        <w:spacing w:line="360" w:lineRule="exact"/>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为公正、公平、科学地选择成交人，根据《中华人民共和国政府采购法》等有关法律法规的规定，并结合本项目的实际，制定本办法。本次评标采用综合评分法。</w:t>
      </w:r>
    </w:p>
    <w:p w14:paraId="2CA02966">
      <w:pPr>
        <w:spacing w:before="156" w:beforeLines="50" w:line="276" w:lineRule="auto"/>
        <w:ind w:firstLine="482" w:firstLineChars="200"/>
        <w:rPr>
          <w:rFonts w:ascii="Times New Roman" w:hAnsi="Times New Roman" w:cs="Times New Roman"/>
          <w:b/>
          <w:bCs/>
          <w:color w:val="000000" w:themeColor="text1"/>
          <w:sz w:val="24"/>
          <w:highlight w:val="none"/>
          <w:lang w:val="zh-CN"/>
          <w14:textFill>
            <w14:solidFill>
              <w14:schemeClr w14:val="tx1"/>
            </w14:solidFill>
          </w14:textFill>
        </w:rPr>
      </w:pPr>
      <w:r>
        <w:rPr>
          <w:rFonts w:hint="eastAsia" w:ascii="Times New Roman" w:hAnsi="Times New Roman" w:cs="Times New Roman"/>
          <w:b/>
          <w:bCs/>
          <w:color w:val="000000" w:themeColor="text1"/>
          <w:sz w:val="24"/>
          <w:highlight w:val="none"/>
          <w:lang w:val="zh-CN"/>
          <w14:textFill>
            <w14:solidFill>
              <w14:schemeClr w14:val="tx1"/>
            </w14:solidFill>
          </w14:textFill>
        </w:rPr>
        <w:t>一、总则</w:t>
      </w:r>
    </w:p>
    <w:p w14:paraId="3535BAE8">
      <w:pPr>
        <w:pStyle w:val="15"/>
        <w:adjustRightInd w:val="0"/>
        <w:snapToGrid w:val="0"/>
        <w:spacing w:line="360" w:lineRule="auto"/>
        <w:ind w:firstLine="420" w:firstLineChars="20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本次评标采用综合评分法，总分为100分，其磋商小组对响应文件进行符合性审查，凡响应文件实质性内容、关键格式严重不符合有关规定或不响应采购文件要求的，磋商小组应评定该响应文件作无效标处理。</w:t>
      </w:r>
    </w:p>
    <w:p w14:paraId="733EEA88">
      <w:pPr>
        <w:pStyle w:val="15"/>
        <w:adjustRightInd w:val="0"/>
        <w:snapToGrid w:val="0"/>
        <w:spacing w:line="360" w:lineRule="auto"/>
        <w:ind w:firstLine="420" w:firstLineChars="200"/>
        <w:rPr>
          <w:rFonts w:hint="default" w:eastAsia="宋体"/>
          <w:highlight w:val="none"/>
          <w:lang w:val="en-US" w:eastAsia="zh-CN"/>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26B6B7">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合格响应人的评标得分为价格分和商务技术分的汇总得分，成交候选资格按评标得分由高到低顺序排列，得分相同的，按最终响应报价由低到高顺序排列；评标得分且最终响应报价相同的，按技术部分得分由高到低顺序排列；评标得分、最终响应报价、技术部分得分均相同，由采购随机抽取确定排名顺序。排名第一的响应人为成交人，排名第二的响应人为成交候选人，其他响应人成交候选资格依此类推。各响应人的得分为所有专家的有效评分的算术平均数。评分过程中采用四舍五入法，并保留小数2位。</w:t>
      </w:r>
    </w:p>
    <w:p w14:paraId="7E18FD0F">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响应人评标综合得分=价格分+商务技术分</w:t>
      </w:r>
    </w:p>
    <w:p w14:paraId="6E493634">
      <w:pPr>
        <w:spacing w:before="156" w:beforeLines="50" w:line="276" w:lineRule="auto"/>
        <w:ind w:firstLine="482" w:firstLineChars="200"/>
        <w:rPr>
          <w:rFonts w:ascii="Times New Roman" w:hAnsi="Times New Roman" w:cs="Times New Roman"/>
          <w:b/>
          <w:bCs/>
          <w:color w:val="000000" w:themeColor="text1"/>
          <w:sz w:val="24"/>
          <w:highlight w:val="none"/>
          <w:lang w:val="zh-CN"/>
          <w14:textFill>
            <w14:solidFill>
              <w14:schemeClr w14:val="tx1"/>
            </w14:solidFill>
          </w14:textFill>
        </w:rPr>
      </w:pPr>
      <w:r>
        <w:rPr>
          <w:rFonts w:hint="eastAsia" w:ascii="Times New Roman" w:hAnsi="Times New Roman" w:cs="Times New Roman"/>
          <w:b/>
          <w:bCs/>
          <w:color w:val="000000" w:themeColor="text1"/>
          <w:sz w:val="24"/>
          <w:highlight w:val="none"/>
          <w:lang w:val="zh-CN"/>
          <w14:textFill>
            <w14:solidFill>
              <w14:schemeClr w14:val="tx1"/>
            </w14:solidFill>
          </w14:textFill>
        </w:rPr>
        <w:t>二、资格审查</w:t>
      </w:r>
    </w:p>
    <w:p w14:paraId="6DE9FD31">
      <w:pPr>
        <w:autoSpaceDE w:val="0"/>
        <w:autoSpaceDN w:val="0"/>
        <w:adjustRightInd w:val="0"/>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1、由磋商小组对响应人的资格进行审查。</w:t>
      </w:r>
    </w:p>
    <w:p w14:paraId="082C2B3E">
      <w:pPr>
        <w:autoSpaceDE w:val="0"/>
        <w:autoSpaceDN w:val="0"/>
        <w:adjustRightInd w:val="0"/>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2、按以下内容审核响应文件是否符合竞争性磋商文件的资格文件要求。</w:t>
      </w:r>
    </w:p>
    <w:tbl>
      <w:tblPr>
        <w:tblStyle w:val="30"/>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6246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7A62846B">
            <w:pPr>
              <w:spacing w:line="320" w:lineRule="exact"/>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序号</w:t>
            </w:r>
          </w:p>
        </w:tc>
        <w:tc>
          <w:tcPr>
            <w:tcW w:w="4395" w:type="dxa"/>
            <w:tcBorders>
              <w:tl2br w:val="single" w:color="auto" w:sz="4" w:space="0"/>
            </w:tcBorders>
            <w:vAlign w:val="center"/>
          </w:tcPr>
          <w:p w14:paraId="5E5601DE">
            <w:pPr>
              <w:spacing w:line="320" w:lineRule="exact"/>
              <w:jc w:val="right"/>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响应人</w:t>
            </w:r>
          </w:p>
          <w:p w14:paraId="791D3195">
            <w:pPr>
              <w:spacing w:line="320" w:lineRule="exact"/>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内容</w:t>
            </w:r>
          </w:p>
        </w:tc>
        <w:tc>
          <w:tcPr>
            <w:tcW w:w="4621" w:type="dxa"/>
            <w:vAlign w:val="center"/>
          </w:tcPr>
          <w:p w14:paraId="387F5DE9">
            <w:pPr>
              <w:spacing w:line="320" w:lineRule="exact"/>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审核标准</w:t>
            </w:r>
          </w:p>
        </w:tc>
      </w:tr>
      <w:tr w14:paraId="3272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5755B01">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w:t>
            </w:r>
          </w:p>
        </w:tc>
        <w:tc>
          <w:tcPr>
            <w:tcW w:w="4395" w:type="dxa"/>
            <w:vAlign w:val="center"/>
          </w:tcPr>
          <w:p w14:paraId="0C9A97F0">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具有独立承担民事责任的能力</w:t>
            </w:r>
          </w:p>
        </w:tc>
        <w:tc>
          <w:tcPr>
            <w:tcW w:w="4621" w:type="dxa"/>
            <w:vAlign w:val="center"/>
          </w:tcPr>
          <w:p w14:paraId="672C110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提供营业执照复印件或事业单位法人证复印件。</w:t>
            </w:r>
          </w:p>
        </w:tc>
      </w:tr>
      <w:tr w14:paraId="275D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161D889C">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w:t>
            </w:r>
          </w:p>
        </w:tc>
        <w:tc>
          <w:tcPr>
            <w:tcW w:w="4395" w:type="dxa"/>
            <w:vAlign w:val="center"/>
          </w:tcPr>
          <w:p w14:paraId="5603939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具有良好的商业信誉和健全的财务会计制度</w:t>
            </w:r>
          </w:p>
        </w:tc>
        <w:tc>
          <w:tcPr>
            <w:tcW w:w="4621" w:type="dxa"/>
            <w:vAlign w:val="center"/>
          </w:tcPr>
          <w:p w14:paraId="520E109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投标函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5150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82D7B47">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w:t>
            </w:r>
          </w:p>
        </w:tc>
        <w:tc>
          <w:tcPr>
            <w:tcW w:w="4395" w:type="dxa"/>
            <w:vAlign w:val="center"/>
          </w:tcPr>
          <w:p w14:paraId="103C85ED">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具有履行合同所必需的设备和专业技术能力</w:t>
            </w:r>
          </w:p>
        </w:tc>
        <w:tc>
          <w:tcPr>
            <w:tcW w:w="4621" w:type="dxa"/>
            <w:vAlign w:val="center"/>
          </w:tcPr>
          <w:p w14:paraId="3C73144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投标函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77F4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332E0CCA">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4</w:t>
            </w:r>
          </w:p>
        </w:tc>
        <w:tc>
          <w:tcPr>
            <w:tcW w:w="4395" w:type="dxa"/>
            <w:vAlign w:val="center"/>
          </w:tcPr>
          <w:p w14:paraId="7BDC0D1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有依法缴纳税收和社会保障资金的良好记录</w:t>
            </w:r>
          </w:p>
        </w:tc>
        <w:tc>
          <w:tcPr>
            <w:tcW w:w="4621" w:type="dxa"/>
            <w:vAlign w:val="center"/>
          </w:tcPr>
          <w:p w14:paraId="035A9B5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投标函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1DB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14:paraId="420CFDA8">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5</w:t>
            </w:r>
          </w:p>
        </w:tc>
        <w:tc>
          <w:tcPr>
            <w:tcW w:w="4395" w:type="dxa"/>
            <w:vAlign w:val="center"/>
          </w:tcPr>
          <w:p w14:paraId="236E197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参加政府采购活动前三年内，在经营活动中没有重大违法记录</w:t>
            </w:r>
          </w:p>
        </w:tc>
        <w:tc>
          <w:tcPr>
            <w:tcW w:w="4621" w:type="dxa"/>
            <w:vAlign w:val="center"/>
          </w:tcPr>
          <w:p w14:paraId="004AA2C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声明函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62D2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14:paraId="68EDE316">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6</w:t>
            </w:r>
          </w:p>
        </w:tc>
        <w:tc>
          <w:tcPr>
            <w:tcW w:w="4395" w:type="dxa"/>
            <w:vAlign w:val="center"/>
          </w:tcPr>
          <w:p w14:paraId="03972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未被信用中国（www.creditchina.gov.cn）、中国政府采购网（www.ccgp.gov.cn） 列入失信被执行人、重大税收违法案件当事人名单、政府采购严重违法失信行为记录名单</w:t>
            </w:r>
          </w:p>
        </w:tc>
        <w:tc>
          <w:tcPr>
            <w:tcW w:w="4621" w:type="dxa"/>
            <w:vAlign w:val="center"/>
          </w:tcPr>
          <w:p w14:paraId="1056CC6B">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以开标现场网页查询结果为准。</w:t>
            </w:r>
          </w:p>
        </w:tc>
      </w:tr>
      <w:tr w14:paraId="0738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18923395">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7</w:t>
            </w:r>
          </w:p>
        </w:tc>
        <w:tc>
          <w:tcPr>
            <w:tcW w:w="4395" w:type="dxa"/>
            <w:vAlign w:val="center"/>
          </w:tcPr>
          <w:p w14:paraId="321D6D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法定代表人证明书或法定代表人委托授权书</w:t>
            </w:r>
          </w:p>
        </w:tc>
        <w:tc>
          <w:tcPr>
            <w:tcW w:w="4621" w:type="dxa"/>
            <w:vAlign w:val="center"/>
          </w:tcPr>
          <w:p w14:paraId="01CF51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法定代表人参加投标时提供《法定代表人证明书》原件，非法定代表人参加投标时提供《法定代表人委托授权书》原件</w:t>
            </w:r>
          </w:p>
        </w:tc>
      </w:tr>
      <w:tr w14:paraId="651B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46B111A1">
            <w:pPr>
              <w:spacing w:line="320" w:lineRule="exact"/>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8</w:t>
            </w:r>
          </w:p>
        </w:tc>
        <w:tc>
          <w:tcPr>
            <w:tcW w:w="4395" w:type="dxa"/>
            <w:vAlign w:val="center"/>
          </w:tcPr>
          <w:p w14:paraId="7720F0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施工项目负责人</w:t>
            </w:r>
            <w:r>
              <w:rPr>
                <w:rFonts w:hint="eastAsia" w:ascii="宋体" w:hAnsi="宋体" w:eastAsia="宋体" w:cs="宋体"/>
                <w:sz w:val="21"/>
                <w:szCs w:val="21"/>
                <w:highlight w:val="none"/>
                <w:lang w:val="en-US" w:eastAsia="zh-CN"/>
              </w:rPr>
              <w:t>要求</w:t>
            </w:r>
          </w:p>
        </w:tc>
        <w:tc>
          <w:tcPr>
            <w:tcW w:w="4621" w:type="dxa"/>
            <w:vAlign w:val="center"/>
          </w:tcPr>
          <w:p w14:paraId="17A345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（1）施工项目负责人具有建筑或市政专业注册建造师二级及以上资格，同时具有安全生产考核B证，且无在建工程。</w:t>
            </w:r>
          </w:p>
          <w:p w14:paraId="286750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注：（1）投标文件须提供施工</w:t>
            </w:r>
            <w:r>
              <w:rPr>
                <w:rFonts w:hint="eastAsia" w:cs="Times New Roman"/>
                <w:color w:val="000000" w:themeColor="text1"/>
                <w:szCs w:val="21"/>
                <w:highlight w:val="none"/>
                <w:lang w:val="en-US" w:eastAsia="zh-CN"/>
                <w14:textFill>
                  <w14:solidFill>
                    <w14:schemeClr w14:val="tx1"/>
                  </w14:solidFill>
                </w14:textFill>
              </w:rPr>
              <w:t>项目负责人</w:t>
            </w:r>
            <w:r>
              <w:rPr>
                <w:rFonts w:hint="eastAsia" w:ascii="Times New Roman" w:hAnsi="Times New Roman" w:cs="Times New Roman"/>
                <w:color w:val="000000" w:themeColor="text1"/>
                <w:szCs w:val="21"/>
                <w:highlight w:val="none"/>
                <w14:textFill>
                  <w14:solidFill>
                    <w14:schemeClr w14:val="tx1"/>
                  </w14:solidFill>
                </w14:textFill>
              </w:rPr>
              <w:t>相关证书及近三个月内任意一个月本单位社保缴纳证明材料复印件。</w:t>
            </w:r>
          </w:p>
        </w:tc>
      </w:tr>
      <w:tr w14:paraId="1A73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7FB0378E">
            <w:pPr>
              <w:spacing w:line="320" w:lineRule="exact"/>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9</w:t>
            </w:r>
          </w:p>
        </w:tc>
        <w:tc>
          <w:tcPr>
            <w:tcW w:w="4395" w:type="dxa"/>
            <w:vAlign w:val="center"/>
          </w:tcPr>
          <w:p w14:paraId="678C57CD">
            <w:pPr>
              <w:spacing w:line="320" w:lineRule="exact"/>
              <w:jc w:val="left"/>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中小企业声明函</w:t>
            </w:r>
          </w:p>
        </w:tc>
        <w:tc>
          <w:tcPr>
            <w:tcW w:w="4621" w:type="dxa"/>
            <w:vAlign w:val="center"/>
          </w:tcPr>
          <w:p w14:paraId="377548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提供《</w:t>
            </w:r>
            <w:r>
              <w:rPr>
                <w:rFonts w:hint="eastAsia" w:ascii="Times New Roman" w:hAnsi="Times New Roman" w:cs="Times New Roman"/>
                <w:color w:val="000000" w:themeColor="text1"/>
                <w:szCs w:val="21"/>
                <w:highlight w:val="none"/>
                <w14:textFill>
                  <w14:solidFill>
                    <w14:schemeClr w14:val="tx1"/>
                  </w14:solidFill>
                </w14:textFill>
              </w:rPr>
              <w:t>中小企业声明函</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tc>
      </w:tr>
      <w:tr w14:paraId="091D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14:paraId="057CE307">
            <w:pPr>
              <w:pStyle w:val="18"/>
              <w:spacing w:line="320" w:lineRule="exact"/>
              <w:ind w:left="0" w:firstLine="0" w:firstLineChars="0"/>
              <w:jc w:val="center"/>
              <w:rPr>
                <w:rFonts w:ascii="Times New Roman" w:hAnsi="Times New Roman" w:cs="Times New Roman"/>
                <w:b/>
                <w:color w:val="000000" w:themeColor="text1"/>
                <w:sz w:val="21"/>
                <w:szCs w:val="21"/>
                <w:highlight w:val="none"/>
                <w14:textFill>
                  <w14:solidFill>
                    <w14:schemeClr w14:val="tx1"/>
                  </w14:solidFill>
                </w14:textFill>
              </w:rPr>
            </w:pPr>
            <w:r>
              <w:rPr>
                <w:rFonts w:hint="eastAsia" w:ascii="Times New Roman" w:hAnsi="Times New Roman" w:cs="Times New Roman"/>
                <w:b/>
                <w:color w:val="000000" w:themeColor="text1"/>
                <w:sz w:val="21"/>
                <w:szCs w:val="21"/>
                <w:highlight w:val="none"/>
                <w14:textFill>
                  <w14:solidFill>
                    <w14:schemeClr w14:val="tx1"/>
                  </w14:solidFill>
                </w14:textFill>
              </w:rPr>
              <w:t>结   论</w:t>
            </w:r>
          </w:p>
        </w:tc>
        <w:tc>
          <w:tcPr>
            <w:tcW w:w="4621" w:type="dxa"/>
            <w:vAlign w:val="center"/>
          </w:tcPr>
          <w:p w14:paraId="379DA5C5">
            <w:pPr>
              <w:spacing w:line="320" w:lineRule="exact"/>
              <w:jc w:val="center"/>
              <w:rPr>
                <w:rFonts w:ascii="Times New Roman" w:hAnsi="Times New Roman" w:cs="Times New Roman"/>
                <w:b/>
                <w:color w:val="000000" w:themeColor="text1"/>
                <w:szCs w:val="21"/>
                <w:highlight w:val="none"/>
                <w14:textFill>
                  <w14:solidFill>
                    <w14:schemeClr w14:val="tx1"/>
                  </w14:solidFill>
                </w14:textFill>
              </w:rPr>
            </w:pPr>
          </w:p>
        </w:tc>
      </w:tr>
    </w:tbl>
    <w:p w14:paraId="06294EB4">
      <w:pPr>
        <w:widowControl/>
        <w:numPr>
          <w:ilvl w:val="0"/>
          <w:numId w:val="5"/>
        </w:numPr>
        <w:spacing w:line="320" w:lineRule="exact"/>
        <w:ind w:firstLine="482" w:firstLineChars="200"/>
        <w:jc w:val="left"/>
        <w:rPr>
          <w:rFonts w:ascii="Times New Roman" w:hAnsi="Times New Roman" w:cs="Times New Roman"/>
          <w:b/>
          <w:bCs/>
          <w:color w:val="000000" w:themeColor="text1"/>
          <w:sz w:val="24"/>
          <w:szCs w:val="22"/>
          <w:highlight w:val="none"/>
          <w:lang w:val="zh-CN"/>
          <w14:textFill>
            <w14:solidFill>
              <w14:schemeClr w14:val="tx1"/>
            </w14:solidFill>
          </w14:textFill>
        </w:rPr>
      </w:pPr>
      <w:r>
        <w:rPr>
          <w:rFonts w:hint="eastAsia" w:ascii="Times New Roman" w:hAnsi="Times New Roman" w:cs="Times New Roman"/>
          <w:b/>
          <w:bCs/>
          <w:color w:val="000000" w:themeColor="text1"/>
          <w:sz w:val="24"/>
          <w:szCs w:val="22"/>
          <w:highlight w:val="none"/>
          <w:lang w:val="zh-CN"/>
          <w14:textFill>
            <w14:solidFill>
              <w14:schemeClr w14:val="tx1"/>
            </w14:solidFill>
          </w14:textFill>
        </w:rPr>
        <w:t>评分内容及标准</w:t>
      </w:r>
    </w:p>
    <w:tbl>
      <w:tblPr>
        <w:tblStyle w:val="30"/>
        <w:tblpPr w:leftFromText="180" w:rightFromText="180" w:vertAnchor="text" w:horzAnchor="page" w:tblpX="1746" w:tblpY="412"/>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52"/>
        <w:gridCol w:w="6345"/>
      </w:tblGrid>
      <w:tr w14:paraId="6B53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7" w:type="dxa"/>
            <w:vAlign w:val="center"/>
          </w:tcPr>
          <w:p w14:paraId="7D79D96A">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1CD09E89">
            <w:pPr>
              <w:spacing w:line="400" w:lineRule="exact"/>
              <w:jc w:val="center"/>
              <w:rPr>
                <w:rFonts w:hint="eastAsia" w:ascii="Times New Roman" w:hAnsi="Times New Roman" w:cs="Times New Roman"/>
                <w:color w:val="auto"/>
                <w:szCs w:val="21"/>
                <w:highlight w:val="none"/>
              </w:rPr>
            </w:pPr>
            <w:r>
              <w:rPr>
                <w:rFonts w:hint="eastAsia" w:ascii="Times New Roman" w:hAnsi="Times New Roman" w:cs="Times New Roman"/>
                <w:b/>
                <w:color w:val="auto"/>
                <w:szCs w:val="21"/>
                <w:highlight w:val="none"/>
              </w:rPr>
              <w:t>内容</w:t>
            </w:r>
          </w:p>
        </w:tc>
        <w:tc>
          <w:tcPr>
            <w:tcW w:w="6345" w:type="dxa"/>
            <w:noWrap/>
            <w:vAlign w:val="center"/>
          </w:tcPr>
          <w:p w14:paraId="5D7923E8">
            <w:pPr>
              <w:spacing w:line="400" w:lineRule="exact"/>
              <w:jc w:val="center"/>
              <w:rPr>
                <w:rFonts w:hint="eastAsia" w:ascii="Times New Roman" w:hAnsi="Times New Roman" w:cs="Times New Roman"/>
                <w:color w:val="auto"/>
                <w:szCs w:val="21"/>
                <w:highlight w:val="none"/>
              </w:rPr>
            </w:pPr>
            <w:r>
              <w:rPr>
                <w:rFonts w:hint="eastAsia" w:ascii="Times New Roman" w:hAnsi="Times New Roman" w:cs="Times New Roman"/>
                <w:b/>
                <w:color w:val="auto"/>
                <w:szCs w:val="21"/>
                <w:highlight w:val="none"/>
              </w:rPr>
              <w:t>评分要点</w:t>
            </w:r>
          </w:p>
        </w:tc>
      </w:tr>
      <w:tr w14:paraId="7552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07" w:type="dxa"/>
            <w:vAlign w:val="center"/>
          </w:tcPr>
          <w:p w14:paraId="3869A50D">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报价</w:t>
            </w:r>
          </w:p>
          <w:p w14:paraId="615D09DB">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部分</w:t>
            </w:r>
          </w:p>
          <w:p w14:paraId="58D3EFF9">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10</w:t>
            </w:r>
            <w:r>
              <w:rPr>
                <w:rFonts w:hint="eastAsia" w:ascii="Times New Roman" w:hAnsi="Times New Roman" w:cs="Times New Roman"/>
                <w:color w:val="auto"/>
                <w:szCs w:val="21"/>
                <w:highlight w:val="none"/>
              </w:rPr>
              <w:t>分</w:t>
            </w:r>
          </w:p>
        </w:tc>
        <w:tc>
          <w:tcPr>
            <w:tcW w:w="1352" w:type="dxa"/>
            <w:noWrap/>
            <w:vAlign w:val="center"/>
          </w:tcPr>
          <w:p w14:paraId="14C36577">
            <w:pPr>
              <w:keepNext w:val="0"/>
              <w:keepLines w:val="0"/>
              <w:pageBreakBefore w:val="0"/>
              <w:kinsoku/>
              <w:wordWrap/>
              <w:overflowPunct/>
              <w:topLinePunct w:val="0"/>
              <w:bidi w:val="0"/>
              <w:adjustRightInd/>
              <w:snapToGrid/>
              <w:spacing w:line="240" w:lineRule="auto"/>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报价分</w:t>
            </w:r>
          </w:p>
          <w:p w14:paraId="725868E4">
            <w:pPr>
              <w:keepNext w:val="0"/>
              <w:keepLines w:val="0"/>
              <w:pageBreakBefore w:val="0"/>
              <w:kinsoku/>
              <w:wordWrap/>
              <w:overflowPunct/>
              <w:topLinePunct w:val="0"/>
              <w:bidi w:val="0"/>
              <w:adjustRightInd/>
              <w:snapToGrid/>
              <w:spacing w:line="240" w:lineRule="auto"/>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val="en-US" w:eastAsia="zh-CN"/>
              </w:rPr>
              <w:t>1</w:t>
            </w:r>
            <w:r>
              <w:rPr>
                <w:rFonts w:hint="eastAsia" w:ascii="Times New Roman" w:hAnsi="Times New Roman" w:cs="Times New Roman"/>
                <w:bCs/>
                <w:color w:val="auto"/>
                <w:szCs w:val="21"/>
                <w:highlight w:val="none"/>
              </w:rPr>
              <w:t>0分)</w:t>
            </w:r>
          </w:p>
        </w:tc>
        <w:tc>
          <w:tcPr>
            <w:tcW w:w="6345" w:type="dxa"/>
            <w:noWrap/>
            <w:vAlign w:val="center"/>
          </w:tcPr>
          <w:p w14:paraId="55D9B80C">
            <w:pPr>
              <w:keepNext w:val="0"/>
              <w:keepLines w:val="0"/>
              <w:pageBreakBefore w:val="0"/>
              <w:kinsoku/>
              <w:wordWrap/>
              <w:overflowPunct/>
              <w:topLinePunct w:val="0"/>
              <w:bidi w:val="0"/>
              <w:adjustRightInd/>
              <w:snapToGrid/>
              <w:spacing w:line="240" w:lineRule="auto"/>
              <w:ind w:left="105" w:leftChars="50"/>
              <w:jc w:val="left"/>
              <w:textAlignment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价格分采用低价优先法计算，即满足采购文件要求且</w:t>
            </w:r>
            <w:r>
              <w:rPr>
                <w:rFonts w:hint="eastAsia" w:cs="Times New Roman"/>
                <w:color w:val="auto"/>
                <w:sz w:val="21"/>
                <w:szCs w:val="21"/>
                <w:highlight w:val="none"/>
                <w:lang w:val="en-US" w:eastAsia="zh-CN"/>
              </w:rPr>
              <w:t>投标报价</w:t>
            </w:r>
            <w:r>
              <w:rPr>
                <w:rFonts w:hint="eastAsia" w:ascii="Times New Roman" w:hAnsi="Times New Roman" w:eastAsia="宋体" w:cs="Times New Roman"/>
                <w:color w:val="auto"/>
                <w:sz w:val="21"/>
                <w:szCs w:val="21"/>
                <w:highlight w:val="none"/>
              </w:rPr>
              <w:t>最</w:t>
            </w:r>
            <w:r>
              <w:rPr>
                <w:rFonts w:hint="eastAsia" w:cs="Times New Roman"/>
                <w:color w:val="auto"/>
                <w:sz w:val="21"/>
                <w:szCs w:val="21"/>
                <w:highlight w:val="none"/>
                <w:lang w:val="en-US" w:eastAsia="zh-CN"/>
              </w:rPr>
              <w:t>低的</w:t>
            </w:r>
            <w:r>
              <w:rPr>
                <w:rFonts w:hint="eastAsia" w:ascii="Times New Roman" w:hAnsi="Times New Roman" w:eastAsia="宋体" w:cs="Times New Roman"/>
                <w:color w:val="auto"/>
                <w:sz w:val="21"/>
                <w:szCs w:val="21"/>
                <w:highlight w:val="none"/>
              </w:rPr>
              <w:t>为评标基准价，其他投标人的价格分按照下列公式计算：</w:t>
            </w:r>
          </w:p>
          <w:p w14:paraId="73696EEA">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highlight w:val="none"/>
              </w:rPr>
            </w:pPr>
            <w:r>
              <w:rPr>
                <w:rFonts w:hint="eastAsia" w:ascii="Times New Roman" w:hAnsi="Times New Roman" w:eastAsia="宋体" w:cs="Times New Roman"/>
                <w:color w:val="auto"/>
                <w:sz w:val="21"/>
                <w:szCs w:val="21"/>
                <w:highlight w:val="none"/>
                <w:lang w:val="zh-CN"/>
              </w:rPr>
              <w:t>投标报价得分</w:t>
            </w:r>
            <w:r>
              <w:rPr>
                <w:rFonts w:hint="eastAsia" w:ascii="Times New Roman" w:hAnsi="Times New Roman" w:eastAsia="宋体" w:cs="Times New Roman"/>
                <w:color w:val="auto"/>
                <w:sz w:val="21"/>
                <w:szCs w:val="21"/>
                <w:highlight w:val="none"/>
              </w:rPr>
              <w:t>=（评标基准价/</w:t>
            </w:r>
            <w:r>
              <w:rPr>
                <w:rFonts w:hint="eastAsia" w:ascii="Times New Roman" w:hAnsi="Times New Roman" w:eastAsia="宋体" w:cs="Times New Roman"/>
                <w:color w:val="auto"/>
                <w:sz w:val="21"/>
                <w:szCs w:val="21"/>
                <w:highlight w:val="none"/>
                <w:lang w:val="zh-CN"/>
              </w:rPr>
              <w:t>评审价格</w:t>
            </w:r>
            <w:r>
              <w:rPr>
                <w:rFonts w:hint="eastAsia"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zh-CN"/>
              </w:rPr>
              <w:t>%×100（分值计算时保留小数点后二位,第三位四舍五入），</w:t>
            </w:r>
            <w:r>
              <w:rPr>
                <w:rFonts w:hint="eastAsia" w:ascii="Times New Roman" w:hAnsi="Times New Roman" w:eastAsia="宋体" w:cs="Times New Roman"/>
                <w:color w:val="auto"/>
                <w:sz w:val="21"/>
                <w:szCs w:val="21"/>
                <w:highlight w:val="none"/>
                <w:lang w:val="zh-CN" w:eastAsia="zh-CN"/>
              </w:rPr>
              <w:t>本项目专门面向中小企业采购，投标报价不进行政策扣除</w:t>
            </w:r>
            <w:r>
              <w:rPr>
                <w:rFonts w:hint="eastAsia" w:ascii="Times New Roman" w:hAnsi="Times New Roman" w:cs="Times New Roman"/>
                <w:color w:val="auto"/>
                <w:szCs w:val="21"/>
                <w:highlight w:val="none"/>
                <w:lang w:val="zh-CN"/>
              </w:rPr>
              <w:t>。</w:t>
            </w:r>
          </w:p>
        </w:tc>
      </w:tr>
      <w:tr w14:paraId="3181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7" w:type="dxa"/>
            <w:vMerge w:val="restart"/>
            <w:vAlign w:val="center"/>
          </w:tcPr>
          <w:p w14:paraId="61DD7AE4">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商务</w:t>
            </w:r>
          </w:p>
          <w:p w14:paraId="0B493CD6">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技术</w:t>
            </w:r>
          </w:p>
          <w:p w14:paraId="335EB652">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部分</w:t>
            </w:r>
          </w:p>
          <w:p w14:paraId="56DBF94F">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9</w:t>
            </w:r>
            <w:r>
              <w:rPr>
                <w:rFonts w:hint="eastAsia" w:ascii="Times New Roman" w:hAnsi="Times New Roman" w:cs="Times New Roman"/>
                <w:color w:val="auto"/>
                <w:szCs w:val="21"/>
                <w:highlight w:val="none"/>
              </w:rPr>
              <w:t>0分</w:t>
            </w:r>
          </w:p>
        </w:tc>
        <w:tc>
          <w:tcPr>
            <w:tcW w:w="1352" w:type="dxa"/>
            <w:noWrap/>
            <w:vAlign w:val="center"/>
          </w:tcPr>
          <w:p w14:paraId="469DE3C7">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类似业绩</w:t>
            </w:r>
          </w:p>
          <w:p w14:paraId="4846B40E">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w:t>
            </w:r>
          </w:p>
        </w:tc>
        <w:tc>
          <w:tcPr>
            <w:tcW w:w="6345" w:type="dxa"/>
            <w:noWrap/>
            <w:vAlign w:val="center"/>
          </w:tcPr>
          <w:p w14:paraId="5B85E0CB">
            <w:pPr>
              <w:keepNext w:val="0"/>
              <w:keepLines w:val="0"/>
              <w:pageBreakBefore w:val="0"/>
              <w:kinsoku/>
              <w:wordWrap/>
              <w:overflowPunct/>
              <w:topLinePunct w:val="0"/>
              <w:autoSpaceDE/>
              <w:autoSpaceDN/>
              <w:bidi w:val="0"/>
              <w:adjustRightInd/>
              <w:snapToGrid/>
              <w:spacing w:before="40" w:after="40" w:line="240" w:lineRule="auto"/>
              <w:ind w:left="0" w:right="0"/>
              <w:jc w:val="both"/>
              <w:rPr>
                <w:rFonts w:hint="eastAsia" w:ascii="Times New Roman" w:hAnsi="Times New Roman" w:eastAsia="宋体" w:cs="Times New Roman"/>
                <w:color w:val="000000"/>
                <w:kern w:val="0"/>
                <w:sz w:val="21"/>
                <w:szCs w:val="21"/>
                <w:highlight w:val="none"/>
                <w:lang w:val="zh-CN" w:bidi="ar"/>
              </w:rPr>
            </w:pPr>
            <w:r>
              <w:rPr>
                <w:rFonts w:hint="eastAsia" w:ascii="Times New Roman" w:hAnsi="Times New Roman" w:eastAsia="宋体" w:cs="Times New Roman"/>
                <w:color w:val="000000"/>
                <w:kern w:val="0"/>
                <w:sz w:val="21"/>
                <w:szCs w:val="21"/>
                <w:highlight w:val="none"/>
                <w:lang w:val="en-US" w:eastAsia="zh-CN" w:bidi="ar"/>
              </w:rPr>
              <w:t>投标人</w:t>
            </w:r>
            <w:r>
              <w:rPr>
                <w:rFonts w:hint="eastAsia" w:ascii="Times New Roman" w:hAnsi="Times New Roman" w:eastAsia="宋体" w:cs="Times New Roman"/>
                <w:color w:val="000000"/>
                <w:kern w:val="0"/>
                <w:sz w:val="21"/>
                <w:szCs w:val="21"/>
                <w:highlight w:val="none"/>
                <w:lang w:val="zh-CN" w:bidi="ar"/>
              </w:rPr>
              <w:t>自</w:t>
            </w:r>
            <w:r>
              <w:rPr>
                <w:rFonts w:hint="eastAsia" w:cs="Times New Roman"/>
                <w:color w:val="000000"/>
                <w:kern w:val="0"/>
                <w:sz w:val="21"/>
                <w:szCs w:val="21"/>
                <w:highlight w:val="none"/>
                <w:lang w:val="en-US" w:eastAsia="zh-CN" w:bidi="ar"/>
              </w:rPr>
              <w:t>2022</w:t>
            </w:r>
            <w:r>
              <w:rPr>
                <w:rFonts w:hint="eastAsia" w:ascii="Times New Roman" w:hAnsi="Times New Roman" w:eastAsia="宋体" w:cs="Times New Roman"/>
                <w:color w:val="000000"/>
                <w:kern w:val="0"/>
                <w:sz w:val="21"/>
                <w:szCs w:val="21"/>
                <w:highlight w:val="none"/>
                <w:lang w:val="zh-CN" w:bidi="ar"/>
              </w:rPr>
              <w:t>年1月1日以来（合同以签订时间为准）具有</w:t>
            </w:r>
            <w:r>
              <w:rPr>
                <w:rFonts w:hint="eastAsia" w:cs="Times New Roman"/>
                <w:color w:val="auto"/>
                <w:kern w:val="0"/>
                <w:sz w:val="21"/>
                <w:szCs w:val="21"/>
                <w:highlight w:val="none"/>
                <w:lang w:val="en-US" w:eastAsia="zh-CN" w:bidi="ar"/>
              </w:rPr>
              <w:t>园林景观类似</w:t>
            </w:r>
            <w:r>
              <w:rPr>
                <w:rFonts w:hint="eastAsia" w:ascii="Times New Roman" w:hAnsi="Times New Roman" w:eastAsia="宋体" w:cs="Times New Roman"/>
                <w:color w:val="auto"/>
                <w:kern w:val="0"/>
                <w:sz w:val="21"/>
                <w:szCs w:val="21"/>
                <w:highlight w:val="none"/>
                <w:lang w:val="zh-CN" w:bidi="ar"/>
              </w:rPr>
              <w:t>业绩</w:t>
            </w:r>
            <w:r>
              <w:rPr>
                <w:rFonts w:hint="eastAsia" w:ascii="Times New Roman" w:hAnsi="Times New Roman" w:eastAsia="宋体" w:cs="Times New Roman"/>
                <w:color w:val="000000"/>
                <w:kern w:val="0"/>
                <w:sz w:val="21"/>
                <w:szCs w:val="21"/>
                <w:highlight w:val="none"/>
                <w:lang w:val="zh-CN" w:bidi="ar"/>
              </w:rPr>
              <w:t>，每提供1个得</w:t>
            </w:r>
            <w:r>
              <w:rPr>
                <w:rFonts w:hint="eastAsia" w:ascii="Times New Roman" w:hAnsi="Times New Roman" w:eastAsia="宋体" w:cs="Times New Roman"/>
                <w:color w:val="000000"/>
                <w:kern w:val="0"/>
                <w:sz w:val="21"/>
                <w:szCs w:val="21"/>
                <w:highlight w:val="none"/>
                <w:lang w:val="en-US" w:eastAsia="zh-CN" w:bidi="ar"/>
              </w:rPr>
              <w:t>0.5</w:t>
            </w:r>
            <w:r>
              <w:rPr>
                <w:rFonts w:hint="eastAsia" w:ascii="Times New Roman" w:hAnsi="Times New Roman" w:eastAsia="宋体" w:cs="Times New Roman"/>
                <w:color w:val="000000"/>
                <w:kern w:val="0"/>
                <w:sz w:val="21"/>
                <w:szCs w:val="21"/>
                <w:highlight w:val="none"/>
                <w:lang w:val="zh-CN" w:bidi="ar"/>
              </w:rPr>
              <w:t>分，</w:t>
            </w:r>
            <w:r>
              <w:rPr>
                <w:rFonts w:hint="eastAsia" w:ascii="Times New Roman" w:hAnsi="Times New Roman" w:eastAsia="宋体" w:cs="Times New Roman"/>
                <w:color w:val="000000"/>
                <w:kern w:val="0"/>
                <w:sz w:val="21"/>
                <w:szCs w:val="21"/>
                <w:highlight w:val="none"/>
                <w:lang w:val="en-US" w:eastAsia="zh-CN" w:bidi="ar"/>
              </w:rPr>
              <w:t>此项最高得1分</w:t>
            </w:r>
            <w:r>
              <w:rPr>
                <w:rFonts w:hint="eastAsia" w:ascii="Times New Roman" w:hAnsi="Times New Roman" w:eastAsia="宋体" w:cs="Times New Roman"/>
                <w:color w:val="000000"/>
                <w:kern w:val="0"/>
                <w:sz w:val="21"/>
                <w:szCs w:val="21"/>
                <w:highlight w:val="none"/>
                <w:lang w:val="zh-CN" w:bidi="ar"/>
              </w:rPr>
              <w:t>。</w:t>
            </w:r>
          </w:p>
          <w:p w14:paraId="5EE9B17F">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rPr>
            </w:pPr>
            <w:r>
              <w:rPr>
                <w:rFonts w:hint="eastAsia" w:ascii="Times New Roman" w:hAnsi="Times New Roman" w:eastAsia="宋体" w:cs="Times New Roman"/>
                <w:b/>
                <w:bCs/>
                <w:color w:val="000000"/>
                <w:kern w:val="0"/>
                <w:sz w:val="21"/>
                <w:szCs w:val="21"/>
                <w:highlight w:val="none"/>
                <w:lang w:val="en-US" w:eastAsia="zh-CN" w:bidi="ar"/>
              </w:rPr>
              <w:t>注：需</w:t>
            </w:r>
            <w:r>
              <w:rPr>
                <w:rFonts w:hint="eastAsia" w:ascii="Times New Roman" w:hAnsi="Times New Roman" w:eastAsia="宋体" w:cs="Times New Roman"/>
                <w:b/>
                <w:bCs/>
                <w:color w:val="000000"/>
                <w:sz w:val="21"/>
                <w:szCs w:val="21"/>
                <w:highlight w:val="none"/>
                <w:lang w:val="en-US" w:eastAsia="zh-CN"/>
              </w:rPr>
              <w:t>提供有效的</w:t>
            </w:r>
            <w:r>
              <w:rPr>
                <w:rFonts w:hint="eastAsia" w:ascii="Times New Roman" w:hAnsi="Times New Roman" w:eastAsia="宋体" w:cs="Times New Roman"/>
                <w:b/>
                <w:bCs/>
                <w:color w:val="000000"/>
                <w:sz w:val="21"/>
                <w:szCs w:val="21"/>
                <w:highlight w:val="none"/>
              </w:rPr>
              <w:t>合同扫描件</w:t>
            </w:r>
            <w:r>
              <w:rPr>
                <w:rFonts w:hint="eastAsia" w:ascii="Times New Roman" w:hAnsi="Times New Roman" w:eastAsia="宋体" w:cs="Times New Roman"/>
                <w:b/>
                <w:bCs/>
                <w:color w:val="000000"/>
                <w:sz w:val="21"/>
                <w:szCs w:val="21"/>
                <w:highlight w:val="none"/>
                <w:lang w:val="en-US" w:eastAsia="zh-CN"/>
              </w:rPr>
              <w:t>，未按要求提供的不得分</w:t>
            </w:r>
            <w:r>
              <w:rPr>
                <w:rFonts w:hint="eastAsia" w:ascii="Times New Roman" w:hAnsi="Times New Roman" w:eastAsia="宋体" w:cs="Times New Roman"/>
                <w:b/>
                <w:bCs/>
                <w:color w:val="000000"/>
                <w:kern w:val="0"/>
                <w:sz w:val="21"/>
                <w:szCs w:val="21"/>
                <w:highlight w:val="none"/>
                <w:lang w:val="zh-CN" w:bidi="ar"/>
              </w:rPr>
              <w:t>。</w:t>
            </w:r>
          </w:p>
        </w:tc>
      </w:tr>
      <w:tr w14:paraId="043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355B975">
            <w:pPr>
              <w:spacing w:line="400" w:lineRule="exact"/>
              <w:jc w:val="center"/>
              <w:rPr>
                <w:rFonts w:hint="eastAsia" w:ascii="Times New Roman" w:hAnsi="Times New Roman" w:cs="Times New Roman"/>
                <w:color w:val="auto"/>
                <w:szCs w:val="21"/>
                <w:highlight w:val="none"/>
              </w:rPr>
            </w:pPr>
          </w:p>
        </w:tc>
        <w:tc>
          <w:tcPr>
            <w:tcW w:w="1352" w:type="dxa"/>
            <w:vMerge w:val="restart"/>
            <w:shd w:val="clear" w:color="auto" w:fill="auto"/>
            <w:noWrap/>
            <w:vAlign w:val="center"/>
          </w:tcPr>
          <w:p w14:paraId="2CEF6BE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重点难点分析及对策（10分）</w:t>
            </w:r>
          </w:p>
          <w:p w14:paraId="44AA5438">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p>
        </w:tc>
        <w:tc>
          <w:tcPr>
            <w:tcW w:w="6345" w:type="dxa"/>
            <w:shd w:val="clear" w:color="auto" w:fill="auto"/>
            <w:noWrap/>
            <w:vAlign w:val="center"/>
          </w:tcPr>
          <w:p w14:paraId="2CA59E81">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both"/>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color w:val="000000"/>
                <w:sz w:val="21"/>
                <w:szCs w:val="21"/>
                <w:highlight w:val="none"/>
              </w:rPr>
              <w:t>针对本项目重点、难点的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情况进行综合打分</w:t>
            </w:r>
            <w:r>
              <w:rPr>
                <w:rFonts w:hint="eastAsia" w:ascii="Times New Roman" w:hAnsi="Times New Roman" w:eastAsia="宋体" w:cs="Times New Roman"/>
                <w:color w:val="000000"/>
                <w:kern w:val="0"/>
                <w:sz w:val="21"/>
                <w:szCs w:val="21"/>
                <w:highlight w:val="none"/>
                <w:lang w:eastAsia="zh-CN"/>
              </w:rPr>
              <w:t>。</w:t>
            </w:r>
          </w:p>
          <w:p w14:paraId="4D630198">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情况深入、</w:t>
            </w:r>
            <w:r>
              <w:rPr>
                <w:rFonts w:hint="eastAsia" w:ascii="Times New Roman" w:hAnsi="Times New Roman" w:eastAsia="宋体" w:cs="Times New Roman"/>
                <w:color w:val="auto"/>
                <w:sz w:val="21"/>
                <w:szCs w:val="21"/>
                <w:highlight w:val="none"/>
                <w:lang w:val="en-US" w:eastAsia="zh-CN"/>
              </w:rPr>
              <w:t>完全与当地实际情况符合的得5分；</w:t>
            </w:r>
          </w:p>
          <w:p w14:paraId="54272010">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情况较深入、较</w:t>
            </w:r>
            <w:r>
              <w:rPr>
                <w:rFonts w:hint="eastAsia" w:ascii="Times New Roman" w:hAnsi="Times New Roman" w:eastAsia="宋体" w:cs="Times New Roman"/>
                <w:color w:val="auto"/>
                <w:sz w:val="21"/>
                <w:szCs w:val="21"/>
                <w:highlight w:val="none"/>
                <w:lang w:val="en-US" w:eastAsia="zh-CN"/>
              </w:rPr>
              <w:t>完全与当地实际情况符合的得3分；</w:t>
            </w:r>
          </w:p>
          <w:p w14:paraId="3494DAB0">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w:t>
            </w:r>
            <w:r>
              <w:rPr>
                <w:rFonts w:hint="eastAsia" w:ascii="Times New Roman" w:hAnsi="Times New Roman" w:eastAsia="宋体" w:cs="Times New Roman"/>
                <w:color w:val="auto"/>
                <w:sz w:val="21"/>
                <w:szCs w:val="21"/>
                <w:highlight w:val="none"/>
                <w:lang w:val="en-US" w:eastAsia="zh-CN"/>
              </w:rPr>
              <w:t>与当地实际情况符合性分析一般的得1分；</w:t>
            </w:r>
          </w:p>
          <w:p w14:paraId="5A01F8FA">
            <w:pPr>
              <w:keepNext w:val="0"/>
              <w:keepLines w:val="0"/>
              <w:pageBreakBefore w:val="0"/>
              <w:widowControl/>
              <w:kinsoku/>
              <w:wordWrap/>
              <w:overflowPunct/>
              <w:topLinePunct w:val="0"/>
              <w:bidi w:val="0"/>
              <w:adjustRightInd/>
              <w:snapToGrid/>
              <w:spacing w:line="240" w:lineRule="auto"/>
              <w:jc w:val="both"/>
              <w:textAlignment w:val="center"/>
              <w:rPr>
                <w:rFonts w:hint="eastAsia" w:ascii="Times New Roman" w:hAnsi="Times New Roman" w:cs="Times New Roman"/>
                <w:b/>
                <w:bCs/>
                <w:color w:val="auto"/>
                <w:szCs w:val="21"/>
                <w:highlight w:val="none"/>
              </w:rPr>
            </w:pPr>
            <w:r>
              <w:rPr>
                <w:rFonts w:hint="eastAsia" w:ascii="Times New Roman" w:hAnsi="Times New Roman" w:eastAsia="宋体" w:cs="Times New Roman"/>
                <w:color w:val="auto"/>
                <w:sz w:val="21"/>
                <w:szCs w:val="21"/>
                <w:highlight w:val="none"/>
                <w:lang w:val="en-US" w:eastAsia="zh-CN"/>
              </w:rPr>
              <w:t>未提供方案不得分。</w:t>
            </w:r>
          </w:p>
        </w:tc>
      </w:tr>
      <w:tr w14:paraId="799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 w:type="dxa"/>
            <w:vMerge w:val="continue"/>
            <w:vAlign w:val="center"/>
          </w:tcPr>
          <w:p w14:paraId="6AC2949A">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3974DF5E">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p>
        </w:tc>
        <w:tc>
          <w:tcPr>
            <w:tcW w:w="6345" w:type="dxa"/>
            <w:shd w:val="clear" w:color="auto" w:fill="auto"/>
            <w:noWrap/>
            <w:vAlign w:val="center"/>
          </w:tcPr>
          <w:p w14:paraId="3FC7AF76">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color w:val="000000"/>
                <w:sz w:val="21"/>
                <w:szCs w:val="21"/>
                <w:highlight w:val="none"/>
              </w:rPr>
              <w:t>针对本项目重点、难点</w:t>
            </w:r>
            <w:r>
              <w:rPr>
                <w:rFonts w:hint="eastAsia" w:ascii="Times New Roman" w:hAnsi="Times New Roman" w:eastAsia="宋体" w:cs="Times New Roman"/>
                <w:color w:val="000000"/>
                <w:sz w:val="21"/>
                <w:szCs w:val="21"/>
                <w:highlight w:val="none"/>
                <w:lang w:val="en-US" w:eastAsia="zh-CN"/>
              </w:rPr>
              <w:t>提出的解决措施方案进行综合打分</w:t>
            </w:r>
            <w:r>
              <w:rPr>
                <w:rFonts w:hint="eastAsia" w:ascii="Times New Roman" w:hAnsi="Times New Roman" w:eastAsia="宋体" w:cs="Times New Roman"/>
                <w:color w:val="000000"/>
                <w:kern w:val="0"/>
                <w:sz w:val="21"/>
                <w:szCs w:val="21"/>
                <w:highlight w:val="none"/>
                <w:lang w:eastAsia="zh-CN"/>
              </w:rPr>
              <w:t>。</w:t>
            </w:r>
          </w:p>
          <w:p w14:paraId="7C5E9D54">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w:t>
            </w:r>
            <w:r>
              <w:rPr>
                <w:rFonts w:hint="eastAsia" w:ascii="Times New Roman" w:hAnsi="Times New Roman" w:eastAsia="宋体" w:cs="Times New Roman"/>
                <w:color w:val="000000"/>
                <w:sz w:val="21"/>
                <w:szCs w:val="21"/>
                <w:highlight w:val="none"/>
                <w:lang w:val="en-US" w:eastAsia="zh-CN"/>
              </w:rPr>
              <w:t>提出的解决措施方案</w:t>
            </w:r>
            <w:r>
              <w:rPr>
                <w:rFonts w:hint="eastAsia" w:ascii="Times New Roman" w:hAnsi="Times New Roman" w:eastAsia="宋体" w:cs="Times New Roman"/>
                <w:color w:val="auto"/>
                <w:sz w:val="21"/>
                <w:szCs w:val="21"/>
                <w:highlight w:val="none"/>
                <w:lang w:val="en-US" w:eastAsia="zh-CN"/>
              </w:rPr>
              <w:t>合理、操作性强的得5分；</w:t>
            </w:r>
          </w:p>
          <w:p w14:paraId="198C92D0">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w:t>
            </w:r>
            <w:r>
              <w:rPr>
                <w:rFonts w:hint="eastAsia" w:ascii="Times New Roman" w:hAnsi="Times New Roman" w:eastAsia="宋体" w:cs="Times New Roman"/>
                <w:color w:val="000000"/>
                <w:sz w:val="21"/>
                <w:szCs w:val="21"/>
                <w:highlight w:val="none"/>
                <w:lang w:val="en-US" w:eastAsia="zh-CN"/>
              </w:rPr>
              <w:t>提出的解决措施方案较</w:t>
            </w:r>
            <w:r>
              <w:rPr>
                <w:rFonts w:hint="eastAsia" w:ascii="Times New Roman" w:hAnsi="Times New Roman" w:eastAsia="宋体" w:cs="Times New Roman"/>
                <w:color w:val="auto"/>
                <w:sz w:val="21"/>
                <w:szCs w:val="21"/>
                <w:highlight w:val="none"/>
                <w:lang w:val="en-US" w:eastAsia="zh-CN"/>
              </w:rPr>
              <w:t>合理、操作性较强的得3分；</w:t>
            </w:r>
          </w:p>
          <w:p w14:paraId="5C74B922">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w:t>
            </w:r>
            <w:r>
              <w:rPr>
                <w:rFonts w:hint="eastAsia" w:ascii="Times New Roman" w:hAnsi="Times New Roman" w:eastAsia="宋体" w:cs="Times New Roman"/>
                <w:color w:val="000000"/>
                <w:sz w:val="21"/>
                <w:szCs w:val="21"/>
                <w:highlight w:val="none"/>
                <w:lang w:val="en-US" w:eastAsia="zh-CN"/>
              </w:rPr>
              <w:t>提出的解决措施方案</w:t>
            </w:r>
            <w:r>
              <w:rPr>
                <w:rFonts w:hint="eastAsia" w:ascii="Times New Roman" w:hAnsi="Times New Roman" w:eastAsia="宋体" w:cs="Times New Roman"/>
                <w:color w:val="auto"/>
                <w:sz w:val="21"/>
                <w:szCs w:val="21"/>
                <w:highlight w:val="none"/>
                <w:lang w:val="en-US" w:eastAsia="zh-CN"/>
              </w:rPr>
              <w:t>、操作性一般的得1分；</w:t>
            </w:r>
          </w:p>
          <w:p w14:paraId="1FD32690">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未提供方案不得分。</w:t>
            </w:r>
          </w:p>
        </w:tc>
      </w:tr>
      <w:tr w14:paraId="32C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007" w:type="dxa"/>
            <w:vMerge w:val="continue"/>
            <w:vAlign w:val="center"/>
          </w:tcPr>
          <w:p w14:paraId="4350DE96">
            <w:pPr>
              <w:spacing w:line="400" w:lineRule="exact"/>
              <w:jc w:val="center"/>
              <w:rPr>
                <w:rFonts w:hint="eastAsia" w:ascii="Times New Roman" w:hAnsi="Times New Roman" w:cs="Times New Roman"/>
                <w:color w:val="auto"/>
                <w:szCs w:val="21"/>
                <w:highlight w:val="none"/>
              </w:rPr>
            </w:pPr>
          </w:p>
        </w:tc>
        <w:tc>
          <w:tcPr>
            <w:tcW w:w="1352" w:type="dxa"/>
            <w:vMerge w:val="restart"/>
            <w:shd w:val="clear" w:color="auto" w:fill="auto"/>
            <w:noWrap/>
            <w:vAlign w:val="center"/>
          </w:tcPr>
          <w:p w14:paraId="38188A1B">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整体</w:t>
            </w:r>
          </w:p>
          <w:p w14:paraId="2BB66149">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实施</w:t>
            </w:r>
          </w:p>
          <w:p w14:paraId="0320DAE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方案</w:t>
            </w:r>
          </w:p>
          <w:p w14:paraId="71BCD71C">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r>
              <w:rPr>
                <w:rFonts w:hint="eastAsia" w:ascii="Times New Roman" w:hAnsi="Times New Roman" w:eastAsia="宋体" w:cs="Times New Roman"/>
                <w:b w:val="0"/>
                <w:bCs w:val="0"/>
                <w:color w:val="auto"/>
                <w:kern w:val="0"/>
                <w:sz w:val="21"/>
                <w:szCs w:val="21"/>
                <w:highlight w:val="none"/>
                <w:lang w:val="en-US" w:eastAsia="zh-CN"/>
              </w:rPr>
              <w:t>（</w:t>
            </w:r>
            <w:r>
              <w:rPr>
                <w:rFonts w:hint="eastAsia" w:cs="Times New Roman"/>
                <w:b w:val="0"/>
                <w:bCs w:val="0"/>
                <w:color w:val="auto"/>
                <w:kern w:val="0"/>
                <w:sz w:val="21"/>
                <w:szCs w:val="21"/>
                <w:highlight w:val="none"/>
                <w:lang w:val="en-US" w:eastAsia="zh-CN"/>
              </w:rPr>
              <w:t>42</w:t>
            </w:r>
            <w:r>
              <w:rPr>
                <w:rFonts w:hint="eastAsia" w:ascii="Times New Roman" w:hAnsi="Times New Roman" w:eastAsia="宋体" w:cs="Times New Roman"/>
                <w:b w:val="0"/>
                <w:bCs w:val="0"/>
                <w:color w:val="auto"/>
                <w:kern w:val="0"/>
                <w:sz w:val="21"/>
                <w:szCs w:val="21"/>
                <w:highlight w:val="none"/>
                <w:lang w:val="en-US" w:eastAsia="zh-CN"/>
              </w:rPr>
              <w:t>分）</w:t>
            </w:r>
          </w:p>
        </w:tc>
        <w:tc>
          <w:tcPr>
            <w:tcW w:w="6345" w:type="dxa"/>
            <w:shd w:val="clear" w:color="auto" w:fill="auto"/>
            <w:noWrap/>
            <w:vAlign w:val="center"/>
          </w:tcPr>
          <w:p w14:paraId="6E86DF5B">
            <w:pPr>
              <w:keepNext w:val="0"/>
              <w:keepLines w:val="0"/>
              <w:pageBreakBefore w:val="0"/>
              <w:kinsoku/>
              <w:wordWrap/>
              <w:overflowPunct/>
              <w:topLinePunct w:val="0"/>
              <w:autoSpaceDE/>
              <w:autoSpaceDN/>
              <w:bidi w:val="0"/>
              <w:adjustRightInd/>
              <w:snapToGrid/>
              <w:spacing w:before="40" w:after="40" w:line="240" w:lineRule="auto"/>
              <w:ind w:left="0" w:right="0" w:firstLine="0" w:firstLineChars="0"/>
              <w:jc w:val="both"/>
              <w:textAlignment w:val="auto"/>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color w:val="000000"/>
                <w:sz w:val="21"/>
                <w:szCs w:val="21"/>
                <w:highlight w:val="none"/>
                <w:lang w:val="en-US" w:eastAsia="zh-CN"/>
              </w:rPr>
              <w:t>提供</w:t>
            </w:r>
            <w:r>
              <w:rPr>
                <w:rFonts w:hint="eastAsia" w:ascii="Times New Roman" w:hAnsi="Times New Roman" w:eastAsia="宋体" w:cs="Times New Roman"/>
                <w:color w:val="000000"/>
                <w:kern w:val="0"/>
                <w:sz w:val="21"/>
                <w:szCs w:val="21"/>
                <w:highlight w:val="none"/>
                <w:lang w:val="en-US" w:eastAsia="zh-CN" w:bidi="ar"/>
              </w:rPr>
              <w:t>的整体组织实施方案，包括但不限于实施目标是否明确、措施是否得当、程序是否规范、是否具备自查反馈渠道及整改保障措施等，由评标委员会进行综合打分。</w:t>
            </w:r>
          </w:p>
          <w:p w14:paraId="0DE48356">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整体组织实施方案实施目标明确、措施得当、程序规范、具备自查反馈渠道及整改保障措施的得</w:t>
            </w:r>
            <w:r>
              <w:rPr>
                <w:rFonts w:hint="eastAsia" w:cs="Times New Roman"/>
                <w:color w:val="000000"/>
                <w:kern w:val="0"/>
                <w:sz w:val="21"/>
                <w:szCs w:val="21"/>
                <w:highlight w:val="none"/>
                <w:lang w:val="en-US" w:eastAsia="zh-CN" w:bidi="ar"/>
              </w:rPr>
              <w:t>8</w:t>
            </w:r>
            <w:r>
              <w:rPr>
                <w:rFonts w:hint="eastAsia" w:ascii="Times New Roman" w:hAnsi="Times New Roman" w:eastAsia="宋体" w:cs="Times New Roman"/>
                <w:color w:val="000000"/>
                <w:kern w:val="0"/>
                <w:sz w:val="21"/>
                <w:szCs w:val="21"/>
                <w:highlight w:val="none"/>
                <w:lang w:val="en-US" w:eastAsia="zh-CN" w:bidi="ar"/>
              </w:rPr>
              <w:t>分；</w:t>
            </w:r>
          </w:p>
          <w:p w14:paraId="050FCE89">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整体组织实施方案实施目标较明确、措施较得当、程序较规范、自查反馈渠道及整改保障措施较好的得</w:t>
            </w:r>
            <w:r>
              <w:rPr>
                <w:rFonts w:hint="eastAsia" w:cs="Times New Roman"/>
                <w:color w:val="000000"/>
                <w:kern w:val="0"/>
                <w:sz w:val="21"/>
                <w:szCs w:val="21"/>
                <w:highlight w:val="none"/>
                <w:lang w:val="en-US" w:eastAsia="zh-CN" w:bidi="ar"/>
              </w:rPr>
              <w:t>5</w:t>
            </w:r>
            <w:r>
              <w:rPr>
                <w:rFonts w:hint="eastAsia" w:ascii="Times New Roman" w:hAnsi="Times New Roman" w:eastAsia="宋体" w:cs="Times New Roman"/>
                <w:color w:val="000000"/>
                <w:kern w:val="0"/>
                <w:sz w:val="21"/>
                <w:szCs w:val="21"/>
                <w:highlight w:val="none"/>
                <w:lang w:val="en-US" w:eastAsia="zh-CN" w:bidi="ar"/>
              </w:rPr>
              <w:t>分；</w:t>
            </w:r>
          </w:p>
          <w:p w14:paraId="6AE5327F">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整体组织实施方案实施目标、措施、程序、自查反馈渠道及整改保障措施基本符合要求的得</w:t>
            </w:r>
            <w:r>
              <w:rPr>
                <w:rFonts w:hint="eastAsia" w:cs="Times New Roman"/>
                <w:color w:val="000000"/>
                <w:kern w:val="0"/>
                <w:sz w:val="21"/>
                <w:szCs w:val="21"/>
                <w:highlight w:val="none"/>
                <w:lang w:val="en-US" w:eastAsia="zh-CN" w:bidi="ar"/>
              </w:rPr>
              <w:t>3</w:t>
            </w:r>
            <w:r>
              <w:rPr>
                <w:rFonts w:hint="eastAsia" w:ascii="Times New Roman" w:hAnsi="Times New Roman" w:eastAsia="宋体" w:cs="Times New Roman"/>
                <w:color w:val="000000"/>
                <w:kern w:val="0"/>
                <w:sz w:val="21"/>
                <w:szCs w:val="21"/>
                <w:highlight w:val="none"/>
                <w:lang w:val="en-US" w:eastAsia="zh-CN" w:bidi="ar"/>
              </w:rPr>
              <w:t>分；</w:t>
            </w:r>
          </w:p>
          <w:p w14:paraId="0BAAE0AB">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未提供方案不得分。</w:t>
            </w:r>
          </w:p>
        </w:tc>
      </w:tr>
      <w:tr w14:paraId="49C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00E0F810">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0660A6D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0B30AE80">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Cs w:val="21"/>
                <w:highlight w:val="none"/>
                <w:lang w:eastAsia="zh-CN" w:bidi="ar"/>
              </w:rPr>
            </w:pP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val="en-US" w:eastAsia="zh-CN" w:bidi="ar"/>
              </w:rPr>
              <w:t>2</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strike w:val="0"/>
                <w:dstrike w:val="0"/>
                <w:color w:val="000000"/>
                <w:kern w:val="0"/>
                <w:sz w:val="21"/>
                <w:szCs w:val="21"/>
                <w:highlight w:val="none"/>
                <w:lang w:eastAsia="zh-CN" w:bidi="ar"/>
              </w:rPr>
              <w:t>根据投标人</w:t>
            </w:r>
            <w:r>
              <w:rPr>
                <w:rFonts w:hint="eastAsia" w:ascii="Times New Roman" w:hAnsi="Times New Roman" w:eastAsia="宋体" w:cs="Times New Roman"/>
                <w:strike w:val="0"/>
                <w:dstrike w:val="0"/>
                <w:color w:val="000000"/>
                <w:kern w:val="0"/>
                <w:sz w:val="21"/>
                <w:szCs w:val="21"/>
                <w:highlight w:val="none"/>
                <w:lang w:val="en-US" w:eastAsia="zh-CN" w:bidi="ar"/>
              </w:rPr>
              <w:t>提供的</w:t>
            </w:r>
            <w:r>
              <w:rPr>
                <w:rFonts w:hint="eastAsia" w:cs="Times New Roman"/>
                <w:strike w:val="0"/>
                <w:dstrike w:val="0"/>
                <w:color w:val="000000"/>
                <w:kern w:val="0"/>
                <w:sz w:val="21"/>
                <w:szCs w:val="21"/>
                <w:highlight w:val="none"/>
                <w:lang w:val="en-US" w:eastAsia="zh-CN" w:bidi="ar"/>
              </w:rPr>
              <w:t>绿化、景观合理化建议</w:t>
            </w:r>
            <w:r>
              <w:rPr>
                <w:rFonts w:hint="eastAsia" w:ascii="Times New Roman" w:hAnsi="Times New Roman" w:eastAsia="宋体" w:cs="Times New Roman"/>
                <w:strike w:val="0"/>
                <w:dstrike w:val="0"/>
                <w:color w:val="000000"/>
                <w:kern w:val="0"/>
                <w:sz w:val="21"/>
                <w:szCs w:val="21"/>
                <w:highlight w:val="none"/>
                <w:lang w:val="en-US" w:eastAsia="zh-CN" w:bidi="ar"/>
              </w:rPr>
              <w:t>方案，包括但不限于对本项目</w:t>
            </w:r>
            <w:r>
              <w:rPr>
                <w:rFonts w:hint="eastAsia" w:cs="Times New Roman"/>
                <w:strike w:val="0"/>
                <w:dstrike w:val="0"/>
                <w:color w:val="000000"/>
                <w:kern w:val="0"/>
                <w:sz w:val="21"/>
                <w:szCs w:val="21"/>
                <w:highlight w:val="none"/>
                <w:lang w:val="en-US" w:eastAsia="zh-CN" w:bidi="ar"/>
              </w:rPr>
              <w:t>绿化、景观实施方案的合理性、可操性、实用性、创新性等</w:t>
            </w:r>
            <w:r>
              <w:rPr>
                <w:rFonts w:hint="eastAsia" w:ascii="Times New Roman" w:hAnsi="Times New Roman" w:eastAsia="宋体" w:cs="Times New Roman"/>
                <w:strike w:val="0"/>
                <w:dstrike w:val="0"/>
                <w:color w:val="000000"/>
                <w:kern w:val="0"/>
                <w:sz w:val="21"/>
                <w:szCs w:val="21"/>
                <w:highlight w:val="none"/>
                <w:lang w:val="en-US" w:eastAsia="zh-CN" w:bidi="ar"/>
              </w:rPr>
              <w:t>，是否符合本项目主要设计思路、设计创新等。</w:t>
            </w:r>
          </w:p>
          <w:p w14:paraId="5F86E4FD">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strike w:val="0"/>
                <w:dstrike w:val="0"/>
                <w:color w:val="000000"/>
                <w:kern w:val="0"/>
                <w:sz w:val="21"/>
                <w:szCs w:val="21"/>
                <w:highlight w:val="none"/>
                <w:lang w:val="en-US"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方案思路明确、创新、新颖的得</w:t>
            </w:r>
            <w:r>
              <w:rPr>
                <w:rFonts w:hint="eastAsia" w:cs="Times New Roman"/>
                <w:b w:val="0"/>
                <w:strike w:val="0"/>
                <w:dstrike w:val="0"/>
                <w:color w:val="000000"/>
                <w:kern w:val="0"/>
                <w:sz w:val="21"/>
                <w:szCs w:val="21"/>
                <w:highlight w:val="none"/>
                <w:lang w:val="en-US" w:eastAsia="zh-CN" w:bidi="ar"/>
              </w:rPr>
              <w:t>8</w:t>
            </w:r>
            <w:r>
              <w:rPr>
                <w:rFonts w:hint="eastAsia" w:ascii="Times New Roman" w:hAnsi="Times New Roman" w:eastAsia="宋体" w:cs="Times New Roman"/>
                <w:b w:val="0"/>
                <w:strike w:val="0"/>
                <w:dstrike w:val="0"/>
                <w:color w:val="000000"/>
                <w:kern w:val="0"/>
                <w:sz w:val="21"/>
                <w:szCs w:val="21"/>
                <w:highlight w:val="none"/>
                <w:lang w:val="en-US" w:eastAsia="zh-CN" w:bidi="ar"/>
              </w:rPr>
              <w:t>分；</w:t>
            </w:r>
          </w:p>
          <w:p w14:paraId="06EDA4C9">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思路较明确、创新、新颖的得</w:t>
            </w:r>
            <w:r>
              <w:rPr>
                <w:rFonts w:hint="eastAsia" w:cs="Times New Roman"/>
                <w:strike w:val="0"/>
                <w:dstrike w:val="0"/>
                <w:color w:val="000000"/>
                <w:kern w:val="0"/>
                <w:sz w:val="21"/>
                <w:szCs w:val="21"/>
                <w:highlight w:val="none"/>
                <w:lang w:val="en-US" w:eastAsia="zh-CN" w:bidi="ar"/>
              </w:rPr>
              <w:t>5</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07D9BC9C">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思路创新、新颖一般的得</w:t>
            </w:r>
            <w:r>
              <w:rPr>
                <w:rFonts w:hint="eastAsia" w:cs="Times New Roman"/>
                <w:strike w:val="0"/>
                <w:dstrike w:val="0"/>
                <w:color w:val="000000"/>
                <w:kern w:val="0"/>
                <w:sz w:val="21"/>
                <w:szCs w:val="21"/>
                <w:highlight w:val="none"/>
                <w:lang w:val="en-US" w:eastAsia="zh-CN" w:bidi="ar"/>
              </w:rPr>
              <w:t>1</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57598158">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highlight w:val="none"/>
                <w:lang w:val="en-US" w:eastAsia="zh-CN"/>
              </w:rPr>
            </w:pPr>
            <w:r>
              <w:rPr>
                <w:rFonts w:hint="eastAsia" w:ascii="Times New Roman" w:hAnsi="Times New Roman" w:eastAsia="宋体" w:cs="Times New Roman"/>
                <w:strike w:val="0"/>
                <w:dstrike w:val="0"/>
                <w:color w:val="000000"/>
                <w:kern w:val="0"/>
                <w:sz w:val="21"/>
                <w:szCs w:val="21"/>
                <w:highlight w:val="none"/>
                <w:lang w:val="en-US" w:eastAsia="zh-CN" w:bidi="ar"/>
              </w:rPr>
              <w:t>未提供方案不得分。</w:t>
            </w:r>
          </w:p>
        </w:tc>
      </w:tr>
      <w:tr w14:paraId="6041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45CB6CBB">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1445E5B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623AF2F0">
            <w:pPr>
              <w:keepNext w:val="0"/>
              <w:keepLines w:val="0"/>
              <w:pageBreakBefore w:val="0"/>
              <w:kinsoku/>
              <w:wordWrap/>
              <w:overflowPunct/>
              <w:topLinePunct w:val="0"/>
              <w:autoSpaceDE/>
              <w:autoSpaceDN/>
              <w:bidi w:val="0"/>
              <w:adjustRightInd/>
              <w:snapToGrid/>
              <w:spacing w:before="40" w:after="40" w:line="240" w:lineRule="auto"/>
              <w:ind w:left="0" w:right="0" w:firstLine="0" w:firstLineChars="0"/>
              <w:jc w:val="both"/>
              <w:textAlignment w:val="auto"/>
              <w:rPr>
                <w:rFonts w:hint="default"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(3)</w:t>
            </w:r>
            <w:r>
              <w:rPr>
                <w:rFonts w:hint="eastAsia" w:ascii="Times New Roman" w:hAnsi="Times New Roman" w:eastAsia="宋体" w:cs="Times New Roman"/>
                <w:color w:val="000000"/>
                <w:kern w:val="0"/>
                <w:sz w:val="21"/>
                <w:szCs w:val="21"/>
                <w:highlight w:val="none"/>
                <w:lang w:val="en-US" w:eastAsia="zh-CN" w:bidi="ar"/>
              </w:rPr>
              <w:t>根据投标人提供</w:t>
            </w:r>
            <w:r>
              <w:rPr>
                <w:rFonts w:hint="eastAsia"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，包括但不限于施工图纸</w:t>
            </w:r>
            <w:r>
              <w:rPr>
                <w:rFonts w:hint="eastAsia" w:cs="Times New Roman"/>
                <w:color w:val="000000"/>
                <w:kern w:val="0"/>
                <w:sz w:val="21"/>
                <w:szCs w:val="21"/>
                <w:highlight w:val="none"/>
                <w:lang w:val="en-US" w:eastAsia="zh-CN" w:bidi="ar"/>
              </w:rPr>
              <w:t>内容</w:t>
            </w:r>
            <w:r>
              <w:rPr>
                <w:rFonts w:hint="eastAsia" w:ascii="Times New Roman" w:hAnsi="Times New Roman" w:eastAsia="宋体" w:cs="Times New Roman"/>
                <w:color w:val="000000"/>
                <w:kern w:val="0"/>
                <w:sz w:val="21"/>
                <w:szCs w:val="21"/>
                <w:highlight w:val="none"/>
                <w:lang w:val="en-US" w:eastAsia="zh-CN" w:bidi="ar"/>
              </w:rPr>
              <w:t>的范围、深度及质量等。</w:t>
            </w:r>
          </w:p>
          <w:p w14:paraId="6B5BCD87">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的范围、深度及质量好的得</w:t>
            </w:r>
            <w:r>
              <w:rPr>
                <w:rFonts w:hint="eastAsia" w:cs="Times New Roman"/>
                <w:color w:val="000000"/>
                <w:kern w:val="0"/>
                <w:sz w:val="21"/>
                <w:szCs w:val="21"/>
                <w:highlight w:val="none"/>
                <w:lang w:val="en-US" w:eastAsia="zh-CN" w:bidi="ar"/>
              </w:rPr>
              <w:t>5</w:t>
            </w:r>
            <w:r>
              <w:rPr>
                <w:rFonts w:hint="eastAsia" w:ascii="Times New Roman" w:hAnsi="Times New Roman" w:eastAsia="宋体" w:cs="Times New Roman"/>
                <w:color w:val="000000"/>
                <w:kern w:val="0"/>
                <w:sz w:val="21"/>
                <w:szCs w:val="21"/>
                <w:highlight w:val="none"/>
                <w:lang w:val="en-US" w:eastAsia="zh-CN" w:bidi="ar"/>
              </w:rPr>
              <w:t>分；</w:t>
            </w:r>
          </w:p>
          <w:p w14:paraId="255C6937">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的范围、深度及质量较好的得</w:t>
            </w:r>
            <w:r>
              <w:rPr>
                <w:rFonts w:hint="eastAsia" w:cs="Times New Roman"/>
                <w:color w:val="000000"/>
                <w:kern w:val="0"/>
                <w:sz w:val="21"/>
                <w:szCs w:val="21"/>
                <w:highlight w:val="none"/>
                <w:lang w:val="en-US" w:eastAsia="zh-CN" w:bidi="ar"/>
              </w:rPr>
              <w:t>3</w:t>
            </w:r>
            <w:r>
              <w:rPr>
                <w:rFonts w:hint="eastAsia" w:ascii="Times New Roman" w:hAnsi="Times New Roman" w:eastAsia="宋体" w:cs="Times New Roman"/>
                <w:color w:val="000000"/>
                <w:kern w:val="0"/>
                <w:sz w:val="21"/>
                <w:szCs w:val="21"/>
                <w:highlight w:val="none"/>
                <w:lang w:val="en-US" w:eastAsia="zh-CN" w:bidi="ar"/>
              </w:rPr>
              <w:t>分；</w:t>
            </w:r>
          </w:p>
          <w:p w14:paraId="3B841921">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的范围、深度及质量一般的得</w:t>
            </w:r>
            <w:r>
              <w:rPr>
                <w:rFonts w:hint="eastAsia"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val="en-US" w:eastAsia="zh-CN" w:bidi="ar"/>
              </w:rPr>
              <w:t>分；</w:t>
            </w:r>
          </w:p>
          <w:p w14:paraId="6870B628">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highlight w:val="none"/>
                <w:lang w:val="en-US" w:eastAsia="zh-CN"/>
              </w:rPr>
            </w:pPr>
            <w:r>
              <w:rPr>
                <w:rFonts w:hint="eastAsia" w:ascii="Times New Roman" w:hAnsi="Times New Roman" w:eastAsia="宋体" w:cs="Times New Roman"/>
                <w:b w:val="0"/>
                <w:color w:val="000000"/>
                <w:kern w:val="0"/>
                <w:sz w:val="21"/>
                <w:szCs w:val="21"/>
                <w:highlight w:val="none"/>
                <w:lang w:val="en-US" w:eastAsia="zh-CN" w:bidi="ar"/>
              </w:rPr>
              <w:t>未提供</w:t>
            </w:r>
            <w:r>
              <w:rPr>
                <w:rFonts w:hint="eastAsia" w:cs="Times New Roman"/>
                <w:b w:val="0"/>
                <w:color w:val="000000"/>
                <w:kern w:val="0"/>
                <w:sz w:val="21"/>
                <w:szCs w:val="21"/>
                <w:highlight w:val="none"/>
                <w:lang w:val="en-US" w:eastAsia="zh-CN" w:bidi="ar"/>
              </w:rPr>
              <w:t>方案</w:t>
            </w:r>
            <w:r>
              <w:rPr>
                <w:rFonts w:hint="eastAsia" w:ascii="Times New Roman" w:hAnsi="Times New Roman" w:eastAsia="宋体" w:cs="Times New Roman"/>
                <w:b w:val="0"/>
                <w:color w:val="000000"/>
                <w:kern w:val="0"/>
                <w:sz w:val="21"/>
                <w:szCs w:val="21"/>
                <w:highlight w:val="none"/>
                <w:lang w:val="en-US" w:eastAsia="zh-CN" w:bidi="ar"/>
              </w:rPr>
              <w:t>的不得分。</w:t>
            </w:r>
          </w:p>
        </w:tc>
      </w:tr>
      <w:tr w14:paraId="6D76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11860FB2">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068C81E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3E52D02E">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val="en-US" w:eastAsia="zh-CN" w:bidi="ar"/>
              </w:rPr>
            </w:pPr>
            <w:r>
              <w:rPr>
                <w:rFonts w:hint="eastAsia" w:cs="Times New Roman"/>
                <w:b w:val="0"/>
                <w:color w:val="000000"/>
                <w:kern w:val="0"/>
                <w:sz w:val="21"/>
                <w:szCs w:val="21"/>
                <w:highlight w:val="none"/>
                <w:lang w:val="en-US" w:eastAsia="zh-CN" w:bidi="ar"/>
              </w:rPr>
              <w:t>（4）</w:t>
            </w:r>
            <w:r>
              <w:rPr>
                <w:rFonts w:hint="eastAsia" w:ascii="Times New Roman" w:hAnsi="Times New Roman" w:eastAsia="宋体" w:cs="Times New Roman"/>
                <w:strike w:val="0"/>
                <w:dstrike w:val="0"/>
                <w:color w:val="000000"/>
                <w:kern w:val="0"/>
                <w:sz w:val="21"/>
                <w:szCs w:val="21"/>
                <w:highlight w:val="none"/>
                <w:lang w:eastAsia="zh-CN" w:bidi="ar"/>
              </w:rPr>
              <w:t>根据投标人</w:t>
            </w:r>
            <w:r>
              <w:rPr>
                <w:rFonts w:hint="eastAsia" w:ascii="Times New Roman" w:hAnsi="Times New Roman" w:eastAsia="宋体" w:cs="Times New Roman"/>
                <w:strike w:val="0"/>
                <w:dstrike w:val="0"/>
                <w:color w:val="000000"/>
                <w:kern w:val="0"/>
                <w:sz w:val="21"/>
                <w:szCs w:val="21"/>
                <w:highlight w:val="none"/>
                <w:lang w:val="en-US" w:eastAsia="zh-CN" w:bidi="ar"/>
              </w:rPr>
              <w:t>提供的装修布展</w:t>
            </w:r>
            <w:r>
              <w:rPr>
                <w:rFonts w:hint="eastAsia" w:cs="Times New Roman"/>
                <w:strike w:val="0"/>
                <w:dstrike w:val="0"/>
                <w:color w:val="000000"/>
                <w:kern w:val="0"/>
                <w:sz w:val="21"/>
                <w:szCs w:val="21"/>
                <w:highlight w:val="none"/>
                <w:lang w:val="en-US" w:eastAsia="zh-CN" w:bidi="ar"/>
              </w:rPr>
              <w:t>合理化建议</w:t>
            </w:r>
            <w:r>
              <w:rPr>
                <w:rFonts w:hint="eastAsia" w:ascii="Times New Roman" w:hAnsi="Times New Roman" w:eastAsia="宋体" w:cs="Times New Roman"/>
                <w:strike w:val="0"/>
                <w:dstrike w:val="0"/>
                <w:color w:val="000000"/>
                <w:kern w:val="0"/>
                <w:sz w:val="21"/>
                <w:szCs w:val="21"/>
                <w:highlight w:val="none"/>
                <w:lang w:val="en-US" w:eastAsia="zh-CN" w:bidi="ar"/>
              </w:rPr>
              <w:t>方案，包括但不限于对本项目装修布展</w:t>
            </w:r>
            <w:r>
              <w:rPr>
                <w:rFonts w:hint="eastAsia" w:cs="Times New Roman"/>
                <w:strike w:val="0"/>
                <w:dstrike w:val="0"/>
                <w:color w:val="000000"/>
                <w:kern w:val="0"/>
                <w:sz w:val="21"/>
                <w:szCs w:val="21"/>
                <w:highlight w:val="none"/>
                <w:lang w:val="en-US" w:eastAsia="zh-CN" w:bidi="ar"/>
              </w:rPr>
              <w:t>实施方案的合理性、可操性、实用性、创新性等</w:t>
            </w:r>
            <w:r>
              <w:rPr>
                <w:rFonts w:hint="eastAsia" w:ascii="Times New Roman" w:hAnsi="Times New Roman" w:eastAsia="宋体" w:cs="Times New Roman"/>
                <w:strike w:val="0"/>
                <w:dstrike w:val="0"/>
                <w:color w:val="000000"/>
                <w:kern w:val="0"/>
                <w:sz w:val="21"/>
                <w:szCs w:val="21"/>
                <w:highlight w:val="none"/>
                <w:lang w:val="en-US" w:eastAsia="zh-CN" w:bidi="ar"/>
              </w:rPr>
              <w:t>，是否符合本项目主要设计思路、设计创新等。</w:t>
            </w:r>
          </w:p>
          <w:p w14:paraId="0458889A">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strike w:val="0"/>
                <w:dstrike w:val="0"/>
                <w:color w:val="000000"/>
                <w:kern w:val="0"/>
                <w:sz w:val="21"/>
                <w:szCs w:val="21"/>
                <w:highlight w:val="none"/>
                <w:lang w:val="en-US"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方案思路明确、创新、新颖的得</w:t>
            </w:r>
            <w:r>
              <w:rPr>
                <w:rFonts w:hint="eastAsia" w:cs="Times New Roman"/>
                <w:b w:val="0"/>
                <w:strike w:val="0"/>
                <w:dstrike w:val="0"/>
                <w:color w:val="000000"/>
                <w:kern w:val="0"/>
                <w:sz w:val="21"/>
                <w:szCs w:val="21"/>
                <w:highlight w:val="none"/>
                <w:lang w:val="en-US" w:eastAsia="zh-CN" w:bidi="ar"/>
              </w:rPr>
              <w:t>6</w:t>
            </w:r>
            <w:r>
              <w:rPr>
                <w:rFonts w:hint="eastAsia" w:ascii="Times New Roman" w:hAnsi="Times New Roman" w:eastAsia="宋体" w:cs="Times New Roman"/>
                <w:b w:val="0"/>
                <w:strike w:val="0"/>
                <w:dstrike w:val="0"/>
                <w:color w:val="000000"/>
                <w:kern w:val="0"/>
                <w:sz w:val="21"/>
                <w:szCs w:val="21"/>
                <w:highlight w:val="none"/>
                <w:lang w:val="en-US" w:eastAsia="zh-CN" w:bidi="ar"/>
              </w:rPr>
              <w:t>分；</w:t>
            </w:r>
          </w:p>
          <w:p w14:paraId="6A9FD055">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思路较明确、创新、新颖的得</w:t>
            </w:r>
            <w:r>
              <w:rPr>
                <w:rFonts w:hint="eastAsia" w:cs="Times New Roman"/>
                <w:strike w:val="0"/>
                <w:dstrike w:val="0"/>
                <w:color w:val="000000"/>
                <w:kern w:val="0"/>
                <w:sz w:val="21"/>
                <w:szCs w:val="21"/>
                <w:highlight w:val="none"/>
                <w:lang w:val="en-US" w:eastAsia="zh-CN" w:bidi="ar"/>
              </w:rPr>
              <w:t>4</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3293FEE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思路创新、新颖一般的得</w:t>
            </w:r>
            <w:r>
              <w:rPr>
                <w:rFonts w:hint="eastAsia" w:cs="Times New Roman"/>
                <w:strike w:val="0"/>
                <w:dstrike w:val="0"/>
                <w:color w:val="000000"/>
                <w:kern w:val="0"/>
                <w:sz w:val="21"/>
                <w:szCs w:val="21"/>
                <w:highlight w:val="none"/>
                <w:lang w:val="en-US" w:eastAsia="zh-CN" w:bidi="ar"/>
              </w:rPr>
              <w:t>2</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318CA9C0">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strike w:val="0"/>
                <w:dstrike w:val="0"/>
                <w:color w:val="000000"/>
                <w:kern w:val="0"/>
                <w:sz w:val="21"/>
                <w:szCs w:val="21"/>
                <w:highlight w:val="none"/>
                <w:lang w:val="en-US" w:eastAsia="zh-CN" w:bidi="ar"/>
              </w:rPr>
              <w:t>未提供方案不得分。</w:t>
            </w:r>
          </w:p>
        </w:tc>
      </w:tr>
      <w:tr w14:paraId="4DF9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6E7ED79A">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2822ABDB">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63A55FDC">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val="en-US" w:eastAsia="zh-CN" w:bidi="ar"/>
              </w:rPr>
            </w:pPr>
            <w:r>
              <w:rPr>
                <w:rFonts w:hint="eastAsia" w:cs="Times New Roman"/>
                <w:color w:val="000000"/>
                <w:sz w:val="21"/>
                <w:szCs w:val="21"/>
                <w:highlight w:val="none"/>
                <w:lang w:eastAsia="zh-CN"/>
              </w:rPr>
              <w:t>（</w:t>
            </w:r>
            <w:r>
              <w:rPr>
                <w:rFonts w:hint="eastAsia" w:cs="Times New Roman"/>
                <w:color w:val="000000"/>
                <w:sz w:val="21"/>
                <w:szCs w:val="21"/>
                <w:highlight w:val="none"/>
                <w:lang w:val="en-US" w:eastAsia="zh-CN"/>
              </w:rPr>
              <w:t>5）</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strike w:val="0"/>
                <w:dstrike w:val="0"/>
                <w:color w:val="000000"/>
                <w:kern w:val="0"/>
                <w:sz w:val="21"/>
                <w:szCs w:val="21"/>
                <w:highlight w:val="none"/>
                <w:lang w:val="en-US" w:eastAsia="zh-CN" w:bidi="ar"/>
              </w:rPr>
              <w:t>提供的</w:t>
            </w:r>
            <w:r>
              <w:rPr>
                <w:rFonts w:hint="eastAsia" w:cs="Times New Roman"/>
                <w:strike w:val="0"/>
                <w:dstrike w:val="0"/>
                <w:color w:val="000000"/>
                <w:kern w:val="0"/>
                <w:sz w:val="21"/>
                <w:szCs w:val="21"/>
                <w:highlight w:val="none"/>
                <w:lang w:val="en-US" w:eastAsia="zh-CN" w:bidi="ar"/>
              </w:rPr>
              <w:t>设备装置合理化建议</w:t>
            </w:r>
            <w:r>
              <w:rPr>
                <w:rFonts w:hint="eastAsia" w:ascii="Times New Roman" w:hAnsi="Times New Roman" w:eastAsia="宋体" w:cs="Times New Roman"/>
                <w:strike w:val="0"/>
                <w:dstrike w:val="0"/>
                <w:color w:val="000000"/>
                <w:kern w:val="0"/>
                <w:sz w:val="21"/>
                <w:szCs w:val="21"/>
                <w:highlight w:val="none"/>
                <w:lang w:val="en-US" w:eastAsia="zh-CN" w:bidi="ar"/>
              </w:rPr>
              <w:t>方案，包括但不限于对本项目</w:t>
            </w:r>
            <w:r>
              <w:rPr>
                <w:rFonts w:hint="eastAsia" w:cs="Times New Roman"/>
                <w:strike w:val="0"/>
                <w:dstrike w:val="0"/>
                <w:color w:val="000000"/>
                <w:kern w:val="0"/>
                <w:sz w:val="21"/>
                <w:szCs w:val="21"/>
                <w:highlight w:val="none"/>
                <w:lang w:val="en-US" w:eastAsia="zh-CN" w:bidi="ar"/>
              </w:rPr>
              <w:t>设备装置实施方案的合理性、可操性、实用性、创新性等</w:t>
            </w:r>
            <w:r>
              <w:rPr>
                <w:rFonts w:hint="eastAsia" w:ascii="Times New Roman" w:hAnsi="Times New Roman" w:eastAsia="宋体" w:cs="Times New Roman"/>
                <w:strike w:val="0"/>
                <w:dstrike w:val="0"/>
                <w:color w:val="000000"/>
                <w:kern w:val="0"/>
                <w:sz w:val="21"/>
                <w:szCs w:val="21"/>
                <w:highlight w:val="none"/>
                <w:lang w:val="en-US" w:eastAsia="zh-CN" w:bidi="ar"/>
              </w:rPr>
              <w:t>，是否符合本项目主要设计思路、设计创新等。</w:t>
            </w:r>
          </w:p>
          <w:p w14:paraId="6B8788FC">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strike w:val="0"/>
                <w:dstrike w:val="0"/>
                <w:color w:val="000000"/>
                <w:kern w:val="0"/>
                <w:sz w:val="21"/>
                <w:szCs w:val="21"/>
                <w:highlight w:val="none"/>
                <w:lang w:val="en-US"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方案思路明确、创新、新颖的得</w:t>
            </w:r>
            <w:r>
              <w:rPr>
                <w:rFonts w:hint="eastAsia" w:cs="Times New Roman"/>
                <w:b w:val="0"/>
                <w:strike w:val="0"/>
                <w:dstrike w:val="0"/>
                <w:color w:val="000000"/>
                <w:kern w:val="0"/>
                <w:sz w:val="21"/>
                <w:szCs w:val="21"/>
                <w:highlight w:val="none"/>
                <w:lang w:val="en-US" w:eastAsia="zh-CN" w:bidi="ar"/>
              </w:rPr>
              <w:t>5</w:t>
            </w:r>
            <w:r>
              <w:rPr>
                <w:rFonts w:hint="eastAsia" w:ascii="Times New Roman" w:hAnsi="Times New Roman" w:eastAsia="宋体" w:cs="Times New Roman"/>
                <w:b w:val="0"/>
                <w:strike w:val="0"/>
                <w:dstrike w:val="0"/>
                <w:color w:val="000000"/>
                <w:kern w:val="0"/>
                <w:sz w:val="21"/>
                <w:szCs w:val="21"/>
                <w:highlight w:val="none"/>
                <w:lang w:val="en-US" w:eastAsia="zh-CN" w:bidi="ar"/>
              </w:rPr>
              <w:t>分；</w:t>
            </w:r>
          </w:p>
          <w:p w14:paraId="12F48F11">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思路较明确、创新、新颖的得</w:t>
            </w:r>
            <w:r>
              <w:rPr>
                <w:rFonts w:hint="eastAsia" w:cs="Times New Roman"/>
                <w:strike w:val="0"/>
                <w:dstrike w:val="0"/>
                <w:color w:val="000000"/>
                <w:kern w:val="0"/>
                <w:sz w:val="21"/>
                <w:szCs w:val="21"/>
                <w:highlight w:val="none"/>
                <w:lang w:val="en-US" w:eastAsia="zh-CN" w:bidi="ar"/>
              </w:rPr>
              <w:t>3</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28531A45">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思路创新、新颖一般的得</w:t>
            </w:r>
            <w:r>
              <w:rPr>
                <w:rFonts w:hint="eastAsia" w:cs="Times New Roman"/>
                <w:strike w:val="0"/>
                <w:dstrike w:val="0"/>
                <w:color w:val="000000"/>
                <w:kern w:val="0"/>
                <w:sz w:val="21"/>
                <w:szCs w:val="21"/>
                <w:highlight w:val="none"/>
                <w:lang w:val="en-US" w:eastAsia="zh-CN" w:bidi="ar"/>
              </w:rPr>
              <w:t>1</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7E2827B2">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ascii="Times New Roman" w:hAnsi="Times New Roman" w:eastAsia="宋体" w:cs="Times New Roman"/>
                <w:strike w:val="0"/>
                <w:dstrike w:val="0"/>
                <w:color w:val="000000"/>
                <w:kern w:val="0"/>
                <w:sz w:val="21"/>
                <w:szCs w:val="21"/>
                <w:highlight w:val="none"/>
                <w:lang w:val="en-US" w:eastAsia="zh-CN" w:bidi="ar"/>
              </w:rPr>
              <w:t>未提供方案不得分。</w:t>
            </w:r>
          </w:p>
        </w:tc>
      </w:tr>
      <w:tr w14:paraId="79F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7" w:type="dxa"/>
            <w:vMerge w:val="continue"/>
            <w:vAlign w:val="center"/>
          </w:tcPr>
          <w:p w14:paraId="4DF870DD">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29E21DD2">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72EEBC0A">
            <w:pPr>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6</w:t>
            </w:r>
            <w:r>
              <w:rPr>
                <w:rFonts w:hint="eastAsia"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eastAsia="zh-CN" w:bidi="ar"/>
              </w:rPr>
              <w:t>根据投标人</w:t>
            </w:r>
            <w:r>
              <w:rPr>
                <w:rFonts w:hint="eastAsia" w:ascii="Times New Roman" w:hAnsi="Times New Roman" w:eastAsia="宋体" w:cs="Times New Roman"/>
                <w:color w:val="000000"/>
                <w:kern w:val="0"/>
                <w:sz w:val="21"/>
                <w:szCs w:val="21"/>
                <w:highlight w:val="none"/>
                <w:lang w:bidi="ar"/>
              </w:rPr>
              <w:t>提供的</w:t>
            </w: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w:t>
            </w:r>
          </w:p>
          <w:p w14:paraId="0A74016E">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好的得5分；</w:t>
            </w:r>
          </w:p>
          <w:p w14:paraId="5A6DBC6E">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较好的得3分；</w:t>
            </w:r>
          </w:p>
          <w:p w14:paraId="0DDE0142">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一般的得1分；</w:t>
            </w:r>
          </w:p>
          <w:p w14:paraId="77F49331">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b/>
                <w:bCs/>
                <w:color w:val="auto"/>
                <w:kern w:val="2"/>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未提供方案不得分。</w:t>
            </w:r>
          </w:p>
        </w:tc>
      </w:tr>
      <w:tr w14:paraId="35DB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322C1476">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6A829958">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231072C4">
            <w:pPr>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w:t>
            </w:r>
            <w:r>
              <w:rPr>
                <w:rFonts w:hint="eastAsia" w:cs="Times New Roman"/>
                <w:color w:val="000000"/>
                <w:sz w:val="21"/>
                <w:szCs w:val="21"/>
                <w:highlight w:val="none"/>
                <w:lang w:val="en-US" w:eastAsia="zh-CN"/>
              </w:rPr>
              <w:t>7</w:t>
            </w: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kern w:val="0"/>
                <w:sz w:val="21"/>
                <w:szCs w:val="21"/>
                <w:highlight w:val="none"/>
                <w:lang w:val="en-US" w:eastAsia="zh-CN" w:bidi="ar"/>
              </w:rPr>
              <w:t>根据投标人提供的安全、文明及环保施工，是否有相关的制度及措施，内容是否全面、到位等。</w:t>
            </w:r>
          </w:p>
          <w:p w14:paraId="46E2A517">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安全、文明及环保施工等制度及措施内容全面、到位的得5分；</w:t>
            </w:r>
          </w:p>
          <w:p w14:paraId="180390CB">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安全、文明及环保施工等制度及措施内容较全面、到位的得3分；</w:t>
            </w:r>
          </w:p>
          <w:p w14:paraId="7575895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安全、文明及环保施工等制度及措施内容</w:t>
            </w:r>
            <w:r>
              <w:rPr>
                <w:rFonts w:hint="eastAsia" w:ascii="Times New Roman" w:hAnsi="Times New Roman" w:eastAsia="宋体" w:cs="Times New Roman"/>
                <w:b w:val="0"/>
                <w:color w:val="000000"/>
                <w:kern w:val="0"/>
                <w:sz w:val="21"/>
                <w:szCs w:val="21"/>
                <w:highlight w:val="none"/>
                <w:lang w:val="en-US" w:eastAsia="zh-CN" w:bidi="ar"/>
              </w:rPr>
              <w:t>一般</w:t>
            </w:r>
            <w:r>
              <w:rPr>
                <w:rFonts w:hint="eastAsia" w:ascii="Times New Roman" w:hAnsi="Times New Roman" w:eastAsia="宋体" w:cs="Times New Roman"/>
                <w:color w:val="000000"/>
                <w:kern w:val="0"/>
                <w:szCs w:val="21"/>
                <w:highlight w:val="none"/>
                <w:lang w:val="en-US" w:eastAsia="zh-CN" w:bidi="ar"/>
              </w:rPr>
              <w:t>的得</w:t>
            </w:r>
            <w:r>
              <w:rPr>
                <w:rFonts w:hint="eastAsia" w:ascii="Times New Roman" w:hAnsi="Times New Roman" w:eastAsia="宋体" w:cs="Times New Roman"/>
                <w:b w:val="0"/>
                <w:color w:val="000000"/>
                <w:kern w:val="0"/>
                <w:sz w:val="21"/>
                <w:szCs w:val="21"/>
                <w:highlight w:val="none"/>
                <w:lang w:val="en-US" w:eastAsia="zh-CN" w:bidi="ar"/>
              </w:rPr>
              <w:t>1分；</w:t>
            </w:r>
          </w:p>
          <w:p w14:paraId="5AE17E41">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highlight w:val="none"/>
                <w:lang w:val="en-US" w:eastAsia="zh-CN"/>
              </w:rPr>
            </w:pPr>
            <w:r>
              <w:rPr>
                <w:rFonts w:hint="eastAsia" w:ascii="Times New Roman" w:hAnsi="Times New Roman" w:eastAsia="宋体" w:cs="Times New Roman"/>
                <w:color w:val="000000"/>
                <w:kern w:val="0"/>
                <w:sz w:val="21"/>
                <w:szCs w:val="21"/>
                <w:highlight w:val="none"/>
                <w:lang w:val="en-US" w:eastAsia="zh-CN" w:bidi="ar"/>
              </w:rPr>
              <w:t>未提供方案不得分。</w:t>
            </w:r>
          </w:p>
        </w:tc>
      </w:tr>
      <w:tr w14:paraId="214A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1856CF88">
            <w:pPr>
              <w:spacing w:line="400" w:lineRule="exact"/>
              <w:jc w:val="center"/>
              <w:rPr>
                <w:rFonts w:hint="eastAsia" w:ascii="Times New Roman" w:hAnsi="Times New Roman" w:cs="Times New Roman"/>
                <w:color w:val="auto"/>
                <w:szCs w:val="21"/>
                <w:highlight w:val="none"/>
              </w:rPr>
            </w:pPr>
          </w:p>
        </w:tc>
        <w:tc>
          <w:tcPr>
            <w:tcW w:w="1352" w:type="dxa"/>
            <w:vMerge w:val="restart"/>
            <w:shd w:val="clear" w:color="auto" w:fill="auto"/>
            <w:noWrap/>
            <w:vAlign w:val="center"/>
          </w:tcPr>
          <w:p w14:paraId="4D19318C">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养护</w:t>
            </w:r>
          </w:p>
          <w:p w14:paraId="7A0D2784">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方案</w:t>
            </w:r>
          </w:p>
          <w:p w14:paraId="6D6C8B62">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000000"/>
                <w:kern w:val="0"/>
                <w:sz w:val="21"/>
                <w:szCs w:val="21"/>
                <w:highlight w:val="none"/>
                <w:lang w:val="en-US" w:eastAsia="zh-CN" w:bidi="ar"/>
              </w:rPr>
              <w:t>（10分）</w:t>
            </w:r>
          </w:p>
        </w:tc>
        <w:tc>
          <w:tcPr>
            <w:tcW w:w="6345" w:type="dxa"/>
            <w:shd w:val="clear" w:color="auto" w:fill="auto"/>
            <w:noWrap/>
            <w:vAlign w:val="center"/>
          </w:tcPr>
          <w:p w14:paraId="366A15AB">
            <w:pPr>
              <w:keepNext w:val="0"/>
              <w:keepLines w:val="0"/>
              <w:pageBreakBefore w:val="0"/>
              <w:kinsoku/>
              <w:wordWrap/>
              <w:overflowPunct/>
              <w:topLinePunct w:val="0"/>
              <w:autoSpaceDE/>
              <w:autoSpaceDN/>
              <w:bidi w:val="0"/>
              <w:adjustRightInd/>
              <w:snapToGrid/>
              <w:spacing w:before="40" w:after="40" w:line="240" w:lineRule="auto"/>
              <w:ind w:left="0" w:right="0" w:firstLine="0" w:firstLineChars="0"/>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绿化</w:t>
            </w:r>
            <w:r>
              <w:rPr>
                <w:rFonts w:hint="eastAsia" w:ascii="Times New Roman" w:hAnsi="Times New Roman" w:eastAsia="宋体" w:cs="Times New Roman"/>
                <w:color w:val="auto"/>
                <w:kern w:val="0"/>
                <w:sz w:val="21"/>
                <w:szCs w:val="21"/>
                <w:highlight w:val="none"/>
                <w:lang w:val="en-US" w:eastAsia="zh-CN" w:bidi="ar"/>
              </w:rPr>
              <w:t>养护计划方案，包括但不限于是否明确养护目标、养护管理方案、养护技术等情况，由评标委员会进行综合打分。</w:t>
            </w:r>
          </w:p>
          <w:p w14:paraId="284080B2">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养护目标明确、养护管理方案全面、养护技术先进的得5分；</w:t>
            </w:r>
          </w:p>
          <w:p w14:paraId="7FB8F4D5">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养护目标较明确、养护管理方案较全面、养护技术较先进的得3分；</w:t>
            </w:r>
          </w:p>
          <w:p w14:paraId="7CB67F9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养护目标、养护管理方案、养护技术一般的得1分；</w:t>
            </w:r>
          </w:p>
          <w:p w14:paraId="408F85B5">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未提供方案不得分。</w:t>
            </w:r>
          </w:p>
        </w:tc>
      </w:tr>
      <w:tr w14:paraId="4ED1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07" w:type="dxa"/>
            <w:vMerge w:val="continue"/>
            <w:vAlign w:val="center"/>
          </w:tcPr>
          <w:p w14:paraId="259CCE98">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70802CEF">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2AE28C61">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绿化</w:t>
            </w:r>
            <w:r>
              <w:rPr>
                <w:rFonts w:hint="eastAsia" w:ascii="Times New Roman" w:hAnsi="Times New Roman" w:eastAsia="宋体" w:cs="Times New Roman"/>
                <w:color w:val="auto"/>
                <w:kern w:val="2"/>
                <w:sz w:val="21"/>
                <w:szCs w:val="21"/>
                <w:highlight w:val="none"/>
                <w:lang w:val="en-US" w:eastAsia="zh-CN" w:bidi="ar-SA"/>
              </w:rPr>
              <w:t>养护保障方案，包括但不限于养护物资准备情况、对养护设施的定期巡检和日常维护、</w:t>
            </w:r>
            <w:r>
              <w:rPr>
                <w:rFonts w:hint="eastAsia" w:ascii="Times New Roman" w:hAnsi="Times New Roman" w:eastAsia="宋体" w:cs="Times New Roman"/>
                <w:color w:val="auto"/>
                <w:kern w:val="0"/>
                <w:sz w:val="21"/>
                <w:szCs w:val="21"/>
                <w:highlight w:val="none"/>
                <w:lang w:val="en-US" w:eastAsia="zh-CN" w:bidi="ar"/>
              </w:rPr>
              <w:t>病虫害防控、环境整洁等情况</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
              </w:rPr>
              <w:t>由评标委员会进行综合打分。</w:t>
            </w:r>
          </w:p>
          <w:p w14:paraId="6E8BDEEE">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养护物资准备情况、对养护设施的定期巡检和日常维护、病虫害防控、环境整洁等情况好的得5分；</w:t>
            </w:r>
          </w:p>
          <w:p w14:paraId="49424E3A">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auto"/>
                <w:kern w:val="0"/>
                <w:sz w:val="21"/>
                <w:szCs w:val="21"/>
                <w:highlight w:val="none"/>
                <w:lang w:val="en-US" w:eastAsia="zh-CN" w:bidi="ar"/>
              </w:rPr>
            </w:pPr>
            <w:r>
              <w:rPr>
                <w:rFonts w:hint="eastAsia" w:ascii="Times New Roman" w:hAnsi="Times New Roman" w:eastAsia="宋体" w:cs="Times New Roman"/>
                <w:b w:val="0"/>
                <w:color w:val="auto"/>
                <w:kern w:val="0"/>
                <w:sz w:val="21"/>
                <w:szCs w:val="21"/>
                <w:highlight w:val="none"/>
                <w:lang w:val="en-US" w:eastAsia="zh-CN" w:bidi="ar"/>
              </w:rPr>
              <w:t>养护物资准备情况、对养护设施的定期巡检和日常维护、病虫害防控、环境整洁等情况较好的得3分；</w:t>
            </w:r>
          </w:p>
          <w:p w14:paraId="2DFFD4C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auto"/>
                <w:kern w:val="0"/>
                <w:sz w:val="21"/>
                <w:szCs w:val="21"/>
                <w:highlight w:val="none"/>
                <w:lang w:val="en-US" w:eastAsia="zh-CN" w:bidi="ar"/>
              </w:rPr>
            </w:pPr>
            <w:r>
              <w:rPr>
                <w:rFonts w:hint="eastAsia" w:ascii="Times New Roman" w:hAnsi="Times New Roman" w:eastAsia="宋体" w:cs="Times New Roman"/>
                <w:b w:val="0"/>
                <w:color w:val="auto"/>
                <w:kern w:val="0"/>
                <w:sz w:val="21"/>
                <w:szCs w:val="21"/>
                <w:highlight w:val="none"/>
                <w:lang w:val="en-US" w:eastAsia="zh-CN" w:bidi="ar"/>
              </w:rPr>
              <w:t>养护物资准备情况、对养护设施的定期巡检和日常维护、病虫害防控、环境整洁等情况一般的得1分；</w:t>
            </w:r>
          </w:p>
          <w:p w14:paraId="03764465">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color w:val="auto"/>
                <w:kern w:val="0"/>
                <w:sz w:val="21"/>
                <w:szCs w:val="21"/>
                <w:highlight w:val="none"/>
                <w:lang w:val="en-US" w:eastAsia="zh-CN" w:bidi="ar"/>
              </w:rPr>
              <w:t>未提供方案不得分。</w:t>
            </w:r>
          </w:p>
        </w:tc>
      </w:tr>
      <w:tr w14:paraId="56EE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7E4B2393">
            <w:pPr>
              <w:spacing w:line="400" w:lineRule="exact"/>
              <w:jc w:val="center"/>
              <w:rPr>
                <w:rFonts w:hint="eastAsia" w:ascii="Times New Roman" w:hAnsi="Times New Roman" w:cs="Times New Roman"/>
                <w:color w:val="auto"/>
                <w:szCs w:val="21"/>
                <w:highlight w:val="none"/>
              </w:rPr>
            </w:pPr>
          </w:p>
        </w:tc>
        <w:tc>
          <w:tcPr>
            <w:tcW w:w="1352" w:type="dxa"/>
            <w:vMerge w:val="restart"/>
            <w:noWrap/>
            <w:vAlign w:val="center"/>
          </w:tcPr>
          <w:p w14:paraId="0326B94C">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bCs/>
                <w:color w:val="000000"/>
                <w:sz w:val="21"/>
                <w:szCs w:val="21"/>
                <w:highlight w:val="none"/>
              </w:rPr>
            </w:pPr>
            <w:r>
              <w:rPr>
                <w:rFonts w:hint="eastAsia" w:ascii="Times New Roman" w:hAnsi="Times New Roman" w:eastAsia="宋体" w:cs="Times New Roman"/>
                <w:b/>
                <w:bCs/>
                <w:color w:val="000000"/>
                <w:sz w:val="21"/>
                <w:szCs w:val="21"/>
                <w:highlight w:val="none"/>
              </w:rPr>
              <w:t>人员</w:t>
            </w:r>
          </w:p>
          <w:p w14:paraId="354A7068">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b/>
                <w:bCs/>
                <w:color w:val="000000"/>
                <w:sz w:val="21"/>
                <w:szCs w:val="21"/>
                <w:highlight w:val="none"/>
              </w:rPr>
            </w:pPr>
            <w:r>
              <w:rPr>
                <w:rFonts w:hint="eastAsia" w:ascii="Times New Roman" w:hAnsi="Times New Roman" w:eastAsia="宋体" w:cs="Times New Roman"/>
                <w:b/>
                <w:bCs/>
                <w:color w:val="000000"/>
                <w:sz w:val="21"/>
                <w:szCs w:val="21"/>
                <w:highlight w:val="none"/>
              </w:rPr>
              <w:t>配置</w:t>
            </w:r>
          </w:p>
          <w:p w14:paraId="74BAA7A4">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w:t>
            </w:r>
            <w:r>
              <w:rPr>
                <w:rFonts w:hint="eastAsia" w:ascii="Times New Roman" w:hAnsi="Times New Roman" w:cs="Times New Roman"/>
                <w:b/>
                <w:bCs/>
                <w:color w:val="000000"/>
                <w:sz w:val="21"/>
                <w:szCs w:val="21"/>
                <w:highlight w:val="none"/>
                <w:lang w:val="en-US" w:eastAsia="zh-CN"/>
              </w:rPr>
              <w:t>10分</w:t>
            </w:r>
            <w:r>
              <w:rPr>
                <w:rFonts w:hint="eastAsia" w:ascii="Times New Roman" w:hAnsi="Times New Roman" w:cs="Times New Roman"/>
                <w:b/>
                <w:bCs/>
                <w:color w:val="000000"/>
                <w:sz w:val="21"/>
                <w:szCs w:val="21"/>
                <w:highlight w:val="none"/>
                <w:lang w:eastAsia="zh-CN"/>
              </w:rPr>
              <w:t>）</w:t>
            </w:r>
          </w:p>
          <w:p w14:paraId="304205AE">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p>
        </w:tc>
        <w:tc>
          <w:tcPr>
            <w:tcW w:w="6345" w:type="dxa"/>
            <w:noWrap/>
            <w:vAlign w:val="center"/>
          </w:tcPr>
          <w:p w14:paraId="4290B594">
            <w:pPr>
              <w:keepNext w:val="0"/>
              <w:keepLines w:val="0"/>
              <w:pageBreakBefore w:val="0"/>
              <w:numPr>
                <w:ilvl w:val="0"/>
                <w:numId w:val="0"/>
              </w:numPr>
              <w:kinsoku/>
              <w:wordWrap/>
              <w:overflowPunct/>
              <w:topLinePunct w:val="0"/>
              <w:bidi w:val="0"/>
              <w:adjustRightInd/>
              <w:snapToGrid/>
              <w:spacing w:before="40" w:after="40" w:line="24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施工项目负责人具有</w:t>
            </w:r>
            <w:r>
              <w:rPr>
                <w:rFonts w:hint="eastAsia" w:ascii="宋体" w:hAnsi="宋体" w:cs="宋体"/>
                <w:color w:val="auto"/>
                <w:sz w:val="21"/>
                <w:szCs w:val="21"/>
                <w:highlight w:val="none"/>
                <w:lang w:val="en-US" w:eastAsia="zh-CN"/>
              </w:rPr>
              <w:t>建筑类或市政类或</w:t>
            </w:r>
            <w:r>
              <w:rPr>
                <w:rFonts w:hint="eastAsia" w:ascii="宋体" w:hAnsi="宋体" w:eastAsia="宋体" w:cs="宋体"/>
                <w:color w:val="auto"/>
                <w:sz w:val="21"/>
                <w:szCs w:val="21"/>
                <w:highlight w:val="none"/>
                <w:lang w:val="en-US" w:eastAsia="zh-CN"/>
              </w:rPr>
              <w:t>园林绿化类专业工程师职称</w:t>
            </w:r>
            <w:r>
              <w:rPr>
                <w:rFonts w:hint="eastAsia" w:ascii="宋体" w:hAnsi="宋体" w:cs="宋体"/>
                <w:color w:val="auto"/>
                <w:sz w:val="21"/>
                <w:szCs w:val="21"/>
                <w:highlight w:val="none"/>
                <w:lang w:val="en-US" w:eastAsia="zh-CN"/>
              </w:rPr>
              <w:t>的得1分，</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建筑或市政或</w:t>
            </w:r>
            <w:r>
              <w:rPr>
                <w:rFonts w:hint="eastAsia" w:ascii="宋体" w:hAnsi="宋体" w:eastAsia="宋体" w:cs="宋体"/>
                <w:color w:val="auto"/>
                <w:sz w:val="21"/>
                <w:szCs w:val="21"/>
                <w:highlight w:val="none"/>
                <w:lang w:val="en-US" w:eastAsia="zh-CN"/>
              </w:rPr>
              <w:t>园林绿化类专业</w:t>
            </w:r>
            <w:r>
              <w:rPr>
                <w:rFonts w:hint="eastAsia" w:ascii="宋体" w:hAnsi="宋体" w:cs="宋体"/>
                <w:color w:val="auto"/>
                <w:sz w:val="21"/>
                <w:szCs w:val="21"/>
                <w:highlight w:val="none"/>
                <w:lang w:val="en-US" w:eastAsia="zh-CN"/>
              </w:rPr>
              <w:t>高级</w:t>
            </w:r>
            <w:r>
              <w:rPr>
                <w:rFonts w:hint="eastAsia" w:ascii="宋体" w:hAnsi="宋体" w:eastAsia="宋体" w:cs="宋体"/>
                <w:color w:val="auto"/>
                <w:sz w:val="21"/>
                <w:szCs w:val="21"/>
                <w:highlight w:val="none"/>
                <w:lang w:val="en-US" w:eastAsia="zh-CN"/>
              </w:rPr>
              <w:t>工程师职称</w:t>
            </w:r>
            <w:r>
              <w:rPr>
                <w:rFonts w:hint="eastAsia" w:ascii="宋体" w:hAnsi="宋体" w:cs="宋体"/>
                <w:color w:val="auto"/>
                <w:sz w:val="21"/>
                <w:szCs w:val="21"/>
                <w:highlight w:val="none"/>
                <w:lang w:val="en-US" w:eastAsia="zh-CN"/>
              </w:rPr>
              <w:t>的得2分</w:t>
            </w:r>
            <w:r>
              <w:rPr>
                <w:rFonts w:hint="eastAsia" w:ascii="宋体" w:hAnsi="宋体" w:eastAsia="宋体" w:cs="宋体"/>
                <w:color w:val="auto"/>
                <w:sz w:val="21"/>
                <w:szCs w:val="21"/>
                <w:highlight w:val="none"/>
                <w:lang w:val="en-US" w:eastAsia="zh-CN"/>
              </w:rPr>
              <w:t>。</w:t>
            </w:r>
          </w:p>
          <w:p w14:paraId="32C01880">
            <w:pPr>
              <w:keepNext w:val="0"/>
              <w:keepLines w:val="0"/>
              <w:pageBreakBefore w:val="0"/>
              <w:numPr>
                <w:ilvl w:val="0"/>
                <w:numId w:val="0"/>
              </w:numPr>
              <w:kinsoku/>
              <w:wordWrap/>
              <w:overflowPunct/>
              <w:topLinePunct w:val="0"/>
              <w:bidi w:val="0"/>
              <w:adjustRightInd/>
              <w:snapToGrid/>
              <w:spacing w:before="40" w:after="40" w:line="24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施工项目技术负责人具有园林绿化类专业工程师职称</w:t>
            </w:r>
            <w:r>
              <w:rPr>
                <w:rFonts w:hint="eastAsia" w:ascii="宋体" w:hAnsi="宋体" w:cs="宋体"/>
                <w:color w:val="auto"/>
                <w:sz w:val="21"/>
                <w:szCs w:val="21"/>
                <w:highlight w:val="none"/>
                <w:lang w:val="en-US" w:eastAsia="zh-CN"/>
              </w:rPr>
              <w:t>的得1分，</w:t>
            </w:r>
            <w:r>
              <w:rPr>
                <w:rFonts w:hint="eastAsia" w:ascii="宋体" w:hAnsi="宋体" w:eastAsia="宋体" w:cs="宋体"/>
                <w:color w:val="auto"/>
                <w:sz w:val="21"/>
                <w:szCs w:val="21"/>
                <w:highlight w:val="none"/>
                <w:lang w:val="en-US" w:eastAsia="zh-CN"/>
              </w:rPr>
              <w:t>具有园林绿化类专业</w:t>
            </w:r>
            <w:r>
              <w:rPr>
                <w:rFonts w:hint="eastAsia" w:ascii="宋体" w:hAnsi="宋体" w:cs="宋体"/>
                <w:color w:val="auto"/>
                <w:sz w:val="21"/>
                <w:szCs w:val="21"/>
                <w:highlight w:val="none"/>
                <w:lang w:val="en-US" w:eastAsia="zh-CN"/>
              </w:rPr>
              <w:t>高级</w:t>
            </w:r>
            <w:r>
              <w:rPr>
                <w:rFonts w:hint="eastAsia" w:ascii="宋体" w:hAnsi="宋体" w:eastAsia="宋体" w:cs="宋体"/>
                <w:color w:val="auto"/>
                <w:sz w:val="21"/>
                <w:szCs w:val="21"/>
                <w:highlight w:val="none"/>
                <w:lang w:val="en-US" w:eastAsia="zh-CN"/>
              </w:rPr>
              <w:t>工程师职称</w:t>
            </w:r>
            <w:r>
              <w:rPr>
                <w:rFonts w:hint="eastAsia" w:ascii="宋体" w:hAnsi="宋体" w:cs="宋体"/>
                <w:color w:val="auto"/>
                <w:sz w:val="21"/>
                <w:szCs w:val="21"/>
                <w:highlight w:val="none"/>
                <w:lang w:val="en-US" w:eastAsia="zh-CN"/>
              </w:rPr>
              <w:t>的得3分</w:t>
            </w:r>
            <w:r>
              <w:rPr>
                <w:rFonts w:hint="eastAsia" w:ascii="宋体" w:hAnsi="宋体" w:eastAsia="宋体" w:cs="宋体"/>
                <w:color w:val="auto"/>
                <w:sz w:val="21"/>
                <w:szCs w:val="21"/>
                <w:highlight w:val="none"/>
                <w:lang w:val="en-US" w:eastAsia="zh-CN"/>
              </w:rPr>
              <w:t>。</w:t>
            </w:r>
          </w:p>
          <w:p w14:paraId="2D818AB3">
            <w:pPr>
              <w:keepNext w:val="0"/>
              <w:keepLines w:val="0"/>
              <w:pageBreakBefore w:val="0"/>
              <w:numPr>
                <w:ilvl w:val="0"/>
                <w:numId w:val="0"/>
              </w:numPr>
              <w:kinsoku/>
              <w:wordWrap/>
              <w:overflowPunct/>
              <w:topLinePunct w:val="0"/>
              <w:bidi w:val="0"/>
              <w:adjustRightInd/>
              <w:snapToGrid/>
              <w:spacing w:before="40" w:after="40" w:line="240" w:lineRule="auto"/>
              <w:jc w:val="both"/>
              <w:rPr>
                <w:rFonts w:hint="default" w:ascii="宋体" w:hAnsi="宋体" w:eastAsia="宋体" w:cs="宋体"/>
                <w:color w:val="auto"/>
                <w:sz w:val="21"/>
                <w:szCs w:val="21"/>
                <w:highlight w:val="none"/>
                <w:lang w:val="en-US" w:eastAsia="zh-CN"/>
              </w:rPr>
            </w:pPr>
            <w:r>
              <w:rPr>
                <w:rFonts w:hint="eastAsia" w:ascii="Times New Roman" w:hAnsi="Times New Roman" w:cs="Times New Roman"/>
                <w:color w:val="000000"/>
                <w:kern w:val="0"/>
                <w:szCs w:val="21"/>
                <w:highlight w:val="none"/>
                <w:lang w:val="en-US" w:eastAsia="zh-CN" w:bidi="ar"/>
              </w:rPr>
              <w:t>注：提供</w:t>
            </w:r>
            <w:r>
              <w:rPr>
                <w:rFonts w:hint="eastAsia" w:ascii="宋体" w:hAnsi="宋体" w:eastAsia="宋体" w:cs="宋体"/>
                <w:color w:val="auto"/>
                <w:sz w:val="21"/>
                <w:szCs w:val="21"/>
                <w:highlight w:val="none"/>
                <w:lang w:val="en-US" w:eastAsia="zh-CN"/>
              </w:rPr>
              <w:t>施工项目负责人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施工项目技术负责人</w:t>
            </w:r>
            <w:r>
              <w:rPr>
                <w:rFonts w:hint="eastAsia" w:cs="Times New Roman"/>
                <w:color w:val="000000"/>
                <w:sz w:val="21"/>
                <w:szCs w:val="21"/>
                <w:highlight w:val="none"/>
                <w:lang w:val="en-US" w:eastAsia="zh-CN"/>
              </w:rPr>
              <w:t>职称</w:t>
            </w:r>
            <w:r>
              <w:rPr>
                <w:rFonts w:hint="eastAsia" w:ascii="Times New Roman" w:hAnsi="Times New Roman" w:cs="Times New Roman"/>
                <w:color w:val="000000"/>
                <w:kern w:val="0"/>
                <w:szCs w:val="21"/>
                <w:highlight w:val="none"/>
                <w:lang w:val="en-US" w:eastAsia="zh-CN" w:bidi="ar"/>
              </w:rPr>
              <w:t>证书、社保证明。</w:t>
            </w:r>
          </w:p>
        </w:tc>
      </w:tr>
      <w:tr w14:paraId="1689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BE3243C">
            <w:pPr>
              <w:spacing w:line="400" w:lineRule="exact"/>
              <w:jc w:val="center"/>
              <w:rPr>
                <w:rFonts w:hint="eastAsia" w:ascii="Times New Roman" w:hAnsi="Times New Roman" w:cs="Times New Roman"/>
                <w:color w:val="auto"/>
                <w:szCs w:val="21"/>
                <w:highlight w:val="none"/>
              </w:rPr>
            </w:pPr>
          </w:p>
        </w:tc>
        <w:tc>
          <w:tcPr>
            <w:tcW w:w="1352" w:type="dxa"/>
            <w:vMerge w:val="continue"/>
            <w:noWrap/>
            <w:vAlign w:val="center"/>
          </w:tcPr>
          <w:p w14:paraId="127BD2DA">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p>
        </w:tc>
        <w:tc>
          <w:tcPr>
            <w:tcW w:w="6345" w:type="dxa"/>
            <w:noWrap/>
            <w:vAlign w:val="center"/>
          </w:tcPr>
          <w:p w14:paraId="6D3E2700">
            <w:pPr>
              <w:keepNext w:val="0"/>
              <w:keepLines w:val="0"/>
              <w:pageBreakBefore w:val="0"/>
              <w:kinsoku/>
              <w:wordWrap/>
              <w:overflowPunct/>
              <w:topLinePunct w:val="0"/>
              <w:autoSpaceDE/>
              <w:autoSpaceDN/>
              <w:bidi w:val="0"/>
              <w:adjustRightInd/>
              <w:snapToGrid/>
              <w:spacing w:before="40" w:after="40" w:line="240" w:lineRule="auto"/>
              <w:ind w:left="0" w:right="0"/>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除</w:t>
            </w:r>
            <w:r>
              <w:rPr>
                <w:rFonts w:hint="eastAsia" w:ascii="宋体" w:hAnsi="宋体" w:eastAsia="宋体" w:cs="宋体"/>
                <w:color w:val="auto"/>
                <w:sz w:val="21"/>
                <w:szCs w:val="21"/>
                <w:highlight w:val="none"/>
                <w:lang w:val="en-US" w:eastAsia="zh-CN"/>
              </w:rPr>
              <w:t>施工</w:t>
            </w:r>
            <w:r>
              <w:rPr>
                <w:rFonts w:hint="eastAsia" w:ascii="Times New Roman" w:hAnsi="Times New Roman" w:eastAsia="宋体" w:cs="Times New Roman"/>
                <w:color w:val="000000"/>
                <w:sz w:val="21"/>
                <w:szCs w:val="21"/>
                <w:highlight w:val="none"/>
                <w:lang w:val="en-US" w:eastAsia="zh-CN"/>
              </w:rPr>
              <w:t>项目负责人</w:t>
            </w:r>
            <w:r>
              <w:rPr>
                <w:rFonts w:hint="eastAsia" w:cs="Times New Roman"/>
                <w:color w:val="000000"/>
                <w:sz w:val="21"/>
                <w:szCs w:val="21"/>
                <w:highlight w:val="none"/>
                <w:lang w:val="en-US" w:eastAsia="zh-CN"/>
              </w:rPr>
              <w:t>、</w:t>
            </w:r>
            <w:r>
              <w:rPr>
                <w:rFonts w:hint="eastAsia" w:ascii="宋体" w:hAnsi="宋体" w:eastAsia="宋体" w:cs="宋体"/>
                <w:color w:val="auto"/>
                <w:sz w:val="21"/>
                <w:szCs w:val="21"/>
                <w:highlight w:val="none"/>
                <w:lang w:val="en-US" w:eastAsia="zh-CN"/>
              </w:rPr>
              <w:t>施工</w:t>
            </w:r>
            <w:r>
              <w:rPr>
                <w:rFonts w:hint="eastAsia" w:cs="Times New Roman"/>
                <w:color w:val="000000"/>
                <w:sz w:val="21"/>
                <w:szCs w:val="21"/>
                <w:highlight w:val="none"/>
                <w:lang w:val="en-US" w:eastAsia="zh-CN"/>
              </w:rPr>
              <w:t>技术负责人</w:t>
            </w:r>
            <w:r>
              <w:rPr>
                <w:rFonts w:hint="eastAsia" w:ascii="Times New Roman" w:hAnsi="Times New Roman" w:eastAsia="宋体" w:cs="Times New Roman"/>
                <w:color w:val="000000"/>
                <w:sz w:val="21"/>
                <w:szCs w:val="21"/>
                <w:highlight w:val="none"/>
                <w:lang w:val="en-US" w:eastAsia="zh-CN"/>
              </w:rPr>
              <w:t>外</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的综合素质、实施经验</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到场情况等</w:t>
            </w:r>
            <w:r>
              <w:rPr>
                <w:rFonts w:hint="eastAsia" w:ascii="Times New Roman" w:hAnsi="Times New Roman" w:eastAsia="宋体" w:cs="Times New Roman"/>
                <w:color w:val="000000"/>
                <w:kern w:val="2"/>
                <w:sz w:val="21"/>
                <w:szCs w:val="21"/>
                <w:highlight w:val="none"/>
                <w:lang w:val="en-US" w:eastAsia="zh-CN" w:bidi="ar-SA"/>
              </w:rPr>
              <w:t>，</w:t>
            </w:r>
            <w:r>
              <w:rPr>
                <w:rFonts w:hint="eastAsia" w:ascii="Times New Roman" w:hAnsi="Times New Roman" w:eastAsia="宋体" w:cs="Times New Roman"/>
                <w:color w:val="000000"/>
                <w:kern w:val="0"/>
                <w:sz w:val="21"/>
                <w:szCs w:val="21"/>
                <w:highlight w:val="none"/>
                <w:lang w:val="en-US" w:eastAsia="zh-CN" w:bidi="ar"/>
              </w:rPr>
              <w:t>由评标委员会进行综合打分。</w:t>
            </w:r>
          </w:p>
          <w:p w14:paraId="78AA6E82">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000000"/>
                <w:kern w:val="0"/>
                <w:szCs w:val="21"/>
                <w:highlight w:val="none"/>
                <w:lang w:val="en-US" w:eastAsia="zh-CN" w:bidi="ar"/>
              </w:rPr>
            </w:pPr>
            <w:r>
              <w:rPr>
                <w:rFonts w:hint="eastAsia" w:ascii="Times New Roman" w:hAnsi="Times New Roman" w:cs="Times New Roman"/>
                <w:color w:val="000000"/>
                <w:kern w:val="0"/>
                <w:szCs w:val="21"/>
                <w:highlight w:val="none"/>
                <w:lang w:val="en-US" w:eastAsia="zh-CN" w:bidi="ar"/>
              </w:rPr>
              <w:t>拟派</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kern w:val="0"/>
                <w:szCs w:val="21"/>
                <w:highlight w:val="none"/>
                <w:lang w:val="en-US" w:eastAsia="zh-CN" w:bidi="ar"/>
              </w:rPr>
              <w:t>的综合素质、实施经验、到场情况等好的得5分；</w:t>
            </w:r>
          </w:p>
          <w:p w14:paraId="66465CE9">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000000"/>
                <w:kern w:val="0"/>
                <w:szCs w:val="21"/>
                <w:highlight w:val="none"/>
                <w:lang w:val="en-US" w:eastAsia="zh-CN" w:bidi="ar"/>
              </w:rPr>
            </w:pPr>
            <w:r>
              <w:rPr>
                <w:rFonts w:hint="eastAsia" w:ascii="Times New Roman" w:hAnsi="Times New Roman" w:cs="Times New Roman"/>
                <w:color w:val="000000"/>
                <w:kern w:val="0"/>
                <w:szCs w:val="21"/>
                <w:highlight w:val="none"/>
                <w:lang w:val="en-US" w:eastAsia="zh-CN" w:bidi="ar"/>
              </w:rPr>
              <w:t>拟派</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kern w:val="0"/>
                <w:szCs w:val="21"/>
                <w:highlight w:val="none"/>
                <w:lang w:val="en-US" w:eastAsia="zh-CN" w:bidi="ar"/>
              </w:rPr>
              <w:t>的综合素质、实施经验、到场情况等较好的得3分；</w:t>
            </w:r>
          </w:p>
          <w:p w14:paraId="3F6434C5">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000000"/>
                <w:kern w:val="0"/>
                <w:szCs w:val="21"/>
                <w:highlight w:val="none"/>
                <w:lang w:val="en-US" w:eastAsia="zh-CN" w:bidi="ar"/>
              </w:rPr>
            </w:pPr>
            <w:r>
              <w:rPr>
                <w:rFonts w:hint="eastAsia" w:ascii="Times New Roman" w:hAnsi="Times New Roman" w:cs="Times New Roman"/>
                <w:color w:val="000000"/>
                <w:kern w:val="0"/>
                <w:szCs w:val="21"/>
                <w:highlight w:val="none"/>
                <w:lang w:val="en-US" w:eastAsia="zh-CN" w:bidi="ar"/>
              </w:rPr>
              <w:t>拟派</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kern w:val="0"/>
                <w:szCs w:val="21"/>
                <w:highlight w:val="none"/>
                <w:lang w:val="en-US" w:eastAsia="zh-CN" w:bidi="ar"/>
              </w:rPr>
              <w:t>的综合素质、实施经验、到场情况等一般的得1分；</w:t>
            </w:r>
          </w:p>
          <w:p w14:paraId="17C89F4D">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highlight w:val="none"/>
              </w:rPr>
            </w:pPr>
            <w:r>
              <w:rPr>
                <w:rFonts w:hint="eastAsia" w:ascii="Times New Roman" w:hAnsi="Times New Roman" w:cs="Times New Roman"/>
                <w:color w:val="000000"/>
                <w:kern w:val="0"/>
                <w:szCs w:val="21"/>
                <w:highlight w:val="none"/>
                <w:lang w:val="en-US" w:eastAsia="zh-CN" w:bidi="ar"/>
              </w:rPr>
              <w:t>注：提供</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cs="Times New Roman"/>
                <w:color w:val="000000"/>
                <w:sz w:val="21"/>
                <w:szCs w:val="21"/>
                <w:highlight w:val="none"/>
                <w:lang w:val="en-US" w:eastAsia="zh-CN"/>
              </w:rPr>
              <w:t>职称</w:t>
            </w:r>
            <w:r>
              <w:rPr>
                <w:rFonts w:hint="eastAsia" w:ascii="Times New Roman" w:hAnsi="Times New Roman" w:cs="Times New Roman"/>
                <w:color w:val="000000"/>
                <w:kern w:val="0"/>
                <w:szCs w:val="21"/>
                <w:highlight w:val="none"/>
                <w:lang w:val="en-US" w:eastAsia="zh-CN" w:bidi="ar"/>
              </w:rPr>
              <w:t>、资格证书、社保证明及到场承诺</w:t>
            </w:r>
            <w:r>
              <w:rPr>
                <w:rFonts w:hint="eastAsia" w:cs="Times New Roman"/>
                <w:color w:val="000000"/>
                <w:kern w:val="0"/>
                <w:szCs w:val="21"/>
                <w:highlight w:val="none"/>
                <w:lang w:val="en-US" w:eastAsia="zh-CN" w:bidi="ar"/>
              </w:rPr>
              <w:t>等</w:t>
            </w:r>
            <w:r>
              <w:rPr>
                <w:rFonts w:hint="eastAsia" w:ascii="Times New Roman" w:hAnsi="Times New Roman" w:cs="Times New Roman"/>
                <w:color w:val="000000"/>
                <w:kern w:val="0"/>
                <w:szCs w:val="21"/>
                <w:highlight w:val="none"/>
                <w:lang w:val="en-US" w:eastAsia="zh-CN" w:bidi="ar"/>
              </w:rPr>
              <w:t>打分。</w:t>
            </w:r>
          </w:p>
        </w:tc>
      </w:tr>
      <w:tr w14:paraId="3CC0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07" w:type="dxa"/>
            <w:vMerge w:val="continue"/>
          </w:tcPr>
          <w:p w14:paraId="75ACB054">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502CF1F3">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质量</w:t>
            </w:r>
          </w:p>
          <w:p w14:paraId="6F2BD22E">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保证</w:t>
            </w:r>
          </w:p>
          <w:p w14:paraId="67E9AE0F">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6分</w:t>
            </w:r>
            <w:r>
              <w:rPr>
                <w:rFonts w:hint="eastAsia" w:ascii="Times New Roman" w:hAnsi="Times New Roman" w:cs="Times New Roman"/>
                <w:b/>
                <w:bCs/>
                <w:color w:val="auto"/>
                <w:szCs w:val="21"/>
                <w:highlight w:val="none"/>
                <w:lang w:eastAsia="zh-CN"/>
              </w:rPr>
              <w:t>）</w:t>
            </w:r>
          </w:p>
        </w:tc>
        <w:tc>
          <w:tcPr>
            <w:tcW w:w="6345" w:type="dxa"/>
            <w:noWrap/>
            <w:vAlign w:val="center"/>
          </w:tcPr>
          <w:p w14:paraId="03F577F0">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根据投标人提供的质量保证措施方案，包括但不限于园林绿化的整体布展效果、植物存活率、质量管理措施及承诺等，由评标委员会进行综合打分</w:t>
            </w:r>
            <w:r>
              <w:rPr>
                <w:rFonts w:hint="eastAsia" w:ascii="Times New Roman" w:hAnsi="Times New Roman" w:cs="Times New Roman"/>
                <w:color w:val="auto"/>
                <w:highlight w:val="none"/>
                <w:lang w:eastAsia="zh-CN"/>
              </w:rPr>
              <w:t>。</w:t>
            </w:r>
          </w:p>
          <w:p w14:paraId="5859208B">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cs="Times New Roman"/>
                <w:color w:val="000000"/>
                <w:kern w:val="0"/>
                <w:szCs w:val="21"/>
                <w:highlight w:val="none"/>
                <w:lang w:bidi="ar"/>
              </w:rPr>
              <w:t>质量保证措施方案</w:t>
            </w:r>
            <w:r>
              <w:rPr>
                <w:rFonts w:hint="eastAsia" w:ascii="Times New Roman" w:hAnsi="Times New Roman" w:eastAsia="宋体" w:cs="Times New Roman"/>
                <w:color w:val="000000"/>
                <w:kern w:val="0"/>
                <w:szCs w:val="21"/>
                <w:highlight w:val="none"/>
                <w:lang w:val="en-US" w:eastAsia="zh-CN" w:bidi="ar"/>
              </w:rPr>
              <w:t>全面</w:t>
            </w:r>
            <w:r>
              <w:rPr>
                <w:rFonts w:hint="eastAsia" w:ascii="Times New Roman" w:hAnsi="Times New Roman" w:eastAsia="宋体" w:cs="Times New Roman"/>
                <w:b w:val="0"/>
                <w:color w:val="000000"/>
                <w:kern w:val="0"/>
                <w:sz w:val="21"/>
                <w:szCs w:val="21"/>
                <w:highlight w:val="none"/>
                <w:lang w:val="en-US" w:eastAsia="zh-CN" w:bidi="ar"/>
              </w:rPr>
              <w:t>性</w:t>
            </w:r>
            <w:r>
              <w:rPr>
                <w:rFonts w:hint="eastAsia" w:ascii="Times New Roman" w:hAnsi="Times New Roman" w:eastAsia="宋体" w:cs="Times New Roman"/>
                <w:color w:val="000000"/>
                <w:kern w:val="0"/>
                <w:szCs w:val="21"/>
                <w:highlight w:val="none"/>
                <w:lang w:val="en-US" w:eastAsia="zh-CN" w:bidi="ar"/>
              </w:rPr>
              <w:t>、合理</w:t>
            </w:r>
            <w:r>
              <w:rPr>
                <w:rFonts w:hint="eastAsia" w:ascii="Times New Roman" w:hAnsi="Times New Roman" w:eastAsia="宋体" w:cs="Times New Roman"/>
                <w:b w:val="0"/>
                <w:color w:val="000000"/>
                <w:kern w:val="0"/>
                <w:sz w:val="21"/>
                <w:szCs w:val="21"/>
                <w:highlight w:val="none"/>
                <w:lang w:val="en-US" w:eastAsia="zh-CN" w:bidi="ar"/>
              </w:rPr>
              <w:t>性、操作性好的得</w:t>
            </w:r>
            <w:r>
              <w:rPr>
                <w:rFonts w:hint="eastAsia" w:ascii="Times New Roman" w:hAnsi="Times New Roman" w:cs="Times New Roman"/>
                <w:b w:val="0"/>
                <w:color w:val="000000"/>
                <w:kern w:val="0"/>
                <w:sz w:val="21"/>
                <w:szCs w:val="21"/>
                <w:highlight w:val="none"/>
                <w:lang w:val="en-US" w:eastAsia="zh-CN" w:bidi="ar"/>
              </w:rPr>
              <w:t>6</w:t>
            </w:r>
            <w:r>
              <w:rPr>
                <w:rFonts w:hint="eastAsia" w:ascii="Times New Roman" w:hAnsi="Times New Roman" w:eastAsia="宋体" w:cs="Times New Roman"/>
                <w:b w:val="0"/>
                <w:color w:val="000000"/>
                <w:kern w:val="0"/>
                <w:sz w:val="21"/>
                <w:szCs w:val="21"/>
                <w:highlight w:val="none"/>
                <w:lang w:val="en-US" w:eastAsia="zh-CN" w:bidi="ar"/>
              </w:rPr>
              <w:t>分；</w:t>
            </w:r>
          </w:p>
          <w:p w14:paraId="4C7032E3">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b w:val="0"/>
                <w:color w:val="000000"/>
                <w:kern w:val="0"/>
                <w:sz w:val="21"/>
                <w:szCs w:val="21"/>
                <w:highlight w:val="none"/>
                <w:lang w:bidi="ar"/>
              </w:rPr>
              <w:t>质量保证措施方案</w:t>
            </w:r>
            <w:r>
              <w:rPr>
                <w:rFonts w:hint="eastAsia" w:ascii="Times New Roman" w:hAnsi="Times New Roman" w:eastAsia="宋体" w:cs="Times New Roman"/>
                <w:b w:val="0"/>
                <w:color w:val="000000"/>
                <w:kern w:val="0"/>
                <w:sz w:val="21"/>
                <w:szCs w:val="21"/>
                <w:highlight w:val="none"/>
                <w:lang w:val="en-US" w:eastAsia="zh-CN" w:bidi="ar"/>
              </w:rPr>
              <w:t>全面性、合理性、操作性</w:t>
            </w:r>
            <w:r>
              <w:rPr>
                <w:rFonts w:hint="eastAsia" w:ascii="Times New Roman" w:hAnsi="Times New Roman" w:cs="Times New Roman"/>
                <w:b w:val="0"/>
                <w:color w:val="000000"/>
                <w:kern w:val="0"/>
                <w:sz w:val="21"/>
                <w:szCs w:val="21"/>
                <w:highlight w:val="none"/>
                <w:lang w:val="en-US" w:eastAsia="zh-CN" w:bidi="ar"/>
              </w:rPr>
              <w:t>较</w:t>
            </w:r>
            <w:r>
              <w:rPr>
                <w:rFonts w:hint="eastAsia" w:ascii="Times New Roman" w:hAnsi="Times New Roman" w:eastAsia="宋体" w:cs="Times New Roman"/>
                <w:b w:val="0"/>
                <w:color w:val="000000"/>
                <w:kern w:val="0"/>
                <w:sz w:val="21"/>
                <w:szCs w:val="21"/>
                <w:highlight w:val="none"/>
                <w:lang w:val="en-US" w:eastAsia="zh-CN" w:bidi="ar"/>
              </w:rPr>
              <w:t>好的得</w:t>
            </w:r>
            <w:r>
              <w:rPr>
                <w:rFonts w:hint="eastAsia" w:ascii="Times New Roman" w:hAnsi="Times New Roman" w:cs="Times New Roman"/>
                <w:b w:val="0"/>
                <w:color w:val="000000"/>
                <w:kern w:val="0"/>
                <w:sz w:val="21"/>
                <w:szCs w:val="21"/>
                <w:highlight w:val="none"/>
                <w:lang w:val="en-US" w:eastAsia="zh-CN" w:bidi="ar"/>
              </w:rPr>
              <w:t>4</w:t>
            </w:r>
            <w:r>
              <w:rPr>
                <w:rFonts w:hint="eastAsia" w:ascii="Times New Roman" w:hAnsi="Times New Roman" w:eastAsia="宋体" w:cs="Times New Roman"/>
                <w:b w:val="0"/>
                <w:color w:val="000000"/>
                <w:kern w:val="0"/>
                <w:sz w:val="21"/>
                <w:szCs w:val="21"/>
                <w:highlight w:val="none"/>
                <w:lang w:val="en-US" w:eastAsia="zh-CN" w:bidi="ar"/>
              </w:rPr>
              <w:t>分；</w:t>
            </w:r>
          </w:p>
          <w:p w14:paraId="18BD5972">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b w:val="0"/>
                <w:color w:val="000000"/>
                <w:kern w:val="0"/>
                <w:sz w:val="21"/>
                <w:szCs w:val="21"/>
                <w:highlight w:val="none"/>
                <w:lang w:bidi="ar"/>
              </w:rPr>
              <w:t>质量保证措施方案</w:t>
            </w:r>
            <w:r>
              <w:rPr>
                <w:rFonts w:hint="eastAsia" w:ascii="Times New Roman" w:hAnsi="Times New Roman" w:eastAsia="宋体" w:cs="Times New Roman"/>
                <w:b w:val="0"/>
                <w:color w:val="000000"/>
                <w:kern w:val="0"/>
                <w:sz w:val="21"/>
                <w:szCs w:val="21"/>
                <w:highlight w:val="none"/>
                <w:lang w:val="en-US" w:eastAsia="zh-CN" w:bidi="ar"/>
              </w:rPr>
              <w:t>全面性、合理性、操作性</w:t>
            </w:r>
            <w:r>
              <w:rPr>
                <w:rFonts w:hint="eastAsia" w:ascii="Times New Roman" w:hAnsi="Times New Roman" w:cs="Times New Roman"/>
                <w:b w:val="0"/>
                <w:color w:val="000000"/>
                <w:kern w:val="0"/>
                <w:sz w:val="21"/>
                <w:szCs w:val="21"/>
                <w:highlight w:val="none"/>
                <w:lang w:val="en-US" w:eastAsia="zh-CN" w:bidi="ar"/>
              </w:rPr>
              <w:t>一般</w:t>
            </w:r>
            <w:r>
              <w:rPr>
                <w:rFonts w:hint="eastAsia" w:ascii="Times New Roman" w:hAnsi="Times New Roman" w:eastAsia="宋体" w:cs="Times New Roman"/>
                <w:b w:val="0"/>
                <w:color w:val="000000"/>
                <w:kern w:val="0"/>
                <w:sz w:val="21"/>
                <w:szCs w:val="21"/>
                <w:highlight w:val="none"/>
                <w:lang w:val="en-US" w:eastAsia="zh-CN" w:bidi="ar"/>
              </w:rPr>
              <w:t>的得</w:t>
            </w:r>
            <w:r>
              <w:rPr>
                <w:rFonts w:hint="eastAsia" w:ascii="Times New Roman" w:hAnsi="Times New Roman" w:cs="Times New Roman"/>
                <w:b w:val="0"/>
                <w:color w:val="000000"/>
                <w:kern w:val="0"/>
                <w:sz w:val="21"/>
                <w:szCs w:val="21"/>
                <w:highlight w:val="none"/>
                <w:lang w:val="en-US" w:eastAsia="zh-CN" w:bidi="ar"/>
              </w:rPr>
              <w:t>2</w:t>
            </w:r>
            <w:r>
              <w:rPr>
                <w:rFonts w:hint="eastAsia" w:ascii="Times New Roman" w:hAnsi="Times New Roman" w:eastAsia="宋体" w:cs="Times New Roman"/>
                <w:b w:val="0"/>
                <w:color w:val="000000"/>
                <w:kern w:val="0"/>
                <w:sz w:val="21"/>
                <w:szCs w:val="21"/>
                <w:highlight w:val="none"/>
                <w:lang w:val="en-US" w:eastAsia="zh-CN" w:bidi="ar"/>
              </w:rPr>
              <w:t>分；</w:t>
            </w:r>
          </w:p>
          <w:p w14:paraId="0D59CA95">
            <w:pPr>
              <w:keepNext w:val="0"/>
              <w:keepLines w:val="0"/>
              <w:pageBreakBefore w:val="0"/>
              <w:kinsoku/>
              <w:wordWrap/>
              <w:overflowPunct/>
              <w:topLinePunct w:val="0"/>
              <w:bidi w:val="0"/>
              <w:adjustRightInd/>
              <w:snapToGrid/>
              <w:spacing w:before="40" w:after="40" w:line="240" w:lineRule="auto"/>
              <w:jc w:val="both"/>
              <w:rPr>
                <w:rFonts w:hint="default" w:ascii="Times New Roman" w:hAnsi="Times New Roman" w:cs="Times New Roman"/>
                <w:highlight w:val="none"/>
                <w:lang w:val="en-US" w:eastAsia="zh-CN"/>
              </w:rPr>
            </w:pPr>
            <w:r>
              <w:rPr>
                <w:rFonts w:hint="eastAsia" w:ascii="Times New Roman" w:hAnsi="Times New Roman" w:cs="Times New Roman"/>
                <w:color w:val="000000"/>
                <w:kern w:val="0"/>
                <w:szCs w:val="21"/>
                <w:highlight w:val="none"/>
                <w:lang w:val="en-US" w:eastAsia="zh-CN" w:bidi="ar"/>
              </w:rPr>
              <w:t>未提供方案不得分。</w:t>
            </w:r>
          </w:p>
        </w:tc>
      </w:tr>
      <w:tr w14:paraId="2416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7" w:type="dxa"/>
            <w:vMerge w:val="continue"/>
          </w:tcPr>
          <w:p w14:paraId="02FEC6F4">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23604303">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应急</w:t>
            </w:r>
          </w:p>
          <w:p w14:paraId="381B2373">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预案</w:t>
            </w:r>
          </w:p>
          <w:p w14:paraId="22679F99">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b/>
                <w:bCs/>
                <w:color w:val="auto"/>
                <w:szCs w:val="21"/>
                <w:highlight w:val="none"/>
                <w:lang w:eastAsia="zh-CN"/>
              </w:rPr>
              <w:t>（</w:t>
            </w:r>
            <w:r>
              <w:rPr>
                <w:rFonts w:hint="eastAsia" w:cs="Times New Roman"/>
                <w:b/>
                <w:bCs/>
                <w:color w:val="auto"/>
                <w:szCs w:val="21"/>
                <w:highlight w:val="none"/>
                <w:lang w:val="en-US" w:eastAsia="zh-CN"/>
              </w:rPr>
              <w:t>5</w:t>
            </w:r>
            <w:r>
              <w:rPr>
                <w:rFonts w:hint="eastAsia" w:ascii="Times New Roman" w:hAnsi="Times New Roman" w:cs="Times New Roman"/>
                <w:b/>
                <w:bCs/>
                <w:color w:val="auto"/>
                <w:szCs w:val="21"/>
                <w:highlight w:val="none"/>
                <w:lang w:val="en-US" w:eastAsia="zh-CN"/>
              </w:rPr>
              <w:t>分</w:t>
            </w:r>
            <w:r>
              <w:rPr>
                <w:rFonts w:hint="eastAsia" w:ascii="Times New Roman" w:hAnsi="Times New Roman" w:cs="Times New Roman"/>
                <w:b/>
                <w:bCs/>
                <w:color w:val="auto"/>
                <w:szCs w:val="21"/>
                <w:highlight w:val="none"/>
                <w:lang w:eastAsia="zh-CN"/>
              </w:rPr>
              <w:t>）</w:t>
            </w:r>
          </w:p>
        </w:tc>
        <w:tc>
          <w:tcPr>
            <w:tcW w:w="6345" w:type="dxa"/>
            <w:noWrap/>
            <w:vAlign w:val="center"/>
          </w:tcPr>
          <w:p w14:paraId="45C68AE5">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both"/>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根据投标人提供的应急预案、突发问题解决、纠纷的响应速度以及处理方案的可靠性等是否满足采购需求，以及方案是否具有合理性、可操作性、周密性，由评标委员会进行综合打分。</w:t>
            </w:r>
          </w:p>
          <w:p w14:paraId="11E6C37D">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rPr>
              <w:t>应急预案合理性、可操作性、周密性</w:t>
            </w:r>
            <w:r>
              <w:rPr>
                <w:rFonts w:hint="eastAsia" w:ascii="Times New Roman" w:hAnsi="Times New Roman" w:cs="Times New Roman"/>
                <w:color w:val="auto"/>
                <w:szCs w:val="21"/>
                <w:highlight w:val="none"/>
                <w:lang w:val="en-US" w:eastAsia="zh-CN"/>
              </w:rPr>
              <w:t>好的得</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分；</w:t>
            </w:r>
          </w:p>
          <w:p w14:paraId="28B30671">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应急预案合理性、可操作性、周密性较好的得</w:t>
            </w:r>
            <w:r>
              <w:rPr>
                <w:rFonts w:hint="eastAsia" w:cs="Times New Roman"/>
                <w:color w:val="auto"/>
                <w:szCs w:val="21"/>
                <w:highlight w:val="none"/>
                <w:lang w:val="en-US" w:eastAsia="zh-CN"/>
              </w:rPr>
              <w:t>3</w:t>
            </w:r>
            <w:r>
              <w:rPr>
                <w:rFonts w:hint="eastAsia" w:ascii="Times New Roman" w:hAnsi="Times New Roman" w:cs="Times New Roman"/>
                <w:color w:val="auto"/>
                <w:szCs w:val="21"/>
                <w:highlight w:val="none"/>
                <w:lang w:val="en-US" w:eastAsia="zh-CN"/>
              </w:rPr>
              <w:t>分；</w:t>
            </w:r>
          </w:p>
          <w:p w14:paraId="6050520D">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应急预案合理性、可操作性、周密性一般的得</w:t>
            </w:r>
            <w:r>
              <w:rPr>
                <w:rFonts w:hint="eastAsia" w:cs="Times New Roman"/>
                <w:color w:val="auto"/>
                <w:szCs w:val="21"/>
                <w:highlight w:val="none"/>
                <w:lang w:val="en-US" w:eastAsia="zh-CN"/>
              </w:rPr>
              <w:t>1</w:t>
            </w:r>
            <w:r>
              <w:rPr>
                <w:rFonts w:hint="eastAsia" w:ascii="Times New Roman" w:hAnsi="Times New Roman" w:cs="Times New Roman"/>
                <w:color w:val="auto"/>
                <w:szCs w:val="21"/>
                <w:highlight w:val="none"/>
                <w:lang w:val="en-US" w:eastAsia="zh-CN"/>
              </w:rPr>
              <w:t>分；</w:t>
            </w:r>
          </w:p>
          <w:p w14:paraId="5B821997">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highlight w:val="none"/>
                <w:lang w:val="en-US" w:eastAsia="zh-CN"/>
              </w:rPr>
            </w:pPr>
            <w:r>
              <w:rPr>
                <w:rFonts w:hint="eastAsia" w:ascii="Times New Roman" w:hAnsi="Times New Roman" w:cs="Times New Roman"/>
                <w:color w:val="auto"/>
                <w:szCs w:val="21"/>
                <w:highlight w:val="none"/>
                <w:lang w:val="en-US" w:eastAsia="zh-CN"/>
              </w:rPr>
              <w:t>未提供方案不得分。</w:t>
            </w:r>
          </w:p>
        </w:tc>
      </w:tr>
      <w:tr w14:paraId="5BD3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3DA5EF6A">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6A528693">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售后</w:t>
            </w:r>
          </w:p>
          <w:p w14:paraId="269D47E4">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服务</w:t>
            </w:r>
          </w:p>
          <w:p w14:paraId="6C4A1563">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6分</w:t>
            </w:r>
            <w:r>
              <w:rPr>
                <w:rFonts w:hint="eastAsia" w:ascii="Times New Roman" w:hAnsi="Times New Roman" w:cs="Times New Roman"/>
                <w:b/>
                <w:bCs/>
                <w:color w:val="auto"/>
                <w:szCs w:val="21"/>
                <w:highlight w:val="none"/>
                <w:lang w:eastAsia="zh-CN"/>
              </w:rPr>
              <w:t>）</w:t>
            </w:r>
          </w:p>
        </w:tc>
        <w:tc>
          <w:tcPr>
            <w:tcW w:w="6345" w:type="dxa"/>
            <w:noWrap/>
            <w:vAlign w:val="center"/>
          </w:tcPr>
          <w:p w14:paraId="0ED48654">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根据投标人针对本项目提供的售后服务方案，包括服务期限、服务内容、服务响应时间、园林绿化咨询、技术支持等，由评标委员会进行综合打分。</w:t>
            </w:r>
          </w:p>
          <w:p w14:paraId="62302F1A">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售后服务方案</w:t>
            </w:r>
            <w:r>
              <w:rPr>
                <w:rFonts w:hint="eastAsia" w:ascii="Times New Roman" w:hAnsi="Times New Roman" w:eastAsia="宋体" w:cs="Times New Roman"/>
                <w:b w:val="0"/>
                <w:bCs w:val="0"/>
                <w:color w:val="auto"/>
                <w:sz w:val="21"/>
                <w:szCs w:val="21"/>
                <w:highlight w:val="none"/>
                <w:lang w:val="en-US" w:eastAsia="zh-CN"/>
              </w:rPr>
              <w:t>全面性、合理性、措施切实可行性好的得6分；</w:t>
            </w:r>
          </w:p>
          <w:p w14:paraId="06CB3DB4">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售后服务方案</w:t>
            </w:r>
            <w:r>
              <w:rPr>
                <w:rFonts w:hint="eastAsia" w:ascii="Times New Roman" w:hAnsi="Times New Roman" w:eastAsia="宋体" w:cs="Times New Roman"/>
                <w:b w:val="0"/>
                <w:bCs w:val="0"/>
                <w:color w:val="auto"/>
                <w:sz w:val="21"/>
                <w:szCs w:val="21"/>
                <w:highlight w:val="none"/>
                <w:lang w:val="en-US" w:eastAsia="zh-CN"/>
              </w:rPr>
              <w:t>全面性、合理性、措施切实可行性较好的得4分；</w:t>
            </w:r>
          </w:p>
          <w:p w14:paraId="12317D7E">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售后服务方案</w:t>
            </w:r>
            <w:r>
              <w:rPr>
                <w:rFonts w:hint="eastAsia" w:ascii="Times New Roman" w:hAnsi="Times New Roman" w:eastAsia="宋体" w:cs="Times New Roman"/>
                <w:b w:val="0"/>
                <w:bCs w:val="0"/>
                <w:color w:val="auto"/>
                <w:sz w:val="21"/>
                <w:szCs w:val="21"/>
                <w:highlight w:val="none"/>
                <w:lang w:val="en-US" w:eastAsia="zh-CN"/>
              </w:rPr>
              <w:t>全面性、合理性、措施切实可行性一般的得2分；</w:t>
            </w:r>
          </w:p>
          <w:p w14:paraId="7176053C">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未提供方案不得分。</w:t>
            </w:r>
          </w:p>
        </w:tc>
      </w:tr>
    </w:tbl>
    <w:p w14:paraId="006C1F96">
      <w:pPr>
        <w:widowControl/>
        <w:numPr>
          <w:ilvl w:val="0"/>
          <w:numId w:val="5"/>
        </w:numPr>
        <w:spacing w:before="312" w:beforeLines="100" w:line="320" w:lineRule="exact"/>
        <w:ind w:firstLine="482" w:firstLineChars="200"/>
        <w:jc w:val="left"/>
        <w:rPr>
          <w:rFonts w:ascii="Times New Roman" w:hAnsi="Times New Roman" w:cs="Times New Roman"/>
          <w:b/>
          <w:bCs/>
          <w:color w:val="000000" w:themeColor="text1"/>
          <w:sz w:val="24"/>
          <w:szCs w:val="22"/>
          <w:highlight w:val="none"/>
          <w14:textFill>
            <w14:solidFill>
              <w14:schemeClr w14:val="tx1"/>
            </w14:solidFill>
          </w14:textFill>
        </w:rPr>
      </w:pPr>
      <w:r>
        <w:rPr>
          <w:rFonts w:hint="eastAsia" w:ascii="Times New Roman" w:hAnsi="Times New Roman" w:cs="Times New Roman"/>
          <w:b/>
          <w:bCs/>
          <w:color w:val="000000" w:themeColor="text1"/>
          <w:sz w:val="24"/>
          <w:szCs w:val="22"/>
          <w:highlight w:val="none"/>
          <w14:textFill>
            <w14:solidFill>
              <w14:schemeClr w14:val="tx1"/>
            </w14:solidFill>
          </w14:textFill>
        </w:rPr>
        <w:t>其他</w:t>
      </w:r>
    </w:p>
    <w:p w14:paraId="540EC108">
      <w:pPr>
        <w:snapToGrid w:val="0"/>
        <w:spacing w:line="40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48F29BA">
      <w:pPr>
        <w:pStyle w:val="11"/>
        <w:rPr>
          <w:rFonts w:ascii="Times New Roman" w:hAnsi="Times New Roman" w:cs="Times New Roman"/>
          <w:color w:val="000000" w:themeColor="text1"/>
          <w:highlight w:val="none"/>
          <w:lang w:val="zh-CN"/>
          <w14:textFill>
            <w14:solidFill>
              <w14:schemeClr w14:val="tx1"/>
            </w14:solidFill>
          </w14:textFill>
        </w:rPr>
      </w:pPr>
    </w:p>
    <w:p w14:paraId="7E404E98">
      <w:pPr>
        <w:rPr>
          <w:rFonts w:hint="eastAsia" w:ascii="Times New Roman" w:hAnsi="Times New Roman" w:cs="Times New Roman"/>
          <w:b/>
          <w:bCs/>
          <w:color w:val="000000" w:themeColor="text1"/>
          <w:kern w:val="0"/>
          <w:sz w:val="30"/>
          <w:szCs w:val="30"/>
          <w:highlight w:val="none"/>
          <w14:textFill>
            <w14:solidFill>
              <w14:schemeClr w14:val="tx1"/>
            </w14:solidFill>
          </w14:textFill>
        </w:rPr>
      </w:pPr>
      <w:r>
        <w:rPr>
          <w:rFonts w:hint="eastAsia" w:ascii="Times New Roman" w:hAnsi="Times New Roman" w:cs="Times New Roman"/>
          <w:b/>
          <w:bCs/>
          <w:color w:val="000000" w:themeColor="text1"/>
          <w:kern w:val="0"/>
          <w:sz w:val="30"/>
          <w:szCs w:val="30"/>
          <w:highlight w:val="none"/>
          <w14:textFill>
            <w14:solidFill>
              <w14:schemeClr w14:val="tx1"/>
            </w14:solidFill>
          </w14:textFill>
        </w:rPr>
        <w:br w:type="page"/>
      </w:r>
    </w:p>
    <w:p w14:paraId="41AEEFA0">
      <w:pPr>
        <w:rPr>
          <w:rFonts w:hint="eastAsia" w:ascii="Times New Roman" w:hAnsi="Times New Roman" w:cs="Times New Roman"/>
          <w:b/>
          <w:bCs/>
          <w:color w:val="000000" w:themeColor="text1"/>
          <w:kern w:val="0"/>
          <w:sz w:val="30"/>
          <w:szCs w:val="30"/>
          <w:highlight w:val="none"/>
          <w14:textFill>
            <w14:solidFill>
              <w14:schemeClr w14:val="tx1"/>
            </w14:solidFill>
          </w14:textFill>
        </w:rPr>
      </w:pPr>
    </w:p>
    <w:p w14:paraId="4B72F646">
      <w:pPr>
        <w:widowControl/>
        <w:spacing w:line="240" w:lineRule="auto"/>
        <w:jc w:val="center"/>
        <w:rPr>
          <w:rFonts w:ascii="Times New Roman" w:hAnsi="Times New Roman" w:cs="Times New Roman"/>
          <w:b/>
          <w:bCs/>
          <w:color w:val="000000" w:themeColor="text1"/>
          <w:kern w:val="0"/>
          <w:sz w:val="30"/>
          <w:szCs w:val="30"/>
          <w:highlight w:val="none"/>
          <w14:textFill>
            <w14:solidFill>
              <w14:schemeClr w14:val="tx1"/>
            </w14:solidFill>
          </w14:textFill>
        </w:rPr>
      </w:pPr>
      <w:r>
        <w:rPr>
          <w:rFonts w:hint="eastAsia" w:ascii="Times New Roman" w:hAnsi="Times New Roman" w:cs="Times New Roman"/>
          <w:b/>
          <w:bCs/>
          <w:color w:val="000000" w:themeColor="text1"/>
          <w:kern w:val="0"/>
          <w:sz w:val="30"/>
          <w:szCs w:val="30"/>
          <w:highlight w:val="none"/>
          <w14:textFill>
            <w14:solidFill>
              <w14:schemeClr w14:val="tx1"/>
            </w14:solidFill>
          </w14:textFill>
        </w:rPr>
        <w:t>第五章 合同主要条款</w:t>
      </w:r>
    </w:p>
    <w:p w14:paraId="43B0A9A8">
      <w:pPr>
        <w:spacing w:line="360" w:lineRule="exact"/>
        <w:ind w:firstLine="422"/>
        <w:rPr>
          <w:rFonts w:ascii="Times New Roman" w:hAnsi="Times New Roman" w:cs="Times New Roman"/>
          <w:color w:val="000000" w:themeColor="text1"/>
          <w:highlight w:val="none"/>
          <w14:textFill>
            <w14:solidFill>
              <w14:schemeClr w14:val="tx1"/>
            </w14:solidFill>
          </w14:textFill>
        </w:rPr>
      </w:pPr>
    </w:p>
    <w:p w14:paraId="790E0DB5">
      <w:pPr>
        <w:widowControl w:val="0"/>
        <w:wordWrap/>
        <w:spacing w:line="240" w:lineRule="auto"/>
        <w:ind w:firstLine="0" w:firstLineChars="0"/>
        <w:jc w:val="center"/>
        <w:rPr>
          <w:rFonts w:ascii="宋体" w:hAnsi="宋体" w:eastAsia="宋体" w:cs="宋体"/>
          <w:kern w:val="2"/>
          <w:sz w:val="36"/>
          <w:szCs w:val="36"/>
          <w:highlight w:val="none"/>
          <w:lang w:val="en-US" w:eastAsia="zh-CN" w:bidi="ar-SA"/>
        </w:rPr>
      </w:pPr>
      <w:r>
        <w:rPr>
          <w:rFonts w:hint="eastAsia" w:ascii="宋体" w:hAnsi="宋体" w:eastAsia="宋体" w:cs="宋体"/>
          <w:kern w:val="2"/>
          <w:sz w:val="36"/>
          <w:szCs w:val="36"/>
          <w:highlight w:val="none"/>
          <w:lang w:val="en-US" w:eastAsia="zh-CN" w:bidi="ar-SA"/>
        </w:rPr>
        <w:t>执行住房城乡建设部、国家工商管理总局制定的</w:t>
      </w:r>
    </w:p>
    <w:p w14:paraId="5B50E1A8">
      <w:pPr>
        <w:widowControl w:val="0"/>
        <w:wordWrap/>
        <w:spacing w:line="240" w:lineRule="auto"/>
        <w:ind w:firstLine="0" w:firstLineChars="0"/>
        <w:jc w:val="center"/>
        <w:rPr>
          <w:rFonts w:ascii="宋体" w:hAnsi="宋体" w:eastAsia="宋体" w:cs="宋体"/>
          <w:kern w:val="2"/>
          <w:sz w:val="36"/>
          <w:szCs w:val="36"/>
          <w:highlight w:val="none"/>
          <w:lang w:val="en-US" w:eastAsia="zh-CN" w:bidi="ar-SA"/>
        </w:rPr>
      </w:pPr>
      <w:r>
        <w:rPr>
          <w:rFonts w:hint="eastAsia" w:ascii="宋体" w:hAnsi="宋体" w:eastAsia="宋体" w:cs="宋体"/>
          <w:kern w:val="2"/>
          <w:sz w:val="36"/>
          <w:szCs w:val="36"/>
          <w:highlight w:val="none"/>
          <w:lang w:val="en-US" w:eastAsia="zh-CN" w:bidi="ar-SA"/>
        </w:rPr>
        <w:t>《建设工程施工合同（示范文本）》</w:t>
      </w:r>
    </w:p>
    <w:p w14:paraId="232BB123">
      <w:pPr>
        <w:wordWrap/>
        <w:spacing w:line="240" w:lineRule="auto"/>
        <w:ind w:firstLine="0" w:firstLineChars="0"/>
        <w:jc w:val="center"/>
        <w:rPr>
          <w:rFonts w:ascii="宋体" w:hAnsi="宋体" w:eastAsia="宋体" w:cs="宋体"/>
          <w:sz w:val="32"/>
          <w:highlight w:val="none"/>
        </w:rPr>
      </w:pPr>
      <w:r>
        <w:rPr>
          <w:rFonts w:hint="eastAsia" w:ascii="宋体" w:hAnsi="宋体" w:eastAsia="宋体" w:cs="宋体"/>
          <w:sz w:val="32"/>
          <w:highlight w:val="none"/>
        </w:rPr>
        <w:t>（GF-2017-0201）</w:t>
      </w:r>
    </w:p>
    <w:p w14:paraId="2EE5834D">
      <w:pPr>
        <w:wordWrap/>
        <w:spacing w:line="240" w:lineRule="auto"/>
        <w:ind w:firstLine="0" w:firstLineChars="0"/>
        <w:rPr>
          <w:rFonts w:ascii="宋体" w:hAnsi="宋体" w:eastAsia="宋体" w:cs="宋体"/>
          <w:highlight w:val="none"/>
        </w:rPr>
      </w:pPr>
    </w:p>
    <w:p w14:paraId="310A2140">
      <w:pPr>
        <w:wordWrap/>
        <w:spacing w:line="240" w:lineRule="auto"/>
        <w:ind w:firstLine="0" w:firstLineChars="0"/>
        <w:rPr>
          <w:rFonts w:ascii="宋体" w:hAnsi="宋体" w:eastAsia="宋体" w:cs="宋体"/>
          <w:highlight w:val="none"/>
        </w:rPr>
      </w:pPr>
    </w:p>
    <w:p w14:paraId="01396E76">
      <w:pPr>
        <w:wordWrap/>
        <w:spacing w:line="240" w:lineRule="auto"/>
        <w:ind w:firstLine="0" w:firstLineChars="0"/>
        <w:rPr>
          <w:rFonts w:ascii="宋体" w:hAnsi="宋体" w:eastAsia="宋体" w:cs="宋体"/>
          <w:highlight w:val="none"/>
        </w:rPr>
      </w:pPr>
    </w:p>
    <w:p w14:paraId="4BEB1835">
      <w:pPr>
        <w:wordWrap/>
        <w:spacing w:line="240" w:lineRule="auto"/>
        <w:ind w:firstLine="0" w:firstLineChars="0"/>
        <w:rPr>
          <w:rFonts w:ascii="宋体" w:hAnsi="宋体" w:eastAsia="宋体" w:cs="宋体"/>
          <w:highlight w:val="none"/>
        </w:rPr>
      </w:pPr>
    </w:p>
    <w:p w14:paraId="0ADCB669">
      <w:pPr>
        <w:wordWrap/>
        <w:spacing w:line="240" w:lineRule="auto"/>
        <w:ind w:firstLine="0" w:firstLineChars="0"/>
        <w:rPr>
          <w:rFonts w:ascii="宋体" w:hAnsi="宋体" w:eastAsia="宋体" w:cs="宋体"/>
          <w:highlight w:val="none"/>
        </w:rPr>
      </w:pPr>
    </w:p>
    <w:p w14:paraId="73EE0C20">
      <w:pPr>
        <w:wordWrap/>
        <w:spacing w:line="240" w:lineRule="auto"/>
        <w:ind w:firstLine="0" w:firstLineChars="0"/>
        <w:rPr>
          <w:rFonts w:ascii="宋体" w:hAnsi="宋体" w:eastAsia="宋体" w:cs="宋体"/>
          <w:highlight w:val="none"/>
        </w:rPr>
      </w:pPr>
    </w:p>
    <w:p w14:paraId="2E97BC29">
      <w:pPr>
        <w:wordWrap/>
        <w:spacing w:line="240" w:lineRule="auto"/>
        <w:ind w:firstLine="0" w:firstLineChars="0"/>
        <w:rPr>
          <w:rFonts w:ascii="宋体" w:hAnsi="宋体" w:eastAsia="宋体" w:cs="宋体"/>
          <w:highlight w:val="none"/>
        </w:rPr>
      </w:pPr>
    </w:p>
    <w:p w14:paraId="446928BC">
      <w:pPr>
        <w:wordWrap/>
        <w:spacing w:line="240" w:lineRule="auto"/>
        <w:ind w:firstLine="560" w:firstLineChars="200"/>
        <w:rPr>
          <w:rFonts w:ascii="宋体" w:hAnsi="宋体" w:eastAsia="宋体" w:cs="宋体"/>
          <w:highlight w:val="none"/>
        </w:rPr>
      </w:pPr>
      <w:r>
        <w:rPr>
          <w:rFonts w:hint="eastAsia" w:ascii="宋体" w:hAnsi="宋体" w:eastAsia="宋体" w:cs="宋体"/>
          <w:color w:val="auto"/>
          <w:sz w:val="28"/>
          <w:szCs w:val="28"/>
          <w:highlight w:val="none"/>
        </w:rPr>
        <w:t>重要提示：专用合同条款中的备注说明是为减少合同纠纷所作的条款拟定说明，在正式签订合同时请删除备注说明。</w:t>
      </w:r>
      <w:r>
        <w:rPr>
          <w:rFonts w:hint="eastAsia" w:ascii="宋体" w:hAnsi="宋体" w:eastAsia="宋体" w:cs="宋体"/>
          <w:sz w:val="28"/>
          <w:szCs w:val="28"/>
          <w:highlight w:val="none"/>
        </w:rPr>
        <w:br w:type="page"/>
      </w:r>
    </w:p>
    <w:p w14:paraId="5E82427B">
      <w:pPr>
        <w:wordWrap/>
        <w:spacing w:line="240" w:lineRule="auto"/>
        <w:ind w:firstLine="0" w:firstLineChars="0"/>
        <w:jc w:val="center"/>
        <w:rPr>
          <w:rFonts w:ascii="Calibri" w:hAnsi="Calibri" w:eastAsia="宋体" w:cs="Times New Roman"/>
          <w:b/>
          <w:sz w:val="30"/>
          <w:szCs w:val="30"/>
          <w:highlight w:val="none"/>
        </w:rPr>
      </w:pPr>
      <w:r>
        <w:rPr>
          <w:rFonts w:hint="eastAsia" w:ascii="Calibri" w:hAnsi="Calibri" w:eastAsia="宋体" w:cs="Times New Roman"/>
          <w:b/>
          <w:color w:val="auto"/>
          <w:sz w:val="30"/>
          <w:szCs w:val="30"/>
          <w:highlight w:val="none"/>
        </w:rPr>
        <w:t>第一部分  合</w:t>
      </w:r>
      <w:r>
        <w:rPr>
          <w:rFonts w:hint="eastAsia" w:ascii="Calibri" w:hAnsi="Calibri" w:eastAsia="宋体" w:cs="Times New Roman"/>
          <w:b/>
          <w:sz w:val="30"/>
          <w:szCs w:val="30"/>
          <w:highlight w:val="none"/>
        </w:rPr>
        <w:t>同协议书</w:t>
      </w:r>
    </w:p>
    <w:p w14:paraId="64D0D6CB">
      <w:pPr>
        <w:wordWrap/>
        <w:spacing w:line="240" w:lineRule="auto"/>
        <w:ind w:firstLine="0" w:firstLineChars="0"/>
        <w:jc w:val="center"/>
        <w:rPr>
          <w:rFonts w:ascii="Calibri" w:hAnsi="Calibri" w:eastAsia="宋体" w:cs="Times New Roman"/>
          <w:b/>
          <w:sz w:val="30"/>
          <w:szCs w:val="30"/>
          <w:highlight w:val="none"/>
        </w:rPr>
      </w:pPr>
    </w:p>
    <w:p w14:paraId="170665ED">
      <w:pPr>
        <w:widowControl w:val="0"/>
        <w:wordWrap/>
        <w:spacing w:line="320" w:lineRule="exact"/>
        <w:ind w:firstLine="0" w:firstLineChars="0"/>
        <w:jc w:val="both"/>
        <w:rPr>
          <w:rFonts w:ascii="宋体" w:hAnsi="宋体" w:eastAsia="宋体" w:cs="宋体"/>
          <w:b/>
          <w:kern w:val="2"/>
          <w:sz w:val="21"/>
          <w:szCs w:val="21"/>
          <w:highlight w:val="none"/>
          <w:u w:val="single"/>
          <w:lang w:val="en-US" w:eastAsia="zh-CN" w:bidi="ar-SA"/>
        </w:rPr>
      </w:pPr>
      <w:r>
        <w:rPr>
          <w:rFonts w:hint="eastAsia" w:ascii="宋体" w:hAnsi="宋体" w:eastAsia="宋体" w:cs="宋体"/>
          <w:b/>
          <w:kern w:val="2"/>
          <w:sz w:val="21"/>
          <w:szCs w:val="21"/>
          <w:highlight w:val="none"/>
          <w:lang w:val="en-US" w:eastAsia="zh-CN" w:bidi="ar-SA"/>
        </w:rPr>
        <w:t>发包人（全称）：</w:t>
      </w:r>
      <w:bookmarkStart w:id="11" w:name="EB8ddd8d1191814860af72db9b61971559"/>
      <w:bookmarkEnd w:id="11"/>
    </w:p>
    <w:p w14:paraId="46281758">
      <w:pPr>
        <w:widowControl w:val="0"/>
        <w:wordWrap/>
        <w:spacing w:line="320" w:lineRule="exact"/>
        <w:ind w:firstLine="0" w:firstLineChars="0"/>
        <w:jc w:val="both"/>
        <w:rPr>
          <w:rFonts w:ascii="宋体" w:hAnsi="宋体" w:eastAsia="宋体" w:cs="宋体"/>
          <w:b/>
          <w:kern w:val="2"/>
          <w:sz w:val="21"/>
          <w:szCs w:val="21"/>
          <w:highlight w:val="none"/>
          <w:u w:val="single"/>
          <w:lang w:val="en-US" w:eastAsia="zh-CN" w:bidi="ar-SA"/>
        </w:rPr>
      </w:pPr>
      <w:r>
        <w:rPr>
          <w:rFonts w:hint="eastAsia" w:ascii="宋体" w:hAnsi="宋体" w:eastAsia="宋体" w:cs="宋体"/>
          <w:b/>
          <w:kern w:val="2"/>
          <w:sz w:val="21"/>
          <w:szCs w:val="21"/>
          <w:highlight w:val="none"/>
          <w:lang w:val="en-US" w:eastAsia="zh-CN" w:bidi="ar-SA"/>
        </w:rPr>
        <w:t>承包人（全称）：</w:t>
      </w:r>
      <w:bookmarkStart w:id="12" w:name="EBf93cb4eb6efd4c8e9dc53bd7238eb151"/>
      <w:bookmarkEnd w:id="12"/>
    </w:p>
    <w:p w14:paraId="43563EA3">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根据《中华人民共和国民法典》、《中华人民共和国建筑法》及有关法律规定，遵循平等、自愿、公平和诚实信用的原则，双方就</w:t>
      </w:r>
      <w:bookmarkStart w:id="13" w:name="EB6e4f07b1982943dd92cf59d928b39df2"/>
      <w:bookmarkEnd w:id="13"/>
      <w:r>
        <w:rPr>
          <w:rFonts w:hint="eastAsia" w:ascii="宋体" w:hAnsi="宋体" w:eastAsia="宋体" w:cs="宋体"/>
          <w:kern w:val="2"/>
          <w:sz w:val="21"/>
          <w:szCs w:val="21"/>
          <w:highlight w:val="none"/>
          <w:lang w:val="en-US" w:eastAsia="zh-CN" w:bidi="ar-SA"/>
        </w:rPr>
        <w:t>工程施工及有关事项协商一致，共同达成如下协议：</w:t>
      </w:r>
    </w:p>
    <w:p w14:paraId="5B976F97">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一、工程概况</w:t>
      </w:r>
    </w:p>
    <w:p w14:paraId="7A99C90C">
      <w:pPr>
        <w:widowControl w:val="0"/>
        <w:wordWrap/>
        <w:spacing w:line="320" w:lineRule="exact"/>
        <w:ind w:firstLine="411" w:firstLineChars="196"/>
        <w:jc w:val="both"/>
        <w:rPr>
          <w:rFonts w:ascii="宋体" w:hAnsi="宋体" w:eastAsia="宋体" w:cs="宋体"/>
          <w:kern w:val="2"/>
          <w:sz w:val="21"/>
          <w:szCs w:val="21"/>
          <w:highlight w:val="none"/>
          <w:u w:val="single"/>
          <w:lang w:val="en-US" w:eastAsia="zh-CN" w:bidi="ar-SA"/>
        </w:rPr>
      </w:pPr>
      <w:r>
        <w:rPr>
          <w:rFonts w:hint="eastAsia" w:ascii="宋体" w:hAnsi="宋体" w:eastAsia="宋体" w:cs="宋体"/>
          <w:bCs/>
          <w:kern w:val="2"/>
          <w:sz w:val="21"/>
          <w:szCs w:val="21"/>
          <w:highlight w:val="none"/>
          <w:lang w:val="en-US" w:eastAsia="zh-CN" w:bidi="ar-SA"/>
        </w:rPr>
        <w:t>1.工程名称</w:t>
      </w:r>
      <w:r>
        <w:rPr>
          <w:rFonts w:hint="eastAsia" w:ascii="宋体" w:hAnsi="宋体" w:eastAsia="宋体" w:cs="宋体"/>
          <w:kern w:val="2"/>
          <w:sz w:val="21"/>
          <w:szCs w:val="21"/>
          <w:highlight w:val="none"/>
          <w:lang w:val="en-US" w:eastAsia="zh-CN" w:bidi="ar-SA"/>
        </w:rPr>
        <w:t>：</w:t>
      </w:r>
      <w:bookmarkStart w:id="14" w:name="EBc2c66cc2736e4cd8a8b61ba73c46f86f"/>
      <w:bookmarkEnd w:id="14"/>
      <w:r>
        <w:rPr>
          <w:rFonts w:hint="eastAsia" w:ascii="宋体" w:hAnsi="宋体" w:eastAsia="宋体" w:cs="宋体"/>
          <w:kern w:val="2"/>
          <w:sz w:val="21"/>
          <w:szCs w:val="21"/>
          <w:highlight w:val="none"/>
          <w:lang w:val="en-US" w:eastAsia="zh-CN" w:bidi="ar-SA"/>
        </w:rPr>
        <w:t>。</w:t>
      </w:r>
    </w:p>
    <w:p w14:paraId="641FB896">
      <w:pPr>
        <w:widowControl w:val="0"/>
        <w:wordWrap/>
        <w:spacing w:line="320" w:lineRule="exact"/>
        <w:ind w:firstLine="411" w:firstLineChars="196"/>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2.工程地点：</w:t>
      </w:r>
      <w:bookmarkStart w:id="15" w:name="EBe0cbb15070a04b10ac470a7a2e9f2755"/>
      <w:bookmarkEnd w:id="15"/>
      <w:r>
        <w:rPr>
          <w:rFonts w:hint="eastAsia" w:ascii="宋体" w:hAnsi="宋体" w:eastAsia="宋体" w:cs="宋体"/>
          <w:kern w:val="2"/>
          <w:sz w:val="21"/>
          <w:szCs w:val="21"/>
          <w:highlight w:val="none"/>
          <w:lang w:val="en-US" w:eastAsia="zh-CN" w:bidi="ar-SA"/>
        </w:rPr>
        <w:t>。</w:t>
      </w:r>
    </w:p>
    <w:p w14:paraId="453B7763">
      <w:pPr>
        <w:widowControl w:val="0"/>
        <w:wordWrap/>
        <w:spacing w:line="320" w:lineRule="exact"/>
        <w:ind w:firstLine="411" w:firstLineChars="196"/>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3.工程立项批准文号：</w:t>
      </w:r>
      <w:bookmarkStart w:id="16" w:name="EBe3583a5902bb4aaea0eae0b21cc9df92"/>
      <w:bookmarkEnd w:id="16"/>
      <w:r>
        <w:rPr>
          <w:rFonts w:hint="eastAsia" w:ascii="宋体" w:hAnsi="宋体" w:eastAsia="宋体" w:cs="宋体"/>
          <w:bCs/>
          <w:kern w:val="2"/>
          <w:sz w:val="21"/>
          <w:szCs w:val="21"/>
          <w:highlight w:val="none"/>
          <w:lang w:val="en-US" w:eastAsia="zh-CN" w:bidi="ar-SA"/>
        </w:rPr>
        <w:t>。</w:t>
      </w:r>
    </w:p>
    <w:p w14:paraId="6748B68D">
      <w:pPr>
        <w:widowControl w:val="0"/>
        <w:wordWrap/>
        <w:spacing w:line="320" w:lineRule="exact"/>
        <w:ind w:firstLine="411" w:firstLineChars="196"/>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4.资金来源：</w:t>
      </w:r>
      <w:bookmarkStart w:id="17" w:name="EBfa84b557fccd40868af61e24be2fbb17"/>
      <w:bookmarkEnd w:id="17"/>
      <w:r>
        <w:rPr>
          <w:rFonts w:hint="eastAsia" w:ascii="宋体" w:hAnsi="宋体" w:eastAsia="宋体" w:cs="宋体"/>
          <w:bCs/>
          <w:kern w:val="2"/>
          <w:sz w:val="21"/>
          <w:szCs w:val="21"/>
          <w:highlight w:val="none"/>
          <w:lang w:val="en-US" w:eastAsia="zh-CN" w:bidi="ar-SA"/>
        </w:rPr>
        <w:t>。</w:t>
      </w:r>
    </w:p>
    <w:p w14:paraId="511FEA1D">
      <w:pPr>
        <w:widowControl w:val="0"/>
        <w:wordWrap/>
        <w:spacing w:line="320" w:lineRule="exact"/>
        <w:ind w:firstLine="411" w:firstLineChars="196"/>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5.工程内容：</w:t>
      </w:r>
      <w:bookmarkStart w:id="18" w:name="EB953224ae73fb4a099f41eb112f8989df"/>
      <w:bookmarkEnd w:id="18"/>
      <w:r>
        <w:rPr>
          <w:rFonts w:hint="eastAsia" w:ascii="宋体" w:hAnsi="宋体" w:eastAsia="宋体" w:cs="宋体"/>
          <w:bCs/>
          <w:kern w:val="2"/>
          <w:sz w:val="21"/>
          <w:szCs w:val="21"/>
          <w:highlight w:val="none"/>
          <w:lang w:val="en-US" w:eastAsia="zh-CN" w:bidi="ar-SA"/>
        </w:rPr>
        <w:t>。</w:t>
      </w:r>
    </w:p>
    <w:p w14:paraId="07C82AFB">
      <w:pPr>
        <w:widowControl w:val="0"/>
        <w:wordWrap/>
        <w:spacing w:line="320" w:lineRule="exact"/>
        <w:ind w:firstLine="411" w:firstLineChars="196"/>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群体工程应附《承包人承揽工程项目一览表》（附件1）。</w:t>
      </w:r>
    </w:p>
    <w:p w14:paraId="308EE472">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6.工程承包范围：</w:t>
      </w:r>
      <w:bookmarkStart w:id="19" w:name="EB2af194420490465283e0efb2f585b9c9"/>
      <w:bookmarkEnd w:id="19"/>
      <w:r>
        <w:rPr>
          <w:rFonts w:hint="eastAsia" w:ascii="宋体" w:hAnsi="宋体" w:eastAsia="宋体" w:cs="宋体"/>
          <w:kern w:val="2"/>
          <w:sz w:val="21"/>
          <w:szCs w:val="21"/>
          <w:highlight w:val="none"/>
          <w:lang w:val="en-US" w:eastAsia="zh-CN" w:bidi="ar-SA"/>
        </w:rPr>
        <w:t>。</w:t>
      </w:r>
    </w:p>
    <w:p w14:paraId="0A66B7FC">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二、合同工期</w:t>
      </w:r>
    </w:p>
    <w:p w14:paraId="19E08B17">
      <w:pPr>
        <w:widowControl w:val="0"/>
        <w:wordWrap/>
        <w:spacing w:line="320" w:lineRule="exact"/>
        <w:ind w:firstLine="459"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计划开工日期：</w:t>
      </w:r>
      <w:bookmarkStart w:id="20" w:name="EBa8495e5083c9453eba7072b76f52fed1"/>
      <w:bookmarkEnd w:id="20"/>
      <w:r>
        <w:rPr>
          <w:rFonts w:hint="eastAsia" w:ascii="宋体" w:hAnsi="宋体" w:eastAsia="宋体" w:cs="宋体"/>
          <w:kern w:val="2"/>
          <w:sz w:val="21"/>
          <w:szCs w:val="21"/>
          <w:highlight w:val="none"/>
          <w:lang w:val="en-US" w:eastAsia="zh-CN" w:bidi="ar-SA"/>
        </w:rPr>
        <w:t>。</w:t>
      </w:r>
    </w:p>
    <w:p w14:paraId="45D47457">
      <w:pPr>
        <w:widowControl w:val="0"/>
        <w:wordWrap/>
        <w:spacing w:line="320" w:lineRule="exact"/>
        <w:ind w:firstLine="459"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计划竣工日期：</w:t>
      </w:r>
      <w:bookmarkStart w:id="21" w:name="EB4c5da8a437eb46ff83a7af0dd064f450"/>
      <w:bookmarkEnd w:id="21"/>
      <w:r>
        <w:rPr>
          <w:rFonts w:hint="eastAsia" w:ascii="宋体" w:hAnsi="宋体" w:eastAsia="宋体" w:cs="宋体"/>
          <w:kern w:val="2"/>
          <w:sz w:val="21"/>
          <w:szCs w:val="21"/>
          <w:highlight w:val="none"/>
          <w:lang w:val="en-US" w:eastAsia="zh-CN" w:bidi="ar-SA"/>
        </w:rPr>
        <w:t>。</w:t>
      </w:r>
    </w:p>
    <w:p w14:paraId="6335D664">
      <w:pPr>
        <w:widowControl w:val="0"/>
        <w:wordWrap/>
        <w:spacing w:line="320" w:lineRule="exact"/>
        <w:ind w:firstLine="459"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工期总日历天数：</w:t>
      </w:r>
      <w:bookmarkStart w:id="22" w:name="EBb68fecf6b52f41c3bf2ff460e13f93d9"/>
      <w:bookmarkEnd w:id="22"/>
      <w:r>
        <w:rPr>
          <w:rFonts w:hint="eastAsia" w:ascii="宋体" w:hAnsi="宋体" w:eastAsia="宋体" w:cs="宋体"/>
          <w:kern w:val="2"/>
          <w:sz w:val="21"/>
          <w:szCs w:val="21"/>
          <w:highlight w:val="none"/>
          <w:lang w:val="en-US" w:eastAsia="zh-CN" w:bidi="ar-SA"/>
        </w:rPr>
        <w:t>天。工期总日历天数与根据前述计划开竣工日期计算的工期天数不一致的，以工期总日历天数为准。</w:t>
      </w:r>
    </w:p>
    <w:p w14:paraId="2F57662F">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三、质量标准</w:t>
      </w:r>
    </w:p>
    <w:p w14:paraId="6500547F">
      <w:pPr>
        <w:widowControl w:val="0"/>
        <w:wordWrap/>
        <w:spacing w:line="320" w:lineRule="exact"/>
        <w:ind w:firstLine="459"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工程质量符合</w:t>
      </w:r>
      <w:bookmarkStart w:id="23" w:name="EBa74d6478b784464fa98a1992278d75fd"/>
      <w:bookmarkEnd w:id="23"/>
      <w:r>
        <w:rPr>
          <w:rFonts w:hint="eastAsia" w:ascii="宋体" w:hAnsi="宋体" w:eastAsia="宋体" w:cs="宋体"/>
          <w:kern w:val="2"/>
          <w:sz w:val="21"/>
          <w:szCs w:val="21"/>
          <w:highlight w:val="none"/>
          <w:lang w:val="en-US" w:eastAsia="zh-CN" w:bidi="ar-SA"/>
        </w:rPr>
        <w:t>标准。</w:t>
      </w:r>
    </w:p>
    <w:p w14:paraId="549D8142">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四、签约合同价与合同价格形式</w:t>
      </w:r>
      <w:r>
        <w:rPr>
          <w:rFonts w:ascii="Times New Roman" w:hAnsi="Times New Roman" w:eastAsia="宋体" w:cs="Times New Roman"/>
          <w:kern w:val="2"/>
          <w:sz w:val="28"/>
          <w:szCs w:val="28"/>
          <w:highlight w:val="none"/>
          <w:lang w:val="en-US" w:eastAsia="zh-CN" w:bidi="ar-SA"/>
        </w:rPr>
        <w:tab/>
      </w:r>
    </w:p>
    <w:p w14:paraId="1D3284BB">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1.签约合同价为：</w:t>
      </w:r>
    </w:p>
    <w:p w14:paraId="39B3AB45">
      <w:pPr>
        <w:widowControl w:val="0"/>
        <w:wordWrap/>
        <w:spacing w:line="320" w:lineRule="exact"/>
        <w:ind w:firstLine="945" w:firstLineChars="45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人民币（大写）</w:t>
      </w:r>
      <w:bookmarkStart w:id="24" w:name="EB872b4c8a41794befa87595c96bb5c133"/>
      <w:bookmarkEnd w:id="24"/>
      <w:r>
        <w:rPr>
          <w:rFonts w:hint="eastAsia" w:ascii="宋体" w:hAnsi="宋体" w:eastAsia="宋体" w:cs="宋体"/>
          <w:kern w:val="2"/>
          <w:sz w:val="21"/>
          <w:szCs w:val="21"/>
          <w:highlight w:val="none"/>
          <w:lang w:val="en-US" w:eastAsia="zh-CN" w:bidi="ar-SA"/>
        </w:rPr>
        <w:t>(¥</w:t>
      </w:r>
      <w:bookmarkStart w:id="25" w:name="EB92567ebf30a848619a3ce86fc6496b8c"/>
      <w:bookmarkEnd w:id="25"/>
      <w:r>
        <w:rPr>
          <w:rFonts w:hint="eastAsia" w:ascii="宋体" w:hAnsi="宋体" w:eastAsia="宋体" w:cs="宋体"/>
          <w:kern w:val="2"/>
          <w:sz w:val="21"/>
          <w:szCs w:val="21"/>
          <w:highlight w:val="none"/>
          <w:lang w:val="en-US" w:eastAsia="zh-CN" w:bidi="ar-SA"/>
        </w:rPr>
        <w:t>元)；</w:t>
      </w:r>
    </w:p>
    <w:p w14:paraId="5A5C6833">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其中：</w:t>
      </w:r>
    </w:p>
    <w:p w14:paraId="3A234A5B">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（1）安全文明施工基本费：</w:t>
      </w:r>
    </w:p>
    <w:p w14:paraId="42A3100F">
      <w:pPr>
        <w:widowControl w:val="0"/>
        <w:wordWrap/>
        <w:spacing w:line="320" w:lineRule="exact"/>
        <w:ind w:firstLine="945" w:firstLineChars="45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人民币（大写）</w:t>
      </w:r>
      <w:bookmarkStart w:id="26" w:name="EBfe47d7c0dea543cdb9d281ee712e2415"/>
      <w:bookmarkEnd w:id="26"/>
      <w:r>
        <w:rPr>
          <w:rFonts w:hint="eastAsia" w:ascii="宋体" w:hAnsi="宋体" w:eastAsia="宋体" w:cs="宋体"/>
          <w:kern w:val="2"/>
          <w:sz w:val="21"/>
          <w:szCs w:val="21"/>
          <w:highlight w:val="none"/>
          <w:lang w:val="en-US" w:eastAsia="zh-CN" w:bidi="ar-SA"/>
        </w:rPr>
        <w:t>(¥</w:t>
      </w:r>
      <w:bookmarkStart w:id="27" w:name="EBfc0af122dc3948f8944a747cd3628ee6"/>
      <w:bookmarkEnd w:id="27"/>
      <w:r>
        <w:rPr>
          <w:rFonts w:hint="eastAsia" w:ascii="宋体" w:hAnsi="宋体" w:eastAsia="宋体" w:cs="宋体"/>
          <w:kern w:val="2"/>
          <w:sz w:val="21"/>
          <w:szCs w:val="21"/>
          <w:highlight w:val="none"/>
          <w:lang w:val="en-US" w:eastAsia="zh-CN" w:bidi="ar-SA"/>
        </w:rPr>
        <w:t>元)；</w:t>
      </w:r>
    </w:p>
    <w:p w14:paraId="13ED7B12">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（2）材料和工程设备暂估价金额：</w:t>
      </w:r>
    </w:p>
    <w:p w14:paraId="19061855">
      <w:pPr>
        <w:widowControl w:val="0"/>
        <w:wordWrap/>
        <w:spacing w:line="320" w:lineRule="exact"/>
        <w:ind w:firstLine="945" w:firstLineChars="45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人民币（大写）</w:t>
      </w:r>
      <w:bookmarkStart w:id="28" w:name="EBcc37b959ace349f996a6461d7232a292"/>
      <w:bookmarkEnd w:id="28"/>
      <w:r>
        <w:rPr>
          <w:rFonts w:hint="eastAsia" w:ascii="宋体" w:hAnsi="宋体" w:eastAsia="宋体" w:cs="宋体"/>
          <w:kern w:val="2"/>
          <w:sz w:val="21"/>
          <w:szCs w:val="21"/>
          <w:highlight w:val="none"/>
          <w:lang w:val="en-US" w:eastAsia="zh-CN" w:bidi="ar-SA"/>
        </w:rPr>
        <w:t>(¥</w:t>
      </w:r>
      <w:bookmarkStart w:id="29" w:name="EBe11be8fa3d234cdca41e221df1478909"/>
      <w:bookmarkEnd w:id="29"/>
      <w:r>
        <w:rPr>
          <w:rFonts w:hint="eastAsia" w:ascii="宋体" w:hAnsi="宋体" w:eastAsia="宋体" w:cs="宋体"/>
          <w:kern w:val="2"/>
          <w:sz w:val="21"/>
          <w:szCs w:val="21"/>
          <w:highlight w:val="none"/>
          <w:lang w:val="en-US" w:eastAsia="zh-CN" w:bidi="ar-SA"/>
        </w:rPr>
        <w:t>元)；</w:t>
      </w:r>
    </w:p>
    <w:p w14:paraId="383070D1">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（3）专业工程暂估价金额：</w:t>
      </w:r>
    </w:p>
    <w:p w14:paraId="0FB94971">
      <w:pPr>
        <w:widowControl w:val="0"/>
        <w:wordWrap/>
        <w:spacing w:line="320" w:lineRule="exact"/>
        <w:ind w:firstLine="945" w:firstLineChars="45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人民币（大写）</w:t>
      </w:r>
      <w:bookmarkStart w:id="30" w:name="EBbe172ff30b0b41c5ad58233b9b4c6936"/>
      <w:bookmarkEnd w:id="30"/>
      <w:r>
        <w:rPr>
          <w:rFonts w:hint="eastAsia" w:ascii="宋体" w:hAnsi="宋体" w:eastAsia="宋体" w:cs="宋体"/>
          <w:kern w:val="2"/>
          <w:sz w:val="21"/>
          <w:szCs w:val="21"/>
          <w:highlight w:val="none"/>
          <w:lang w:val="en-US" w:eastAsia="zh-CN" w:bidi="ar-SA"/>
        </w:rPr>
        <w:t>(¥</w:t>
      </w:r>
      <w:bookmarkStart w:id="31" w:name="EB71378d074de04721aef91d4e97abad96"/>
      <w:bookmarkEnd w:id="31"/>
      <w:r>
        <w:rPr>
          <w:rFonts w:hint="eastAsia" w:ascii="宋体" w:hAnsi="宋体" w:eastAsia="宋体" w:cs="宋体"/>
          <w:kern w:val="2"/>
          <w:sz w:val="21"/>
          <w:szCs w:val="21"/>
          <w:highlight w:val="none"/>
          <w:lang w:val="en-US" w:eastAsia="zh-CN" w:bidi="ar-SA"/>
        </w:rPr>
        <w:t>元)；</w:t>
      </w:r>
    </w:p>
    <w:p w14:paraId="4F143DF0">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（4）暂列金额：</w:t>
      </w:r>
    </w:p>
    <w:p w14:paraId="000AD2E1">
      <w:pPr>
        <w:widowControl w:val="0"/>
        <w:wordWrap/>
        <w:spacing w:line="320" w:lineRule="exact"/>
        <w:ind w:firstLine="945" w:firstLineChars="45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人民币（大写）</w:t>
      </w:r>
      <w:bookmarkStart w:id="32" w:name="EB68411826a0b0422b97610402f1fc3131"/>
      <w:bookmarkEnd w:id="32"/>
      <w:r>
        <w:rPr>
          <w:rFonts w:hint="eastAsia" w:ascii="宋体" w:hAnsi="宋体" w:eastAsia="宋体" w:cs="宋体"/>
          <w:kern w:val="2"/>
          <w:sz w:val="21"/>
          <w:szCs w:val="21"/>
          <w:highlight w:val="none"/>
          <w:lang w:val="en-US" w:eastAsia="zh-CN" w:bidi="ar-SA"/>
        </w:rPr>
        <w:t>(¥</w:t>
      </w:r>
      <w:bookmarkStart w:id="33" w:name="EBc62404e85a72404cb9a77cea3c5fe579"/>
      <w:bookmarkEnd w:id="33"/>
      <w:r>
        <w:rPr>
          <w:rFonts w:hint="eastAsia" w:ascii="宋体" w:hAnsi="宋体" w:eastAsia="宋体" w:cs="宋体"/>
          <w:kern w:val="2"/>
          <w:sz w:val="21"/>
          <w:szCs w:val="21"/>
          <w:highlight w:val="none"/>
          <w:lang w:val="en-US" w:eastAsia="zh-CN" w:bidi="ar-SA"/>
        </w:rPr>
        <w:t>元)。</w:t>
      </w:r>
    </w:p>
    <w:p w14:paraId="3EDF835E">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2.合同价格形式：</w:t>
      </w:r>
      <w:bookmarkStart w:id="34" w:name="EB80506dc82afd4ca995d5021480130a16"/>
      <w:bookmarkEnd w:id="34"/>
      <w:r>
        <w:rPr>
          <w:rFonts w:hint="eastAsia" w:ascii="宋体" w:hAnsi="宋体" w:eastAsia="宋体" w:cs="宋体"/>
          <w:kern w:val="2"/>
          <w:sz w:val="21"/>
          <w:szCs w:val="21"/>
          <w:highlight w:val="none"/>
          <w:lang w:val="en-US" w:eastAsia="zh-CN" w:bidi="ar-SA"/>
        </w:rPr>
        <w:t>。</w:t>
      </w:r>
    </w:p>
    <w:p w14:paraId="0760F1E4">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五、</w:t>
      </w:r>
      <w:r>
        <w:rPr>
          <w:rFonts w:hint="eastAsia" w:cs="Times New Roman"/>
          <w:kern w:val="2"/>
          <w:sz w:val="28"/>
          <w:szCs w:val="28"/>
          <w:highlight w:val="none"/>
          <w:lang w:val="en-US" w:eastAsia="zh-CN" w:bidi="ar-SA"/>
        </w:rPr>
        <w:t>项目负责人</w:t>
      </w:r>
    </w:p>
    <w:p w14:paraId="5830956A">
      <w:pPr>
        <w:widowControl w:val="0"/>
        <w:wordWrap/>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承包人</w:t>
      </w:r>
      <w:r>
        <w:rPr>
          <w:rFonts w:hint="eastAsia" w:ascii="宋体" w:hAnsi="宋体" w:cs="宋体"/>
          <w:kern w:val="2"/>
          <w:sz w:val="21"/>
          <w:szCs w:val="21"/>
          <w:highlight w:val="none"/>
          <w:lang w:val="en-US" w:eastAsia="zh-CN" w:bidi="ar-SA"/>
        </w:rPr>
        <w:t>项目负责人</w:t>
      </w:r>
      <w:r>
        <w:rPr>
          <w:rFonts w:hint="eastAsia" w:ascii="宋体" w:hAnsi="宋体" w:eastAsia="宋体" w:cs="宋体"/>
          <w:kern w:val="2"/>
          <w:sz w:val="21"/>
          <w:szCs w:val="21"/>
          <w:highlight w:val="none"/>
          <w:lang w:val="en-US" w:eastAsia="zh-CN" w:bidi="ar-SA"/>
        </w:rPr>
        <w:t>：</w:t>
      </w:r>
      <w:bookmarkStart w:id="35" w:name="EBec2dd59f4be542d6ae1b0ae602df3b6e"/>
      <w:bookmarkEnd w:id="35"/>
      <w:r>
        <w:rPr>
          <w:rFonts w:hint="eastAsia" w:ascii="宋体" w:hAnsi="宋体" w:eastAsia="宋体" w:cs="宋体"/>
          <w:kern w:val="2"/>
          <w:sz w:val="21"/>
          <w:szCs w:val="21"/>
          <w:highlight w:val="none"/>
          <w:lang w:val="en-US" w:eastAsia="zh-CN" w:bidi="ar-SA"/>
        </w:rPr>
        <w:t>。</w:t>
      </w:r>
    </w:p>
    <w:p w14:paraId="0781F142">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六、合同文件构成</w:t>
      </w:r>
    </w:p>
    <w:p w14:paraId="186150AB">
      <w:pPr>
        <w:widowControl w:val="0"/>
        <w:wordWrap/>
        <w:spacing w:line="32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本协议书与下列文件一起构成合同文件：</w:t>
      </w:r>
    </w:p>
    <w:p w14:paraId="46E41B22">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（1）中标通知书；</w:t>
      </w:r>
    </w:p>
    <w:p w14:paraId="6160F9AA">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（2）投标函及其附录； </w:t>
      </w:r>
    </w:p>
    <w:p w14:paraId="1C27348B">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（3）专用合同条款及其附件；</w:t>
      </w:r>
    </w:p>
    <w:p w14:paraId="00012B2F">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（4）通用合同条款；</w:t>
      </w:r>
    </w:p>
    <w:p w14:paraId="61DEBA9B">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（5）技术标准和要求；</w:t>
      </w:r>
    </w:p>
    <w:p w14:paraId="088749DC">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（6）图纸；</w:t>
      </w:r>
    </w:p>
    <w:p w14:paraId="2009D38A">
      <w:pPr>
        <w:widowControl w:val="0"/>
        <w:tabs>
          <w:tab w:val="left" w:pos="0"/>
        </w:tabs>
        <w:wordWrap/>
        <w:spacing w:line="240" w:lineRule="auto"/>
        <w:ind w:firstLine="409" w:firstLineChars="195"/>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（7）已标价的工程量清单；</w:t>
      </w:r>
    </w:p>
    <w:p w14:paraId="3CFC9546">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（8）其他合同文件。</w:t>
      </w:r>
    </w:p>
    <w:p w14:paraId="27C4317A">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在合同订立及履行过程中形成的与合同有关的文件均构成合同文件组成部分。</w:t>
      </w:r>
    </w:p>
    <w:p w14:paraId="4640BDBE">
      <w:pPr>
        <w:widowControl w:val="0"/>
        <w:wordWrap/>
        <w:autoSpaceDE w:val="0"/>
        <w:autoSpaceDN w:val="0"/>
        <w:adjustRightInd w:val="0"/>
        <w:spacing w:line="32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上述各项合同文件包括合同当事人就该项合同文件所作出的补充和修改，属于同一类内容的文件，应以最新签署的为准。专用合同条款及其附件须经合同当事人签字或盖章。</w:t>
      </w:r>
    </w:p>
    <w:p w14:paraId="028012C3">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七、承诺</w:t>
      </w:r>
    </w:p>
    <w:p w14:paraId="25303B61">
      <w:pPr>
        <w:widowControl w:val="0"/>
        <w:wordWrap/>
        <w:spacing w:line="32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1.发包人承诺按照法律规定履行项目审批手续、筹集工程建设资金并按照合同约定的期限和方式支付合同价款。</w:t>
      </w:r>
    </w:p>
    <w:p w14:paraId="484D39D6">
      <w:pPr>
        <w:widowControl w:val="0"/>
        <w:wordWrap/>
        <w:spacing w:line="32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2.承包人承诺按照法律规定及合同约定组织完成工程施工，确保工程质量和安全，不进行转包及违法分包，并在缺陷责任期及保修期内承担相应的工程维修责任。</w:t>
      </w:r>
    </w:p>
    <w:p w14:paraId="726C7F06">
      <w:pPr>
        <w:widowControl w:val="0"/>
        <w:wordWrap/>
        <w:spacing w:line="32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3.发包人和承包人通过招投标形式签订合同的，双方理解并承诺不再就同一工程另行签订与合同实质性内容相背离的协议。</w:t>
      </w:r>
    </w:p>
    <w:p w14:paraId="138579AA">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八、词语含义</w:t>
      </w:r>
    </w:p>
    <w:p w14:paraId="3045B598">
      <w:pPr>
        <w:widowControl w:val="0"/>
        <w:wordWrap/>
        <w:spacing w:line="32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本协议书中词语含义与第二部分通用合同条款中赋予的含义相同。</w:t>
      </w:r>
    </w:p>
    <w:p w14:paraId="7C68B79E">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九、签订时间</w:t>
      </w:r>
    </w:p>
    <w:p w14:paraId="75451505">
      <w:pPr>
        <w:widowControl w:val="0"/>
        <w:wordWrap/>
        <w:spacing w:line="24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本合同于</w:t>
      </w:r>
      <w:bookmarkStart w:id="36" w:name="EB020b92047fe6415896a6a55445d98d55"/>
      <w:bookmarkEnd w:id="36"/>
      <w:r>
        <w:rPr>
          <w:rFonts w:hint="eastAsia" w:ascii="宋体" w:hAnsi="宋体" w:eastAsia="宋体" w:cs="宋体"/>
          <w:bCs/>
          <w:kern w:val="2"/>
          <w:sz w:val="21"/>
          <w:szCs w:val="21"/>
          <w:highlight w:val="none"/>
          <w:lang w:val="en-US" w:eastAsia="zh-CN" w:bidi="ar-SA"/>
        </w:rPr>
        <w:t>签订。</w:t>
      </w:r>
    </w:p>
    <w:p w14:paraId="02EAD0B1">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十、签订地点</w:t>
      </w:r>
    </w:p>
    <w:p w14:paraId="4CA1AB82">
      <w:pPr>
        <w:widowControl w:val="0"/>
        <w:wordWrap/>
        <w:spacing w:line="24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本合同在</w:t>
      </w:r>
      <w:bookmarkStart w:id="37" w:name="EBeda84e7bc3c744e19bb5bf738ade54dd"/>
      <w:bookmarkEnd w:id="37"/>
      <w:r>
        <w:rPr>
          <w:rFonts w:hint="eastAsia" w:ascii="宋体" w:hAnsi="宋体" w:eastAsia="宋体" w:cs="宋体"/>
          <w:bCs/>
          <w:kern w:val="2"/>
          <w:sz w:val="21"/>
          <w:szCs w:val="21"/>
          <w:highlight w:val="none"/>
          <w:lang w:val="en-US" w:eastAsia="zh-CN" w:bidi="ar-SA"/>
        </w:rPr>
        <w:t>签订。</w:t>
      </w:r>
    </w:p>
    <w:p w14:paraId="67254CF0">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十一、补充协议</w:t>
      </w:r>
    </w:p>
    <w:p w14:paraId="3ECFA3DC">
      <w:pPr>
        <w:widowControl w:val="0"/>
        <w:wordWrap/>
        <w:spacing w:line="240" w:lineRule="exact"/>
        <w:ind w:firstLine="420" w:firstLineChars="200"/>
        <w:jc w:val="both"/>
        <w:rPr>
          <w:rFonts w:ascii="宋体" w:hAnsi="宋体" w:eastAsia="宋体" w:cs="宋体"/>
          <w:b/>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合同未尽事宜，合同当事人另行签订补充协议，补充协议是合同的组成部分。</w:t>
      </w:r>
    </w:p>
    <w:p w14:paraId="6692A69E">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十二、合同生效</w:t>
      </w:r>
    </w:p>
    <w:p w14:paraId="5C576146">
      <w:pPr>
        <w:widowControl w:val="0"/>
        <w:wordWrap/>
        <w:spacing w:line="24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本合同自</w:t>
      </w:r>
      <w:bookmarkStart w:id="38" w:name="EB5a829548ac7f4d36a1e95acfe1886427"/>
      <w:bookmarkEnd w:id="38"/>
      <w:r>
        <w:rPr>
          <w:rFonts w:hint="eastAsia" w:ascii="宋体" w:hAnsi="宋体" w:eastAsia="宋体" w:cs="宋体"/>
          <w:bCs/>
          <w:kern w:val="2"/>
          <w:sz w:val="21"/>
          <w:szCs w:val="21"/>
          <w:highlight w:val="none"/>
          <w:lang w:val="en-US" w:eastAsia="zh-CN" w:bidi="ar-SA"/>
        </w:rPr>
        <w:t>生效。</w:t>
      </w:r>
    </w:p>
    <w:p w14:paraId="0B9EC54B">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十三、合同份数</w:t>
      </w:r>
    </w:p>
    <w:p w14:paraId="5671F28D">
      <w:pPr>
        <w:widowControl w:val="0"/>
        <w:wordWrap/>
        <w:spacing w:line="240" w:lineRule="exact"/>
        <w:ind w:firstLine="420" w:firstLineChars="200"/>
        <w:jc w:val="both"/>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本合同一式</w:t>
      </w:r>
      <w:bookmarkStart w:id="39" w:name="EB1795d867ad73451a89aaa1e39aa1adbd"/>
      <w:bookmarkEnd w:id="39"/>
      <w:r>
        <w:rPr>
          <w:rFonts w:hint="eastAsia" w:ascii="宋体" w:hAnsi="宋体" w:eastAsia="宋体" w:cs="宋体"/>
          <w:bCs/>
          <w:kern w:val="2"/>
          <w:sz w:val="21"/>
          <w:szCs w:val="21"/>
          <w:highlight w:val="none"/>
          <w:lang w:val="en-US" w:eastAsia="zh-CN" w:bidi="ar-SA"/>
        </w:rPr>
        <w:t>份，均具有同等法律效力，发包人执</w:t>
      </w:r>
      <w:bookmarkStart w:id="40" w:name="EBcd8cc79572a840efacca3519f8bb649b"/>
      <w:bookmarkEnd w:id="40"/>
      <w:r>
        <w:rPr>
          <w:rFonts w:hint="eastAsia" w:ascii="宋体" w:hAnsi="宋体" w:eastAsia="宋体" w:cs="宋体"/>
          <w:bCs/>
          <w:kern w:val="2"/>
          <w:sz w:val="21"/>
          <w:szCs w:val="21"/>
          <w:highlight w:val="none"/>
          <w:lang w:val="en-US" w:eastAsia="zh-CN" w:bidi="ar-SA"/>
        </w:rPr>
        <w:t>份，承包人执</w:t>
      </w:r>
      <w:bookmarkStart w:id="41" w:name="EBf84f838b500c47dd8ba831bc64ff9396"/>
      <w:bookmarkEnd w:id="41"/>
      <w:r>
        <w:rPr>
          <w:rFonts w:hint="eastAsia" w:ascii="宋体" w:hAnsi="宋体" w:eastAsia="宋体" w:cs="宋体"/>
          <w:bCs/>
          <w:kern w:val="2"/>
          <w:sz w:val="21"/>
          <w:szCs w:val="21"/>
          <w:highlight w:val="none"/>
          <w:lang w:val="en-US" w:eastAsia="zh-CN" w:bidi="ar-SA"/>
        </w:rPr>
        <w:t>份。</w:t>
      </w:r>
    </w:p>
    <w:p w14:paraId="754945C3">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p>
    <w:tbl>
      <w:tblPr>
        <w:tblStyle w:val="30"/>
        <w:tblW w:w="0" w:type="auto"/>
        <w:tblInd w:w="0" w:type="dxa"/>
        <w:tblLayout w:type="fixed"/>
        <w:tblCellMar>
          <w:top w:w="0" w:type="dxa"/>
          <w:left w:w="108" w:type="dxa"/>
          <w:bottom w:w="0" w:type="dxa"/>
          <w:right w:w="108" w:type="dxa"/>
        </w:tblCellMar>
      </w:tblPr>
      <w:tblGrid>
        <w:gridCol w:w="2235"/>
        <w:gridCol w:w="2643"/>
        <w:gridCol w:w="2318"/>
        <w:gridCol w:w="2561"/>
      </w:tblGrid>
      <w:tr w14:paraId="69624ACF">
        <w:tblPrEx>
          <w:tblCellMar>
            <w:top w:w="0" w:type="dxa"/>
            <w:left w:w="108" w:type="dxa"/>
            <w:bottom w:w="0" w:type="dxa"/>
            <w:right w:w="108" w:type="dxa"/>
          </w:tblCellMar>
        </w:tblPrEx>
        <w:tc>
          <w:tcPr>
            <w:tcW w:w="2235" w:type="dxa"/>
            <w:noWrap w:val="0"/>
            <w:vAlign w:val="center"/>
          </w:tcPr>
          <w:p w14:paraId="0FA8680F">
            <w:pPr>
              <w:widowControl w:val="0"/>
              <w:wordWrap/>
              <w:spacing w:line="320" w:lineRule="exact"/>
              <w:ind w:firstLine="0" w:firstLineChars="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w:t>
            </w:r>
          </w:p>
        </w:tc>
        <w:tc>
          <w:tcPr>
            <w:tcW w:w="2643" w:type="dxa"/>
            <w:noWrap w:val="0"/>
            <w:vAlign w:val="center"/>
          </w:tcPr>
          <w:p w14:paraId="3D749E58">
            <w:pPr>
              <w:widowControl w:val="0"/>
              <w:wordWrap/>
              <w:spacing w:line="320" w:lineRule="exact"/>
              <w:ind w:firstLine="0" w:firstLineChars="0"/>
              <w:jc w:val="both"/>
              <w:rPr>
                <w:rFonts w:ascii="宋体" w:hAnsi="宋体" w:eastAsia="宋体" w:cs="宋体"/>
                <w:bCs/>
                <w:color w:val="auto"/>
                <w:kern w:val="2"/>
                <w:sz w:val="21"/>
                <w:szCs w:val="21"/>
                <w:highlight w:val="none"/>
                <w:u w:val="single"/>
                <w:lang w:val="en-US" w:eastAsia="zh-CN" w:bidi="ar-SA"/>
              </w:rPr>
            </w:pPr>
            <w:bookmarkStart w:id="42" w:name="EB0f58434b84ef465ca37e0bb3852f29ff"/>
            <w:bookmarkEnd w:id="42"/>
            <w:r>
              <w:rPr>
                <w:rFonts w:hint="eastAsia" w:ascii="宋体" w:hAnsi="宋体" w:eastAsia="宋体" w:cs="宋体"/>
                <w:color w:val="auto"/>
                <w:kern w:val="2"/>
                <w:sz w:val="21"/>
                <w:szCs w:val="21"/>
                <w:highlight w:val="none"/>
                <w:u w:val="single"/>
                <w:lang w:val="en-US" w:eastAsia="zh-CN" w:bidi="ar-SA"/>
              </w:rPr>
              <w:t>(公章或合同章)</w:t>
            </w:r>
          </w:p>
        </w:tc>
        <w:tc>
          <w:tcPr>
            <w:tcW w:w="2318" w:type="dxa"/>
            <w:noWrap w:val="0"/>
            <w:vAlign w:val="center"/>
          </w:tcPr>
          <w:p w14:paraId="5F1D3A96">
            <w:pPr>
              <w:widowControl w:val="0"/>
              <w:wordWrap/>
              <w:spacing w:line="320" w:lineRule="exact"/>
              <w:ind w:firstLine="0" w:firstLineChars="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w:t>
            </w:r>
          </w:p>
        </w:tc>
        <w:tc>
          <w:tcPr>
            <w:tcW w:w="2561" w:type="dxa"/>
            <w:noWrap w:val="0"/>
            <w:vAlign w:val="center"/>
          </w:tcPr>
          <w:p w14:paraId="4607B19F">
            <w:pPr>
              <w:widowControl w:val="0"/>
              <w:wordWrap/>
              <w:spacing w:line="320" w:lineRule="exact"/>
              <w:ind w:firstLine="0" w:firstLineChars="0"/>
              <w:jc w:val="both"/>
              <w:rPr>
                <w:rFonts w:ascii="宋体" w:hAnsi="宋体" w:eastAsia="宋体" w:cs="宋体"/>
                <w:bCs/>
                <w:color w:val="auto"/>
                <w:kern w:val="2"/>
                <w:sz w:val="21"/>
                <w:szCs w:val="21"/>
                <w:highlight w:val="none"/>
                <w:u w:val="single"/>
                <w:lang w:val="en-US" w:eastAsia="zh-CN" w:bidi="ar-SA"/>
              </w:rPr>
            </w:pPr>
            <w:bookmarkStart w:id="43" w:name="EBf994cbffba7846d3baf02d8df913959b"/>
            <w:bookmarkEnd w:id="43"/>
            <w:r>
              <w:rPr>
                <w:rFonts w:hint="eastAsia" w:ascii="宋体" w:hAnsi="宋体" w:eastAsia="宋体" w:cs="宋体"/>
                <w:color w:val="auto"/>
                <w:kern w:val="2"/>
                <w:sz w:val="21"/>
                <w:szCs w:val="21"/>
                <w:highlight w:val="none"/>
                <w:u w:val="single"/>
                <w:lang w:val="en-US" w:eastAsia="zh-CN" w:bidi="ar-SA"/>
              </w:rPr>
              <w:t>(公章或合同章)</w:t>
            </w:r>
          </w:p>
        </w:tc>
      </w:tr>
      <w:tr w14:paraId="06C2DB3F">
        <w:tblPrEx>
          <w:tblCellMar>
            <w:top w:w="0" w:type="dxa"/>
            <w:left w:w="108" w:type="dxa"/>
            <w:bottom w:w="0" w:type="dxa"/>
            <w:right w:w="108" w:type="dxa"/>
          </w:tblCellMar>
        </w:tblPrEx>
        <w:tc>
          <w:tcPr>
            <w:tcW w:w="2235" w:type="dxa"/>
            <w:noWrap w:val="0"/>
            <w:vAlign w:val="center"/>
          </w:tcPr>
          <w:p w14:paraId="47F9DF6B">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法定代表人或其委托代理人（签字或盖章）：</w:t>
            </w:r>
          </w:p>
        </w:tc>
        <w:tc>
          <w:tcPr>
            <w:tcW w:w="2643" w:type="dxa"/>
            <w:noWrap w:val="0"/>
            <w:vAlign w:val="center"/>
          </w:tcPr>
          <w:p w14:paraId="5148BA90">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bookmarkStart w:id="44" w:name="EB78d12a9f879f416783611f0aafaf5a21"/>
            <w:bookmarkEnd w:id="44"/>
          </w:p>
        </w:tc>
        <w:tc>
          <w:tcPr>
            <w:tcW w:w="2318" w:type="dxa"/>
            <w:noWrap w:val="0"/>
            <w:vAlign w:val="center"/>
          </w:tcPr>
          <w:p w14:paraId="3C71A73D">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法定代表人或其委托代理人（签字或盖章）：</w:t>
            </w:r>
          </w:p>
        </w:tc>
        <w:tc>
          <w:tcPr>
            <w:tcW w:w="2561" w:type="dxa"/>
            <w:noWrap w:val="0"/>
            <w:vAlign w:val="center"/>
          </w:tcPr>
          <w:p w14:paraId="21E88AC7">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bookmarkStart w:id="45" w:name="EB8e4a8d0b32ef4d60821170015dade7dd"/>
            <w:bookmarkEnd w:id="45"/>
          </w:p>
        </w:tc>
      </w:tr>
    </w:tbl>
    <w:p w14:paraId="4B573DC5">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p>
    <w:tbl>
      <w:tblPr>
        <w:tblStyle w:val="30"/>
        <w:tblW w:w="0" w:type="auto"/>
        <w:tblInd w:w="0" w:type="dxa"/>
        <w:tblLayout w:type="fixed"/>
        <w:tblCellMar>
          <w:top w:w="0" w:type="dxa"/>
          <w:left w:w="108" w:type="dxa"/>
          <w:bottom w:w="0" w:type="dxa"/>
          <w:right w:w="108" w:type="dxa"/>
        </w:tblCellMar>
      </w:tblPr>
      <w:tblGrid>
        <w:gridCol w:w="1668"/>
        <w:gridCol w:w="3210"/>
        <w:gridCol w:w="1609"/>
        <w:gridCol w:w="3270"/>
      </w:tblGrid>
      <w:tr w14:paraId="4EEFFD78">
        <w:tblPrEx>
          <w:tblCellMar>
            <w:top w:w="0" w:type="dxa"/>
            <w:left w:w="108" w:type="dxa"/>
            <w:bottom w:w="0" w:type="dxa"/>
            <w:right w:w="108" w:type="dxa"/>
          </w:tblCellMar>
        </w:tblPrEx>
        <w:tc>
          <w:tcPr>
            <w:tcW w:w="1668" w:type="dxa"/>
            <w:noWrap w:val="0"/>
            <w:vAlign w:val="top"/>
          </w:tcPr>
          <w:p w14:paraId="3B53AD81">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p>
        </w:tc>
        <w:tc>
          <w:tcPr>
            <w:tcW w:w="3210" w:type="dxa"/>
            <w:noWrap w:val="0"/>
            <w:vAlign w:val="top"/>
          </w:tcPr>
          <w:p w14:paraId="7B6FD200">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p>
        </w:tc>
        <w:tc>
          <w:tcPr>
            <w:tcW w:w="1609" w:type="dxa"/>
            <w:noWrap w:val="0"/>
            <w:vAlign w:val="top"/>
          </w:tcPr>
          <w:p w14:paraId="484FF3D0">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p>
        </w:tc>
        <w:tc>
          <w:tcPr>
            <w:tcW w:w="3270" w:type="dxa"/>
            <w:noWrap w:val="0"/>
            <w:vAlign w:val="top"/>
          </w:tcPr>
          <w:p w14:paraId="01E2731B">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p>
        </w:tc>
      </w:tr>
      <w:tr w14:paraId="6D336DBB">
        <w:tblPrEx>
          <w:tblCellMar>
            <w:top w:w="0" w:type="dxa"/>
            <w:left w:w="108" w:type="dxa"/>
            <w:bottom w:w="0" w:type="dxa"/>
            <w:right w:w="108" w:type="dxa"/>
          </w:tblCellMar>
        </w:tblPrEx>
        <w:tc>
          <w:tcPr>
            <w:tcW w:w="1668" w:type="dxa"/>
            <w:noWrap w:val="0"/>
            <w:vAlign w:val="top"/>
          </w:tcPr>
          <w:p w14:paraId="44615900">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组织机构代码：</w:t>
            </w:r>
          </w:p>
        </w:tc>
        <w:tc>
          <w:tcPr>
            <w:tcW w:w="3210" w:type="dxa"/>
            <w:noWrap w:val="0"/>
            <w:vAlign w:val="top"/>
          </w:tcPr>
          <w:p w14:paraId="4F1A3335">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bookmarkStart w:id="46" w:name="EB2b923b49a1c34a52b88a94157d0c8ca4"/>
            <w:bookmarkEnd w:id="46"/>
          </w:p>
        </w:tc>
        <w:tc>
          <w:tcPr>
            <w:tcW w:w="1609" w:type="dxa"/>
            <w:noWrap w:val="0"/>
            <w:vAlign w:val="top"/>
          </w:tcPr>
          <w:p w14:paraId="6B0C9341">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组织机构代码：</w:t>
            </w:r>
          </w:p>
        </w:tc>
        <w:tc>
          <w:tcPr>
            <w:tcW w:w="3270" w:type="dxa"/>
            <w:noWrap w:val="0"/>
            <w:vAlign w:val="top"/>
          </w:tcPr>
          <w:p w14:paraId="70A26BAD">
            <w:pPr>
              <w:widowControl w:val="0"/>
              <w:wordWrap/>
              <w:spacing w:line="320" w:lineRule="exact"/>
              <w:ind w:firstLine="0" w:firstLineChars="0"/>
              <w:jc w:val="both"/>
              <w:rPr>
                <w:rFonts w:ascii="宋体" w:hAnsi="宋体" w:eastAsia="宋体" w:cs="宋体"/>
                <w:kern w:val="2"/>
                <w:sz w:val="21"/>
                <w:szCs w:val="21"/>
                <w:highlight w:val="none"/>
                <w:lang w:val="en-US" w:eastAsia="zh-CN" w:bidi="ar-SA"/>
              </w:rPr>
            </w:pPr>
            <w:bookmarkStart w:id="47" w:name="EB0f0338655b334226b5caf18d8a07c468"/>
            <w:bookmarkEnd w:id="47"/>
          </w:p>
        </w:tc>
      </w:tr>
      <w:tr w14:paraId="70CF9530">
        <w:tblPrEx>
          <w:tblCellMar>
            <w:top w:w="0" w:type="dxa"/>
            <w:left w:w="108" w:type="dxa"/>
            <w:bottom w:w="0" w:type="dxa"/>
            <w:right w:w="108" w:type="dxa"/>
          </w:tblCellMar>
        </w:tblPrEx>
        <w:tc>
          <w:tcPr>
            <w:tcW w:w="1668" w:type="dxa"/>
            <w:noWrap w:val="0"/>
            <w:vAlign w:val="top"/>
          </w:tcPr>
          <w:p w14:paraId="4A3497B5">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  址：</w:t>
            </w:r>
          </w:p>
        </w:tc>
        <w:tc>
          <w:tcPr>
            <w:tcW w:w="3210" w:type="dxa"/>
            <w:noWrap w:val="0"/>
            <w:vAlign w:val="top"/>
          </w:tcPr>
          <w:p w14:paraId="65BA490D">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48" w:name="EBccf48a6787e340d9bc5168b93fd4033e"/>
            <w:bookmarkEnd w:id="48"/>
          </w:p>
        </w:tc>
        <w:tc>
          <w:tcPr>
            <w:tcW w:w="1609" w:type="dxa"/>
            <w:noWrap w:val="0"/>
            <w:vAlign w:val="top"/>
          </w:tcPr>
          <w:p w14:paraId="43061C99">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  址：</w:t>
            </w:r>
          </w:p>
        </w:tc>
        <w:tc>
          <w:tcPr>
            <w:tcW w:w="3270" w:type="dxa"/>
            <w:noWrap w:val="0"/>
            <w:vAlign w:val="top"/>
          </w:tcPr>
          <w:p w14:paraId="341F5819">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49" w:name="EB07cbbce60dd34ea19d5a69ff1e82f7dc"/>
            <w:bookmarkEnd w:id="49"/>
          </w:p>
        </w:tc>
      </w:tr>
      <w:tr w14:paraId="1AF51C50">
        <w:tblPrEx>
          <w:tblCellMar>
            <w:top w:w="0" w:type="dxa"/>
            <w:left w:w="108" w:type="dxa"/>
            <w:bottom w:w="0" w:type="dxa"/>
            <w:right w:w="108" w:type="dxa"/>
          </w:tblCellMar>
        </w:tblPrEx>
        <w:tc>
          <w:tcPr>
            <w:tcW w:w="1668" w:type="dxa"/>
            <w:noWrap w:val="0"/>
            <w:vAlign w:val="top"/>
          </w:tcPr>
          <w:p w14:paraId="292B462B">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邮政编码：</w:t>
            </w:r>
          </w:p>
        </w:tc>
        <w:tc>
          <w:tcPr>
            <w:tcW w:w="3210" w:type="dxa"/>
            <w:noWrap w:val="0"/>
            <w:vAlign w:val="top"/>
          </w:tcPr>
          <w:p w14:paraId="479B5911">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0" w:name="EB1cf65cc2bc364271a6379ef5393936d8"/>
            <w:bookmarkEnd w:id="50"/>
          </w:p>
        </w:tc>
        <w:tc>
          <w:tcPr>
            <w:tcW w:w="1609" w:type="dxa"/>
            <w:noWrap w:val="0"/>
            <w:vAlign w:val="top"/>
          </w:tcPr>
          <w:p w14:paraId="45525EAE">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邮政编码：</w:t>
            </w:r>
          </w:p>
        </w:tc>
        <w:tc>
          <w:tcPr>
            <w:tcW w:w="3270" w:type="dxa"/>
            <w:noWrap w:val="0"/>
            <w:vAlign w:val="top"/>
          </w:tcPr>
          <w:p w14:paraId="41B93D25">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1" w:name="EB37b43cb09e7c466480db13fa0052775b"/>
            <w:bookmarkEnd w:id="51"/>
          </w:p>
        </w:tc>
      </w:tr>
      <w:tr w14:paraId="6B036300">
        <w:tblPrEx>
          <w:tblCellMar>
            <w:top w:w="0" w:type="dxa"/>
            <w:left w:w="108" w:type="dxa"/>
            <w:bottom w:w="0" w:type="dxa"/>
            <w:right w:w="108" w:type="dxa"/>
          </w:tblCellMar>
        </w:tblPrEx>
        <w:tc>
          <w:tcPr>
            <w:tcW w:w="1668" w:type="dxa"/>
            <w:noWrap w:val="0"/>
            <w:vAlign w:val="top"/>
          </w:tcPr>
          <w:p w14:paraId="30BB06C9">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w:t>
            </w:r>
          </w:p>
        </w:tc>
        <w:tc>
          <w:tcPr>
            <w:tcW w:w="3210" w:type="dxa"/>
            <w:noWrap w:val="0"/>
            <w:vAlign w:val="top"/>
          </w:tcPr>
          <w:p w14:paraId="5D6A83A0">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2" w:name="EB520577bc82d2491f832ac5f8e172d7c9"/>
            <w:bookmarkEnd w:id="52"/>
          </w:p>
        </w:tc>
        <w:tc>
          <w:tcPr>
            <w:tcW w:w="1609" w:type="dxa"/>
            <w:noWrap w:val="0"/>
            <w:vAlign w:val="top"/>
          </w:tcPr>
          <w:p w14:paraId="1B621DE2">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w:t>
            </w:r>
          </w:p>
        </w:tc>
        <w:tc>
          <w:tcPr>
            <w:tcW w:w="3270" w:type="dxa"/>
            <w:noWrap w:val="0"/>
            <w:vAlign w:val="top"/>
          </w:tcPr>
          <w:p w14:paraId="6EE9AB22">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3" w:name="EB183b3525d81a40af9b76a9e71eea6e3f"/>
            <w:bookmarkEnd w:id="53"/>
          </w:p>
        </w:tc>
      </w:tr>
      <w:tr w14:paraId="18A7DE97">
        <w:tblPrEx>
          <w:tblCellMar>
            <w:top w:w="0" w:type="dxa"/>
            <w:left w:w="108" w:type="dxa"/>
            <w:bottom w:w="0" w:type="dxa"/>
            <w:right w:w="108" w:type="dxa"/>
          </w:tblCellMar>
        </w:tblPrEx>
        <w:tc>
          <w:tcPr>
            <w:tcW w:w="1668" w:type="dxa"/>
            <w:noWrap w:val="0"/>
            <w:vAlign w:val="top"/>
          </w:tcPr>
          <w:p w14:paraId="322A1A78">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委托代理人：</w:t>
            </w:r>
          </w:p>
        </w:tc>
        <w:tc>
          <w:tcPr>
            <w:tcW w:w="3210" w:type="dxa"/>
            <w:noWrap w:val="0"/>
            <w:vAlign w:val="top"/>
          </w:tcPr>
          <w:p w14:paraId="223A5947">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4" w:name="EB21ddf7fa583f4b83ba8b9a073ba560bc"/>
            <w:bookmarkEnd w:id="54"/>
          </w:p>
        </w:tc>
        <w:tc>
          <w:tcPr>
            <w:tcW w:w="1609" w:type="dxa"/>
            <w:noWrap w:val="0"/>
            <w:vAlign w:val="top"/>
          </w:tcPr>
          <w:p w14:paraId="117216B0">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委托代理人：</w:t>
            </w:r>
          </w:p>
        </w:tc>
        <w:tc>
          <w:tcPr>
            <w:tcW w:w="3270" w:type="dxa"/>
            <w:noWrap w:val="0"/>
            <w:vAlign w:val="top"/>
          </w:tcPr>
          <w:p w14:paraId="592CF199">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5" w:name="EB57805b91187943aab0ae74ac501eef03"/>
            <w:bookmarkEnd w:id="55"/>
          </w:p>
        </w:tc>
      </w:tr>
      <w:tr w14:paraId="0058E11C">
        <w:tblPrEx>
          <w:tblCellMar>
            <w:top w:w="0" w:type="dxa"/>
            <w:left w:w="108" w:type="dxa"/>
            <w:bottom w:w="0" w:type="dxa"/>
            <w:right w:w="108" w:type="dxa"/>
          </w:tblCellMar>
        </w:tblPrEx>
        <w:tc>
          <w:tcPr>
            <w:tcW w:w="1668" w:type="dxa"/>
            <w:noWrap w:val="0"/>
            <w:vAlign w:val="top"/>
          </w:tcPr>
          <w:p w14:paraId="5BB57762">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  话：</w:t>
            </w:r>
          </w:p>
        </w:tc>
        <w:tc>
          <w:tcPr>
            <w:tcW w:w="3210" w:type="dxa"/>
            <w:noWrap w:val="0"/>
            <w:vAlign w:val="top"/>
          </w:tcPr>
          <w:p w14:paraId="223FAA27">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6" w:name="EB6f107bd62531493689d5e66a49c8032e"/>
            <w:bookmarkEnd w:id="56"/>
          </w:p>
        </w:tc>
        <w:tc>
          <w:tcPr>
            <w:tcW w:w="1609" w:type="dxa"/>
            <w:noWrap w:val="0"/>
            <w:vAlign w:val="top"/>
          </w:tcPr>
          <w:p w14:paraId="4D4BCD3A">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  话：</w:t>
            </w:r>
          </w:p>
        </w:tc>
        <w:tc>
          <w:tcPr>
            <w:tcW w:w="3270" w:type="dxa"/>
            <w:noWrap w:val="0"/>
            <w:vAlign w:val="top"/>
          </w:tcPr>
          <w:p w14:paraId="5FF4F380">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7" w:name="EB7807100a0fdc4f35bfdbc42810afc992"/>
            <w:bookmarkEnd w:id="57"/>
          </w:p>
        </w:tc>
      </w:tr>
      <w:tr w14:paraId="2B2A07F6">
        <w:tblPrEx>
          <w:tblCellMar>
            <w:top w:w="0" w:type="dxa"/>
            <w:left w:w="108" w:type="dxa"/>
            <w:bottom w:w="0" w:type="dxa"/>
            <w:right w:w="108" w:type="dxa"/>
          </w:tblCellMar>
        </w:tblPrEx>
        <w:tc>
          <w:tcPr>
            <w:tcW w:w="1668" w:type="dxa"/>
            <w:noWrap w:val="0"/>
            <w:vAlign w:val="top"/>
          </w:tcPr>
          <w:p w14:paraId="2D435A1C">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传  真：</w:t>
            </w:r>
          </w:p>
        </w:tc>
        <w:tc>
          <w:tcPr>
            <w:tcW w:w="3210" w:type="dxa"/>
            <w:noWrap w:val="0"/>
            <w:vAlign w:val="top"/>
          </w:tcPr>
          <w:p w14:paraId="168EFF7A">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8" w:name="EBfcd30e8ef2c94cc2b9240369f5db8761"/>
            <w:bookmarkEnd w:id="58"/>
          </w:p>
        </w:tc>
        <w:tc>
          <w:tcPr>
            <w:tcW w:w="1609" w:type="dxa"/>
            <w:noWrap w:val="0"/>
            <w:vAlign w:val="top"/>
          </w:tcPr>
          <w:p w14:paraId="0014A30F">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传  真：</w:t>
            </w:r>
          </w:p>
        </w:tc>
        <w:tc>
          <w:tcPr>
            <w:tcW w:w="3270" w:type="dxa"/>
            <w:noWrap w:val="0"/>
            <w:vAlign w:val="top"/>
          </w:tcPr>
          <w:p w14:paraId="66FD09F2">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59" w:name="EBac0e74aa589342ffbf37b203086118ba"/>
            <w:bookmarkEnd w:id="59"/>
          </w:p>
        </w:tc>
      </w:tr>
      <w:tr w14:paraId="5AC41032">
        <w:tblPrEx>
          <w:tblCellMar>
            <w:top w:w="0" w:type="dxa"/>
            <w:left w:w="108" w:type="dxa"/>
            <w:bottom w:w="0" w:type="dxa"/>
            <w:right w:w="108" w:type="dxa"/>
          </w:tblCellMar>
        </w:tblPrEx>
        <w:tc>
          <w:tcPr>
            <w:tcW w:w="1668" w:type="dxa"/>
            <w:noWrap w:val="0"/>
            <w:vAlign w:val="top"/>
          </w:tcPr>
          <w:p w14:paraId="44D765D3">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电子信箱：</w:t>
            </w:r>
          </w:p>
        </w:tc>
        <w:tc>
          <w:tcPr>
            <w:tcW w:w="3210" w:type="dxa"/>
            <w:noWrap w:val="0"/>
            <w:vAlign w:val="top"/>
          </w:tcPr>
          <w:p w14:paraId="18CA57D6">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60" w:name="EB42d17883a38d45d3a575ed92046628f2"/>
            <w:bookmarkEnd w:id="60"/>
          </w:p>
        </w:tc>
        <w:tc>
          <w:tcPr>
            <w:tcW w:w="1609" w:type="dxa"/>
            <w:noWrap w:val="0"/>
            <w:vAlign w:val="top"/>
          </w:tcPr>
          <w:p w14:paraId="24131EE2">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电子信箱：</w:t>
            </w:r>
          </w:p>
        </w:tc>
        <w:tc>
          <w:tcPr>
            <w:tcW w:w="3270" w:type="dxa"/>
            <w:noWrap w:val="0"/>
            <w:vAlign w:val="top"/>
          </w:tcPr>
          <w:p w14:paraId="00954E83">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61" w:name="EBdeca1004127645458a664d725d7fca46"/>
            <w:bookmarkEnd w:id="61"/>
          </w:p>
        </w:tc>
      </w:tr>
      <w:tr w14:paraId="03519DE0">
        <w:tblPrEx>
          <w:tblCellMar>
            <w:top w:w="0" w:type="dxa"/>
            <w:left w:w="108" w:type="dxa"/>
            <w:bottom w:w="0" w:type="dxa"/>
            <w:right w:w="108" w:type="dxa"/>
          </w:tblCellMar>
        </w:tblPrEx>
        <w:tc>
          <w:tcPr>
            <w:tcW w:w="1668" w:type="dxa"/>
            <w:noWrap w:val="0"/>
            <w:vAlign w:val="top"/>
          </w:tcPr>
          <w:p w14:paraId="35A889F7">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开户银行：</w:t>
            </w:r>
          </w:p>
        </w:tc>
        <w:tc>
          <w:tcPr>
            <w:tcW w:w="3210" w:type="dxa"/>
            <w:noWrap w:val="0"/>
            <w:vAlign w:val="top"/>
          </w:tcPr>
          <w:p w14:paraId="143485FD">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62" w:name="EB556761f8d81c44929cbf888865004f91"/>
            <w:bookmarkEnd w:id="62"/>
          </w:p>
        </w:tc>
        <w:tc>
          <w:tcPr>
            <w:tcW w:w="1609" w:type="dxa"/>
            <w:noWrap w:val="0"/>
            <w:vAlign w:val="top"/>
          </w:tcPr>
          <w:p w14:paraId="124598C2">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开户银行：</w:t>
            </w:r>
          </w:p>
        </w:tc>
        <w:tc>
          <w:tcPr>
            <w:tcW w:w="3270" w:type="dxa"/>
            <w:noWrap w:val="0"/>
            <w:vAlign w:val="top"/>
          </w:tcPr>
          <w:p w14:paraId="03D46878">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63" w:name="EB9b0c0059bd4b4221bfb6cc0eba980ce8"/>
            <w:bookmarkEnd w:id="63"/>
          </w:p>
        </w:tc>
      </w:tr>
      <w:tr w14:paraId="668F118D">
        <w:tblPrEx>
          <w:tblCellMar>
            <w:top w:w="0" w:type="dxa"/>
            <w:left w:w="108" w:type="dxa"/>
            <w:bottom w:w="0" w:type="dxa"/>
            <w:right w:w="108" w:type="dxa"/>
          </w:tblCellMar>
        </w:tblPrEx>
        <w:tc>
          <w:tcPr>
            <w:tcW w:w="1668" w:type="dxa"/>
            <w:noWrap w:val="0"/>
            <w:vAlign w:val="top"/>
          </w:tcPr>
          <w:p w14:paraId="6DA7DE5F">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账  号：</w:t>
            </w:r>
          </w:p>
        </w:tc>
        <w:tc>
          <w:tcPr>
            <w:tcW w:w="3210" w:type="dxa"/>
            <w:noWrap w:val="0"/>
            <w:vAlign w:val="top"/>
          </w:tcPr>
          <w:p w14:paraId="047E4D56">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64" w:name="EB517c491b887c49f3bc85b9c046dcf21d"/>
            <w:bookmarkEnd w:id="64"/>
          </w:p>
        </w:tc>
        <w:tc>
          <w:tcPr>
            <w:tcW w:w="1609" w:type="dxa"/>
            <w:noWrap w:val="0"/>
            <w:vAlign w:val="top"/>
          </w:tcPr>
          <w:p w14:paraId="791354EB">
            <w:pPr>
              <w:widowControl w:val="0"/>
              <w:wordWrap/>
              <w:spacing w:line="320" w:lineRule="exact"/>
              <w:ind w:firstLine="0" w:firstLineChars="0"/>
              <w:jc w:val="both"/>
              <w:rPr>
                <w:rFonts w:ascii="宋体" w:hAnsi="宋体" w:eastAsia="宋体" w:cs="宋体"/>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账  号：</w:t>
            </w:r>
          </w:p>
        </w:tc>
        <w:tc>
          <w:tcPr>
            <w:tcW w:w="3270" w:type="dxa"/>
            <w:noWrap w:val="0"/>
            <w:vAlign w:val="top"/>
          </w:tcPr>
          <w:p w14:paraId="40AA65E6">
            <w:pPr>
              <w:widowControl w:val="0"/>
              <w:wordWrap/>
              <w:spacing w:line="320" w:lineRule="exact"/>
              <w:ind w:firstLine="0" w:firstLineChars="0"/>
              <w:jc w:val="both"/>
              <w:rPr>
                <w:rFonts w:ascii="宋体" w:hAnsi="宋体" w:eastAsia="宋体" w:cs="宋体"/>
                <w:bCs/>
                <w:kern w:val="2"/>
                <w:sz w:val="21"/>
                <w:szCs w:val="21"/>
                <w:highlight w:val="none"/>
                <w:u w:val="single"/>
                <w:lang w:val="en-US" w:eastAsia="zh-CN" w:bidi="ar-SA"/>
              </w:rPr>
            </w:pPr>
            <w:bookmarkStart w:id="65" w:name="EB942d8225436940a7a98bd716873e8a42"/>
            <w:bookmarkEnd w:id="65"/>
          </w:p>
        </w:tc>
      </w:tr>
    </w:tbl>
    <w:p w14:paraId="3F36241C">
      <w:pPr>
        <w:wordWrap/>
        <w:spacing w:line="240" w:lineRule="auto"/>
        <w:ind w:firstLine="0" w:firstLineChars="0"/>
        <w:rPr>
          <w:rFonts w:ascii="Calibri" w:hAnsi="Calibri" w:eastAsia="宋体" w:cs="Times New Roman"/>
          <w:highlight w:val="none"/>
        </w:rPr>
      </w:pPr>
    </w:p>
    <w:p w14:paraId="4D19E0DF">
      <w:pPr>
        <w:widowControl w:val="0"/>
        <w:wordWrap/>
        <w:spacing w:line="240" w:lineRule="auto"/>
        <w:ind w:firstLine="0" w:firstLineChars="0"/>
        <w:jc w:val="both"/>
        <w:rPr>
          <w:rFonts w:ascii="Times New Roman" w:hAnsi="Times New Roman" w:eastAsia="宋体" w:cs="Times New Roman"/>
          <w:kern w:val="2"/>
          <w:sz w:val="21"/>
          <w:szCs w:val="22"/>
          <w:highlight w:val="none"/>
          <w:lang w:val="en-US" w:eastAsia="zh-CN" w:bidi="ar-SA"/>
        </w:rPr>
      </w:pPr>
    </w:p>
    <w:p w14:paraId="15670FC6">
      <w:pPr>
        <w:wordWrap/>
        <w:spacing w:line="240" w:lineRule="auto"/>
        <w:ind w:firstLine="0" w:firstLineChars="0"/>
        <w:rPr>
          <w:rFonts w:ascii="Calibri" w:hAnsi="Calibri" w:eastAsia="宋体" w:cs="Times New Roman"/>
          <w:highlight w:val="none"/>
        </w:rPr>
      </w:pPr>
      <w:r>
        <w:rPr>
          <w:rFonts w:ascii="Calibri" w:hAnsi="Calibri" w:eastAsia="宋体" w:cs="Times New Roman"/>
          <w:highlight w:val="none"/>
        </w:rPr>
        <w:br w:type="page"/>
      </w:r>
    </w:p>
    <w:p w14:paraId="13F4C07D">
      <w:pPr>
        <w:widowControl w:val="0"/>
        <w:wordWrap/>
        <w:spacing w:line="240" w:lineRule="auto"/>
        <w:ind w:firstLine="0" w:firstLineChars="0"/>
        <w:jc w:val="both"/>
        <w:rPr>
          <w:rFonts w:ascii="Times New Roman" w:hAnsi="Times New Roman" w:eastAsia="宋体" w:cs="Times New Roman"/>
          <w:kern w:val="2"/>
          <w:sz w:val="21"/>
          <w:szCs w:val="22"/>
          <w:highlight w:val="none"/>
          <w:lang w:val="en-US" w:eastAsia="zh-CN" w:bidi="ar-SA"/>
        </w:rPr>
      </w:pPr>
    </w:p>
    <w:p w14:paraId="04F4ABB3">
      <w:pPr>
        <w:wordWrap/>
        <w:spacing w:line="240" w:lineRule="auto"/>
        <w:ind w:firstLine="2409" w:firstLineChars="800"/>
        <w:rPr>
          <w:rFonts w:ascii="Calibri" w:hAnsi="Calibri" w:eastAsia="宋体" w:cs="Times New Roman"/>
          <w:b/>
          <w:color w:val="FF0000"/>
          <w:sz w:val="30"/>
          <w:szCs w:val="30"/>
          <w:highlight w:val="none"/>
        </w:rPr>
      </w:pPr>
      <w:r>
        <w:rPr>
          <w:rFonts w:hint="eastAsia" w:ascii="Calibri" w:hAnsi="Calibri" w:eastAsia="宋体" w:cs="Times New Roman"/>
          <w:b/>
          <w:color w:val="auto"/>
          <w:sz w:val="30"/>
          <w:szCs w:val="30"/>
          <w:highlight w:val="none"/>
        </w:rPr>
        <w:t>第二部分  通用合</w:t>
      </w:r>
      <w:r>
        <w:rPr>
          <w:rFonts w:hint="eastAsia" w:ascii="Calibri" w:hAnsi="Calibri" w:eastAsia="宋体" w:cs="Times New Roman"/>
          <w:b/>
          <w:sz w:val="30"/>
          <w:szCs w:val="30"/>
          <w:highlight w:val="none"/>
        </w:rPr>
        <w:t>同条款</w:t>
      </w:r>
    </w:p>
    <w:p w14:paraId="0A7B13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 一般约定</w:t>
      </w:r>
    </w:p>
    <w:p w14:paraId="1B0BEB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1.1词语定义与解释</w:t>
      </w:r>
    </w:p>
    <w:p w14:paraId="4D666ED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合同协议书、通用合同条款、专用合同条款中的下列词语具有本款所赋予的含义：</w:t>
      </w:r>
    </w:p>
    <w:p w14:paraId="34DF339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1.1.1 合同</w:t>
      </w:r>
    </w:p>
    <w:p w14:paraId="1E45F4A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EDBD9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1.1.1.2 合同协议书：是指构成合同的由发包人和承包人共同签署的称为“合同协议书”的书面文件。</w:t>
      </w:r>
    </w:p>
    <w:p w14:paraId="3D0A9FD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1.1.1.3 中标通知书：是指构成合同的由发包人通知承包人中标的书面文件。</w:t>
      </w:r>
    </w:p>
    <w:p w14:paraId="7EDEA88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1.1.1.4 投标函：是指构成合同的由承包人填写并签署的用于投标的称为“投标函”的文件。</w:t>
      </w:r>
    </w:p>
    <w:p w14:paraId="4D0D022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1.1.1.5 投标函附录：是指构成合同的附在投标函后的称为“投标函附录”的文件。</w:t>
      </w:r>
    </w:p>
    <w:p w14:paraId="73C76D4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1.1.1.6 技术标准和要求：是指构成合同的施工应当遵守的或指导施工的国家、行业或地方的技术标准和要求，以及合同约定的技术标准和要求。</w:t>
      </w:r>
    </w:p>
    <w:p w14:paraId="4680F8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BC86A0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1.1.1.8 已标价工程量清单：是指构成合同的由承包人按照规定的格式和要求填写并标明价格的工程量清单，包括说明和表格。</w:t>
      </w:r>
    </w:p>
    <w:p w14:paraId="7CB35E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1.1.1.9 预算书：是指构成合同的由承包人按照发包人规定的格式和要求编制的工程预算文件。</w:t>
      </w:r>
    </w:p>
    <w:p w14:paraId="01917CF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1.1.1.10 其他合同文件：是指经合同当事人约定的与工程施工有关的具有合同约束力的文件或书面协议。合同当事人可以在专用合同条款中进行约定。</w:t>
      </w:r>
    </w:p>
    <w:p w14:paraId="2258DE4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1.1.2 合同当事人及其他相关方</w:t>
      </w:r>
    </w:p>
    <w:p w14:paraId="029F200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1.1.2.1 合同当事人：是指发包人和（或）承包人。</w:t>
      </w:r>
    </w:p>
    <w:p w14:paraId="5CFACF7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1.1.2.2 发包人：是指与承包人签订合同协议书的当事人及取得该当事人资格的合法继承人。</w:t>
      </w:r>
    </w:p>
    <w:p w14:paraId="0133606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1.1.2.3 承包人：是指与发包人签订合同协议书的，具有相应工程施工承包资质的当事人及取得该当事人资格的合法继承人。</w:t>
      </w:r>
    </w:p>
    <w:p w14:paraId="5CF408C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1.1.2.4 监理人：是指在专用合同条款中指明的，受发包人委托按照法律规定进行工程监督管理的法人或其他组织。</w:t>
      </w:r>
    </w:p>
    <w:p w14:paraId="0610FC9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1.1.2.5 设计人：是指在专用合同条款中指明的，受发包人委托负责工程设计并具备相应工程设计资质的法人或其他组织。</w:t>
      </w:r>
    </w:p>
    <w:p w14:paraId="30A24B1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1.1.2.6 分包人：是指按照法律规定和合同约定，分包部分工程或工作，并与承包人签订分包合同的具有相应资质的法人。</w:t>
      </w:r>
    </w:p>
    <w:p w14:paraId="417640C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1.1.2.7 发包人代表：是指由发包人任命并派驻施工现场在发包人授权范围内行使发包人权利的人。</w:t>
      </w:r>
    </w:p>
    <w:p w14:paraId="51DAFD1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1.1.2.8 </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：是指由承包人任命并派驻施工现场，在承包人授权范围内负责合同履行，且按照法律规定具有相应资格的项目负责人。</w:t>
      </w:r>
    </w:p>
    <w:p w14:paraId="6BF9A4E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1.1.2.9 总监理工程师：是指由监理人任命并派驻施工现场进行工程监理的总负责人。</w:t>
      </w:r>
    </w:p>
    <w:p w14:paraId="0C94673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 工程和设备</w:t>
      </w:r>
    </w:p>
    <w:p w14:paraId="5832AE8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1.1.3.1 工程：是指与合同协议书中工程承包范围对应的永久工程和（或）临时工程。</w:t>
      </w:r>
    </w:p>
    <w:p w14:paraId="004657B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1.1.3.2 永久工程：是指按合同约定建造并移交给发包人的工程，包括工程设备。</w:t>
      </w:r>
    </w:p>
    <w:p w14:paraId="2C6E485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1.1.3.3 临时工程：是指为完成合同约定的永久工程所修建的各类临时性工程，不包括施工设备。</w:t>
      </w:r>
    </w:p>
    <w:p w14:paraId="37F6224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1.1.3.4 单位工程：是指在合同协议书中指明的，具备独立施工条件并能形成独立使用功能的永久工程。</w:t>
      </w:r>
    </w:p>
    <w:p w14:paraId="09ADB78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1.1.3.5 工程设备：是指构成永久工程的机电设备、金属结构设备、仪器及其他类似的设备和装置。</w:t>
      </w:r>
    </w:p>
    <w:p w14:paraId="42A4009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1.1.3.6 施工设备：是指为完成合同约定的各项工作所需的设备、器具和其他物品，但不包括工程设备、临时工程和材料。</w:t>
      </w:r>
    </w:p>
    <w:p w14:paraId="7835D74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1.1.3.7 施工现场：是指用于工程施工的场所，以及在专用合同条款中指明作为施工场所组成部分的其他场所，包括永久占地和临时占地。</w:t>
      </w:r>
    </w:p>
    <w:p w14:paraId="122F0C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1.1.3.8临时设施：是指为完成合同约定的各项工作所服务的临时性生产和生活设施。</w:t>
      </w:r>
    </w:p>
    <w:p w14:paraId="0AB1128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1.1.3.9 永久占地：是指专用合同条款中指明为实施工程需永久占用的土地。</w:t>
      </w:r>
    </w:p>
    <w:p w14:paraId="58DB9D8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1.1.3.10 临时占地：是指专用合同条款中指明为实施工程需要临时占用的土地。</w:t>
      </w:r>
    </w:p>
    <w:p w14:paraId="61E7FA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 日期和期限</w:t>
      </w:r>
    </w:p>
    <w:p w14:paraId="4ABA908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BE0F51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1.1.4.2 竣工日期：包括计划竣工日期和实际竣工日期。计划竣工日期是指合同协议书约定的竣工日期；实际竣工日期按照第13.2.3项〔竣工日期〕的约定确定。 </w:t>
      </w:r>
    </w:p>
    <w:p w14:paraId="784C87D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1.1.4.3 工期：是指在合同协议书约定的承包人完成工程所需的期限，包括按照合同约定所作的期限变更。</w:t>
      </w:r>
    </w:p>
    <w:p w14:paraId="1F6BBAF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1.1.4.4 缺陷责任期：是指承包人按照合同约定承担缺陷修复义务，且发包人预留质量保证金（已缴纳履约保证金的除外）的期限，自工程实际竣工日期起计算。</w:t>
      </w:r>
    </w:p>
    <w:p w14:paraId="7F85BA2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1.1.4.5 保修期：是指承包人按照合同约定对工程承担保修责任的期限，从工程竣工验收合格之日起计算。</w:t>
      </w:r>
    </w:p>
    <w:p w14:paraId="5E39D3F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1.1.4.6 基准日期：招标发包的工程以投标截止日前28天的日期为基准日期，直接发包的工程以合同签订日前28天的日期为基准日期。</w:t>
      </w:r>
    </w:p>
    <w:p w14:paraId="69C366D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1.1.4.7 天：除特别指明外，均指日历天。合同中按天计算时间的，开始当天不计入，从次日开始计算，期限最后一天的截止时间为当天24:00时。</w:t>
      </w:r>
    </w:p>
    <w:p w14:paraId="7532F8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 合同价格和费用</w:t>
      </w:r>
    </w:p>
    <w:p w14:paraId="1BF727F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1.1.5.1 签约合同价：是指发包人和承包人在合同协议书中确定的总金额，包括安全文明施工费、暂估价及暂列金额等。</w:t>
      </w:r>
    </w:p>
    <w:p w14:paraId="02FF899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1.1.5.2 合同价格：是指发包人用于支付承包人按照合同约定完成承包范围内全部工作的金额，包括合同履行过程中按合同约定发生的价格变化。</w:t>
      </w:r>
    </w:p>
    <w:p w14:paraId="1845FB4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1.1.5.3 费用：是指为履行合同所发生的或将要发生的所有必需的开支，包括管理费和应分摊的其他费用，但不包括利润。</w:t>
      </w:r>
    </w:p>
    <w:p w14:paraId="52B1C7E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1.1.5.4 暂估价：是指发包人在工程量清单或预算书中提供的用于支付必然发生但暂时不能确定价格的材料、工程设备的单价、专业工程以及服务工作的金额。</w:t>
      </w:r>
    </w:p>
    <w:p w14:paraId="1B243A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8C9560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1.1.5.6 计日工：是指合同履行过程中，承包人完成发包人提出的零星工作或需要采用计日工计价的变更工作时，按合同中约定的单价计价的一种方式。</w:t>
      </w:r>
    </w:p>
    <w:p w14:paraId="0CB84B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1.1.5.7 质量保证金：是指按照第15.3款〔质量保证金〕约定承包人用于保证其在缺陷责任期内履行缺陷修补义务的担保。</w:t>
      </w:r>
    </w:p>
    <w:p w14:paraId="4ADCE90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1.1.5.8 总价项目：是指在现行国家、行业以及地方的计量规则中无工程量计算规则，在已标价工程量清单或预算书中以总价或以费率形式计算的项目。</w:t>
      </w:r>
    </w:p>
    <w:p w14:paraId="5A4F1D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1.1.6 其他</w:t>
      </w:r>
    </w:p>
    <w:p w14:paraId="16B7A5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1.1.6.1 书面形式：是指合同文件、信函、电报、传真等可以有形地表现所载内容的形式。</w:t>
      </w:r>
    </w:p>
    <w:p w14:paraId="5AA3EBF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1.2语言文字</w:t>
      </w:r>
    </w:p>
    <w:p w14:paraId="109D093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合同以中国的汉语简体文字编写、解释和说明。合同当事人在专用合同条款中约定使用两种以上语言时，汉语为优先解释和说明合同的语言。</w:t>
      </w:r>
    </w:p>
    <w:p w14:paraId="60981E7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1.3法律</w:t>
      </w:r>
    </w:p>
    <w:p w14:paraId="7E58405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合同所称法律是指中华人民共和国法律、行政法规、部门规章，以及工程所在地的地方性法规、自治条例、单行条例和地方政府规章等。</w:t>
      </w:r>
    </w:p>
    <w:p w14:paraId="3A4695B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合同当事人可以在专用合同条款中约定合同适用的其他规范性文件。</w:t>
      </w:r>
    </w:p>
    <w:p w14:paraId="1C88846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 标准和规范</w:t>
      </w:r>
    </w:p>
    <w:p w14:paraId="26C7D1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 适用于工程的国家标准、行业标准、工程所在地的地方性标准，以及相应的规范、规程等，合同当事人有特别要求的，应在专用合同条款中约定。</w:t>
      </w:r>
    </w:p>
    <w:p w14:paraId="5B3E505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1.4.2 发包人要求使用国外标准、规范的，发包人负责提供原文版本和中文译本，并在专用合同条款中约定提供标准规范的名称、份数和时间。</w:t>
      </w:r>
    </w:p>
    <w:p w14:paraId="0C37C8E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D11329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 合同文件的优先顺序</w:t>
      </w:r>
    </w:p>
    <w:p w14:paraId="6E369B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组成合同的各项文件应互相解释，互为说明。除专用合同条款另有约定外，解释合同文件的优先顺序如下：</w:t>
      </w:r>
    </w:p>
    <w:p w14:paraId="43B9F54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（1）合同协议书；</w:t>
      </w:r>
    </w:p>
    <w:p w14:paraId="2D3C61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（2）中标通知书（如果有）；</w:t>
      </w:r>
    </w:p>
    <w:p w14:paraId="40BEDEC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（3）投标函及其附录（如果有）；</w:t>
      </w:r>
    </w:p>
    <w:p w14:paraId="1F09BC0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（4）专用合同条款及其附件；</w:t>
      </w:r>
    </w:p>
    <w:p w14:paraId="5B6E08A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（5）通用合同条款；</w:t>
      </w:r>
    </w:p>
    <w:p w14:paraId="7FCAFAA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（6）技术标准和要求；</w:t>
      </w:r>
    </w:p>
    <w:p w14:paraId="4441107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（7）图纸；</w:t>
      </w:r>
    </w:p>
    <w:p w14:paraId="6298C8D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（8）已标价工程量清单或预算书；</w:t>
      </w:r>
    </w:p>
    <w:p w14:paraId="3369622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（9）其他合同文件。</w:t>
      </w:r>
    </w:p>
    <w:p w14:paraId="7BC4C55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上述各项合同文件包括合同当事人就该项合同文件所作出的补充和修改，属于同一类内容的文件，应以最新签署的为准。</w:t>
      </w:r>
    </w:p>
    <w:p w14:paraId="0D8BE3F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在合同订立及履行过程中形成的与合同有关的文件均构成合同文件组成部分，并根据其性质确定优先解释顺序。</w:t>
      </w:r>
    </w:p>
    <w:p w14:paraId="46CF03B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1.6图纸和承包人文件</w:t>
      </w:r>
    </w:p>
    <w:p w14:paraId="2A8CE08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 图纸的提供和交底</w:t>
      </w:r>
    </w:p>
    <w:p w14:paraId="2526C75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B5A210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因发包人未按合同约定提供图纸导致承包人费用增加和（或）工期延误的，按照第7.5.1项〔因发包人原因导致工期延误〕约定办理。</w:t>
      </w:r>
    </w:p>
    <w:p w14:paraId="4FC7D9E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 图纸的错误</w:t>
      </w:r>
    </w:p>
    <w:p w14:paraId="1E99274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B401A0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1.6.3 图纸的修改和补充</w:t>
      </w:r>
    </w:p>
    <w:p w14:paraId="5C2BE97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24A04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1.6.4 承包人文件</w:t>
      </w:r>
    </w:p>
    <w:p w14:paraId="75800A8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承包人应按照专用合同条款的约定提供应当由其编制的与工程施工有关的文件，并按照专用合同条款约定的期限、数量和形式提交监理人，并由监理人报送发包人。</w:t>
      </w:r>
    </w:p>
    <w:p w14:paraId="1753DF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DCECB7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1.6.5 图纸和承包人文件的保管</w:t>
      </w:r>
    </w:p>
    <w:p w14:paraId="3E8B358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除专用合同条款另有约定外，承包人应在施工现场另外保存一套完整的图纸和承包人文件，供发包人、监理人及有关人员进行工程检查时使用。</w:t>
      </w:r>
    </w:p>
    <w:p w14:paraId="3140F2B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1.7联络</w:t>
      </w:r>
    </w:p>
    <w:p w14:paraId="74F5EFE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1.7.1 与合同有关的通知、批准、证明、证书、指示、指令、要求、请求、同意、意见、确定和决定等，均应采用书面形式，并应在合同约定的期限内送达接收人和送达地点。</w:t>
      </w:r>
    </w:p>
    <w:p w14:paraId="205BB7C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1928A73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1.7.3 发包人和承包人应当及时签收另一方送达至送达地点和指定接收人的来往信函。拒不签收的，由此增加的费用和（或）延误的工期由拒绝接收一方承担。</w:t>
      </w:r>
    </w:p>
    <w:p w14:paraId="652B49D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1.8严禁贿赂</w:t>
      </w:r>
    </w:p>
    <w:p w14:paraId="11D3A59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合同当事人不得以贿赂或变相贿赂的方式，谋取非法利益或损害对方权益。因一方合同当事人的贿赂造成对方损失的，应赔偿损失，并承担相应的法律责任。</w:t>
      </w:r>
    </w:p>
    <w:p w14:paraId="64403A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2AF6875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1.9化石、文物</w:t>
      </w:r>
    </w:p>
    <w:p w14:paraId="15268DD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D32E97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发包人、监理人和承包人应按有关政府行政管理部门要求采取妥善的保护措施，由此增加的费用和（或）延误的工期由发包人承担。</w:t>
      </w:r>
    </w:p>
    <w:p w14:paraId="5FCB87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承包人发现文物后不及时报告或隐瞒不报，致使文物丢失或损坏的，应赔偿损失，并承担相应的法律责任。</w:t>
      </w:r>
    </w:p>
    <w:p w14:paraId="565064E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1.10交通运输</w:t>
      </w:r>
    </w:p>
    <w:p w14:paraId="327B8C5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1.10.1 出入现场的权利</w:t>
      </w:r>
    </w:p>
    <w:p w14:paraId="6BE6760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0C7893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6B7770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1.10.2 场外交通</w:t>
      </w:r>
    </w:p>
    <w:p w14:paraId="014901A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16657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1.10.3场内交通</w:t>
      </w:r>
    </w:p>
    <w:p w14:paraId="15818C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2DA7C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7DBFDF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场外交通和场内交通的边界由合同当事人在专用合同条款中约定。</w:t>
      </w:r>
    </w:p>
    <w:p w14:paraId="203AC24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1.10.4 超大件和超重件的运输</w:t>
      </w:r>
    </w:p>
    <w:p w14:paraId="4893162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D1DDB3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1.10.5 道路和桥梁的损坏责任</w:t>
      </w:r>
    </w:p>
    <w:p w14:paraId="6A3F2B7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因承包人运输造成施工场地内外公共道路和桥梁损坏的，由承包人承担修复损坏的全部费用和可能引起的赔偿。</w:t>
      </w:r>
    </w:p>
    <w:p w14:paraId="54AE674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1.10.6 水路和航空运输</w:t>
      </w:r>
    </w:p>
    <w:p w14:paraId="29A7B76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055C85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1.11知识产权 </w:t>
      </w:r>
    </w:p>
    <w:p w14:paraId="5408001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DD51BC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D2FCAB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804000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1.11.4 除专用合同条款另有约定外，承包人在合同签订前和签订时已确定采用的专利、专有技术、技术秘密的使用费已包含在签约合同价中。</w:t>
      </w:r>
    </w:p>
    <w:p w14:paraId="62DDEB2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1.12保密</w:t>
      </w:r>
    </w:p>
    <w:p w14:paraId="20568CA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除法律规定或合同另有约定外，未经发包人同意，承包人不得将发包人提供的图纸、文件以及声明需要保密的资料信息等商业秘密泄露给第三方。</w:t>
      </w:r>
    </w:p>
    <w:p w14:paraId="25E1178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除法律规定或合同另有约定外，未经承包人同意，发包人不得将承包人提供的技术秘密及声明需要保密的资料信息等商业秘密泄露给第三方。</w:t>
      </w:r>
    </w:p>
    <w:p w14:paraId="609ACE9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1.13工程量清单错误的修正</w:t>
      </w:r>
    </w:p>
    <w:p w14:paraId="6196A36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除专用合同条款另有约定外，发包人提供的工程量清单，应被认为是准确的和完整的。出现下列情形之一时，发包人应予以修正，并相应调整合同价格：</w:t>
      </w:r>
    </w:p>
    <w:p w14:paraId="3439113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（1）工程量清单存在缺项、漏项的；</w:t>
      </w:r>
    </w:p>
    <w:p w14:paraId="1B5790E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（2）工程量清单偏差超出专用合同条款约定的工程量偏差范围的；</w:t>
      </w:r>
    </w:p>
    <w:p w14:paraId="1FA1E1B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（3）未按照国家现行计量规范强制性规定计量的。</w:t>
      </w:r>
    </w:p>
    <w:p w14:paraId="6B165AB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 发包人</w:t>
      </w:r>
    </w:p>
    <w:p w14:paraId="5DF8F0C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 许可或批准</w:t>
      </w:r>
    </w:p>
    <w:p w14:paraId="553DAEB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69CCCC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因发包人原因未能及时办理完毕前述许可、批准或备案，由发包人承担由此增加的费用和（或）延误的工期，并支付承包人合理的利润。</w:t>
      </w:r>
    </w:p>
    <w:p w14:paraId="14BD976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 发包人代表</w:t>
      </w:r>
    </w:p>
    <w:p w14:paraId="5CDB9FB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2D57CE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发包人代表不能按照合同约定履行其职责及义务，并导致合同无法继续正常履行的，承包人可以要求发包人撤换发包人代表。</w:t>
      </w:r>
    </w:p>
    <w:p w14:paraId="3465E41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不属于法定必须监理的工程，监理人的职权可以由发包人代表或发包人指定的其他人员行使。</w:t>
      </w:r>
    </w:p>
    <w:p w14:paraId="652620E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 发包人人员</w:t>
      </w:r>
    </w:p>
    <w:p w14:paraId="50F94DE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68138D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发包人人员包括发包人代表及其他由发包人派驻施工现场的人员。</w:t>
      </w:r>
    </w:p>
    <w:p w14:paraId="0B84BA1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2.4 施工现场、施工条件和基础资料的提供  </w:t>
      </w:r>
    </w:p>
    <w:p w14:paraId="2D14318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2.4.1 提供施工现场</w:t>
      </w:r>
    </w:p>
    <w:p w14:paraId="1F8818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除专用合同条款另有约定外，发包人应最迟于开工日期7天前向承包人移交施工现场。</w:t>
      </w:r>
    </w:p>
    <w:p w14:paraId="77B2584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2.4.2 提供施工条件</w:t>
      </w:r>
    </w:p>
    <w:p w14:paraId="622F1A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除专用合同条款另有约定外，发包人应负责提供施工所需要的条件，包括：</w:t>
      </w:r>
    </w:p>
    <w:p w14:paraId="30237F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（1）将施工用水、电力、通讯线路等施工所必需的条件接至施工现场内；</w:t>
      </w:r>
    </w:p>
    <w:p w14:paraId="70AAE01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（2）保证向承包人提供正常施工所需要的进入施工现场的交通条件；</w:t>
      </w:r>
    </w:p>
    <w:p w14:paraId="56EFF68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（3）协调处理施工现场周围地下管线和邻近建筑物、构筑物、古树名木的保护工作，并承担相关费用；</w:t>
      </w:r>
    </w:p>
    <w:p w14:paraId="5918C62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（4）按照专用合同条款约定应提供的其他设施和条件。</w:t>
      </w:r>
    </w:p>
    <w:p w14:paraId="7229444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 提供基础资料</w:t>
      </w:r>
    </w:p>
    <w:p w14:paraId="56FA095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49F853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按照法律规定确需在开工后方能提供的基础资料，发包人应尽其努力及时地在相应工程施工前的合理期限内提供，合理期限应以不影响承包人的正常施工为限。</w:t>
      </w:r>
    </w:p>
    <w:p w14:paraId="2ECB24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2.4.4 逾期提供的责任</w:t>
      </w:r>
    </w:p>
    <w:p w14:paraId="243095E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因发包人原因未能按合同约定及时向承包人提供施工现场、施工条件、基础资料的，由发包人承担由此增加的费用和（或）延误的工期。</w:t>
      </w:r>
    </w:p>
    <w:p w14:paraId="3ED0272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 资金来源证明及支付担保</w:t>
      </w:r>
    </w:p>
    <w:p w14:paraId="66C24B7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5B1F541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9FFF6B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 支付合同价款</w:t>
      </w:r>
    </w:p>
    <w:p w14:paraId="01CD480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发包人应按合同约定向承包人及时支付合同价款。</w:t>
      </w:r>
    </w:p>
    <w:p w14:paraId="02E949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 组织竣工验收</w:t>
      </w:r>
    </w:p>
    <w:p w14:paraId="5E88618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发包人应按合同约定及时组织竣工验收。</w:t>
      </w:r>
    </w:p>
    <w:p w14:paraId="58FA54D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 现场统一管理协议</w:t>
      </w:r>
    </w:p>
    <w:p w14:paraId="1014DD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发包人应与承包人、由发包人直接发包的专业工程的承包人签订施工现场统一管理协议，明确各方的权利义务。施工现场统一管理协议作为专用合同条款的附件。</w:t>
      </w:r>
    </w:p>
    <w:p w14:paraId="44915A7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 承包人</w:t>
      </w:r>
    </w:p>
    <w:p w14:paraId="06A06C9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 承包人的一般义务</w:t>
      </w:r>
    </w:p>
    <w:p w14:paraId="7C6CC6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承包人在履行合同过程中应遵守法律和工程建设标准规范，并履行以下义务：</w:t>
      </w:r>
    </w:p>
    <w:p w14:paraId="5758398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（1）办理法律规定应由承包人办理的许可和批准，并将办理结果书面报送发包人留存；</w:t>
      </w:r>
    </w:p>
    <w:p w14:paraId="700A36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（2）按法律规定和合同约定完成工程，并在保修期内承担保修义务；</w:t>
      </w:r>
    </w:p>
    <w:p w14:paraId="1A6CF59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（3）按法律规定和合同约定采取施工安全和环境保护措施，办理工伤保险，确保工程及人员、材料、设备和设施的安全；</w:t>
      </w:r>
    </w:p>
    <w:p w14:paraId="11CA743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（4）按合同约定的工作内容和施工进度要求，编制施工组织设计和施工措施计划，并对所有施工作业和施工方法的完备性和安全可靠性负责；</w:t>
      </w:r>
    </w:p>
    <w:p w14:paraId="0ADBAD5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43648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（6）按照第6.3款〔环境保护〕约定负责施工场地及其周边环境与生态的保护工作；</w:t>
      </w:r>
    </w:p>
    <w:p w14:paraId="2B5F92D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（7）按第6.1款〔安全文明施工〕约定采取施工安全措施，确保工程及其人员、材料、设备和设施的安全，防止因工程施工造成的人身伤害和财产损失；</w:t>
      </w:r>
    </w:p>
    <w:p w14:paraId="4BF449D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（8）将发包人按合同约定支付的各项价款专用于合同工程，且应及时支付其雇用人员工资，并及时向分包人支付合同价款；</w:t>
      </w:r>
    </w:p>
    <w:p w14:paraId="2DFD4B0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（9）按照法律规定和合同约定编制竣工资料，完成竣工资料立卷及归档，并按专用合同条款约定的竣工资料的套数、内容、时间等要求移交发包人；</w:t>
      </w:r>
    </w:p>
    <w:p w14:paraId="3D27BB3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（10）应履行的其他义务。</w:t>
      </w:r>
    </w:p>
    <w:p w14:paraId="42048722">
      <w:pPr>
        <w:wordWrap/>
        <w:spacing w:line="240" w:lineRule="auto"/>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 xml:space="preserve">3.2 </w:t>
      </w:r>
      <w:r>
        <w:rPr>
          <w:rFonts w:hint="eastAsia" w:ascii="宋体" w:hAnsi="宋体" w:cs="宋体"/>
          <w:color w:val="000000"/>
          <w:kern w:val="0"/>
          <w:szCs w:val="21"/>
          <w:highlight w:val="none"/>
          <w:lang w:eastAsia="zh-CN"/>
        </w:rPr>
        <w:t>项目负责人</w:t>
      </w:r>
    </w:p>
    <w:p w14:paraId="667D8B4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3.2.1 </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应为合同当事人所确认的人选，并在专用合同条款中明确</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的姓名、职称、注册执业证书编号、联系方式及授权范围等事项，</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经承包人授权后代表承包人负责履行合同。</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应是承包人正式聘用的员工，承包人应向发包人提交</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与承包人之间的劳动合同，以及承包人为</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缴纳社会保险的有效证明。承包人不提交上述文件的，</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无权履行职责，发包人有权要求更换</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，由此增加的费用和（或）延误的工期由承包人承担。</w:t>
      </w:r>
    </w:p>
    <w:p w14:paraId="7928AF8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应常驻施工现场，且每月在施工现场时间不得少于专用合同条款约定的天数。</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不得同时担任其他项目的</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确需离开施工现场时，应事先通知监理人，并取得发包人的书面同意。</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的通知中应当载明临时代行其职责的人员的注册执业资格、管理经验等资料，该人员应具备履行相应职责的能力。</w:t>
      </w:r>
    </w:p>
    <w:p w14:paraId="1C6E652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承包人违反上述约定的，应按照专用合同条款的约定，承担违约责任。</w:t>
      </w:r>
    </w:p>
    <w:p w14:paraId="14362C0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3.2.2 </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按合同约定组织工程实施。在紧急情况下为确保施工安全和人员安全，在无法与发包人代表和总监理工程师及时取得联系时，</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有权采取必要的措施保证与工程有关的人身、财产和工程的安全，但应在48小时内向发包人代表和总监理工程师提交书面报告。</w:t>
      </w:r>
    </w:p>
    <w:p w14:paraId="2244841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3.2.3 承包人需要更换</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的，应提前14天书面通知发包人和监理人，并征得发包人书面同意。通知中应当载明继任</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的注册执业资格、管理经验等资料，继任</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继续履行第3.2.1项约定的职责。未经发包人书面同意，承包人不得擅自更换</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。承包人擅自更换</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的，应按照专用合同条款的约定承担违约责任。</w:t>
      </w:r>
    </w:p>
    <w:p w14:paraId="6DB430F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3.2.4 发包人有权书面通知承包人更换其认为不称职的</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，通知中应当载明要求更换的理由。承包人应在接到更换通知后14天内向发包人提出书面的改进报告。发包人收到改进报告后仍要求更换的，承包人应在接到第二次更换通知的28天内进行更换，并将新任命的</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的注册执业资格、管理经验等资料书面通知发包人。继任</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继续履行第3.2.1项约定的职责。承包人无正当理由拒绝更换</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的，应按照专用合同条款的约定承担违约责任。</w:t>
      </w:r>
    </w:p>
    <w:p w14:paraId="78279DC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3.2.5 </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因特殊情况授权其下属人员履行其某项工作职责的，该下属人员应具备履行相应职责的能力，并应提前7天将上述人员的姓名和授权范围书面通知监理人，并征得发包人书面同意。</w:t>
      </w:r>
    </w:p>
    <w:p w14:paraId="0C44E88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 承包人人员</w:t>
      </w:r>
    </w:p>
    <w:p w14:paraId="150CCA3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CFF2A0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C2223A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特殊工种作业人员均应持有相应的资格证明，监理人可以随时检查。</w:t>
      </w:r>
    </w:p>
    <w:p w14:paraId="44D8819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46EACD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EA92BE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3.3.5 承包人擅自更换主要施工管理人员，或前述人员未经监理人或发包人同意擅自离开施工现场的，应按照专用合同条款约定承担违约责任。</w:t>
      </w:r>
    </w:p>
    <w:p w14:paraId="31A68FC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 承包人现场查勘</w:t>
      </w:r>
    </w:p>
    <w:p w14:paraId="3F2CF31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5DD1661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5D8DD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 分包</w:t>
      </w:r>
    </w:p>
    <w:p w14:paraId="3F7A096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3.5.1 分包的一般约定</w:t>
      </w:r>
    </w:p>
    <w:p w14:paraId="3F632B3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786B08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承包人不得以劳务分包的名义转包或违法分包工程。</w:t>
      </w:r>
    </w:p>
    <w:p w14:paraId="6B984F9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3.5.2 分包的确定</w:t>
      </w:r>
    </w:p>
    <w:p w14:paraId="7D893A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FBA868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3.5.3 分包管理</w:t>
      </w:r>
    </w:p>
    <w:p w14:paraId="173BC75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承包人应向监理人提交分包人的主要施工管理人员表，并对分包人的施工人员进行实名制管理，包括但不限于进出场管理、登记造册以及各种证照的办理。</w:t>
      </w:r>
    </w:p>
    <w:p w14:paraId="1A97E2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3.5.4 分包合同价款</w:t>
      </w:r>
    </w:p>
    <w:p w14:paraId="37547F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（1）除本项第（2）目约定的情况或专用合同条款另有约定外，分包合同价款由承包人与分包人结算，未经承包人同意，发包人不得向分包人支付分包工程价款；</w:t>
      </w:r>
    </w:p>
    <w:p w14:paraId="6EC34ED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（2）生效法律文书要求发包人向分包人支付分包合同价款的，发包人有权从应付承包人工程款中扣除该部分款项。</w:t>
      </w:r>
    </w:p>
    <w:p w14:paraId="4D80525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3.5.5 分包合同权益的转让</w:t>
      </w:r>
    </w:p>
    <w:p w14:paraId="5DE8B43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08E9C1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 工程照管与成品、半成品保护</w:t>
      </w:r>
    </w:p>
    <w:p w14:paraId="59B0F39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（1）除专用合同条款另有约定外，自发包人向承包人移交施工现场之日起，承包人应负责照管工程及工程相关的材料、工程设备，直到颁发工程接收证书之日止。</w:t>
      </w:r>
    </w:p>
    <w:p w14:paraId="03F9F05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（2）在承包人负责照管期间，因承包人原因造成工程、材料、工程设备损坏的，由承包人负责修复或更换，并承担由此增加的费用和（或）延误的工期。</w:t>
      </w:r>
    </w:p>
    <w:p w14:paraId="17C61A5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2D4830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 履约担保</w:t>
      </w:r>
    </w:p>
    <w:p w14:paraId="78BFA87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26E728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因承包人原因导致工期延长的，继续提供履约担保所增加的费用由承包人承担；非因承包人原因导致工期延长的，继续提供履约担保所增加的费用由发包人承担。</w:t>
      </w:r>
    </w:p>
    <w:p w14:paraId="173BDF8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 联合体</w:t>
      </w:r>
    </w:p>
    <w:p w14:paraId="523016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 联合体各方应共同与发包人签订合同协议书。联合体各方应为履行合同向发包人承担连带责任。</w:t>
      </w:r>
    </w:p>
    <w:p w14:paraId="2E7CC59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3.8.2 联合体协议经发包人确认后作为合同附件。在履行合同过程中，未经发包人同意，不得修改联合体协议。</w:t>
      </w:r>
    </w:p>
    <w:p w14:paraId="04568C5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3.8.3 联合体牵头人负责与发包人和监理人联系，并接受指示，负责组织联合体各成员全面履行合同。</w:t>
      </w:r>
    </w:p>
    <w:p w14:paraId="5D8B85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 监理人</w:t>
      </w:r>
    </w:p>
    <w:p w14:paraId="7A3AA90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4.1监理人的一般规定</w:t>
      </w:r>
    </w:p>
    <w:p w14:paraId="248F0B9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55D840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除专用合同条款另有约定外，监理人在施工现场的办公场所、生活场所由承包人提供，所发生的费用由发包人承担。</w:t>
      </w:r>
    </w:p>
    <w:p w14:paraId="18D7BB6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4.2监理人员</w:t>
      </w:r>
    </w:p>
    <w:p w14:paraId="0A385EE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0B2EAC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4.3监理人的指示</w:t>
      </w:r>
    </w:p>
    <w:p w14:paraId="52D988F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5031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监理人发出的指示应送达承包人</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或经</w:t>
      </w:r>
      <w:r>
        <w:rPr>
          <w:rFonts w:hint="eastAsia" w:ascii="宋体" w:hAnsi="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BDBFA3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20998FC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7B7962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 商定或确定</w:t>
      </w:r>
    </w:p>
    <w:p w14:paraId="38FA0D5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合同当事人进行商定或确定时，总监理工程师应当会同合同当事人尽量通过协商达成一致，不能达成一致的，由总监理工程师按照合同约定审慎做出公正的确定。</w:t>
      </w:r>
    </w:p>
    <w:p w14:paraId="173650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F034C9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 工程质量</w:t>
      </w:r>
    </w:p>
    <w:p w14:paraId="498CCB0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5.1质量要求</w:t>
      </w:r>
    </w:p>
    <w:p w14:paraId="168C4A7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5.1.1 工程质量标准必须符合现行国家有关工程施工质量验收规范和标准的要求。有关工程质量的特殊标准或要求由合同当事人在专用合同条款中约定。</w:t>
      </w:r>
    </w:p>
    <w:p w14:paraId="3333116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5.1.2 因发包人原因造成工程质量未达到合同约定标准的，由发包人承担由此增加的费用和（或）延误的工期，并支付承包人合理的利润。</w:t>
      </w:r>
    </w:p>
    <w:p w14:paraId="40235CE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59F78FD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5.2质量保证措施</w:t>
      </w:r>
    </w:p>
    <w:p w14:paraId="1E8F751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5.2.1 发包人的质量管理</w:t>
      </w:r>
    </w:p>
    <w:p w14:paraId="0E79778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发包人应按照法律规定及合同约定完成与工程质量有关的各项工作。</w:t>
      </w:r>
    </w:p>
    <w:p w14:paraId="2336673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5.2.2 承包人的质量管理</w:t>
      </w:r>
    </w:p>
    <w:p w14:paraId="3750B6F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0593DD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承包人应对施工人员进行质量教育和技术培训，定期考核施工人员的劳动技能，严格执行施工规范和操作规程。</w:t>
      </w:r>
    </w:p>
    <w:p w14:paraId="44EBD6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2166EC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5.2.3 监理人的质量检查和检验</w:t>
      </w:r>
    </w:p>
    <w:p w14:paraId="51282D3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FCF0B0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8C79ED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 隐蔽工程检查</w:t>
      </w:r>
    </w:p>
    <w:p w14:paraId="177C90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5.3.1承包人自检</w:t>
      </w:r>
    </w:p>
    <w:p w14:paraId="58926DE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承包人应当对工程隐蔽部位进行自检，并经自检确认是否具备覆盖条件。</w:t>
      </w:r>
    </w:p>
    <w:p w14:paraId="7B2266D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5.3.2检查程序</w:t>
      </w:r>
    </w:p>
    <w:p w14:paraId="7054D82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4D0E63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9F855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D5C3A9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5.3.3 重新检查</w:t>
      </w:r>
    </w:p>
    <w:p w14:paraId="7DA5329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56B793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5.3.4 承包人私自覆盖</w:t>
      </w:r>
    </w:p>
    <w:p w14:paraId="0577891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787960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5.4不合格工程的处理</w:t>
      </w:r>
    </w:p>
    <w:p w14:paraId="6DAECE5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607395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5.4.2 因发包人原因造成工程不合格的，由此增加的费用和（或）延误的工期由发包人承担，并支付承包人合理的利润。</w:t>
      </w:r>
    </w:p>
    <w:p w14:paraId="4CA5E6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 质量争议检测</w:t>
      </w:r>
    </w:p>
    <w:p w14:paraId="1B864BE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合同当事人对工程质量有争议的，由双方协商确定的工程质量检测机构鉴定，由此产生的费用及因此造成的损失，由责任方承担。</w:t>
      </w:r>
    </w:p>
    <w:p w14:paraId="786F6D6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合同当事人均有责任的，由双方根据其责任分别承担。合同当事人无法达成一致的，按照第4.4款〔商定或确定〕执行。</w:t>
      </w:r>
    </w:p>
    <w:p w14:paraId="6AB462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 安全文明施工与环境保护</w:t>
      </w:r>
    </w:p>
    <w:p w14:paraId="0F355F1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6.1安全文明施工</w:t>
      </w:r>
    </w:p>
    <w:p w14:paraId="7CF67E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6.1.1安全生产要求</w:t>
      </w:r>
    </w:p>
    <w:p w14:paraId="5483381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A969DB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18C717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因安全生产需要暂停施工的，按照第7.8款〔暂停施工〕的约定执行。</w:t>
      </w:r>
    </w:p>
    <w:p w14:paraId="5FEC2E6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6.1.2 安全生产保证措施</w:t>
      </w:r>
    </w:p>
    <w:p w14:paraId="62DB74E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2EFD7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6.1.3特别安全生产事项</w:t>
      </w:r>
    </w:p>
    <w:p w14:paraId="0D73586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728E16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B20AC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E3E3C2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需单独编制危险性较大分部分项专项工程施工方案的，及要求进行专家论证的超过一定规模的危险性较大的分部分项工程，承包人应及时编制和组织论证。</w:t>
      </w:r>
    </w:p>
    <w:p w14:paraId="5EAE050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6.1.4 治安保卫</w:t>
      </w:r>
    </w:p>
    <w:p w14:paraId="75BD677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292033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发包人和承包人除应协助现场治安管理机构或联防组织维护施工场地的社会治安外，还应做好包括生活区在内的各自管辖区的治安保卫工作。</w:t>
      </w:r>
    </w:p>
    <w:p w14:paraId="25C4325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BF315C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6.1.5 文明施工</w:t>
      </w:r>
    </w:p>
    <w:p w14:paraId="1E39BBE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0B9922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C6559A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6.1.6 安全文明施工费</w:t>
      </w:r>
    </w:p>
    <w:p w14:paraId="56D0108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3C09DA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116B32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ACC65E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C1F626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6.1.7 紧急情况处理</w:t>
      </w:r>
    </w:p>
    <w:p w14:paraId="5BE5E27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D95CE5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6.1.8 事故处理</w:t>
      </w:r>
    </w:p>
    <w:p w14:paraId="56D4193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FDAE6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6.1.9 安全生产责任</w:t>
      </w:r>
    </w:p>
    <w:p w14:paraId="739E62C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6.1.9.1 发包人的安全责任</w:t>
      </w:r>
    </w:p>
    <w:p w14:paraId="1A298BA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发包人应负责赔偿以下各种情况造成的损失：</w:t>
      </w:r>
    </w:p>
    <w:p w14:paraId="107C7CA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（1）工程或工程的任何部分对土地的占用所造成的第三者财产损失；</w:t>
      </w:r>
    </w:p>
    <w:p w14:paraId="426D507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（2）由于发包人原因在施工场地及其毗邻地带造成的第三者人身伤亡和财产损失；</w:t>
      </w:r>
    </w:p>
    <w:p w14:paraId="281E00B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（3）由于发包人原因对承包人、监理人造成的人员人身伤亡和财产损失；</w:t>
      </w:r>
    </w:p>
    <w:p w14:paraId="65719F9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（4）由于发包人原因造成的发包人自身人员的人身伤害以及财产损失。</w:t>
      </w:r>
    </w:p>
    <w:p w14:paraId="750B06A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6.1.9.2 承包人的安全责任</w:t>
      </w:r>
    </w:p>
    <w:p w14:paraId="5492E04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由于承包人原因在施工场地内及其毗邻地带造成的发包人、监理人以及第三者人员伤亡和财产损失，由承包人负责赔偿。</w:t>
      </w:r>
    </w:p>
    <w:p w14:paraId="70AE295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 职业健康</w:t>
      </w:r>
    </w:p>
    <w:p w14:paraId="782718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6.2.1 劳动保护</w:t>
      </w:r>
    </w:p>
    <w:p w14:paraId="489078F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D16664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71D6D2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14EDA1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6.2.2 生活条件</w:t>
      </w:r>
    </w:p>
    <w:p w14:paraId="15DD751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480885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 环境保护</w:t>
      </w:r>
    </w:p>
    <w:p w14:paraId="69B7AE9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56812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承包人应当承担因其原因引起的环境污染侵权损害赔偿责任，因上述环境污染引起纠纷而导致暂停施工的，由此增加的费用和（或）延误的工期由承包人承担。</w:t>
      </w:r>
    </w:p>
    <w:p w14:paraId="76E105C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 工期和进度</w:t>
      </w:r>
    </w:p>
    <w:p w14:paraId="74F6CF0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7.1施工组织设计</w:t>
      </w:r>
    </w:p>
    <w:p w14:paraId="2B84235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7.1.1 施工组织设计的内容</w:t>
      </w:r>
    </w:p>
    <w:p w14:paraId="20C61E4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施工组织设计应包含以下内容：</w:t>
      </w:r>
    </w:p>
    <w:p w14:paraId="7ED10F2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（1）施工方案； </w:t>
      </w:r>
    </w:p>
    <w:p w14:paraId="24DFB74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（2）施工现场平面布置图；</w:t>
      </w:r>
    </w:p>
    <w:p w14:paraId="27262A1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（3）施工进度计划和保证措施； </w:t>
      </w:r>
    </w:p>
    <w:p w14:paraId="7E135D6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（4）劳动力及材料供应计划；</w:t>
      </w:r>
    </w:p>
    <w:p w14:paraId="13E9DEA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（5）施工机械设备的选用；</w:t>
      </w:r>
    </w:p>
    <w:p w14:paraId="431713F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（6）质量保证体系及措施；</w:t>
      </w:r>
    </w:p>
    <w:p w14:paraId="77462A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（7）安全生产、文明施工措施；</w:t>
      </w:r>
    </w:p>
    <w:p w14:paraId="397E9DD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（8）环境保护、成本控制措施；</w:t>
      </w:r>
    </w:p>
    <w:p w14:paraId="6334F91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（9）合同当事人约定的其他内容。</w:t>
      </w:r>
    </w:p>
    <w:p w14:paraId="6D649EF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7.1.2 施工组织设计的提交和修改</w:t>
      </w:r>
    </w:p>
    <w:p w14:paraId="54E13CE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17387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施工进度计划的编制和修改按照第7.2款〔施工进度计划〕执行。</w:t>
      </w:r>
    </w:p>
    <w:p w14:paraId="04948C0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 施工进度计划</w:t>
      </w:r>
    </w:p>
    <w:p w14:paraId="652A73B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7.2.1 施工进度计划的编制</w:t>
      </w:r>
    </w:p>
    <w:p w14:paraId="4D6816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FB1654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7.2.2 施工进度计划的修订</w:t>
      </w:r>
    </w:p>
    <w:p w14:paraId="4A585F0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0B686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 开工</w:t>
      </w:r>
    </w:p>
    <w:p w14:paraId="078545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7.3.1 开工准备</w:t>
      </w:r>
    </w:p>
    <w:p w14:paraId="060961D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C2D148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除专用合同条款另有约定外，合同当事人应按约定完成开工准备工作。</w:t>
      </w:r>
    </w:p>
    <w:p w14:paraId="44DD528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7.3.2 开工通知</w:t>
      </w:r>
    </w:p>
    <w:p w14:paraId="5C64E03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FD092E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8862A8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7.4测量放线</w:t>
      </w:r>
    </w:p>
    <w:p w14:paraId="1B4EE2D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69A542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98127E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DA4EE2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施工过程中对施工现场内水准点等测量标志物的保护工作由承包人负责。</w:t>
      </w:r>
    </w:p>
    <w:p w14:paraId="498E280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 工期延误</w:t>
      </w:r>
    </w:p>
    <w:p w14:paraId="0E3AF25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7.5.1 因发包人原因导致工期延误</w:t>
      </w:r>
    </w:p>
    <w:p w14:paraId="021448F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在合同履行过程中，因下列情况导致工期延误和（或）费用增加的，由发包人承担由此延误的工期和（或）增加的费用，且发包人应支付承包人合理的利润： </w:t>
      </w:r>
    </w:p>
    <w:p w14:paraId="5506D84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（1）发包人未能按合同约定提供图纸或所提供图纸不符合合同约定的；</w:t>
      </w:r>
    </w:p>
    <w:p w14:paraId="57AC580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（2）发包人未能按合同约定提供施工现场、施工条件、基础资料、许可、批准等开工条件的；</w:t>
      </w:r>
    </w:p>
    <w:p w14:paraId="57659DD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（3）发包人提供的测量基准点、基准线和水准点及其书面资料存在错误或疏漏的；</w:t>
      </w:r>
    </w:p>
    <w:p w14:paraId="30464FD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（4）发包人未能在计划开工日期之日起7天内同意下达开工通知的；</w:t>
      </w:r>
    </w:p>
    <w:p w14:paraId="4805274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（5）发包人未能按合同约定日期支付工程预付款、进度款或竣工结算款的；</w:t>
      </w:r>
    </w:p>
    <w:p w14:paraId="6B93AD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（6）监理人未按合同约定发出指示、批准等文件的；</w:t>
      </w:r>
    </w:p>
    <w:p w14:paraId="1D513FB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（7）专用合同条款中约定的其他情形。</w:t>
      </w:r>
    </w:p>
    <w:p w14:paraId="7B5653B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283EAC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7.5.2 因承包人原因导致工期延误</w:t>
      </w:r>
    </w:p>
    <w:p w14:paraId="1310F38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140B11B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 不利物质条件</w:t>
      </w:r>
    </w:p>
    <w:p w14:paraId="177DAF6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041298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5ECEEC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 异常恶劣的气候条件</w:t>
      </w:r>
    </w:p>
    <w:p w14:paraId="32DB662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67597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AF3A52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 暂停施工</w:t>
      </w:r>
    </w:p>
    <w:p w14:paraId="599F379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7.8.1发包人原因引起的暂停施工</w:t>
      </w:r>
    </w:p>
    <w:p w14:paraId="45A70C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FC6143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因发包人原因引起的暂停施工，发包人应承担由此增加的费用和（或）延误的工期，并支付承包人合理的利润。</w:t>
      </w:r>
    </w:p>
    <w:p w14:paraId="730E126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7.8.2 承包人原因引起的暂停施工</w:t>
      </w:r>
    </w:p>
    <w:p w14:paraId="3A039CE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8D1158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7.8.3 指示暂停施工</w:t>
      </w:r>
    </w:p>
    <w:p w14:paraId="08CCC07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监理人认为有必要时，并经发包人批准后，可向承包人作出暂停施工的指示，承包人应按监理人指示暂停施工。</w:t>
      </w:r>
    </w:p>
    <w:p w14:paraId="681806F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7.8.4 紧急情况下的暂停施工</w:t>
      </w:r>
    </w:p>
    <w:p w14:paraId="1D8C876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91A59E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7.8.5 暂停施工后的复工</w:t>
      </w:r>
    </w:p>
    <w:p w14:paraId="4236BD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ABFB6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承包人无故拖延和拒绝复工的，承包人承担由此增加的费用和（或）延误的工期；因发包人原因无法按时复工的，按照第7.5.1项〔因发包人原因导致工期延误〕约定办理。</w:t>
      </w:r>
    </w:p>
    <w:p w14:paraId="6967CD4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7.8.6 暂停施工持续56天以上</w:t>
      </w:r>
    </w:p>
    <w:p w14:paraId="1E416EC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1EDD81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03E7FC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7.8.7 暂停施工期间的工程照管</w:t>
      </w:r>
    </w:p>
    <w:p w14:paraId="22B5D4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暂停施工期间，承包人应负责妥善照管工程并提供安全保障，由此增加的费用由责任方承担。</w:t>
      </w:r>
    </w:p>
    <w:p w14:paraId="204F0EE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7.8.8 暂停施工的措施</w:t>
      </w:r>
    </w:p>
    <w:p w14:paraId="65E3D0F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暂停施工期间，发包人和承包人均应采取必要的措施确保工程质量及安全，防止因暂停施工扩大损失。</w:t>
      </w:r>
    </w:p>
    <w:p w14:paraId="6C6C855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7.9提前竣工</w:t>
      </w:r>
    </w:p>
    <w:p w14:paraId="5EAEDC9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B68F87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7.9.2 发包人要求承包人提前竣工，或承包人提出提前竣工的建议能够给发包人带来效益的，合同当事人可以在专用合同条款中约定提前竣工的奖励。</w:t>
      </w:r>
    </w:p>
    <w:p w14:paraId="0971583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 材料与设备</w:t>
      </w:r>
    </w:p>
    <w:p w14:paraId="3515CA3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8.1发包人供应材料与工程设备</w:t>
      </w:r>
    </w:p>
    <w:p w14:paraId="530EB6D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7CBB25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1E45E5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8.2承包人采购材料与工程设备</w:t>
      </w:r>
    </w:p>
    <w:p w14:paraId="2F7405C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A28D39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8.3材料与工程设备的接收与拒收</w:t>
      </w:r>
    </w:p>
    <w:p w14:paraId="0CFACE7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BD6B95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2B4830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1F52E3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EC4AD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8.4材料与工程设备的保管与使用</w:t>
      </w:r>
    </w:p>
    <w:p w14:paraId="3D5331A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8.4.1 发包人供应材料与工程设备的保管与使用</w:t>
      </w:r>
    </w:p>
    <w:p w14:paraId="6BC5227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9AE6AD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发包人供应的材料和工程设备使用前，由承包人负责检验，检验费用由发包人承担，不合格的不得使用。</w:t>
      </w:r>
    </w:p>
    <w:p w14:paraId="0AAE7FD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8.4.2 承包人采购材料与工程设备的保管与使用</w:t>
      </w:r>
    </w:p>
    <w:p w14:paraId="22E4464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5072D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0C25EE9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8.5禁止使用不合格的材料和工程设备</w:t>
      </w:r>
    </w:p>
    <w:p w14:paraId="14E18F0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044B50C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8.5.2 监理人发现承包人使用了不合格的材料和工程设备，承包人应按照监理人的指示立即改正，并禁止在工程中继续使用不合格的材料和工程设备。</w:t>
      </w:r>
    </w:p>
    <w:p w14:paraId="4369548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642D46D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8.6 样品</w:t>
      </w:r>
    </w:p>
    <w:p w14:paraId="58B7915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8.6.1</w:t>
      </w:r>
      <w:r>
        <w:rPr>
          <w:rFonts w:hint="eastAsia" w:ascii="宋体" w:hAnsi="宋体" w:eastAsia="宋体" w:cs="宋体"/>
          <w:color w:val="000000"/>
          <w:kern w:val="0"/>
          <w:szCs w:val="21"/>
          <w:highlight w:val="none"/>
        </w:rPr>
        <w:tab/>
      </w:r>
      <w:r>
        <w:rPr>
          <w:rFonts w:hint="eastAsia" w:ascii="宋体" w:hAnsi="宋体" w:eastAsia="宋体" w:cs="宋体"/>
          <w:color w:val="000000"/>
          <w:kern w:val="0"/>
          <w:szCs w:val="21"/>
          <w:highlight w:val="none"/>
        </w:rPr>
        <w:t>样品的报送与封存</w:t>
      </w:r>
    </w:p>
    <w:p w14:paraId="71CCC72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需要承包人报送样品的材料或工程设备，样品的种类、名称、规格、数量等要求均应在专用合同条款中约定。样品的报送程序如下：</w:t>
      </w:r>
    </w:p>
    <w:p w14:paraId="14C8A95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0EE1F2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2A8D40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1320E07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4794F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8.6.2 样品的保管</w:t>
      </w:r>
    </w:p>
    <w:p w14:paraId="4E13708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经批准的样品应由监理人负责封存于现场，承包人应在现场为保存样品提供适当和固定的场所并保持适当和良好的存储环境条件。</w:t>
      </w:r>
    </w:p>
    <w:p w14:paraId="7CB9A35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8.7材料与工程设备的替代</w:t>
      </w:r>
    </w:p>
    <w:p w14:paraId="55960A1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8.7.1 出现下列情况需要使用替代材料和工程设备的，承包人应按照第8.7.2项约定的程序执行：</w:t>
      </w:r>
    </w:p>
    <w:p w14:paraId="2878EF4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（1）基准日期后生效的法律规定禁止使用的；</w:t>
      </w:r>
    </w:p>
    <w:p w14:paraId="67AC46B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（2）发包人要求使用替代品的；</w:t>
      </w:r>
    </w:p>
    <w:p w14:paraId="5A252CB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（3）因其他原因必须使用替代品的。</w:t>
      </w:r>
    </w:p>
    <w:p w14:paraId="45BF4AC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8.7.2 承包人应在使用替代材料和工程设备28天前书面通知监理人，并附下列文件：</w:t>
      </w:r>
    </w:p>
    <w:p w14:paraId="5B3C255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（1）被替代的材料和工程设备的名称、数量、规格、型号、品牌、性能、价格及其他相关资料；</w:t>
      </w:r>
    </w:p>
    <w:p w14:paraId="1A2F08B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（2）替代品的名称、数量、规格、型号、品牌、性能、价格及其他相关资料；</w:t>
      </w:r>
    </w:p>
    <w:p w14:paraId="2F0DE4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（3）替代品与被替代产品之间的差异以及使用替代品可能对工程产生的影响；</w:t>
      </w:r>
    </w:p>
    <w:p w14:paraId="3C48862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（4）替代品与被替代产品的价格差异；</w:t>
      </w:r>
    </w:p>
    <w:p w14:paraId="4C864AC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（5）使用替代品的理由和原因说明；</w:t>
      </w:r>
    </w:p>
    <w:p w14:paraId="089BE42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（6）监理人要求的其他文件。</w:t>
      </w:r>
    </w:p>
    <w:p w14:paraId="063FB4B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监理人应在收到通知后14天内向承包人发出经发包人签认的书面指示；监理人逾期发出书面指示的，视为发包人和监理人同意使用替代品。</w:t>
      </w:r>
    </w:p>
    <w:p w14:paraId="2DFA000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E9BE2E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8.8施工设备和临时设施</w:t>
      </w:r>
    </w:p>
    <w:p w14:paraId="274947D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8.8.1 承包人提供的施工设备和临时设施</w:t>
      </w:r>
    </w:p>
    <w:p w14:paraId="689425F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B15DED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除专用合同条款另有约定外，承包人应自行承担修建临时设施的费用，需要临时占地的，应由发包人办理申请手续并承担相应费用。</w:t>
      </w:r>
    </w:p>
    <w:p w14:paraId="4ADB25D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8.8.2发包人提供的施工设备和临时设施</w:t>
      </w:r>
    </w:p>
    <w:p w14:paraId="125CBD1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发包人提供的施工设备或临时设施在专用合同条款中约定。</w:t>
      </w:r>
    </w:p>
    <w:p w14:paraId="78E215F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8.8.3要求承包人增加或更换施工设备</w:t>
      </w:r>
    </w:p>
    <w:p w14:paraId="0923C95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3CAE01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8.9材料与设备专用要求</w:t>
      </w:r>
    </w:p>
    <w:p w14:paraId="3B5C0FA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7BD68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 试验与检验</w:t>
      </w:r>
    </w:p>
    <w:p w14:paraId="3FBA307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9.1试验设备与试验人员</w:t>
      </w:r>
    </w:p>
    <w:p w14:paraId="150E39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C4DC2B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9.1.2 承包人应按专用合同条款的约定提供试验设备、取样装置、试验场所和试验条件，并向监理人提交相应进场计划表。</w:t>
      </w:r>
    </w:p>
    <w:p w14:paraId="237A583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承包人配置的试验设备要符合相应试验规程的要求并经过具有资质的检测单位检测，且在正式使用该试验设备前，需要经过监理人与承包人共同校定。</w:t>
      </w:r>
    </w:p>
    <w:p w14:paraId="0E462B2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20D3DA5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9.2取样</w:t>
      </w:r>
    </w:p>
    <w:p w14:paraId="047A750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试验属于自检性质的，承包人可以单独取样。试验属于监理人抽检性质的，可由监理人取样，也可由承包人的试验人员在监理人的监督下取样。</w:t>
      </w:r>
    </w:p>
    <w:p w14:paraId="6E1BD65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9.3材料、工程设备和工程的试验和检验</w:t>
      </w:r>
    </w:p>
    <w:p w14:paraId="058DB73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1A0127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06ED24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034706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9.4现场工艺试验</w:t>
      </w:r>
    </w:p>
    <w:p w14:paraId="57FF776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2E640A9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 变更</w:t>
      </w:r>
    </w:p>
    <w:p w14:paraId="3858354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10.1变更的范围</w:t>
      </w:r>
    </w:p>
    <w:p w14:paraId="43A4A7A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除专用合同条款另有约定外，合同履行过程中发生以下情形的，应按照本条约定进行变更：</w:t>
      </w:r>
    </w:p>
    <w:p w14:paraId="3DD9C58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（1）增加或减少合同中任何工作，或追加额外的工作；</w:t>
      </w:r>
    </w:p>
    <w:p w14:paraId="1FBBDF5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（2）取消合同中任何工作，但转由他人实施的工作除外；</w:t>
      </w:r>
    </w:p>
    <w:p w14:paraId="66E635E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（3）改变合同中任何工作的质量标准或其他特性；</w:t>
      </w:r>
    </w:p>
    <w:p w14:paraId="1191D08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（4）改变工程的基线、标高、位置和尺寸；</w:t>
      </w:r>
    </w:p>
    <w:p w14:paraId="1EA7A77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（5）改变工程的时间安排或实施顺序。</w:t>
      </w:r>
    </w:p>
    <w:p w14:paraId="24A6544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10.2变更权</w:t>
      </w:r>
    </w:p>
    <w:p w14:paraId="6996162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A60ADD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涉及设计变更的，应由设计人提供变更后的图纸和说明。如变更超过原设计标准或批准的建设规模时，发包人应及时办理规划、设计变更等审批手续。</w:t>
      </w:r>
    </w:p>
    <w:p w14:paraId="0AE1AC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10.3变更程序</w:t>
      </w:r>
    </w:p>
    <w:p w14:paraId="0B9ED3E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10.3.1 发包人提出变更</w:t>
      </w:r>
    </w:p>
    <w:p w14:paraId="18345B2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发包人提出变更的，应通过监理人向承包人发出变更指示，变更指示应说明计划变更的工程范围和变更的内容。</w:t>
      </w:r>
    </w:p>
    <w:p w14:paraId="7DA8558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10.3.2 监理人提出变更建议</w:t>
      </w:r>
    </w:p>
    <w:p w14:paraId="7A55980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9108DB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10.3.3 变更执行</w:t>
      </w:r>
    </w:p>
    <w:p w14:paraId="0E05B46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D45A1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10.4变更估价</w:t>
      </w:r>
    </w:p>
    <w:p w14:paraId="470C25B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10.4.1 变更估价原则</w:t>
      </w:r>
    </w:p>
    <w:p w14:paraId="0D9FD73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除专用合同条款另有约定外，变更估价按照本款约定处理：</w:t>
      </w:r>
    </w:p>
    <w:p w14:paraId="0EFB372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（1）已标价工程量清单或预算书有相同项目的，按照相同项目单价认定；</w:t>
      </w:r>
    </w:p>
    <w:p w14:paraId="170C8D2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（2）已标价工程量清单或预算书中无相同项目，但有类似项目的，参照类似项目的单价认定；</w:t>
      </w:r>
    </w:p>
    <w:p w14:paraId="4B5D4CF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2A43EF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10.4.2 变更估价程序</w:t>
      </w:r>
    </w:p>
    <w:p w14:paraId="56D3F2E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C7F331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因变更引起的价格调整应计入最近一期的进度款中支付。</w:t>
      </w:r>
    </w:p>
    <w:p w14:paraId="268B07C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10.5承包人的合理化建议</w:t>
      </w:r>
    </w:p>
    <w:p w14:paraId="72358EB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承包人提出合理化建议的，应向监理人提交合理化建议说明，说明建议的内容和理由，以及实施该建议对合同价格和工期的影响。</w:t>
      </w:r>
    </w:p>
    <w:p w14:paraId="6D15606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CBC412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合理化建议降低了合同价格或者提高了工程经济效益的，发包人可对承包人给予奖励，奖励的方法和金额在专用合同条款中约定。</w:t>
      </w:r>
    </w:p>
    <w:p w14:paraId="08FB28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10.6变更引起的工期调整   </w:t>
      </w:r>
    </w:p>
    <w:p w14:paraId="0A1F7DF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因变更引起工期变化的，合同当事人均可要求调整合同工期，由合同当事人按照第4.4款〔商定或确定〕并参考工程所在地的工期定额标准确定增减工期天数。</w:t>
      </w:r>
    </w:p>
    <w:p w14:paraId="3B390E6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10.7暂估价</w:t>
      </w:r>
    </w:p>
    <w:p w14:paraId="37BCBC6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暂估价专业分包工程、服务、材料和工程设备的明细由合同当事人在专用合同条款中约定。</w:t>
      </w:r>
    </w:p>
    <w:p w14:paraId="74F5CB4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10.7.1 依法必须招标的暂估价项目</w:t>
      </w:r>
    </w:p>
    <w:p w14:paraId="36DFD93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对于依法必须招标的暂估价项目，采取以下第1种方式确定。合同当事人也可以在专用合同条款中选择其他招标方式。</w:t>
      </w:r>
    </w:p>
    <w:p w14:paraId="437762F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第1种方式：对于依法必须招标的暂估价项目，由承包人招标，对该暂估价项目的确认和批准按照以下约定执行：</w:t>
      </w:r>
    </w:p>
    <w:p w14:paraId="37D1A97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4137F0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5FAA2C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3587A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059267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10.7.2不属于依法必须招标的暂估价项目</w:t>
      </w:r>
    </w:p>
    <w:p w14:paraId="2A4397C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除专用合同条款另有约定外，对于不属于依法必须招标的暂估价项目，采取以下第1种方式确定： </w:t>
      </w:r>
    </w:p>
    <w:p w14:paraId="04E024E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第1种方式：对于不属于依法必须招标的暂估价项目，按本项约定确认和批准：</w:t>
      </w:r>
    </w:p>
    <w:p w14:paraId="57CF5EE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007B3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（2）发包人认为承包人确定的供应商、分包人无法满足工程质量或合同要求的，发包人可以要求承包人重新确定暂估价项目的供应商、分包人;</w:t>
      </w:r>
    </w:p>
    <w:p w14:paraId="0E75223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（3）承包人应当在签订暂估价合同后7天内，将暂估价合同副本报送发包人留存。</w:t>
      </w:r>
    </w:p>
    <w:p w14:paraId="2538AFB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第2种方式：承包人按照第10.7.1项〔依法必须招标的暂估价项目〕约定的第1种方式确定暂估价项目。</w:t>
      </w:r>
    </w:p>
    <w:p w14:paraId="06E0BEF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第3种方式：承包人直接实施的暂估价项目</w:t>
      </w:r>
    </w:p>
    <w:p w14:paraId="49C2439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承包人具备实施暂估价项目的资格和条件的，经发包人和承包人协商一致后，可由承包人自行实施暂估价项目，合同当事人可以在专用合同条款约定具体事项。</w:t>
      </w:r>
    </w:p>
    <w:p w14:paraId="618A5EC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08A4F6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10.8暂列金额</w:t>
      </w:r>
    </w:p>
    <w:p w14:paraId="020465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暂列金额应按照发包人的要求使用，发包人的要求应通过监理人发出。合同当事人可以在专用合同条款中协商确定有关事项。</w:t>
      </w:r>
    </w:p>
    <w:p w14:paraId="73FCB8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10.9计日工 </w:t>
      </w:r>
    </w:p>
    <w:p w14:paraId="0667EF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66FEF7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采用计日工计价的任何一项工作，承包人应在该项工作实施过程中，每天提交以下报表和有关凭证报送监理人审查：</w:t>
      </w:r>
    </w:p>
    <w:p w14:paraId="0AB0749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（1）工作名称、内容和数量；</w:t>
      </w:r>
    </w:p>
    <w:p w14:paraId="761C49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（2）投入该工作的所有人员的姓名、专业、工种、级别和耗用工时；</w:t>
      </w:r>
    </w:p>
    <w:p w14:paraId="195C3EF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（3）投入该工作的材料类别和数量；</w:t>
      </w:r>
    </w:p>
    <w:p w14:paraId="30984AC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（4）投入该工作的施工设备型号、台数和耗用台时；</w:t>
      </w:r>
    </w:p>
    <w:p w14:paraId="5350AE9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（5）其他有关资料和凭证。</w:t>
      </w:r>
    </w:p>
    <w:p w14:paraId="099F588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计日工由承包人汇总后，列入最近一期进度付款申请单，由监理人审查并经发包人批准后列入进度付款。</w:t>
      </w:r>
    </w:p>
    <w:p w14:paraId="31715D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 价格调整</w:t>
      </w:r>
    </w:p>
    <w:p w14:paraId="7A52E1F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11.1市场价格波动引起的调整</w:t>
      </w:r>
    </w:p>
    <w:p w14:paraId="3C57AD0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33C87B0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第1种方式：采用价格指数进行价格调整。</w:t>
      </w:r>
    </w:p>
    <w:p w14:paraId="02E52CF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（1）价格调整公式</w:t>
      </w:r>
    </w:p>
    <w:p w14:paraId="45328F1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因人工、材料和设备等价格波动影响合同价格时，根据专用合同条款中约定的数据，按以下公式计算差额并调整合同价格：</w:t>
      </w:r>
    </w:p>
    <w:p w14:paraId="2D40BD2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object>
          <v:shape id="_x0000_i1025" o:spt="75" type="#_x0000_t75" style="height:44.3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1C0151A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公式中：ΔP——需调整的价格差额；</w:t>
      </w:r>
    </w:p>
    <w:p w14:paraId="42BC347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object>
          <v:shape id="_x0000_i1026" o:spt="75" type="#_x0000_t75" style="height:18.75pt;width:18.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eastAsia="宋体" w:cs="宋体"/>
          <w:color w:val="000000"/>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94E4EA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A——定值权重（即不调部分的权重）；</w:t>
      </w:r>
    </w:p>
    <w:p w14:paraId="19C276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object>
          <v:shape id="_x0000_i1027" o:spt="75" type="#_x0000_t75" style="height:21pt;width:101.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eastAsia="宋体" w:cs="宋体"/>
          <w:color w:val="000000"/>
          <w:kern w:val="0"/>
          <w:szCs w:val="21"/>
          <w:highlight w:val="none"/>
        </w:rPr>
        <w:t>——各可调因子的变值权重（即可调部分的权重），为各可调因子在签约合同价中所占的比例；</w:t>
      </w:r>
    </w:p>
    <w:p w14:paraId="308030C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object>
          <v:shape id="_x0000_i1028" o:spt="75" type="#_x0000_t75" style="height:20.25pt;width:102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eastAsia="宋体" w:cs="宋体"/>
          <w:color w:val="000000"/>
          <w:kern w:val="0"/>
          <w:szCs w:val="21"/>
          <w:highlight w:val="none"/>
        </w:rPr>
        <w:t>——各可调因子的现行价格指数，指约定的付款证书相关周期最后一天的前42天的各可调因子的价格指数；</w:t>
      </w:r>
    </w:p>
    <w:p w14:paraId="6513CD7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object>
          <v:shape id="_x0000_i1029" o:spt="75" type="#_x0000_t75" style="height:20.25pt;width:108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eastAsia="宋体" w:cs="宋体"/>
          <w:color w:val="000000"/>
          <w:kern w:val="0"/>
          <w:szCs w:val="21"/>
          <w:highlight w:val="none"/>
        </w:rPr>
        <w:t>——各可调因子的基本价格指数，指基准日期的各可调因子的价格指数。</w:t>
      </w:r>
    </w:p>
    <w:p w14:paraId="246FFB0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5D0A71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（2）暂时确定调整差额</w:t>
      </w:r>
    </w:p>
    <w:p w14:paraId="486809F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在计算调整差额时无现行价格指数的，合同当事人同意暂用前次价格指数计算。实际价格指数有调整的，合同当事人进行相应调整。</w:t>
      </w:r>
    </w:p>
    <w:p w14:paraId="01D186E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（3）权重的调整</w:t>
      </w:r>
    </w:p>
    <w:p w14:paraId="1A8F206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因变更导致合同约定的权重不合理时，按照第4.4款〔商定或确定〕执行。</w:t>
      </w:r>
    </w:p>
    <w:p w14:paraId="2B3B729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（4）因承包人原因工期延误后的价格调整</w:t>
      </w:r>
    </w:p>
    <w:p w14:paraId="7B643BB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52D84B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第2种方式：采用造价信息进行价格调整。</w:t>
      </w:r>
    </w:p>
    <w:p w14:paraId="3BFC38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CA6D4A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29FA75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（2）材料、工程设备价格变化的价款调整按照发包人提供的基准价格，按以下风险范围规定执行:</w:t>
      </w:r>
    </w:p>
    <w:p w14:paraId="774815B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6915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20ACB7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4563C8A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9FF4D7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E1B637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（3）施工机械台班单价或施工机械使用费发生变化超过省级或行业建设主管部门或其授权的工程造价管理机构规定的范围时，按规定调整合同价格。</w:t>
      </w:r>
    </w:p>
    <w:p w14:paraId="2AF306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第3种方式：专用合同条款约定的其他方式。</w:t>
      </w:r>
    </w:p>
    <w:p w14:paraId="121C695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11.2法律变化引起的调整</w:t>
      </w:r>
    </w:p>
    <w:p w14:paraId="58FB3E5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F37F2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因法律变化引起的合同价格和工期调整，合同当事人无法达成一致的，由总监理工程师按第4.4款〔商定或确定〕的约定处理。</w:t>
      </w:r>
    </w:p>
    <w:p w14:paraId="23279BF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因承包人原因造成工期延误，在工期延误期间出现法律变化的，由此增加的费用和（或）延误的工期由承包人承担。</w:t>
      </w:r>
    </w:p>
    <w:p w14:paraId="5446DE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 合同价格、计量与支付</w:t>
      </w:r>
    </w:p>
    <w:p w14:paraId="601BEE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 合同价格形式</w:t>
      </w:r>
    </w:p>
    <w:p w14:paraId="7A4CBB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发包人和承包人应在合同协议书中选择下列一种合同价格形式： </w:t>
      </w:r>
    </w:p>
    <w:p w14:paraId="17C67D5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1.单价合同</w:t>
      </w:r>
    </w:p>
    <w:p w14:paraId="7E07775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12AD52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2.总价合同</w:t>
      </w:r>
    </w:p>
    <w:p w14:paraId="0A08C18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8710C6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3.其它价格形式</w:t>
      </w:r>
    </w:p>
    <w:p w14:paraId="1EB9DD6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合同当事人可在专用合同条款中约定其他合同价格形式。</w:t>
      </w:r>
    </w:p>
    <w:p w14:paraId="6B8A131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12.2预付款</w:t>
      </w:r>
    </w:p>
    <w:p w14:paraId="5B9B1FE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12.2.1预付款的支付</w:t>
      </w:r>
    </w:p>
    <w:p w14:paraId="1935F7A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041A071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除专用合同条款另有约定外，预付款在进度付款中同比例扣回。在颁发工程接收证书前，提前解除合同的，尚未扣完的预付款应与合同价款一并结算。</w:t>
      </w:r>
    </w:p>
    <w:p w14:paraId="7A07077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9ACB4C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12.2.2 预付款担保</w:t>
      </w:r>
    </w:p>
    <w:p w14:paraId="6AF3EE8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22B78D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发包人在工程款中逐期扣回预付款后，预付款担保额度应相应减少，但剩余的预付款担保金额不得低于未被扣回的预付款金额。</w:t>
      </w:r>
    </w:p>
    <w:p w14:paraId="20E1814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12.3计量</w:t>
      </w:r>
    </w:p>
    <w:p w14:paraId="5A3403B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12.3.1 计量原则</w:t>
      </w:r>
    </w:p>
    <w:p w14:paraId="77FEB0F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635B1CB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12.3.2 计量周期</w:t>
      </w:r>
    </w:p>
    <w:p w14:paraId="2F019B2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除专用合同条款另有约定外，工程量的计量按月进行。</w:t>
      </w:r>
    </w:p>
    <w:p w14:paraId="129C39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12.3.3 单价合同的计量</w:t>
      </w:r>
    </w:p>
    <w:p w14:paraId="4A8ED8B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除专用合同条款另有约定外，单价合同的计量按照本项约定执行：</w:t>
      </w:r>
    </w:p>
    <w:p w14:paraId="4486503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（1）承包人应于每月25日向监理人报送上月20日至当月19日已完成的工程量报告，并附具进度付款申请单、已完成工程量报表和有关资料。</w:t>
      </w:r>
    </w:p>
    <w:p w14:paraId="46B51DC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F0B76E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（3）监理人未在收到承包人提交的工程量报表后的7天内完成审核的，承包人报送的工程量报告中的工程量视为承包人实际完成的工程量，据此计算工程价款。</w:t>
      </w:r>
    </w:p>
    <w:p w14:paraId="0983A78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12.3.4 总价合同的计量</w:t>
      </w:r>
    </w:p>
    <w:p w14:paraId="1C3B81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除专用合同条款另有约定外，按月计量支付的总价合同，按照本项约定执行：</w:t>
      </w:r>
    </w:p>
    <w:p w14:paraId="343800D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（1）承包人应于每月25日向监理人报送上月20日至当月19日已完成的工程量报告，并附具进度付款申请单、已完成工程量报表和有关资料。</w:t>
      </w:r>
    </w:p>
    <w:p w14:paraId="78635EE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604632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（3）监理人未在收到承包人提交的工程量报表后的7天内完成复核的，承包人提交的工程量报告中的工程量视为承包人实际完成的工程量。</w:t>
      </w:r>
    </w:p>
    <w:p w14:paraId="57AC9A9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12.3.5 总价合同采用支付分解表计量支付的，可以按照第12.3.4项〔总价合同的计量〕约定进行计量，但合同价款按照支付分解表进行支付。</w:t>
      </w:r>
    </w:p>
    <w:p w14:paraId="674592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12.3.6 其他价格形式合同的计量</w:t>
      </w:r>
    </w:p>
    <w:p w14:paraId="0C1EDB3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合同当事人可在专用合同条款中约定其他价格形式合同的计量方式和程序。</w:t>
      </w:r>
    </w:p>
    <w:p w14:paraId="7A08F6E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12.4工程进度款支付</w:t>
      </w:r>
    </w:p>
    <w:p w14:paraId="47EF384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12.4.1 付款周期</w:t>
      </w:r>
    </w:p>
    <w:p w14:paraId="57260F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除专用合同条款另有约定外，付款周期应按照第12.3.2项〔计量周期〕的约定与计量周期保持一致。</w:t>
      </w:r>
    </w:p>
    <w:p w14:paraId="750F234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12.4.2 进度付款申请单的编制</w:t>
      </w:r>
    </w:p>
    <w:p w14:paraId="6CCABEB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除专用合同条款另有约定外，进度付款申请单应包括下列内容：</w:t>
      </w:r>
    </w:p>
    <w:p w14:paraId="16F23CC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（1）截至本次付款周期已完成工作对应的金额；</w:t>
      </w:r>
    </w:p>
    <w:p w14:paraId="608556A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（2）根据第10条〔变更〕应增加和扣减的变更金额；</w:t>
      </w:r>
    </w:p>
    <w:p w14:paraId="5D5C744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（3）根据第12.2款〔预付款〕约定应支付的预付款和扣减的返还预付款；</w:t>
      </w:r>
    </w:p>
    <w:p w14:paraId="4E1B7E0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（4）根据第15.3款〔质量保证金〕约定应扣减的质量保证金；</w:t>
      </w:r>
    </w:p>
    <w:p w14:paraId="275827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（5）根据第19条〔索赔〕应增加和扣减的索赔金额；</w:t>
      </w:r>
    </w:p>
    <w:p w14:paraId="04AE66F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（6）对已签发的进度款支付证书中出现错误的修正，应在本次进度付款中支付或扣除的金额；</w:t>
      </w:r>
    </w:p>
    <w:p w14:paraId="614A35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（7）根据合同约定应增加和扣减的其他金额。</w:t>
      </w:r>
    </w:p>
    <w:p w14:paraId="1B5516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12.4.3 进度付款申请单的提交</w:t>
      </w:r>
    </w:p>
    <w:p w14:paraId="0B1A70A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（1）单价合同进度付款申请单的提交</w:t>
      </w:r>
    </w:p>
    <w:p w14:paraId="1A0E295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164343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（2）总价合同进度付款申请单的提交</w:t>
      </w:r>
    </w:p>
    <w:p w14:paraId="319BA47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总价合同按月计量支付的，承包人按照第12.3.4项〔总价合同的计量〕约定的时间按月向监理人提交进度付款申请单，并附上已完成工程量报表和有关资料。</w:t>
      </w:r>
    </w:p>
    <w:p w14:paraId="5AD90F3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总价合同按支付分解表支付的，承包人应按照第12.4.6项〔支付分解表〕及第12.4.2项〔进度付款申请单的编制〕的约定向监理人提交进度付款申请单。</w:t>
      </w:r>
    </w:p>
    <w:p w14:paraId="5CFFC76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（3）其他价格形式合同的进度付款申请单的提交</w:t>
      </w:r>
    </w:p>
    <w:p w14:paraId="7C7829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合同当事人可在专用合同条款中约定其他价格形式合同的进度付款申请单的编制和提交程序。</w:t>
      </w:r>
    </w:p>
    <w:p w14:paraId="0456456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12.4.4 进度款审核和支付</w:t>
      </w:r>
    </w:p>
    <w:p w14:paraId="3712350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58774B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150795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4C63D1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（3）发包人签发进度款支付证书或临时进度款支付证书，不表明发包人已同意、批准或接受了承包人完成的相应部分的工作。</w:t>
      </w:r>
    </w:p>
    <w:p w14:paraId="33EC8D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12.4.5 进度付款的修正</w:t>
      </w:r>
    </w:p>
    <w:p w14:paraId="19CA7AB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06B0FC2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12.4.6 支付分解表</w:t>
      </w:r>
    </w:p>
    <w:p w14:paraId="25EA944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1.支付分解表的编制要求</w:t>
      </w:r>
    </w:p>
    <w:p w14:paraId="3E4FED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（1）支付分解表中所列的每期付款金额，应为第12.4.2项〔进度付款申请单的编制〕第（1）目的估算金额；</w:t>
      </w:r>
    </w:p>
    <w:p w14:paraId="3544166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（2）实际进度与施工进度计划不一致的，合同当事人可按照第4.4款〔商定或确定〕修改支付分解表；</w:t>
      </w:r>
    </w:p>
    <w:p w14:paraId="3CE2D5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（3）不采用支付分解表的，承包人应向发包人和监理人提交按季度编制的支付估算分解表，用于支付参考。</w:t>
      </w:r>
    </w:p>
    <w:p w14:paraId="782CC6A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2.总价合同支付分解表的编制与审批</w:t>
      </w:r>
    </w:p>
    <w:p w14:paraId="69262EE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7235D7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33AF334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（3）发包人逾期未完成支付分解表审批的，也未及时要求承包人进行修正和提供补充资料的，则承包人提交的支付分解表视为已经获得发包人批准。</w:t>
      </w:r>
    </w:p>
    <w:p w14:paraId="27C26F6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3.单价合同的总价项目支付分解表的编制与审批</w:t>
      </w:r>
    </w:p>
    <w:p w14:paraId="32F561F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E2A9A6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12.5支付账户</w:t>
      </w:r>
    </w:p>
    <w:p w14:paraId="6F4CD9A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发包人应将合同价款支付至合同协议书中约定的承包人账户。</w:t>
      </w:r>
    </w:p>
    <w:p w14:paraId="3031152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 验收和工程试车</w:t>
      </w:r>
    </w:p>
    <w:p w14:paraId="7470C72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13.1分部分项工程验收</w:t>
      </w:r>
    </w:p>
    <w:p w14:paraId="6870C5A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13.1.1 分部分项工程质量应符合国家有关工程施工验收规范、标准及合同约定，承包人应按照施工组织设计的要求完成分部分项工程施工。</w:t>
      </w:r>
    </w:p>
    <w:p w14:paraId="2882124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C0F23F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分部分项工程的验收资料应当作为竣工资料的组成部分。</w:t>
      </w:r>
    </w:p>
    <w:p w14:paraId="2CC6E0F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13.2竣工验收</w:t>
      </w:r>
    </w:p>
    <w:p w14:paraId="2DF8A8A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13.2.1竣工验收条件</w:t>
      </w:r>
    </w:p>
    <w:p w14:paraId="13F3A26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工程具备以下条件的，承包人可以申请竣工验收：</w:t>
      </w:r>
    </w:p>
    <w:p w14:paraId="7CF9B43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（1）除发包人同意的甩项工作和缺陷修补工作外，合同范围内的全部工程以及有关工作，包括合同要求的试验、试运行以及检验均已完成，并符合合同要求；</w:t>
      </w:r>
    </w:p>
    <w:p w14:paraId="0EAA5E3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（2）已按合同约定编制了甩项工作和缺陷修补工作清单以及相应的施工计划；</w:t>
      </w:r>
    </w:p>
    <w:p w14:paraId="77C2488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（3）已按合同约定的内容和份数备齐竣工资料。</w:t>
      </w:r>
    </w:p>
    <w:p w14:paraId="6D8219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13.2.2竣工验收程序</w:t>
      </w:r>
    </w:p>
    <w:p w14:paraId="39627E3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除专用合同条款另有约定外，承包人申请竣工验收的，应当按照以下程序进行：</w:t>
      </w:r>
    </w:p>
    <w:p w14:paraId="7778892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4056A1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84695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2591EF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E5E1D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C757BF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3FA393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13.2.3竣工日期</w:t>
      </w:r>
    </w:p>
    <w:p w14:paraId="491B70A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62C2740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13.2.4 拒绝接收全部或部分工程</w:t>
      </w:r>
    </w:p>
    <w:p w14:paraId="7A79313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AFDABF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13.2.5 移交、接收全部与部分工程</w:t>
      </w:r>
    </w:p>
    <w:p w14:paraId="24CC338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除专用合同条款另有约定外，合同当事人应当在颁发工程接收证书后7天内完成工程的移交。</w:t>
      </w:r>
    </w:p>
    <w:p w14:paraId="737AD66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B1B7FD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088F79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13.3工程试车</w:t>
      </w:r>
    </w:p>
    <w:p w14:paraId="3BBEDDD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13.3.1试车程序</w:t>
      </w:r>
    </w:p>
    <w:p w14:paraId="0D56C40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工程需要试车的，除专用合同条款另有约定外，试车内容应与承包人承包范围相一致，试车费用由承包人承担。工程试车应按如下程序进行：</w:t>
      </w:r>
    </w:p>
    <w:p w14:paraId="7F25A1C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09ADEB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3E4575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AAFBDC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13.3.2 试车中的责任</w:t>
      </w:r>
    </w:p>
    <w:p w14:paraId="54F571C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8593E3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7806EA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13.3.3 投料试车</w:t>
      </w:r>
    </w:p>
    <w:p w14:paraId="02DECB8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0891835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01248F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13.4提前交付单位工程的验收</w:t>
      </w:r>
    </w:p>
    <w:p w14:paraId="2F4905E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68E47F6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12C58B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13.4.2 发包人要求在工程竣工前交付单位工程，由此导致承包人费用增加和（或）工期延误的，由发包人承担由此增加的费用和（或）延误的工期，并支付承包人合理的利润。</w:t>
      </w:r>
    </w:p>
    <w:p w14:paraId="63078DE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13.5 施工期运行</w:t>
      </w:r>
    </w:p>
    <w:p w14:paraId="03CAC07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0EE99A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13.5.2 在施工期运行中发现工程或工程设备损坏或存在缺陷的，由承包人按第15.2款〔缺陷责任期〕约定进行修复。</w:t>
      </w:r>
    </w:p>
    <w:p w14:paraId="1837D06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13.6 竣工退场</w:t>
      </w:r>
    </w:p>
    <w:p w14:paraId="6AA081A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13.6.1 竣工退场</w:t>
      </w:r>
    </w:p>
    <w:p w14:paraId="2240F26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颁发工程接收证书后，承包人应按以下要求对施工现场进行清理：</w:t>
      </w:r>
    </w:p>
    <w:p w14:paraId="605FB31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（1）施工现场内残留的垃圾已全部清除出场；</w:t>
      </w:r>
    </w:p>
    <w:p w14:paraId="79B5B11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（2）临时工程已拆除，场地已进行清理、平整或复原；</w:t>
      </w:r>
    </w:p>
    <w:p w14:paraId="1A9FBD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（3）按合同约定应撤离的人员、承包人施工设备和剩余的材料，包括废弃的施工设备和材料，已按计划撤离施工现场；</w:t>
      </w:r>
    </w:p>
    <w:p w14:paraId="46B0157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（4）施工现场周边及其附近道路、河道的施工堆积物，已全部清理；</w:t>
      </w:r>
    </w:p>
    <w:p w14:paraId="25EB8AD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（5）施工现场其他场地清理工作已全部完成。</w:t>
      </w:r>
    </w:p>
    <w:p w14:paraId="75744A5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25F429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13.6.2 地表还原</w:t>
      </w:r>
    </w:p>
    <w:p w14:paraId="53FEA04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1F14C5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 竣工结算</w:t>
      </w:r>
    </w:p>
    <w:p w14:paraId="7613542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 竣工结算申请</w:t>
      </w:r>
    </w:p>
    <w:p w14:paraId="4C6786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A5B764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除专用合同条款另有约定外，竣工结算申请单应包括以下内容：</w:t>
      </w:r>
    </w:p>
    <w:p w14:paraId="58B7FA2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（1）竣工结算合同价格；</w:t>
      </w:r>
    </w:p>
    <w:p w14:paraId="4F4C6EC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（2）发包人已支付承包人的款项；</w:t>
      </w:r>
    </w:p>
    <w:p w14:paraId="4243F22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（3）应扣留的质量保证金。已缴纳履约保证金的或提供其他工程质量担保方式的除外； </w:t>
      </w:r>
    </w:p>
    <w:p w14:paraId="0A4DC52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（4）发包人应支付承包人的合同价款。</w:t>
      </w:r>
    </w:p>
    <w:p w14:paraId="3016565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14.2 竣工结算审核</w:t>
      </w:r>
    </w:p>
    <w:p w14:paraId="594FB51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2A8B4F0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065042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ACC829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C8F9ED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14.3 甩项竣工协议</w:t>
      </w:r>
    </w:p>
    <w:p w14:paraId="16027AC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17D43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14.4 最终结清</w:t>
      </w:r>
    </w:p>
    <w:p w14:paraId="58B232C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14.4.1 最终结清申请单</w:t>
      </w:r>
    </w:p>
    <w:p w14:paraId="653831B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（1）除专用合同条款另有约定外，承包人应在缺陷责任期终止证书颁发后7天内，按专用合同条款约定的份数向发包人提交最终结清申请单，并提供相关证明材料。</w:t>
      </w:r>
    </w:p>
    <w:p w14:paraId="5E02645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除专用合同条款另有约定外，最终结清申请单应列明质量保证金、应扣除的质量保证金、缺陷责任期内发生的增减费用。</w:t>
      </w:r>
    </w:p>
    <w:p w14:paraId="60F450E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（2）发包人对最终结清申请单内容有异议的，有权要求承包人进行修正和提供补充资料，承包人应向发包人提交修正后的最终结清申请单。</w:t>
      </w:r>
    </w:p>
    <w:p w14:paraId="7829FE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14.4.2 最终结清证书和支付</w:t>
      </w:r>
    </w:p>
    <w:p w14:paraId="7D58254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A22BA4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F2986E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（3）承包人对发包人颁发的最终结清证书有异议的，按第20条〔争议解决〕的约定办理。</w:t>
      </w:r>
    </w:p>
    <w:p w14:paraId="7F2B58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 缺陷责任与保修</w:t>
      </w:r>
    </w:p>
    <w:p w14:paraId="7DE324D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15.1 工程保修的原则</w:t>
      </w:r>
    </w:p>
    <w:p w14:paraId="3772107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50F4BCB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15.2 缺陷责任期</w:t>
      </w:r>
    </w:p>
    <w:p w14:paraId="6A3200E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15.2.1 缺陷责任期从工程通过竣工验收之日起计算，合同当事人应在专用合同条款约定缺陷责任期的具体期限，但该期限最长不超过24个月。</w:t>
      </w:r>
    </w:p>
    <w:p w14:paraId="1336DBC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C54CA0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D9F333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由他人原因造成的缺陷，发包人负责组织维修，承包人不承担费用，且发包人不得从保证金中扣除费用。</w:t>
      </w:r>
    </w:p>
    <w:p w14:paraId="2485E36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05470A2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53739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15.3 质量保证金</w:t>
      </w:r>
    </w:p>
    <w:p w14:paraId="7063623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经合同当事人协商一致扣留质量保证金的，应在专用合同条款中予以明确。</w:t>
      </w:r>
    </w:p>
    <w:p w14:paraId="6F07FC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在工程项目竣工前，承包人已经提供履约担保的，发包人不得同时预留工程质量保证金。</w:t>
      </w:r>
    </w:p>
    <w:p w14:paraId="2BA8BD6F">
      <w:pPr>
        <w:wordWrap/>
        <w:spacing w:line="240" w:lineRule="auto"/>
        <w:ind w:firstLine="420" w:firstLineChars="200"/>
        <w:rPr>
          <w:rFonts w:ascii="宋体" w:hAnsi="宋体" w:eastAsia="宋体" w:cs="宋体"/>
          <w:color w:val="000000"/>
          <w:kern w:val="0"/>
          <w:szCs w:val="21"/>
          <w:highlight w:val="none"/>
        </w:rPr>
      </w:pPr>
    </w:p>
    <w:p w14:paraId="2A40FBA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15.3.1 承包人提供质量保证金的方式</w:t>
      </w:r>
    </w:p>
    <w:p w14:paraId="57C0A21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承包人提供质量保证金有以下三种方式：</w:t>
      </w:r>
    </w:p>
    <w:p w14:paraId="11DEDFA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（1）质量保证金保函； </w:t>
      </w:r>
    </w:p>
    <w:p w14:paraId="5A299A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（2）相应比例的工程款；</w:t>
      </w:r>
    </w:p>
    <w:p w14:paraId="73D3B82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（3）双方约定的其他方式。</w:t>
      </w:r>
    </w:p>
    <w:p w14:paraId="4B4AB3B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除专用合同条款另有约定外，质量保证金原则上采用上述第（1）种方式。</w:t>
      </w:r>
    </w:p>
    <w:p w14:paraId="2E095CE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15.3.2 质量保证金的扣留</w:t>
      </w:r>
    </w:p>
    <w:p w14:paraId="20B4DDD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质量保证金的扣留有以下三种方式：</w:t>
      </w:r>
    </w:p>
    <w:p w14:paraId="4235705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（1）在支付工程进度款时逐次扣留，在此情形下，质量保证金的计算基数不包括预付款的支付、扣回以及价格调整的金额；</w:t>
      </w:r>
    </w:p>
    <w:p w14:paraId="3063785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（2）工程竣工结算时一次性扣留质量保证金；</w:t>
      </w:r>
    </w:p>
    <w:p w14:paraId="07C8108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（3）双方约定的其他扣留方式。</w:t>
      </w:r>
    </w:p>
    <w:p w14:paraId="4622466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除专用合同条款另有约定外，质量保证金的扣留原则上采用上述第（1）种方式。</w:t>
      </w:r>
    </w:p>
    <w:p w14:paraId="2C2F827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B55245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发包人在退还质量保证金的同时按照中国人民银行发布的同期同类贷款基准利率支付利息。</w:t>
      </w:r>
    </w:p>
    <w:p w14:paraId="3234163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15.3.3 质量保证金的退还</w:t>
      </w:r>
    </w:p>
    <w:p w14:paraId="18A3409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缺陷责任期内，承包人认真履行合同约定的责任，到期后，承包人可向发包人申请返还保证金。</w:t>
      </w:r>
    </w:p>
    <w:p w14:paraId="7ED2888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9E9660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发包人和承包人对保证金预留、返还以及工程维修质量、费用有争议的，按本合同第20条约定的争议和纠纷解决程序处理。</w:t>
      </w:r>
    </w:p>
    <w:p w14:paraId="178F222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 保修</w:t>
      </w:r>
    </w:p>
    <w:p w14:paraId="1DB510E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15.4.1保修责任</w:t>
      </w:r>
    </w:p>
    <w:p w14:paraId="267D839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BFB2C2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发包人未经竣工验收擅自使用工程的，保修期自转移占有之日起算。</w:t>
      </w:r>
    </w:p>
    <w:p w14:paraId="61F1416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15.4.2 修复费用</w:t>
      </w:r>
    </w:p>
    <w:p w14:paraId="0F7497F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保修期内，修复的费用按照以下约定处理：</w:t>
      </w:r>
    </w:p>
    <w:p w14:paraId="34A0172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（1）保修期内，因承包人原因造成工程的缺陷、损坏，承包人应负责修复，并承担修复的费用以及因工程的缺陷、损坏造成的人身伤害和财产损失；</w:t>
      </w:r>
    </w:p>
    <w:p w14:paraId="2BE34C3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（2）保修期内，因发包人使用不当造成工程的缺陷、损坏，可以委托承包人修复，但发包人应承担修复的费用，并支付承包人合理利润；</w:t>
      </w:r>
    </w:p>
    <w:p w14:paraId="1A636F5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0A233C8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15.4.3 修复通知</w:t>
      </w:r>
    </w:p>
    <w:p w14:paraId="70A972F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F51144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15.4.4 未能修复</w:t>
      </w:r>
    </w:p>
    <w:p w14:paraId="0548CB6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238364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15.4.5 承包人出入权</w:t>
      </w:r>
    </w:p>
    <w:p w14:paraId="60D363B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A75683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 违约</w:t>
      </w:r>
    </w:p>
    <w:p w14:paraId="3E96528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 发包人违约</w:t>
      </w:r>
    </w:p>
    <w:p w14:paraId="525D15E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16.1.1 发包人违约的情形</w:t>
      </w:r>
    </w:p>
    <w:p w14:paraId="6DAAF3F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在合同履行过程中发生的下列情形，属于发包人违约：</w:t>
      </w:r>
    </w:p>
    <w:p w14:paraId="5F062A6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（1）因发包人原因未能在计划开工日期前7天内下达开工通知的；</w:t>
      </w:r>
    </w:p>
    <w:p w14:paraId="5F50483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（2）因发包人原因未能按合同约定支付合同价款的；</w:t>
      </w:r>
    </w:p>
    <w:p w14:paraId="13B018A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（3）发包人违反第10.1款〔变更的范围〕第（2）项约定，自行实施被取消的工作或转由他人实施的；</w:t>
      </w:r>
    </w:p>
    <w:p w14:paraId="28C4A10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（4）发包人提供的材料、工程设备的规格、数量或质量不符合合同约定，或因发包人原因导致交货日期延误或交货地点变更等情况的；</w:t>
      </w:r>
    </w:p>
    <w:p w14:paraId="49DA76D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（5）因发包人违反合同约定造成暂停施工的；</w:t>
      </w:r>
    </w:p>
    <w:p w14:paraId="53AE119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（6）发包人无正当理由没有在约定期限内发出复工指示，导致承包人无法复工的；</w:t>
      </w:r>
    </w:p>
    <w:p w14:paraId="4376B35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（7）发包人明确表示或者以其行为表明不履行合同主要义务的；</w:t>
      </w:r>
    </w:p>
    <w:p w14:paraId="5F02313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（8）发包人未能按照合同约定履行其他义务的。</w:t>
      </w:r>
    </w:p>
    <w:p w14:paraId="1214AB5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C24FD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16.1.2 发包人违约的责任</w:t>
      </w:r>
    </w:p>
    <w:p w14:paraId="53B0466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61323B7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16.1.3 因发包人违约解除合同</w:t>
      </w:r>
    </w:p>
    <w:p w14:paraId="66CD1DA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5FEC55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16.1.4 因发包人违约解除合同后的付款</w:t>
      </w:r>
    </w:p>
    <w:p w14:paraId="0F64B1F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承包人按照本款约定解除合同的，发包人应在解除合同后28天内支付下列款项，并解除履约担保：</w:t>
      </w:r>
    </w:p>
    <w:p w14:paraId="4B5C0E3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（1）合同解除前所完成工作的价款；</w:t>
      </w:r>
    </w:p>
    <w:p w14:paraId="27FDCA8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（2）承包人为工程施工订购并已付款的材料、工程设备和其他物品的价款；</w:t>
      </w:r>
    </w:p>
    <w:p w14:paraId="34B1329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（3）承包人撤离施工现场以及遣散承包人人员的款项；</w:t>
      </w:r>
    </w:p>
    <w:p w14:paraId="469474B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（4）按照合同约定在合同解除前应支付的违约金；</w:t>
      </w:r>
    </w:p>
    <w:p w14:paraId="792639A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（5）按照合同约定应当支付给承包人的其他款项；</w:t>
      </w:r>
    </w:p>
    <w:p w14:paraId="6E06409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（6）按照合同约定应退还的质量保证金；</w:t>
      </w:r>
    </w:p>
    <w:p w14:paraId="24EB4E8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（7）因解除合同给承包人造成的损失。</w:t>
      </w:r>
    </w:p>
    <w:p w14:paraId="16439FA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合同当事人未能就解除合同后的结清达成一致的，按照第20条〔争议解决〕的约定处理。</w:t>
      </w:r>
    </w:p>
    <w:p w14:paraId="77E7DA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承包人应妥善做好已完工程和与工程有关的已购材料、工程设备的保护和移交工作，并将施工设备和人员撤出施工现场，发包人应为承包人撤出提供必要条件。</w:t>
      </w:r>
    </w:p>
    <w:p w14:paraId="344FC22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 承包人违约</w:t>
      </w:r>
    </w:p>
    <w:p w14:paraId="081DE8D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16.2.1 承包人违约的情形</w:t>
      </w:r>
    </w:p>
    <w:p w14:paraId="7390E6C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在合同履行过程中发生的下列情形，属于承包人违约：</w:t>
      </w:r>
    </w:p>
    <w:p w14:paraId="321AFAB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（1）承包人违反合同约定进行转包或违法分包的；</w:t>
      </w:r>
    </w:p>
    <w:p w14:paraId="58DE169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（2）承包人违反合同约定采购和使用不合格的材料和工程设备的；</w:t>
      </w:r>
    </w:p>
    <w:p w14:paraId="4298832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（3）因承包人原因导致工程质量不符合合同要求的； </w:t>
      </w:r>
    </w:p>
    <w:p w14:paraId="5BBD673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（4）承包人违反第8.9款〔材料与设备专用要求〕的约定，未经批准，私自将已按照合同约定进入施工现场的材料或设备撤离施工现场的；</w:t>
      </w:r>
    </w:p>
    <w:p w14:paraId="038FF59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（5）承包人未能按施工进度计划及时完成合同约定的工作，造成工期延误的；</w:t>
      </w:r>
    </w:p>
    <w:p w14:paraId="08C2298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（6）承包人在缺陷责任期及保修期内，未能在合理期限对工程缺陷进行修复，或拒绝按发包人要求进行修复的；</w:t>
      </w:r>
    </w:p>
    <w:p w14:paraId="54AE6DD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（7）承包人明确表示或者以其行为表明不履行合同主要义务的；</w:t>
      </w:r>
    </w:p>
    <w:p w14:paraId="212BAFE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（8）承包人未能按照合同约定履行其他义务的。</w:t>
      </w:r>
    </w:p>
    <w:p w14:paraId="20817F2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承包人发生除本项第（7）目约定以外的其他违约情况时，监理人可向承包人发出整改通知，要求其在指定的期限内改正。</w:t>
      </w:r>
    </w:p>
    <w:p w14:paraId="537DB2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16.2.2 承包人违约的责任</w:t>
      </w:r>
    </w:p>
    <w:p w14:paraId="12D4683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承包人应承担因其违约行为而增加的费用和（或）延误的工期。此外，合同当事人可在专用合同条款中另行约定承包人违约责任的承担方式和计算方法。</w:t>
      </w:r>
    </w:p>
    <w:p w14:paraId="3027572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16.2.3 因承包人违约解除合同</w:t>
      </w:r>
    </w:p>
    <w:p w14:paraId="65E6278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5A78B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16.2.4因承包人违约解除合同后的处理</w:t>
      </w:r>
    </w:p>
    <w:p w14:paraId="07043F8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因承包人原因导致合同解除的，则合同当事人应在合同解除后28天内完成估价、付款和清算，并按以下约定执行：</w:t>
      </w:r>
    </w:p>
    <w:p w14:paraId="70AF3E8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（1）合同解除后，按第4.4款〔商定或确定〕商定或确定承包人实际完成工作对应的合同价款，以及承包人已提供的材料、工程设备、施工设备和临时工程等的价值；</w:t>
      </w:r>
    </w:p>
    <w:p w14:paraId="64D031E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（2）合同解除后，承包人应支付的违约金；</w:t>
      </w:r>
    </w:p>
    <w:p w14:paraId="638E202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（3）合同解除后，因解除合同给发包人造成的损失；</w:t>
      </w:r>
    </w:p>
    <w:p w14:paraId="55A2268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（4）合同解除后，承包人应按照发包人要求和监理人的指示完成现场的清理和撤离；</w:t>
      </w:r>
    </w:p>
    <w:p w14:paraId="0E5C369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（5）发包人和承包人应在合同解除后进行清算，出具最终结清付款证书，结清全部款项。</w:t>
      </w:r>
    </w:p>
    <w:p w14:paraId="1CAD3D3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58CF5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16.2.5采购合同权益转让</w:t>
      </w:r>
    </w:p>
    <w:p w14:paraId="09BC61A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9E2A94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16.3 第三人造成的违约</w:t>
      </w:r>
    </w:p>
    <w:p w14:paraId="2CC1BA5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在履行合同过程中，一方当事人因第三人的原因造成违约的，应当向对方当事人承担违约责任。一方当事人和第三人之间的纠纷，依照法律规定或者按照约定解决。</w:t>
      </w:r>
    </w:p>
    <w:p w14:paraId="767DDD0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17. 不可抗力 </w:t>
      </w:r>
    </w:p>
    <w:p w14:paraId="658F222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17.1 不可抗力的确认</w:t>
      </w:r>
    </w:p>
    <w:p w14:paraId="56ED28A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E7097A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ABAC33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17.2 不可抗力的通知</w:t>
      </w:r>
    </w:p>
    <w:p w14:paraId="586D49F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10CE620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3135BD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17.3 不可抗力后果的承担</w:t>
      </w:r>
    </w:p>
    <w:p w14:paraId="4B2AF04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17.3.1 不可抗力引起的后果及造成的损失由合同当事人按照法律规定及合同约定各自承担。不可抗力发生前已完成的工程应当按照合同约定进行计量支付。</w:t>
      </w:r>
    </w:p>
    <w:p w14:paraId="33D3B06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17.3.2 不可抗力导致的人员伤亡、财产损失、费用增加和（或）工期延误等后果，由合同当事人按以下原则承担：</w:t>
      </w:r>
    </w:p>
    <w:p w14:paraId="3F7C8E8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（1）永久工程、已运至施工现场的材料和工程设备的损坏，以及因工程损坏造成的第三人人员伤亡和财产损失由发包人承担；</w:t>
      </w:r>
    </w:p>
    <w:p w14:paraId="308002F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（2）承包人施工设备的损坏由承包人承担；</w:t>
      </w:r>
    </w:p>
    <w:p w14:paraId="567FB2A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（3）发包人和承包人承担各自人员伤亡和财产的损失；</w:t>
      </w:r>
    </w:p>
    <w:p w14:paraId="4C4A245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1F71EB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（5）因不可抗力引起或将引起工期延误，发包人要求赶工的，由此增加的赶工费用由发包人承担；</w:t>
      </w:r>
    </w:p>
    <w:p w14:paraId="7180F8A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（6）承包人在停工期间按照发包人要求照管、清理和修复工程的费用由发包人承担。</w:t>
      </w:r>
    </w:p>
    <w:p w14:paraId="5789971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不可抗力发生后，合同当事人均应采取措施尽量避免和减少损失的扩大，任何一方当事人没有采取有效措施导致损失扩大的，应对扩大的损失承担责任。</w:t>
      </w:r>
    </w:p>
    <w:p w14:paraId="5017A03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因合同一方迟延履行合同义务，在迟延履行期间遭遇不可抗力的，不免除其违约责任。</w:t>
      </w:r>
    </w:p>
    <w:p w14:paraId="6899412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17.4 因不可抗力解除合同</w:t>
      </w:r>
    </w:p>
    <w:p w14:paraId="2446CE2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480311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（1）合同解除前承包人已完成工作的价款；</w:t>
      </w:r>
    </w:p>
    <w:p w14:paraId="4E38BE9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（2）承包人为工程订购的并已交付给承包人，或承包人有责任接受交付的材料、工程设备和其他物品的价款；</w:t>
      </w:r>
    </w:p>
    <w:p w14:paraId="548717F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（3）发包人要求承包人退货或解除订货合同而产生的费用，或因不能退货或解除合同而产生的损失；</w:t>
      </w:r>
    </w:p>
    <w:p w14:paraId="49C01B3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（4）承包人撤离施工现场以及遣散承包人人员的费用；</w:t>
      </w:r>
    </w:p>
    <w:p w14:paraId="05DA019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（5）按照合同约定在合同解除前应支付给承包人的其他款项；</w:t>
      </w:r>
    </w:p>
    <w:p w14:paraId="6F366F9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（6）扣减承包人按照合同约定应向发包人支付的款项；</w:t>
      </w:r>
    </w:p>
    <w:p w14:paraId="4F358DF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（7）双方商定或确定的其他款项。</w:t>
      </w:r>
    </w:p>
    <w:p w14:paraId="4D79C76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除专用合同条款另有约定外，合同解除后，发包人应在商定或确定上述款项后28天内完成上述款项的支付。</w:t>
      </w:r>
    </w:p>
    <w:p w14:paraId="3BFFD90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 保险</w:t>
      </w:r>
    </w:p>
    <w:p w14:paraId="2D26EFF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18.1 工程保险</w:t>
      </w:r>
    </w:p>
    <w:p w14:paraId="3954E89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除专用合同条款另有约定外，发包人应投保建筑工程一切险或安装工程一切险；发包人委托承包人投保的，因投保产生的保险费和其他相关费用由发包人承担。</w:t>
      </w:r>
    </w:p>
    <w:p w14:paraId="1E56156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18.2 工伤保险</w:t>
      </w:r>
    </w:p>
    <w:p w14:paraId="6A2417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278ECC8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3DB7717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18.3其他保险</w:t>
      </w:r>
    </w:p>
    <w:p w14:paraId="355767F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0CAFBA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除专用合同条款另有约定外，承包人应为其施工设备等办理财产保险。</w:t>
      </w:r>
    </w:p>
    <w:p w14:paraId="654A093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18.4持续保险</w:t>
      </w:r>
    </w:p>
    <w:p w14:paraId="169D037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合同当事人应与保险人保持联系，使保险人能够随时了解工程实施中的变动，并确保按保险合同条款要求持续保险。</w:t>
      </w:r>
    </w:p>
    <w:p w14:paraId="55B631E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18.5 保险凭证</w:t>
      </w:r>
    </w:p>
    <w:p w14:paraId="5510EFA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合同当事人应及时向另一方当事人提交其已投保的各项保险的凭证和保险单复印件。</w:t>
      </w:r>
    </w:p>
    <w:p w14:paraId="1F842B6F">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18.6 未按约定投保的补救</w:t>
      </w:r>
    </w:p>
    <w:p w14:paraId="0767140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3CED89A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3871E382">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18.7 通知义务</w:t>
      </w:r>
    </w:p>
    <w:p w14:paraId="6789F78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A46C6F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保险事故发生时，投保人应按照保险合同规定的条件和期限及时向保险人报告。发包人和承包人应当在知道保险事故发生后及时通知对方。</w:t>
      </w:r>
    </w:p>
    <w:p w14:paraId="068EC15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 索赔</w:t>
      </w:r>
    </w:p>
    <w:p w14:paraId="245D1D1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19.1承包人的索赔</w:t>
      </w:r>
    </w:p>
    <w:p w14:paraId="0C35AE9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根据合同约定，承包人认为有权得到追加付款和（或）延长工期的，应按以下程序向发包人提出索赔：</w:t>
      </w:r>
    </w:p>
    <w:p w14:paraId="68D9F85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8FA80F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5E70107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（3）索赔事件具有持续影响的，承包人应按合理时间间隔继续递交延续索赔通知，说明持续影响的实际情况和记录，列出累计的追加付款金额和（或）工期延长天数；</w:t>
      </w:r>
    </w:p>
    <w:p w14:paraId="5B1E363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（4）在索赔事件影响结束后28天内，承包人应向监理人递交最终索赔报告，说明最终要求索赔的追加付款金额和（或）延长的工期，并附必要的记录和证明材料。</w:t>
      </w:r>
    </w:p>
    <w:p w14:paraId="38F7AF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19.2 对承包人索赔的处理</w:t>
      </w:r>
    </w:p>
    <w:p w14:paraId="36775F8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对承包人索赔的处理如下：</w:t>
      </w:r>
    </w:p>
    <w:p w14:paraId="79F4564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（1）监理人应在收到索赔报告后14天内完成审查并报送发包人。监理人对索赔报告存在异议的，有权要求承包人提交全部原始记录副本；</w:t>
      </w:r>
    </w:p>
    <w:p w14:paraId="68F8B28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56E5D9F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（3）承包人接受索赔处理结果的，索赔款项在当期进度款中进行支付；承包人不接受索赔处理结果的，按照第20条〔争议解决〕约定处理。</w:t>
      </w:r>
    </w:p>
    <w:p w14:paraId="2979EE2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19.3发包人的索赔</w:t>
      </w:r>
    </w:p>
    <w:p w14:paraId="190906F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根据合同约定，发包人认为有权得到赔付金额和（或）延长缺陷责任期的，监理人应向承包人发出通知并附有详细的证明。</w:t>
      </w:r>
    </w:p>
    <w:p w14:paraId="4048366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53328F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19.4 对发包人索赔的处理</w:t>
      </w:r>
    </w:p>
    <w:p w14:paraId="4ACDD7C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对发包人索赔的处理如下：</w:t>
      </w:r>
    </w:p>
    <w:p w14:paraId="3E88BEF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（1）承包人收到发包人提交的索赔报告后，应及时审查索赔报告的内容、查验发包人证明材料；</w:t>
      </w:r>
    </w:p>
    <w:p w14:paraId="3D9CD456">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B51911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4F6BBE0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19.5 提出索赔的期限</w:t>
      </w:r>
    </w:p>
    <w:p w14:paraId="74DC1A9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（1）承包人按第14.2款〔竣工结算审核〕约定接收竣工付款证书后，应被视为已无权再提出在工程接收证书颁发前所发生的任何索赔。</w:t>
      </w:r>
    </w:p>
    <w:p w14:paraId="729FECD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（2）承包人按第14.4款〔最终结清〕提交的最终结清申请单中，只限于提出工程接收证书颁发后发生的索赔。提出索赔的期限自接受最终结清证书时终止。</w:t>
      </w:r>
    </w:p>
    <w:p w14:paraId="15CF927D">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 争议解决</w:t>
      </w:r>
    </w:p>
    <w:p w14:paraId="7800E91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20.1和解</w:t>
      </w:r>
    </w:p>
    <w:p w14:paraId="73006B3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合同当事人可以就争议自行和解，自行和解达成协议的经双方签字并盖章后作为合同补充文件，双方均应遵照执行。</w:t>
      </w:r>
    </w:p>
    <w:p w14:paraId="02919FD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20.2调解</w:t>
      </w:r>
    </w:p>
    <w:p w14:paraId="6FD337CC">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合同当事人可以就争议请求建设行政主管部门、行业协会或其他第三方进行调解，调解达成协议的，经双方签字并盖章后作为合同补充文件，双方均应遵照执行。</w:t>
      </w:r>
    </w:p>
    <w:p w14:paraId="3DA848E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20.3争议评审</w:t>
      </w:r>
    </w:p>
    <w:p w14:paraId="415DE68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合同当事人在专用合同条款中约定采取争议评审方式解决争议以及评审规则，并按下列约定执行： </w:t>
      </w:r>
    </w:p>
    <w:p w14:paraId="1640A91E">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20.3.1 争议评审小组的确定</w:t>
      </w:r>
    </w:p>
    <w:p w14:paraId="7D8744A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223D2493">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7547870">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除专用合同条款另有约定外，评审员报酬由发包人和承包人各承担一半。</w:t>
      </w:r>
    </w:p>
    <w:p w14:paraId="18A00119">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20.3.2 争议评审小组的决定</w:t>
      </w:r>
    </w:p>
    <w:p w14:paraId="294ECD88">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4EF2DD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20.3.3 争议评审小组决定的效力</w:t>
      </w:r>
    </w:p>
    <w:p w14:paraId="6C35E2BA">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争议评审小组作出的书面决定经合同当事人签字确认后，对双方具有约束力，双方应遵照执行。</w:t>
      </w:r>
    </w:p>
    <w:p w14:paraId="6FA5DE6B">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任何一方当事人不接受争议评审小组决定或不履行争议评审小组决定的，双方可选择采用其他争议解决方式。</w:t>
      </w:r>
    </w:p>
    <w:p w14:paraId="79EE8D81">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20.4仲裁或诉讼</w:t>
      </w:r>
    </w:p>
    <w:p w14:paraId="0DC80CC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因合同及合同有关事项产生的争议，合同当事人可以在专用合同条款中约定以下一种方式解决争议：</w:t>
      </w:r>
    </w:p>
    <w:p w14:paraId="20F2BEF4">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（1）向约定的仲裁委员会申请仲裁；</w:t>
      </w:r>
    </w:p>
    <w:p w14:paraId="19A0A995">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（2）向有管辖权的人民法院起诉。</w:t>
      </w:r>
    </w:p>
    <w:p w14:paraId="7B707F47">
      <w:pPr>
        <w:wordWrap/>
        <w:spacing w:line="24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20.5争议解决条款效力</w:t>
      </w:r>
    </w:p>
    <w:p w14:paraId="1875C76F">
      <w:pPr>
        <w:wordWrap/>
        <w:autoSpaceDE w:val="0"/>
        <w:autoSpaceDN w:val="0"/>
        <w:adjustRightInd w:val="0"/>
        <w:spacing w:line="240" w:lineRule="auto"/>
        <w:ind w:firstLine="422" w:firstLineChars="20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合同有关争议解决的条款独立存在，合同的变更、解除、终止、无效或者被撤销均不影响其效力。</w:t>
      </w:r>
    </w:p>
    <w:p w14:paraId="45DBC431">
      <w:pPr>
        <w:wordWrap/>
        <w:spacing w:line="240" w:lineRule="auto"/>
        <w:ind w:firstLine="0" w:firstLineChars="0"/>
        <w:rPr>
          <w:rFonts w:ascii="宋体" w:hAnsi="宋体" w:eastAsia="宋体" w:cs="宋体"/>
          <w:highlight w:val="none"/>
        </w:rPr>
      </w:pPr>
      <w:r>
        <w:rPr>
          <w:rFonts w:hint="eastAsia" w:ascii="宋体" w:hAnsi="宋体" w:eastAsia="宋体" w:cs="宋体"/>
          <w:highlight w:val="none"/>
        </w:rPr>
        <w:br w:type="page"/>
      </w:r>
    </w:p>
    <w:p w14:paraId="0ED8B69F">
      <w:pPr>
        <w:wordWrap/>
        <w:spacing w:line="240" w:lineRule="auto"/>
        <w:ind w:firstLine="0" w:firstLineChars="0"/>
        <w:jc w:val="center"/>
        <w:rPr>
          <w:rFonts w:hint="eastAsia" w:ascii="宋体" w:hAnsi="宋体" w:eastAsia="宋体" w:cs="宋体"/>
          <w:szCs w:val="21"/>
          <w:highlight w:val="none"/>
        </w:rPr>
      </w:pPr>
      <w:r>
        <w:rPr>
          <w:rFonts w:hint="eastAsia" w:ascii="Calibri" w:hAnsi="Calibri" w:eastAsia="宋体" w:cs="Times New Roman"/>
          <w:b/>
          <w:color w:val="auto"/>
          <w:sz w:val="30"/>
          <w:szCs w:val="30"/>
          <w:highlight w:val="none"/>
        </w:rPr>
        <w:t>第三部分  专</w:t>
      </w:r>
      <w:r>
        <w:rPr>
          <w:rFonts w:hint="eastAsia" w:ascii="Calibri" w:hAnsi="Calibri" w:eastAsia="宋体" w:cs="Times New Roman"/>
          <w:b/>
          <w:sz w:val="30"/>
          <w:szCs w:val="30"/>
          <w:highlight w:val="none"/>
        </w:rPr>
        <w:t>用合同条款</w:t>
      </w:r>
    </w:p>
    <w:p w14:paraId="7A87DFC2">
      <w:pPr>
        <w:wordWrap/>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 一般约定</w:t>
      </w:r>
    </w:p>
    <w:p w14:paraId="4B2907A8">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 词语定义</w:t>
      </w:r>
    </w:p>
    <w:p w14:paraId="700A9919">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1.1.1合同</w:t>
      </w:r>
    </w:p>
    <w:p w14:paraId="2741DF1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1.1.1.10其他合同文件包括：</w:t>
      </w:r>
    </w:p>
    <w:p w14:paraId="1228DEEE">
      <w:pPr>
        <w:widowControl/>
        <w:wordWrap/>
        <w:spacing w:before="156" w:line="320" w:lineRule="exact"/>
        <w:ind w:firstLine="210" w:firstLineChars="1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其它投标文件、其他有关工程的洽商、变更等书面协议或文件。</w:t>
      </w:r>
    </w:p>
    <w:p w14:paraId="38820F2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1.1.2 合同当事人及其他相关方</w:t>
      </w:r>
    </w:p>
    <w:p w14:paraId="7D82776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1.1.2.4监理人：</w:t>
      </w:r>
    </w:p>
    <w:p w14:paraId="446864D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名    称：</w:t>
      </w:r>
      <w:bookmarkStart w:id="66" w:name="EB0f0e6062e9a14866a7b433c0d9db77f3"/>
      <w:bookmarkEnd w:id="66"/>
      <w:r>
        <w:rPr>
          <w:rFonts w:hint="eastAsia" w:ascii="宋体" w:hAnsi="宋体" w:eastAsia="宋体" w:cs="宋体"/>
          <w:color w:val="auto"/>
          <w:kern w:val="2"/>
          <w:sz w:val="21"/>
          <w:szCs w:val="21"/>
          <w:highlight w:val="none"/>
          <w:u w:val="none"/>
          <w:lang w:val="en-US" w:eastAsia="zh-CN" w:bidi="ar-SA"/>
        </w:rPr>
        <w:t>；</w:t>
      </w:r>
    </w:p>
    <w:p w14:paraId="0DA3E75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资质类别和等级：</w:t>
      </w:r>
      <w:bookmarkStart w:id="67" w:name="EB701ade1228f640afb442f42d8a52e1d1"/>
      <w:bookmarkEnd w:id="67"/>
      <w:r>
        <w:rPr>
          <w:rFonts w:hint="eastAsia" w:ascii="宋体" w:hAnsi="宋体" w:eastAsia="宋体" w:cs="宋体"/>
          <w:color w:val="auto"/>
          <w:kern w:val="2"/>
          <w:sz w:val="21"/>
          <w:szCs w:val="21"/>
          <w:highlight w:val="none"/>
          <w:u w:val="none"/>
          <w:lang w:val="en-US" w:eastAsia="zh-CN" w:bidi="ar-SA"/>
        </w:rPr>
        <w:t>；</w:t>
      </w:r>
    </w:p>
    <w:p w14:paraId="4B404B6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联系电话：</w:t>
      </w:r>
      <w:bookmarkStart w:id="68" w:name="EB3eea4d0e3a2b4d7697e3527a8e44815b"/>
      <w:bookmarkEnd w:id="68"/>
      <w:r>
        <w:rPr>
          <w:rFonts w:hint="eastAsia" w:ascii="宋体" w:hAnsi="宋体" w:eastAsia="宋体" w:cs="宋体"/>
          <w:color w:val="auto"/>
          <w:kern w:val="2"/>
          <w:sz w:val="21"/>
          <w:szCs w:val="21"/>
          <w:highlight w:val="none"/>
          <w:u w:val="none"/>
          <w:lang w:val="en-US" w:eastAsia="zh-CN" w:bidi="ar-SA"/>
        </w:rPr>
        <w:t>；</w:t>
      </w:r>
    </w:p>
    <w:p w14:paraId="2E9E13F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电子信箱：</w:t>
      </w:r>
      <w:bookmarkStart w:id="69" w:name="EB7f74f4295a8544c8ab3c1ac9e9fb7b3b"/>
      <w:bookmarkEnd w:id="69"/>
      <w:r>
        <w:rPr>
          <w:rFonts w:hint="eastAsia" w:ascii="宋体" w:hAnsi="宋体" w:eastAsia="宋体" w:cs="宋体"/>
          <w:color w:val="auto"/>
          <w:kern w:val="2"/>
          <w:sz w:val="21"/>
          <w:szCs w:val="21"/>
          <w:highlight w:val="none"/>
          <w:u w:val="none"/>
          <w:lang w:val="en-US" w:eastAsia="zh-CN" w:bidi="ar-SA"/>
        </w:rPr>
        <w:t>；</w:t>
      </w:r>
    </w:p>
    <w:p w14:paraId="5B6A83C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通信地址：</w:t>
      </w:r>
      <w:bookmarkStart w:id="70" w:name="EB93782c78ad7546888ffa662c3212e783"/>
      <w:bookmarkEnd w:id="70"/>
      <w:r>
        <w:rPr>
          <w:rFonts w:hint="eastAsia" w:ascii="宋体" w:hAnsi="宋体" w:eastAsia="宋体" w:cs="宋体"/>
          <w:color w:val="auto"/>
          <w:kern w:val="2"/>
          <w:sz w:val="21"/>
          <w:szCs w:val="21"/>
          <w:highlight w:val="none"/>
          <w:u w:val="none"/>
          <w:lang w:val="en-US" w:eastAsia="zh-CN" w:bidi="ar-SA"/>
        </w:rPr>
        <w:t>。</w:t>
      </w:r>
    </w:p>
    <w:p w14:paraId="2723DE2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1.1.2.5 设计人：</w:t>
      </w:r>
    </w:p>
    <w:p w14:paraId="2A0736A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名    称：</w:t>
      </w:r>
      <w:bookmarkStart w:id="71" w:name="EBf30690508c9f4ba08524168006d5b170"/>
      <w:bookmarkEnd w:id="71"/>
      <w:r>
        <w:rPr>
          <w:rFonts w:hint="eastAsia" w:ascii="宋体" w:hAnsi="宋体" w:eastAsia="宋体" w:cs="宋体"/>
          <w:color w:val="auto"/>
          <w:kern w:val="2"/>
          <w:sz w:val="21"/>
          <w:szCs w:val="21"/>
          <w:highlight w:val="none"/>
          <w:u w:val="none"/>
          <w:lang w:val="en-US" w:eastAsia="zh-CN" w:bidi="ar-SA"/>
        </w:rPr>
        <w:t>；</w:t>
      </w:r>
    </w:p>
    <w:p w14:paraId="6DDD44B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资质类别和等级：</w:t>
      </w:r>
      <w:bookmarkStart w:id="72" w:name="EBba2d89800a274663b6be446fa0984adc"/>
      <w:bookmarkEnd w:id="72"/>
      <w:r>
        <w:rPr>
          <w:rFonts w:hint="eastAsia" w:ascii="宋体" w:hAnsi="宋体" w:eastAsia="宋体" w:cs="宋体"/>
          <w:color w:val="auto"/>
          <w:kern w:val="2"/>
          <w:sz w:val="21"/>
          <w:szCs w:val="21"/>
          <w:highlight w:val="none"/>
          <w:u w:val="none"/>
          <w:lang w:val="en-US" w:eastAsia="zh-CN" w:bidi="ar-SA"/>
        </w:rPr>
        <w:t>；</w:t>
      </w:r>
    </w:p>
    <w:p w14:paraId="0CA8EA3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联系电话：</w:t>
      </w:r>
      <w:bookmarkStart w:id="73" w:name="EB032774684488413fa51971d903b02f68"/>
      <w:bookmarkEnd w:id="73"/>
      <w:r>
        <w:rPr>
          <w:rFonts w:hint="eastAsia" w:ascii="宋体" w:hAnsi="宋体" w:eastAsia="宋体" w:cs="宋体"/>
          <w:color w:val="auto"/>
          <w:kern w:val="2"/>
          <w:sz w:val="21"/>
          <w:szCs w:val="21"/>
          <w:highlight w:val="none"/>
          <w:u w:val="none"/>
          <w:lang w:val="en-US" w:eastAsia="zh-CN" w:bidi="ar-SA"/>
        </w:rPr>
        <w:t>；</w:t>
      </w:r>
    </w:p>
    <w:p w14:paraId="42C3BEF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电子信箱：</w:t>
      </w:r>
      <w:bookmarkStart w:id="74" w:name="EB0ba05145ee584de58f4b61e24ca1b86a"/>
      <w:bookmarkEnd w:id="74"/>
      <w:r>
        <w:rPr>
          <w:rFonts w:hint="eastAsia" w:ascii="宋体" w:hAnsi="宋体" w:eastAsia="宋体" w:cs="宋体"/>
          <w:color w:val="auto"/>
          <w:kern w:val="2"/>
          <w:sz w:val="21"/>
          <w:szCs w:val="21"/>
          <w:highlight w:val="none"/>
          <w:u w:val="none"/>
          <w:lang w:val="en-US" w:eastAsia="zh-CN" w:bidi="ar-SA"/>
        </w:rPr>
        <w:t>；</w:t>
      </w:r>
    </w:p>
    <w:p w14:paraId="4F1DBC6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通信地址：</w:t>
      </w:r>
      <w:bookmarkStart w:id="75" w:name="EBbb777ae88ad5433a82eedb3244d2bd4b"/>
      <w:bookmarkEnd w:id="75"/>
      <w:r>
        <w:rPr>
          <w:rFonts w:hint="eastAsia" w:ascii="宋体" w:hAnsi="宋体" w:eastAsia="宋体" w:cs="宋体"/>
          <w:color w:val="auto"/>
          <w:kern w:val="2"/>
          <w:sz w:val="21"/>
          <w:szCs w:val="21"/>
          <w:highlight w:val="none"/>
          <w:u w:val="none"/>
          <w:lang w:val="en-US" w:eastAsia="zh-CN" w:bidi="ar-SA"/>
        </w:rPr>
        <w:t>。</w:t>
      </w:r>
    </w:p>
    <w:p w14:paraId="254B6C9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1.1.3 工程和设备</w:t>
      </w:r>
    </w:p>
    <w:p w14:paraId="7C8881C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1.1.3.7作为施工现场组成部分的其他场所包括：</w:t>
      </w:r>
      <w:bookmarkStart w:id="76" w:name="EBc591ed4754664930b27737300b92ed8d"/>
      <w:bookmarkEnd w:id="76"/>
      <w:bookmarkStart w:id="77" w:name="EBea75b9f2326e4d7e94677ecb1d8af652"/>
      <w:r>
        <w:rPr>
          <w:rFonts w:hint="eastAsia" w:ascii="宋体" w:hAnsi="宋体" w:eastAsia="宋体" w:cs="宋体"/>
          <w:color w:val="auto"/>
          <w:kern w:val="2"/>
          <w:sz w:val="21"/>
          <w:szCs w:val="21"/>
          <w:highlight w:val="none"/>
          <w:u w:val="single"/>
          <w:lang w:val="en-US" w:eastAsia="zh-CN" w:bidi="ar-SA"/>
        </w:rPr>
        <w:t>符合通用条款规定的发包人提供的施工场地</w:t>
      </w:r>
      <w:bookmarkEnd w:id="77"/>
      <w:r>
        <w:rPr>
          <w:rFonts w:hint="eastAsia" w:ascii="宋体" w:hAnsi="宋体" w:eastAsia="宋体" w:cs="宋体"/>
          <w:color w:val="auto"/>
          <w:kern w:val="2"/>
          <w:sz w:val="21"/>
          <w:szCs w:val="21"/>
          <w:highlight w:val="none"/>
          <w:u w:val="none"/>
          <w:lang w:val="en-US" w:eastAsia="zh-CN" w:bidi="ar-SA"/>
        </w:rPr>
        <w:t>。</w:t>
      </w:r>
    </w:p>
    <w:p w14:paraId="1AE81F42">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1.1.3.8永久占地包括：</w:t>
      </w:r>
      <w:bookmarkStart w:id="78" w:name="EB0e8b703cead94f7db0346d98fb6f77d1"/>
      <w:bookmarkEnd w:id="78"/>
      <w:r>
        <w:rPr>
          <w:rFonts w:hint="eastAsia" w:ascii="宋体" w:hAnsi="宋体" w:eastAsia="宋体" w:cs="宋体"/>
          <w:color w:val="auto"/>
          <w:kern w:val="2"/>
          <w:sz w:val="21"/>
          <w:szCs w:val="21"/>
          <w:highlight w:val="none"/>
          <w:u w:val="none"/>
          <w:lang w:val="en-US" w:eastAsia="zh-CN" w:bidi="ar-SA"/>
        </w:rPr>
        <w:t>。</w:t>
      </w:r>
    </w:p>
    <w:p w14:paraId="29028D4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1.1.3.9临时占地包括：</w:t>
      </w:r>
      <w:bookmarkStart w:id="79" w:name="EBa7373fa2d47a45f38d9714825004bc33"/>
      <w:bookmarkEnd w:id="79"/>
      <w:r>
        <w:rPr>
          <w:rFonts w:hint="eastAsia" w:ascii="宋体" w:hAnsi="宋体" w:eastAsia="宋体" w:cs="宋体"/>
          <w:color w:val="auto"/>
          <w:kern w:val="2"/>
          <w:sz w:val="21"/>
          <w:szCs w:val="21"/>
          <w:highlight w:val="none"/>
          <w:u w:val="none"/>
          <w:lang w:val="en-US" w:eastAsia="zh-CN" w:bidi="ar-SA"/>
        </w:rPr>
        <w:t>。</w:t>
      </w:r>
    </w:p>
    <w:p w14:paraId="5B23B2D8">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1.3法律 </w:t>
      </w:r>
    </w:p>
    <w:p w14:paraId="63BBB19D">
      <w:pPr>
        <w:widowControl/>
        <w:wordWrap/>
        <w:spacing w:before="156" w:line="320" w:lineRule="exact"/>
        <w:ind w:firstLine="525" w:firstLineChars="2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适用于合同的其他规范性文件：</w:t>
      </w:r>
      <w:bookmarkStart w:id="80" w:name="EB5ac862294045426fb68cbcc43e2122a3"/>
      <w:bookmarkEnd w:id="80"/>
      <w:r>
        <w:rPr>
          <w:rFonts w:hint="eastAsia" w:ascii="宋体" w:hAnsi="宋体" w:eastAsia="宋体" w:cs="宋体"/>
          <w:color w:val="auto"/>
          <w:kern w:val="2"/>
          <w:sz w:val="21"/>
          <w:szCs w:val="21"/>
          <w:highlight w:val="none"/>
          <w:u w:val="single"/>
          <w:lang w:val="en-US" w:eastAsia="zh-CN" w:bidi="ar-SA"/>
        </w:rPr>
        <w:t>《建设工程工程量清单计价规范》GB50500-2013、《房屋建筑与装饰工程工程量计算规范》GB50854-2013、《通用安装工程工程量计算规范》GB50856-2013、《市政工程工程量计算规范》GB50857-2013、《园林绿化工程工程量计算规范》GB50858-2013、《仿古建筑工程工程量计算规范》GB50855-2013、浙建站计[2013]63号《关于印发&lt;建设工程工程量清单计算规范（2013）浙江省补充规定&gt;的通知》、浙建站计[2014]31号《关于印发&lt;建设工程工程量清单计算规范（2013）浙江省补充规定（二）&gt;的通知》、《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w:t>
      </w:r>
      <w:r>
        <w:rPr>
          <w:rFonts w:hint="eastAsia" w:ascii="宋体" w:hAnsi="宋体" w:eastAsia="宋体" w:cs="宋体"/>
          <w:color w:val="auto"/>
          <w:kern w:val="2"/>
          <w:sz w:val="21"/>
          <w:szCs w:val="21"/>
          <w:highlight w:val="none"/>
          <w:u w:val="none"/>
          <w:lang w:val="en-US" w:eastAsia="zh-CN" w:bidi="ar-SA"/>
        </w:rPr>
        <w:t>（2018版）、浙建建［2018］61号《关于颁发&lt;浙江省建设工程计价依据&gt;（2018版）的通知》、</w:t>
      </w:r>
      <w:r>
        <w:rPr>
          <w:rFonts w:hint="eastAsia" w:ascii="宋体" w:hAnsi="宋体" w:eastAsia="宋体" w:cs="宋体"/>
          <w:color w:val="auto"/>
          <w:kern w:val="2"/>
          <w:sz w:val="21"/>
          <w:szCs w:val="21"/>
          <w:highlight w:val="none"/>
          <w:u w:val="single"/>
          <w:lang w:val="en-US" w:eastAsia="zh-CN" w:bidi="ar-SA"/>
        </w:rPr>
        <w:t>舟建发[2018]265号《关于贯彻执行&lt;浙江省建设工程计价依据&gt;（2018版）的通知》、浙建站信[2018]52号《关于发布浙江省房屋建筑人工综合价格指数的通知》、浙建建发［2019］92号《关于增值税调整后我省建设工程计价依据增值税税率及有关计价调整的通知》、浙建站定［2019］77号《关于印发&lt;浙江省建设工程计价依据&gt;（2018版）综合解释的通知》、建设发[2015]479号文件、舟建发[2014]197号、浙建建发[2022]37号等相关文件的规定。</w:t>
      </w:r>
    </w:p>
    <w:p w14:paraId="346D61B2">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 标准和规范</w:t>
      </w:r>
    </w:p>
    <w:p w14:paraId="789E7306">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1.4.1适用于工程的标准规范包括：</w:t>
      </w:r>
      <w:r>
        <w:rPr>
          <w:rFonts w:hint="eastAsia" w:ascii="宋体" w:hAnsi="宋体" w:eastAsia="宋体" w:cs="宋体"/>
          <w:bCs/>
          <w:color w:val="auto"/>
          <w:kern w:val="2"/>
          <w:sz w:val="21"/>
          <w:szCs w:val="21"/>
          <w:highlight w:val="none"/>
          <w:u w:val="single"/>
          <w:lang w:val="en-US" w:eastAsia="zh-CN" w:bidi="ar-SA"/>
        </w:rPr>
        <w:t>按现行的国家、省、市施工验收规范、质量评定标准及有关规定,以及合同工期内的标准、规范，招标文件中的技术要求等</w:t>
      </w:r>
      <w:r>
        <w:rPr>
          <w:rFonts w:hint="eastAsia" w:ascii="宋体" w:hAnsi="宋体" w:eastAsia="宋体" w:cs="宋体"/>
          <w:bCs/>
          <w:color w:val="auto"/>
          <w:kern w:val="2"/>
          <w:sz w:val="21"/>
          <w:szCs w:val="21"/>
          <w:highlight w:val="none"/>
          <w:u w:val="none"/>
          <w:lang w:val="en-US" w:eastAsia="zh-CN" w:bidi="ar-SA"/>
        </w:rPr>
        <w:t>。</w:t>
      </w:r>
    </w:p>
    <w:p w14:paraId="23B5BBAC">
      <w:pPr>
        <w:widowControl/>
        <w:wordWrap/>
        <w:spacing w:before="156"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1.4.2 发包人提供国外标准、规范的名称：</w:t>
      </w:r>
      <w:bookmarkStart w:id="81" w:name="EB0887d0efe4204cac942e9f43dd7cc0bb"/>
      <w:bookmarkEnd w:id="81"/>
      <w:r>
        <w:rPr>
          <w:rFonts w:hint="eastAsia" w:ascii="宋体" w:hAnsi="宋体" w:eastAsia="宋体" w:cs="宋体"/>
          <w:color w:val="auto"/>
          <w:kern w:val="2"/>
          <w:sz w:val="21"/>
          <w:szCs w:val="21"/>
          <w:highlight w:val="none"/>
          <w:u w:val="none"/>
          <w:lang w:val="en-US" w:eastAsia="zh-CN" w:bidi="ar-SA"/>
        </w:rPr>
        <w:t>。</w:t>
      </w:r>
    </w:p>
    <w:p w14:paraId="60771EF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发包人提供国外标准、规范的份数：</w:t>
      </w:r>
      <w:bookmarkStart w:id="82" w:name="EB934fb7af0baa48019ad435fad7f45402"/>
      <w:bookmarkEnd w:id="82"/>
      <w:r>
        <w:rPr>
          <w:rFonts w:hint="eastAsia" w:ascii="宋体" w:hAnsi="宋体" w:eastAsia="宋体" w:cs="宋体"/>
          <w:color w:val="auto"/>
          <w:kern w:val="2"/>
          <w:sz w:val="21"/>
          <w:szCs w:val="21"/>
          <w:highlight w:val="none"/>
          <w:u w:val="none"/>
          <w:lang w:val="en-US" w:eastAsia="zh-CN" w:bidi="ar-SA"/>
        </w:rPr>
        <w:t>；</w:t>
      </w:r>
    </w:p>
    <w:p w14:paraId="590A24D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发包人提供国外标准、规范的名称：</w:t>
      </w:r>
      <w:bookmarkStart w:id="83" w:name="EB1f00c18633c040f5905ba680337e4fce"/>
      <w:bookmarkEnd w:id="83"/>
      <w:r>
        <w:rPr>
          <w:rFonts w:hint="eastAsia" w:ascii="宋体" w:hAnsi="宋体" w:eastAsia="宋体" w:cs="宋体"/>
          <w:color w:val="auto"/>
          <w:kern w:val="2"/>
          <w:sz w:val="21"/>
          <w:szCs w:val="21"/>
          <w:highlight w:val="none"/>
          <w:u w:val="none"/>
          <w:lang w:val="en-US" w:eastAsia="zh-CN" w:bidi="ar-SA"/>
        </w:rPr>
        <w:t>。</w:t>
      </w:r>
    </w:p>
    <w:p w14:paraId="7E9BA51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1.4.3发包人对工程的技术标准和功能要求的特殊要求：</w:t>
      </w:r>
      <w:bookmarkStart w:id="84" w:name="EB02a3c032794840428f6cdcf04844696f"/>
      <w:bookmarkEnd w:id="84"/>
      <w:r>
        <w:rPr>
          <w:rFonts w:hint="eastAsia" w:ascii="宋体" w:hAnsi="宋体" w:eastAsia="宋体" w:cs="宋体"/>
          <w:color w:val="auto"/>
          <w:kern w:val="2"/>
          <w:sz w:val="21"/>
          <w:szCs w:val="21"/>
          <w:highlight w:val="none"/>
          <w:u w:val="none"/>
          <w:lang w:val="en-US" w:eastAsia="zh-CN" w:bidi="ar-SA"/>
        </w:rPr>
        <w:t>。</w:t>
      </w:r>
    </w:p>
    <w:p w14:paraId="5C74D15D">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 合同文件的优先顺序</w:t>
      </w:r>
    </w:p>
    <w:p w14:paraId="4BA19922">
      <w:pPr>
        <w:widowControl/>
        <w:wordWrap/>
        <w:autoSpaceDE w:val="0"/>
        <w:autoSpaceDN w:val="0"/>
        <w:adjustRightInd w:val="0"/>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合同文件组成及优先顺序为：</w:t>
      </w:r>
      <w:r>
        <w:rPr>
          <w:rFonts w:hint="eastAsia" w:ascii="宋体" w:hAnsi="宋体" w:eastAsia="宋体" w:cs="宋体"/>
          <w:color w:val="auto"/>
          <w:kern w:val="2"/>
          <w:sz w:val="21"/>
          <w:szCs w:val="21"/>
          <w:highlight w:val="none"/>
          <w:u w:val="single"/>
          <w:lang w:val="en-US" w:eastAsia="zh-CN" w:bidi="ar-SA"/>
        </w:rPr>
        <w:t>（1）合同协议书、（2）中标通知书、（3）投标函及其附录、（4）专用合同条款及其附件、（5）通用合同条款、（6）技术标准和要求、（7）图纸、（8）已标价的工程量清单、（9）其他合同文件</w:t>
      </w:r>
      <w:r>
        <w:rPr>
          <w:rFonts w:hint="eastAsia" w:ascii="宋体" w:hAnsi="宋体" w:eastAsia="宋体" w:cs="宋体"/>
          <w:color w:val="auto"/>
          <w:kern w:val="2"/>
          <w:sz w:val="21"/>
          <w:szCs w:val="21"/>
          <w:highlight w:val="none"/>
          <w:u w:val="none"/>
          <w:lang w:val="en-US" w:eastAsia="zh-CN" w:bidi="ar-SA"/>
        </w:rPr>
        <w:t>。</w:t>
      </w:r>
    </w:p>
    <w:p w14:paraId="2FDA124C">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 图纸和承包人文件</w:t>
      </w:r>
      <w:r>
        <w:rPr>
          <w:rFonts w:hint="eastAsia" w:ascii="宋体" w:hAnsi="宋体" w:eastAsia="宋体" w:cs="宋体"/>
          <w:color w:val="auto"/>
          <w:kern w:val="2"/>
          <w:sz w:val="21"/>
          <w:szCs w:val="21"/>
          <w:highlight w:val="none"/>
          <w:u w:val="none"/>
          <w:lang w:val="en-US" w:eastAsia="zh-CN" w:bidi="ar-SA"/>
        </w:rPr>
        <w:tab/>
      </w:r>
    </w:p>
    <w:p w14:paraId="388F3E0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1.6.1 图纸的提供</w:t>
      </w:r>
    </w:p>
    <w:p w14:paraId="0138A9B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发包人向承包人提供图纸的期限：</w:t>
      </w:r>
      <w:r>
        <w:rPr>
          <w:rFonts w:hint="eastAsia" w:ascii="宋体" w:hAnsi="宋体" w:eastAsia="宋体" w:cs="宋体"/>
          <w:color w:val="auto"/>
          <w:kern w:val="2"/>
          <w:sz w:val="21"/>
          <w:szCs w:val="21"/>
          <w:highlight w:val="none"/>
          <w:u w:val="single"/>
          <w:lang w:val="en-US" w:eastAsia="zh-CN" w:bidi="ar-SA"/>
        </w:rPr>
        <w:t>合同签订10天内，在不影响承包人施工的情况下，图纸有可能分期提供，承包人必须同意与配合，不能以此为借口延误工期</w:t>
      </w:r>
      <w:r>
        <w:rPr>
          <w:rFonts w:hint="eastAsia" w:ascii="宋体" w:hAnsi="宋体" w:eastAsia="宋体" w:cs="宋体"/>
          <w:color w:val="auto"/>
          <w:kern w:val="2"/>
          <w:sz w:val="21"/>
          <w:szCs w:val="21"/>
          <w:highlight w:val="none"/>
          <w:u w:val="none"/>
          <w:lang w:val="en-US" w:eastAsia="zh-CN" w:bidi="ar-SA"/>
        </w:rPr>
        <w:t>；</w:t>
      </w:r>
    </w:p>
    <w:p w14:paraId="72A40A5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发包人向承包人提供图纸的数量：</w:t>
      </w:r>
      <w:bookmarkStart w:id="85" w:name="EB44a5b368d88c4721a53efe647b9527a3"/>
      <w:r>
        <w:rPr>
          <w:rFonts w:hint="eastAsia" w:ascii="宋体" w:hAnsi="宋体" w:eastAsia="宋体" w:cs="宋体"/>
          <w:color w:val="auto"/>
          <w:kern w:val="2"/>
          <w:sz w:val="21"/>
          <w:szCs w:val="21"/>
          <w:highlight w:val="none"/>
          <w:u w:val="single"/>
          <w:lang w:val="en-US" w:eastAsia="zh-CN" w:bidi="ar-SA"/>
        </w:rPr>
        <w:t>5</w:t>
      </w:r>
      <w:bookmarkEnd w:id="85"/>
      <w:r>
        <w:rPr>
          <w:rFonts w:hint="eastAsia" w:ascii="宋体" w:hAnsi="宋体" w:eastAsia="宋体" w:cs="宋体"/>
          <w:color w:val="auto"/>
          <w:kern w:val="2"/>
          <w:sz w:val="21"/>
          <w:szCs w:val="21"/>
          <w:highlight w:val="none"/>
          <w:u w:val="single"/>
          <w:lang w:val="en-US" w:eastAsia="zh-CN" w:bidi="ar-SA"/>
        </w:rPr>
        <w:t>套，承包人需要增加图纸份数费用由承包人承担</w:t>
      </w:r>
      <w:r>
        <w:rPr>
          <w:rFonts w:hint="eastAsia" w:ascii="宋体" w:hAnsi="宋体" w:eastAsia="宋体" w:cs="宋体"/>
          <w:color w:val="auto"/>
          <w:kern w:val="2"/>
          <w:sz w:val="21"/>
          <w:szCs w:val="21"/>
          <w:highlight w:val="none"/>
          <w:u w:val="none"/>
          <w:lang w:val="en-US" w:eastAsia="zh-CN" w:bidi="ar-SA"/>
        </w:rPr>
        <w:t>；</w:t>
      </w:r>
    </w:p>
    <w:p w14:paraId="7FC77E8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发包人向承包人提供图纸的内容：</w:t>
      </w:r>
      <w:bookmarkStart w:id="86" w:name="EBe9a6bc9db1c14a5982b9bc89f1119adc"/>
      <w:bookmarkEnd w:id="86"/>
      <w:bookmarkStart w:id="87" w:name="EB5d08f566175c43b1a6478ba5bab2abd2"/>
      <w:r>
        <w:rPr>
          <w:rFonts w:hint="eastAsia" w:ascii="宋体" w:hAnsi="宋体" w:eastAsia="宋体" w:cs="宋体"/>
          <w:color w:val="auto"/>
          <w:kern w:val="2"/>
          <w:sz w:val="21"/>
          <w:szCs w:val="21"/>
          <w:highlight w:val="none"/>
          <w:u w:val="single"/>
          <w:lang w:val="en-US" w:eastAsia="zh-CN" w:bidi="ar-SA"/>
        </w:rPr>
        <w:t>施工图</w:t>
      </w:r>
      <w:bookmarkEnd w:id="87"/>
      <w:r>
        <w:rPr>
          <w:rFonts w:hint="eastAsia" w:ascii="宋体" w:hAnsi="宋体" w:eastAsia="宋体" w:cs="宋体"/>
          <w:color w:val="auto"/>
          <w:kern w:val="2"/>
          <w:sz w:val="21"/>
          <w:szCs w:val="21"/>
          <w:highlight w:val="none"/>
          <w:u w:val="none"/>
          <w:lang w:val="en-US" w:eastAsia="zh-CN" w:bidi="ar-SA"/>
        </w:rPr>
        <w:t>；</w:t>
      </w:r>
    </w:p>
    <w:p w14:paraId="52C6289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1.6.4 承包人文件</w:t>
      </w:r>
    </w:p>
    <w:p w14:paraId="5B4BF86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需要由承包人提供的文件包括：</w:t>
      </w:r>
      <w:r>
        <w:rPr>
          <w:rFonts w:hint="eastAsia" w:ascii="宋体" w:hAnsi="宋体" w:eastAsia="宋体" w:cs="宋体"/>
          <w:color w:val="auto"/>
          <w:kern w:val="2"/>
          <w:sz w:val="21"/>
          <w:szCs w:val="21"/>
          <w:highlight w:val="none"/>
          <w:u w:val="single"/>
          <w:lang w:val="en-US" w:eastAsia="zh-CN" w:bidi="ar-SA"/>
        </w:rPr>
        <w:t>施工组织设计、施工技术措施及各项资源需要量的计划</w:t>
      </w:r>
      <w:r>
        <w:rPr>
          <w:rFonts w:hint="eastAsia" w:ascii="宋体" w:hAnsi="宋体" w:eastAsia="宋体" w:cs="宋体"/>
          <w:color w:val="auto"/>
          <w:kern w:val="2"/>
          <w:sz w:val="21"/>
          <w:szCs w:val="21"/>
          <w:highlight w:val="none"/>
          <w:u w:val="none"/>
          <w:lang w:val="en-US" w:eastAsia="zh-CN" w:bidi="ar-SA"/>
        </w:rPr>
        <w:t>：</w:t>
      </w:r>
    </w:p>
    <w:p w14:paraId="6B39CFF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承包人提供的文件的期限为：</w:t>
      </w:r>
      <w:bookmarkStart w:id="88" w:name="EBe57c911928524cbc95bbca2cf3c81d2d"/>
      <w:bookmarkEnd w:id="88"/>
      <w:bookmarkStart w:id="89" w:name="EB0a5c194dc9af496eacb99f9265df156b"/>
      <w:r>
        <w:rPr>
          <w:rFonts w:hint="eastAsia" w:ascii="宋体" w:hAnsi="宋体" w:eastAsia="宋体" w:cs="宋体"/>
          <w:color w:val="auto"/>
          <w:kern w:val="2"/>
          <w:sz w:val="21"/>
          <w:szCs w:val="21"/>
          <w:highlight w:val="none"/>
          <w:u w:val="single"/>
          <w:lang w:val="en-US" w:eastAsia="zh-CN" w:bidi="ar-SA"/>
        </w:rPr>
        <w:t>接到中标通知书后三天内</w:t>
      </w:r>
      <w:bookmarkEnd w:id="89"/>
      <w:r>
        <w:rPr>
          <w:rFonts w:hint="eastAsia" w:ascii="宋体" w:hAnsi="宋体" w:eastAsia="宋体" w:cs="宋体"/>
          <w:color w:val="auto"/>
          <w:kern w:val="2"/>
          <w:sz w:val="21"/>
          <w:szCs w:val="21"/>
          <w:highlight w:val="none"/>
          <w:u w:val="none"/>
          <w:lang w:val="en-US" w:eastAsia="zh-CN" w:bidi="ar-SA"/>
        </w:rPr>
        <w:t>；</w:t>
      </w:r>
    </w:p>
    <w:p w14:paraId="47EC857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承包人提供的文件的数量为：</w:t>
      </w:r>
      <w:bookmarkStart w:id="90" w:name="EB0eaefb93053f4365bb51847d4836237a"/>
      <w:bookmarkEnd w:id="90"/>
      <w:bookmarkStart w:id="91" w:name="EBdb38dcc44bd1411f979b665d88584df8"/>
      <w:r>
        <w:rPr>
          <w:rFonts w:hint="eastAsia" w:ascii="宋体" w:hAnsi="宋体" w:eastAsia="宋体" w:cs="宋体"/>
          <w:color w:val="auto"/>
          <w:kern w:val="2"/>
          <w:sz w:val="21"/>
          <w:szCs w:val="21"/>
          <w:highlight w:val="none"/>
          <w:u w:val="single"/>
          <w:lang w:val="en-US" w:eastAsia="zh-CN" w:bidi="ar-SA"/>
        </w:rPr>
        <w:t>5份</w:t>
      </w:r>
      <w:bookmarkEnd w:id="91"/>
      <w:r>
        <w:rPr>
          <w:rFonts w:hint="eastAsia" w:ascii="宋体" w:hAnsi="宋体" w:eastAsia="宋体" w:cs="宋体"/>
          <w:color w:val="auto"/>
          <w:kern w:val="2"/>
          <w:sz w:val="21"/>
          <w:szCs w:val="21"/>
          <w:highlight w:val="none"/>
          <w:u w:val="none"/>
          <w:lang w:val="en-US" w:eastAsia="zh-CN" w:bidi="ar-SA"/>
        </w:rPr>
        <w:t>；</w:t>
      </w:r>
    </w:p>
    <w:p w14:paraId="10D3DFB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承包人提供的文件的形式为：</w:t>
      </w:r>
      <w:bookmarkStart w:id="92" w:name="EB918f3c0ad491490585edde0fd9ceb53e"/>
      <w:bookmarkEnd w:id="92"/>
      <w:r>
        <w:rPr>
          <w:rFonts w:hint="eastAsia" w:ascii="宋体" w:hAnsi="宋体" w:eastAsia="宋体" w:cs="宋体"/>
          <w:color w:val="000000"/>
          <w:kern w:val="0"/>
          <w:szCs w:val="21"/>
          <w:highlight w:val="none"/>
          <w:u w:val="single"/>
          <w:lang w:val="en-US" w:eastAsia="zh-CN"/>
        </w:rPr>
        <w:t>纸质与电子文档</w:t>
      </w:r>
      <w:r>
        <w:rPr>
          <w:rFonts w:hint="eastAsia" w:ascii="宋体" w:hAnsi="宋体" w:eastAsia="宋体" w:cs="宋体"/>
          <w:color w:val="auto"/>
          <w:kern w:val="2"/>
          <w:sz w:val="21"/>
          <w:szCs w:val="21"/>
          <w:highlight w:val="none"/>
          <w:u w:val="none"/>
          <w:lang w:val="en-US" w:eastAsia="zh-CN" w:bidi="ar-SA"/>
        </w:rPr>
        <w:t>；</w:t>
      </w:r>
    </w:p>
    <w:p w14:paraId="3F92B5E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发包人审批承包人文件的期限：</w:t>
      </w:r>
      <w:bookmarkStart w:id="93" w:name="EBf9d6081251a74d7592343f1aa64b7c4f"/>
      <w:bookmarkEnd w:id="93"/>
      <w:bookmarkStart w:id="94" w:name="EB2a527975c7804ae4b8d83cd41e29450e"/>
      <w:r>
        <w:rPr>
          <w:rFonts w:hint="eastAsia" w:ascii="宋体" w:hAnsi="宋体" w:eastAsia="宋体" w:cs="宋体"/>
          <w:color w:val="auto"/>
          <w:kern w:val="2"/>
          <w:sz w:val="21"/>
          <w:szCs w:val="21"/>
          <w:highlight w:val="none"/>
          <w:u w:val="single"/>
          <w:lang w:val="en-US" w:eastAsia="zh-CN" w:bidi="ar-SA"/>
        </w:rPr>
        <w:t>在承包人提供施工组织设计后【7】</w:t>
      </w:r>
      <w:r>
        <w:rPr>
          <w:rFonts w:hint="eastAsia" w:hAnsi="宋体" w:cs="宋体"/>
          <w:color w:val="auto"/>
          <w:kern w:val="2"/>
          <w:sz w:val="21"/>
          <w:szCs w:val="21"/>
          <w:highlight w:val="none"/>
          <w:u w:val="single"/>
          <w:lang w:val="en-US" w:eastAsia="zh-CN" w:bidi="ar-SA"/>
        </w:rPr>
        <w:t>个工作日</w:t>
      </w:r>
      <w:r>
        <w:rPr>
          <w:rFonts w:hint="eastAsia" w:ascii="宋体" w:hAnsi="宋体" w:eastAsia="宋体" w:cs="宋体"/>
          <w:color w:val="auto"/>
          <w:kern w:val="2"/>
          <w:sz w:val="21"/>
          <w:szCs w:val="21"/>
          <w:highlight w:val="none"/>
          <w:u w:val="single"/>
          <w:lang w:val="en-US" w:eastAsia="zh-CN" w:bidi="ar-SA"/>
        </w:rPr>
        <w:t>内审定完毕</w:t>
      </w:r>
      <w:bookmarkEnd w:id="94"/>
      <w:r>
        <w:rPr>
          <w:rFonts w:hint="eastAsia"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6F81B4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1.6.5 现场图纸准备</w:t>
      </w:r>
    </w:p>
    <w:p w14:paraId="23CE66E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关于现场图纸准备的约定：</w:t>
      </w:r>
      <w:bookmarkStart w:id="95" w:name="EBaba6efd54bb340e994eb87c6885c845b"/>
      <w:bookmarkEnd w:id="95"/>
      <w:bookmarkStart w:id="96" w:name="EB3294e55f768b4ed6b37aef18dae02cb1"/>
      <w:r>
        <w:rPr>
          <w:rFonts w:hint="eastAsia" w:ascii="宋体" w:hAnsi="宋体" w:eastAsia="宋体" w:cs="宋体"/>
          <w:color w:val="auto"/>
          <w:kern w:val="2"/>
          <w:sz w:val="21"/>
          <w:szCs w:val="21"/>
          <w:highlight w:val="none"/>
          <w:u w:val="single"/>
          <w:lang w:val="en-US" w:eastAsia="zh-CN" w:bidi="ar-SA"/>
        </w:rPr>
        <w:t>承包人应在施工现场另外保存一套完整的图纸和承包人文件，供发包人、监理人及有关人员进行工程检查时使用</w:t>
      </w:r>
      <w:bookmarkEnd w:id="96"/>
      <w:r>
        <w:rPr>
          <w:rFonts w:hint="eastAsia" w:ascii="宋体" w:hAnsi="宋体" w:eastAsia="宋体" w:cs="宋体"/>
          <w:color w:val="auto"/>
          <w:kern w:val="2"/>
          <w:sz w:val="21"/>
          <w:szCs w:val="21"/>
          <w:highlight w:val="none"/>
          <w:u w:val="none"/>
          <w:lang w:val="en-US" w:eastAsia="zh-CN" w:bidi="ar-SA"/>
        </w:rPr>
        <w:t>。</w:t>
      </w:r>
    </w:p>
    <w:p w14:paraId="2B012CBB">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1.7 联络</w:t>
      </w:r>
    </w:p>
    <w:p w14:paraId="7BE76C7F">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1.7.1发包人和承包人应当在</w:t>
      </w:r>
      <w:bookmarkStart w:id="97" w:name="EB7d9dd91e716a468b94fc815960e3bbdd"/>
      <w:bookmarkEnd w:id="97"/>
      <w:r>
        <w:rPr>
          <w:rFonts w:hint="eastAsia" w:ascii="宋体" w:hAnsi="宋体" w:eastAsia="宋体" w:cs="宋体"/>
          <w:color w:val="auto"/>
          <w:kern w:val="2"/>
          <w:sz w:val="21"/>
          <w:szCs w:val="21"/>
          <w:highlight w:val="none"/>
          <w:u w:val="none"/>
          <w:lang w:val="en-US" w:eastAsia="zh-CN" w:bidi="ar-SA"/>
        </w:rPr>
        <w:t xml:space="preserve"> 3 天内将与合同有关的通知、批准、证明、证书、指示、指令、要求、请求、同意、意见、确定和决定等书面函件送达对方当事人。</w:t>
      </w:r>
    </w:p>
    <w:p w14:paraId="726F129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1.7.2 发包人接收文件的地点：</w:t>
      </w:r>
      <w:bookmarkStart w:id="98" w:name="EB45cc7ed14b2145e79a04b5b81d03dd0f"/>
      <w:bookmarkEnd w:id="98"/>
      <w:bookmarkStart w:id="99" w:name="EBfc760b4d208340d0ae75e646cd295334"/>
      <w:r>
        <w:rPr>
          <w:rFonts w:hint="eastAsia" w:hAnsi="宋体" w:cs="宋体"/>
          <w:color w:val="auto"/>
          <w:kern w:val="2"/>
          <w:sz w:val="21"/>
          <w:szCs w:val="21"/>
          <w:highlight w:val="none"/>
          <w:u w:val="single"/>
          <w:lang w:val="en-US" w:eastAsia="zh-CN" w:bidi="ar-SA"/>
        </w:rPr>
        <w:t>单位地址</w:t>
      </w:r>
      <w:r>
        <w:rPr>
          <w:rFonts w:hint="eastAsia" w:ascii="宋体" w:hAnsi="宋体" w:eastAsia="宋体" w:cs="宋体"/>
          <w:color w:val="auto"/>
          <w:kern w:val="2"/>
          <w:sz w:val="21"/>
          <w:szCs w:val="21"/>
          <w:highlight w:val="none"/>
          <w:u w:val="single"/>
          <w:lang w:val="en-US" w:eastAsia="zh-CN" w:bidi="ar-SA"/>
        </w:rPr>
        <w:t>或现场工程部办公室</w:t>
      </w:r>
      <w:bookmarkEnd w:id="99"/>
      <w:r>
        <w:rPr>
          <w:rFonts w:hint="eastAsia" w:ascii="宋体" w:hAnsi="宋体" w:eastAsia="宋体" w:cs="宋体"/>
          <w:color w:val="auto"/>
          <w:kern w:val="2"/>
          <w:sz w:val="21"/>
          <w:szCs w:val="21"/>
          <w:highlight w:val="none"/>
          <w:u w:val="none"/>
          <w:lang w:val="en-US" w:eastAsia="zh-CN" w:bidi="ar-SA"/>
        </w:rPr>
        <w:t>；</w:t>
      </w:r>
    </w:p>
    <w:p w14:paraId="0D5401A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发包人指定的接收人为：</w:t>
      </w:r>
      <w:bookmarkStart w:id="100" w:name="EB3144d02e76a24e2d8c4e0fa7863fd384"/>
      <w:bookmarkEnd w:id="100"/>
      <w:bookmarkStart w:id="101" w:name="EBef210fff06e64f25ac2b152f789aa92a"/>
      <w:r>
        <w:rPr>
          <w:rFonts w:hint="eastAsia" w:ascii="宋体" w:hAnsi="宋体" w:eastAsia="宋体" w:cs="宋体"/>
          <w:color w:val="auto"/>
          <w:kern w:val="2"/>
          <w:sz w:val="21"/>
          <w:szCs w:val="21"/>
          <w:highlight w:val="none"/>
          <w:u w:val="single"/>
          <w:lang w:val="en-US" w:eastAsia="zh-CN" w:bidi="ar-SA"/>
        </w:rPr>
        <w:t>发包人派驻现场代表</w:t>
      </w:r>
      <w:bookmarkEnd w:id="101"/>
      <w:r>
        <w:rPr>
          <w:rFonts w:hint="eastAsia" w:ascii="宋体" w:hAnsi="宋体" w:eastAsia="宋体" w:cs="宋体"/>
          <w:color w:val="auto"/>
          <w:kern w:val="2"/>
          <w:sz w:val="21"/>
          <w:szCs w:val="21"/>
          <w:highlight w:val="none"/>
          <w:u w:val="none"/>
          <w:lang w:val="en-US" w:eastAsia="zh-CN" w:bidi="ar-SA"/>
        </w:rPr>
        <w:t>；</w:t>
      </w:r>
    </w:p>
    <w:p w14:paraId="506A9D4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承包人接收文件的地点：</w:t>
      </w:r>
      <w:bookmarkStart w:id="102" w:name="EB7a13c025a7c142e1814d180066b7e191"/>
      <w:bookmarkEnd w:id="102"/>
      <w:bookmarkStart w:id="103" w:name="EBeffdec25a6054c69839ddf60640d6ab2"/>
      <w:r>
        <w:rPr>
          <w:rFonts w:hint="eastAsia" w:ascii="宋体" w:hAnsi="宋体" w:eastAsia="宋体" w:cs="宋体"/>
          <w:color w:val="auto"/>
          <w:kern w:val="2"/>
          <w:sz w:val="21"/>
          <w:szCs w:val="21"/>
          <w:highlight w:val="none"/>
          <w:u w:val="single"/>
          <w:lang w:val="en-US" w:eastAsia="zh-CN" w:bidi="ar-SA"/>
        </w:rPr>
        <w:t>承包人施工现场项目部</w:t>
      </w:r>
      <w:bookmarkEnd w:id="103"/>
      <w:r>
        <w:rPr>
          <w:rFonts w:hint="eastAsia" w:ascii="宋体" w:hAnsi="宋体" w:eastAsia="宋体" w:cs="宋体"/>
          <w:color w:val="auto"/>
          <w:kern w:val="2"/>
          <w:sz w:val="21"/>
          <w:szCs w:val="21"/>
          <w:highlight w:val="none"/>
          <w:u w:val="none"/>
          <w:lang w:val="en-US" w:eastAsia="zh-CN" w:bidi="ar-SA"/>
        </w:rPr>
        <w:t>；</w:t>
      </w:r>
    </w:p>
    <w:p w14:paraId="5D77746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承包人指定的接收人为：</w:t>
      </w:r>
      <w:bookmarkStart w:id="104" w:name="EBc92228741e84477a85766bdfb92fa59a"/>
      <w:bookmarkEnd w:id="104"/>
      <w:r>
        <w:rPr>
          <w:rFonts w:hint="eastAsia" w:ascii="宋体" w:hAnsi="宋体" w:cs="宋体"/>
          <w:color w:val="auto"/>
          <w:kern w:val="2"/>
          <w:sz w:val="21"/>
          <w:szCs w:val="21"/>
          <w:highlight w:val="none"/>
          <w:u w:val="singl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w:t>
      </w:r>
    </w:p>
    <w:p w14:paraId="3634C39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监理人接收文件的地点：</w:t>
      </w:r>
      <w:bookmarkStart w:id="105" w:name="EBe44a24ffde604c53b9a00a0969667193"/>
      <w:bookmarkEnd w:id="105"/>
      <w:bookmarkStart w:id="106" w:name="EB0fa947429c7e4a14b49e8c7421c8fdee"/>
      <w:r>
        <w:rPr>
          <w:rFonts w:hint="eastAsia" w:ascii="宋体" w:hAnsi="宋体" w:eastAsia="宋体" w:cs="宋体"/>
          <w:color w:val="auto"/>
          <w:kern w:val="2"/>
          <w:sz w:val="21"/>
          <w:szCs w:val="21"/>
          <w:highlight w:val="none"/>
          <w:u w:val="single"/>
          <w:lang w:val="en-US" w:eastAsia="zh-CN" w:bidi="ar-SA"/>
        </w:rPr>
        <w:t>监理人施工现场项目部</w:t>
      </w:r>
      <w:bookmarkEnd w:id="106"/>
      <w:r>
        <w:rPr>
          <w:rFonts w:hint="eastAsia" w:ascii="宋体" w:hAnsi="宋体" w:eastAsia="宋体" w:cs="宋体"/>
          <w:color w:val="auto"/>
          <w:kern w:val="2"/>
          <w:sz w:val="21"/>
          <w:szCs w:val="21"/>
          <w:highlight w:val="none"/>
          <w:u w:val="none"/>
          <w:lang w:val="en-US" w:eastAsia="zh-CN" w:bidi="ar-SA"/>
        </w:rPr>
        <w:t>；</w:t>
      </w:r>
    </w:p>
    <w:p w14:paraId="77BDCB7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监理人指定的接收人为：</w:t>
      </w:r>
      <w:bookmarkStart w:id="107" w:name="EB61dae5d883154034876341cb73639f33"/>
      <w:bookmarkEnd w:id="107"/>
      <w:bookmarkStart w:id="108" w:name="EB427779df4ced418bb930f75decb493fb"/>
      <w:r>
        <w:rPr>
          <w:rFonts w:hint="eastAsia" w:ascii="宋体" w:hAnsi="宋体" w:eastAsia="宋体" w:cs="宋体"/>
          <w:color w:val="auto"/>
          <w:kern w:val="2"/>
          <w:sz w:val="21"/>
          <w:szCs w:val="21"/>
          <w:highlight w:val="none"/>
          <w:u w:val="single"/>
          <w:lang w:val="en-US" w:eastAsia="zh-CN" w:bidi="ar-SA"/>
        </w:rPr>
        <w:t>总监及总监代表</w:t>
      </w:r>
      <w:bookmarkEnd w:id="108"/>
      <w:r>
        <w:rPr>
          <w:rFonts w:hint="eastAsia" w:ascii="宋体" w:hAnsi="宋体" w:eastAsia="宋体" w:cs="宋体"/>
          <w:color w:val="auto"/>
          <w:kern w:val="2"/>
          <w:sz w:val="21"/>
          <w:szCs w:val="21"/>
          <w:highlight w:val="none"/>
          <w:u w:val="none"/>
          <w:lang w:val="en-US" w:eastAsia="zh-CN" w:bidi="ar-SA"/>
        </w:rPr>
        <w:t>。</w:t>
      </w:r>
    </w:p>
    <w:p w14:paraId="5571B5C3">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1.10 交通运输</w:t>
      </w:r>
    </w:p>
    <w:p w14:paraId="59534218">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1.10.1 出入现场的权利</w:t>
      </w:r>
    </w:p>
    <w:p w14:paraId="56E2AC9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关于出入现场的权利的约定：</w:t>
      </w:r>
      <w:bookmarkStart w:id="109" w:name="EB77b766cbd1704df78ede86cfefb2f08d"/>
      <w:bookmarkEnd w:id="109"/>
      <w:bookmarkStart w:id="110" w:name="EB496479825b6e4b00b7784b1a42c37530"/>
      <w:r>
        <w:rPr>
          <w:rFonts w:hint="eastAsia" w:ascii="宋体" w:hAnsi="宋体" w:eastAsia="宋体" w:cs="宋体"/>
          <w:color w:val="auto"/>
          <w:kern w:val="2"/>
          <w:sz w:val="21"/>
          <w:szCs w:val="21"/>
          <w:highlight w:val="none"/>
          <w:u w:val="single"/>
          <w:lang w:val="en-US" w:eastAsia="zh-CN" w:bidi="ar-SA"/>
        </w:rPr>
        <w:t>按通用条款执行</w:t>
      </w:r>
      <w:bookmarkEnd w:id="110"/>
      <w:r>
        <w:rPr>
          <w:rFonts w:hint="eastAsia" w:ascii="宋体" w:hAnsi="宋体" w:eastAsia="宋体" w:cs="宋体"/>
          <w:color w:val="auto"/>
          <w:kern w:val="2"/>
          <w:sz w:val="21"/>
          <w:szCs w:val="21"/>
          <w:highlight w:val="none"/>
          <w:u w:val="none"/>
          <w:lang w:val="en-US" w:eastAsia="zh-CN" w:bidi="ar-SA"/>
        </w:rPr>
        <w:t>。</w:t>
      </w:r>
    </w:p>
    <w:p w14:paraId="2059AE5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1.10.3 场内交通</w:t>
      </w:r>
    </w:p>
    <w:p w14:paraId="62EC4AA3">
      <w:pPr>
        <w:widowControl/>
        <w:wordWrap/>
        <w:spacing w:before="156" w:line="320" w:lineRule="exact"/>
        <w:ind w:left="630" w:leftChars="200" w:hanging="210" w:hangingChars="1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关于场外交通和场内交通的边界的约定：</w:t>
      </w:r>
      <w:bookmarkStart w:id="111" w:name="EBc3ab71c6d348471ca4848cf8370b8c0a"/>
      <w:bookmarkEnd w:id="111"/>
      <w:r>
        <w:rPr>
          <w:rFonts w:hint="eastAsia" w:ascii="宋体" w:hAnsi="宋体" w:eastAsia="宋体" w:cs="宋体"/>
          <w:color w:val="auto"/>
          <w:kern w:val="2"/>
          <w:sz w:val="21"/>
          <w:szCs w:val="21"/>
          <w:highlight w:val="none"/>
          <w:u w:val="single"/>
          <w:lang w:val="en-US" w:eastAsia="zh-CN" w:bidi="ar-SA"/>
        </w:rPr>
        <w:t xml:space="preserve"> </w:t>
      </w:r>
      <w:bookmarkStart w:id="112" w:name="EBe94f2c770c4544faa207cf5f36d8babb"/>
      <w:r>
        <w:rPr>
          <w:rFonts w:hint="eastAsia" w:ascii="宋体" w:hAnsi="宋体" w:eastAsia="宋体" w:cs="宋体"/>
          <w:color w:val="auto"/>
          <w:kern w:val="2"/>
          <w:sz w:val="21"/>
          <w:szCs w:val="21"/>
          <w:highlight w:val="none"/>
          <w:u w:val="single"/>
          <w:lang w:val="en-US" w:eastAsia="zh-CN" w:bidi="ar-SA"/>
        </w:rPr>
        <w:t>以现场实际施工条件为准</w:t>
      </w:r>
      <w:bookmarkEnd w:id="112"/>
      <w:r>
        <w:rPr>
          <w:rFonts w:hint="eastAsia" w:ascii="宋体" w:hAnsi="宋体" w:eastAsia="宋体" w:cs="宋体"/>
          <w:color w:val="auto"/>
          <w:kern w:val="2"/>
          <w:sz w:val="21"/>
          <w:szCs w:val="21"/>
          <w:highlight w:val="none"/>
          <w:u w:val="none"/>
          <w:lang w:val="en-US" w:eastAsia="zh-CN" w:bidi="ar-SA"/>
        </w:rPr>
        <w:t>。</w:t>
      </w:r>
    </w:p>
    <w:p w14:paraId="3CCEA88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关于发包人向承包人免费提供满足工程施工需要的场内道路和交通设施的约定：</w:t>
      </w:r>
      <w:bookmarkStart w:id="113" w:name="EBc1dfa7b6885f4f8e945ade50334130ab"/>
      <w:bookmarkEnd w:id="113"/>
      <w:bookmarkStart w:id="114" w:name="EB53b1e36c3aa84988b935905a820dc7a9"/>
      <w:r>
        <w:rPr>
          <w:rFonts w:hint="eastAsia" w:ascii="宋体" w:hAnsi="宋体" w:eastAsia="宋体" w:cs="宋体"/>
          <w:color w:val="auto"/>
          <w:kern w:val="2"/>
          <w:sz w:val="21"/>
          <w:szCs w:val="21"/>
          <w:highlight w:val="none"/>
          <w:u w:val="single"/>
          <w:lang w:val="en-US" w:eastAsia="zh-CN" w:bidi="ar-SA"/>
        </w:rPr>
        <w:t>因承包人原因造成上述道路或交通设施损坏的，承包人负责修复并承担由此增加的费用</w:t>
      </w:r>
      <w:bookmarkEnd w:id="114"/>
      <w:r>
        <w:rPr>
          <w:rFonts w:hint="eastAsia" w:ascii="宋体" w:hAnsi="宋体" w:eastAsia="宋体" w:cs="宋体"/>
          <w:color w:val="auto"/>
          <w:kern w:val="2"/>
          <w:sz w:val="21"/>
          <w:szCs w:val="21"/>
          <w:highlight w:val="none"/>
          <w:u w:val="none"/>
          <w:lang w:val="en-US" w:eastAsia="zh-CN" w:bidi="ar-SA"/>
        </w:rPr>
        <w:t>。</w:t>
      </w:r>
    </w:p>
    <w:p w14:paraId="0820C46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1.10.4超大件和超重件的运输</w:t>
      </w:r>
    </w:p>
    <w:p w14:paraId="36D3F58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运输超大件或超重件所需的道路和桥梁临时加固改造费用和其他有关费用由</w:t>
      </w:r>
      <w:bookmarkStart w:id="115" w:name="EBc645af8c388943d09bf1a1b0203c48d3"/>
      <w:bookmarkEnd w:id="115"/>
      <w:bookmarkStart w:id="116" w:name="EB2ca7b279bd574a6dbdab0e6530b0292c"/>
      <w:r>
        <w:rPr>
          <w:rFonts w:hint="eastAsia" w:ascii="宋体" w:hAnsi="宋体" w:eastAsia="宋体" w:cs="宋体"/>
          <w:color w:val="auto"/>
          <w:kern w:val="2"/>
          <w:sz w:val="21"/>
          <w:szCs w:val="21"/>
          <w:highlight w:val="none"/>
          <w:u w:val="single"/>
          <w:lang w:val="en-US" w:eastAsia="zh-CN" w:bidi="ar-SA"/>
        </w:rPr>
        <w:t>承包人</w:t>
      </w:r>
      <w:bookmarkEnd w:id="116"/>
      <w:r>
        <w:rPr>
          <w:rFonts w:hint="eastAsia" w:ascii="宋体" w:hAnsi="宋体" w:eastAsia="宋体" w:cs="宋体"/>
          <w:color w:val="auto"/>
          <w:kern w:val="2"/>
          <w:sz w:val="21"/>
          <w:szCs w:val="21"/>
          <w:highlight w:val="none"/>
          <w:u w:val="none"/>
          <w:lang w:val="en-US" w:eastAsia="zh-CN" w:bidi="ar-SA"/>
        </w:rPr>
        <w:t>承担。</w:t>
      </w:r>
    </w:p>
    <w:p w14:paraId="5C860D1C">
      <w:pPr>
        <w:widowControl/>
        <w:wordWrap/>
        <w:bidi w:val="0"/>
        <w:spacing w:before="156" w:line="320" w:lineRule="exact"/>
        <w:ind w:firstLine="120" w:firstLineChars="50"/>
        <w:jc w:val="both"/>
        <w:rPr>
          <w:rFonts w:hint="eastAsia" w:ascii="宋体" w:hAnsi="宋体" w:eastAsia="仿宋_GB2312" w:cs="Times New Roman"/>
          <w:color w:val="auto"/>
          <w:kern w:val="2"/>
          <w:sz w:val="24"/>
          <w:szCs w:val="24"/>
          <w:highlight w:val="none"/>
          <w:u w:val="none"/>
          <w:lang w:val="en-US" w:eastAsia="zh-CN" w:bidi="ar-SA"/>
        </w:rPr>
      </w:pPr>
      <w:r>
        <w:rPr>
          <w:rFonts w:hint="eastAsia" w:ascii="宋体" w:hAnsi="宋体" w:eastAsia="仿宋_GB2312" w:cs="Times New Roman"/>
          <w:color w:val="auto"/>
          <w:kern w:val="2"/>
          <w:sz w:val="24"/>
          <w:szCs w:val="24"/>
          <w:highlight w:val="none"/>
          <w:u w:val="none"/>
          <w:lang w:val="en-US" w:eastAsia="zh-CN" w:bidi="ar-SA"/>
        </w:rPr>
        <w:t>1.11 知识产权</w:t>
      </w:r>
    </w:p>
    <w:p w14:paraId="3EA9257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lang w:val="en-US" w:eastAsia="zh-CN" w:bidi="ar-SA"/>
        </w:rPr>
        <w:t>发包人</w:t>
      </w:r>
      <w:r>
        <w:rPr>
          <w:rFonts w:hint="eastAsia" w:ascii="宋体" w:hAnsi="宋体" w:eastAsia="宋体" w:cs="宋体"/>
          <w:color w:val="auto"/>
          <w:kern w:val="2"/>
          <w:sz w:val="21"/>
          <w:szCs w:val="21"/>
          <w:highlight w:val="none"/>
          <w:u w:val="none"/>
          <w:lang w:val="en-US" w:eastAsia="zh-CN" w:bidi="ar-SA"/>
        </w:rPr>
        <w:t>。</w:t>
      </w:r>
    </w:p>
    <w:p w14:paraId="43A9D1CE">
      <w:pPr>
        <w:widowControl/>
        <w:wordWrap/>
        <w:spacing w:before="156" w:line="36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关于发包人提供的上述文件的使用限制的要求：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未经发包人同意，不得向第三方扩散，不得用于本合同以外的工程</w:t>
      </w:r>
      <w:r>
        <w:rPr>
          <w:rFonts w:hint="eastAsia" w:ascii="宋体" w:hAnsi="宋体" w:eastAsia="宋体" w:cs="宋体"/>
          <w:color w:val="auto"/>
          <w:kern w:val="2"/>
          <w:sz w:val="21"/>
          <w:szCs w:val="21"/>
          <w:highlight w:val="none"/>
          <w:u w:val="none"/>
          <w:lang w:val="en-US" w:eastAsia="zh-CN" w:bidi="ar-SA"/>
        </w:rPr>
        <w:t>。</w:t>
      </w:r>
    </w:p>
    <w:p w14:paraId="082C62D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1.11.2 关于承包人为实施工程所编制文件的著作权的归属：</w:t>
      </w:r>
      <w:r>
        <w:rPr>
          <w:rFonts w:hint="eastAsia" w:ascii="宋体" w:hAnsi="宋体" w:eastAsia="宋体" w:cs="宋体"/>
          <w:color w:val="auto"/>
          <w:kern w:val="2"/>
          <w:sz w:val="21"/>
          <w:szCs w:val="21"/>
          <w:highlight w:val="none"/>
          <w:u w:val="single"/>
          <w:lang w:val="en-US" w:eastAsia="zh-CN" w:bidi="ar-SA"/>
        </w:rPr>
        <w:t>发包人</w:t>
      </w:r>
      <w:bookmarkStart w:id="117" w:name="EB93e529d8c87e461f902da8eb39ea8f49"/>
      <w:bookmarkEnd w:id="117"/>
      <w:r>
        <w:rPr>
          <w:rFonts w:hint="eastAsia" w:ascii="宋体" w:hAnsi="宋体" w:eastAsia="宋体" w:cs="宋体"/>
          <w:color w:val="auto"/>
          <w:kern w:val="2"/>
          <w:sz w:val="21"/>
          <w:szCs w:val="21"/>
          <w:highlight w:val="none"/>
          <w:u w:val="none"/>
          <w:lang w:val="en-US" w:eastAsia="zh-CN" w:bidi="ar-SA"/>
        </w:rPr>
        <w:t>。</w:t>
      </w:r>
    </w:p>
    <w:p w14:paraId="27C381E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关于承包人提供的上述文件的使用限制的要求：</w:t>
      </w:r>
      <w:bookmarkStart w:id="118" w:name="EBba5c1ad0044d45449d804d846648fdc7"/>
      <w:bookmarkEnd w:id="118"/>
      <w:bookmarkStart w:id="119" w:name="EBbb60934cd90a48ffabfc747f3d290733"/>
      <w:r>
        <w:rPr>
          <w:rFonts w:hint="eastAsia" w:ascii="宋体" w:hAnsi="宋体" w:eastAsia="宋体" w:cs="宋体"/>
          <w:color w:val="auto"/>
          <w:kern w:val="2"/>
          <w:sz w:val="21"/>
          <w:szCs w:val="21"/>
          <w:highlight w:val="none"/>
          <w:u w:val="single"/>
          <w:lang w:val="en-US" w:eastAsia="zh-CN" w:bidi="ar-SA"/>
        </w:rPr>
        <w:t>用于本工程</w:t>
      </w:r>
      <w:bookmarkEnd w:id="119"/>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5B202FC7">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lang w:val="en-US" w:eastAsia="zh-CN" w:bidi="ar-SA"/>
        </w:rPr>
        <w:t>：</w:t>
      </w:r>
      <w:bookmarkStart w:id="120" w:name="EBe820195bd49b4eb3a6ab5f7ef6a9e416"/>
      <w:bookmarkEnd w:id="120"/>
      <w:bookmarkStart w:id="121" w:name="EBc03d1dafe70e41fca8062e54f815a757"/>
      <w:r>
        <w:rPr>
          <w:rFonts w:hint="eastAsia" w:ascii="宋体" w:hAnsi="宋体" w:eastAsia="宋体" w:cs="宋体"/>
          <w:color w:val="auto"/>
          <w:kern w:val="2"/>
          <w:sz w:val="21"/>
          <w:szCs w:val="21"/>
          <w:highlight w:val="none"/>
          <w:u w:val="single"/>
          <w:lang w:val="en-US" w:eastAsia="zh-CN" w:bidi="ar-SA"/>
        </w:rPr>
        <w:t>所有费用由承包人承担，并包含在签约合同价中</w:t>
      </w:r>
      <w:bookmarkEnd w:id="12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C583090">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1.13工程量清单错误的修正</w:t>
      </w:r>
    </w:p>
    <w:p w14:paraId="006CEA5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出现工程量清单错误时，是否调整合同价格：</w:t>
      </w:r>
      <w:r>
        <w:rPr>
          <w:rFonts w:hint="eastAsia" w:ascii="宋体" w:hAnsi="宋体" w:cs="宋体"/>
          <w:color w:val="auto"/>
          <w:kern w:val="2"/>
          <w:sz w:val="21"/>
          <w:szCs w:val="21"/>
          <w:highlight w:val="none"/>
          <w:u w:val="none"/>
          <w:lang w:val="en-US" w:eastAsia="zh-CN" w:bidi="ar-SA"/>
        </w:rPr>
        <w:t>不</w:t>
      </w:r>
      <w:r>
        <w:rPr>
          <w:rFonts w:hint="eastAsia" w:ascii="宋体" w:hAnsi="宋体" w:eastAsia="宋体" w:cs="宋体"/>
          <w:color w:val="auto"/>
          <w:kern w:val="2"/>
          <w:sz w:val="21"/>
          <w:szCs w:val="21"/>
          <w:highlight w:val="none"/>
          <w:u w:val="none"/>
          <w:lang w:val="en-US" w:eastAsia="zh-CN" w:bidi="ar-SA"/>
        </w:rPr>
        <w:t>调整合同价格 。</w:t>
      </w:r>
    </w:p>
    <w:p w14:paraId="422C9C92">
      <w:pPr>
        <w:wordWrap/>
        <w:spacing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发包人</w:t>
      </w:r>
    </w:p>
    <w:p w14:paraId="14D9D946">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2.2 发包人代表</w:t>
      </w:r>
    </w:p>
    <w:p w14:paraId="07AEBB2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发包人代表：</w:t>
      </w:r>
      <w:bookmarkStart w:id="122" w:name="EBd869149efc8646e2a7a1f3fba9fd8c3e"/>
      <w:bookmarkEnd w:id="122"/>
      <w:r>
        <w:rPr>
          <w:rFonts w:hint="eastAsia" w:ascii="宋体" w:hAnsi="宋体" w:eastAsia="宋体" w:cs="宋体"/>
          <w:color w:val="auto"/>
          <w:kern w:val="2"/>
          <w:sz w:val="21"/>
          <w:szCs w:val="21"/>
          <w:highlight w:val="none"/>
          <w:u w:val="none"/>
          <w:lang w:val="en-US" w:eastAsia="zh-CN" w:bidi="ar-SA"/>
        </w:rPr>
        <w:t xml:space="preserve">                </w:t>
      </w:r>
    </w:p>
    <w:p w14:paraId="433856E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姓    名：</w:t>
      </w:r>
      <w:bookmarkStart w:id="123" w:name="EB98c84a8c804f4f4e916b20163af2c454"/>
      <w:bookmarkEnd w:id="12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1A031D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身份证号：</w:t>
      </w:r>
      <w:bookmarkStart w:id="124" w:name="EB0363963bd605485cbb49fde46d1b082c"/>
      <w:bookmarkEnd w:id="124"/>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6AE635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职    务：</w:t>
      </w:r>
      <w:bookmarkStart w:id="125" w:name="EB5b98e90c092b409f9efae407925aacab"/>
      <w:bookmarkEnd w:id="125"/>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773168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联系电话：</w:t>
      </w:r>
      <w:bookmarkStart w:id="126" w:name="EBab74565ae7e547349531b313db4a1ff4"/>
      <w:bookmarkEnd w:id="126"/>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82BD71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电子信箱：</w:t>
      </w:r>
      <w:bookmarkStart w:id="127" w:name="EB0cb79df31a36416483247341ab51789a"/>
      <w:bookmarkEnd w:id="127"/>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1BC8AED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通信地址：</w:t>
      </w:r>
      <w:bookmarkStart w:id="128" w:name="EBfff5bcb4ce65436382a1568ec381b9a5"/>
      <w:bookmarkEnd w:id="128"/>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55D0041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发包人对发包人代表的授权范围如下：</w:t>
      </w:r>
      <w:bookmarkStart w:id="129" w:name="EB56c29a1845e246ebb0e9fe3d02d628fc"/>
      <w:bookmarkEnd w:id="129"/>
      <w:r>
        <w:rPr>
          <w:rFonts w:hint="eastAsia" w:ascii="宋体" w:hAnsi="宋体" w:eastAsia="宋体" w:cs="宋体"/>
          <w:color w:val="auto"/>
          <w:kern w:val="2"/>
          <w:sz w:val="21"/>
          <w:szCs w:val="21"/>
          <w:highlight w:val="none"/>
          <w:u w:val="single"/>
          <w:lang w:val="en-US" w:eastAsia="zh-CN" w:bidi="ar-SA"/>
        </w:rPr>
        <w:t>1、督促监理工程师按照监理合同办事；2、协调各有关单位工作；3、对工程进度、质量、成本及合同执行情况进行监督和检查，负责设计问题的处理，进行设计变更、联系单及工程进度款签证；4、不可抗力事件发生的确认；5、费用、工期延误索赔的确认</w:t>
      </w:r>
      <w:r>
        <w:rPr>
          <w:rFonts w:hint="eastAsia" w:ascii="宋体" w:hAnsi="宋体" w:eastAsia="宋体" w:cs="宋体"/>
          <w:b w:val="0"/>
          <w:color w:val="auto"/>
          <w:kern w:val="2"/>
          <w:sz w:val="21"/>
          <w:szCs w:val="21"/>
          <w:highlight w:val="none"/>
          <w:u w:val="none"/>
          <w:lang w:val="en-US" w:eastAsia="zh-CN" w:bidi="ar-SA"/>
        </w:rPr>
        <w:t>。</w:t>
      </w:r>
    </w:p>
    <w:p w14:paraId="22C86CFC">
      <w:pPr>
        <w:widowControl/>
        <w:wordWrap/>
        <w:spacing w:before="156" w:after="120" w:line="320" w:lineRule="exact"/>
        <w:ind w:left="0" w:leftChars="0" w:firstLine="210" w:firstLineChars="1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2.4 施工现场、施工条件和基础资料的提供</w:t>
      </w:r>
    </w:p>
    <w:p w14:paraId="4AF069C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2.4.1 提供施工现场</w:t>
      </w:r>
    </w:p>
    <w:p w14:paraId="2000B77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关于发包人移交施工现场的期限要求：</w:t>
      </w:r>
      <w:bookmarkStart w:id="130" w:name="EBc760edce130544918494a18f4ab547b4"/>
      <w:bookmarkEnd w:id="130"/>
      <w:bookmarkStart w:id="131" w:name="EB1d7b74d53b684a2d91a2d4963ab03707"/>
      <w:r>
        <w:rPr>
          <w:rFonts w:hint="eastAsia" w:ascii="宋体" w:hAnsi="宋体" w:eastAsia="宋体" w:cs="宋体"/>
          <w:color w:val="auto"/>
          <w:kern w:val="2"/>
          <w:sz w:val="21"/>
          <w:szCs w:val="21"/>
          <w:highlight w:val="none"/>
          <w:u w:val="single"/>
          <w:lang w:val="en-US" w:eastAsia="zh-CN" w:bidi="ar-SA"/>
        </w:rPr>
        <w:t>开工前</w:t>
      </w:r>
      <w:bookmarkEnd w:id="13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423B5C1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2.4.2 提供施工条件</w:t>
      </w:r>
    </w:p>
    <w:p w14:paraId="10C8CD6F">
      <w:pPr>
        <w:widowControl/>
        <w:wordWrap/>
        <w:spacing w:before="156" w:line="320" w:lineRule="exact"/>
        <w:ind w:firstLine="105" w:firstLineChars="50"/>
        <w:jc w:val="both"/>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关于发包人应负责提供施工所需要的条件，包括：</w:t>
      </w:r>
      <w:r>
        <w:rPr>
          <w:rFonts w:hint="eastAsia" w:ascii="宋体" w:hAnsi="宋体" w:eastAsia="宋体" w:cs="宋体"/>
          <w:color w:val="auto"/>
          <w:kern w:val="2"/>
          <w:sz w:val="21"/>
          <w:szCs w:val="21"/>
          <w:highlight w:val="none"/>
          <w:u w:val="single"/>
          <w:lang w:val="en-US" w:eastAsia="zh-CN" w:bidi="ar-SA"/>
        </w:rPr>
        <w:t>（1）为施工用水用电提供保障；（2）保证向承包人提供正常施工所需要的进入施工现场的交通条件；（3）保证向承包人提供施工所需要的场地 。</w:t>
      </w:r>
    </w:p>
    <w:p w14:paraId="5D72F0E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2.5 资金来源证明及支付担保</w:t>
      </w:r>
    </w:p>
    <w:p w14:paraId="074C120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发包人提供资金来源证明的期限要求：</w:t>
      </w:r>
      <w:bookmarkStart w:id="132" w:name="EBec48bcbbc31c49d9aef3fb29f07ed0f8"/>
      <w:bookmarkEnd w:id="132"/>
      <w:r>
        <w:rPr>
          <w:rFonts w:hint="eastAsia" w:ascii="宋体" w:hAnsi="宋体" w:eastAsia="宋体" w:cs="宋体"/>
          <w:color w:val="auto"/>
          <w:kern w:val="2"/>
          <w:sz w:val="21"/>
          <w:szCs w:val="21"/>
          <w:highlight w:val="none"/>
          <w:u w:val="single"/>
          <w:lang w:val="en-US" w:eastAsia="zh-CN" w:bidi="ar-SA"/>
        </w:rPr>
        <w:t xml:space="preserve"> </w:t>
      </w:r>
      <w:bookmarkStart w:id="133" w:name="EB9dba572c02684a67a4ed1a1f84028784"/>
      <w:r>
        <w:rPr>
          <w:rFonts w:hint="eastAsia" w:ascii="宋体" w:hAnsi="宋体" w:eastAsia="宋体" w:cs="宋体"/>
          <w:color w:val="auto"/>
          <w:kern w:val="2"/>
          <w:sz w:val="21"/>
          <w:szCs w:val="21"/>
          <w:highlight w:val="none"/>
          <w:u w:val="single"/>
          <w:lang w:val="en-US" w:eastAsia="zh-CN" w:bidi="ar-SA"/>
        </w:rPr>
        <w:t>合同协议书签署后10天内提交</w:t>
      </w:r>
      <w:bookmarkEnd w:id="13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51DA4A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发包人是否提供支付担保：</w:t>
      </w:r>
      <w:bookmarkStart w:id="134" w:name="EBad32ca0f32a646efbc58ff7495d83528"/>
      <w:bookmarkEnd w:id="134"/>
      <w:r>
        <w:rPr>
          <w:rFonts w:hint="eastAsia" w:ascii="宋体" w:hAnsi="宋体" w:eastAsia="宋体" w:cs="宋体"/>
          <w:color w:val="auto"/>
          <w:kern w:val="2"/>
          <w:sz w:val="21"/>
          <w:szCs w:val="21"/>
          <w:highlight w:val="none"/>
          <w:u w:val="single"/>
          <w:lang w:val="en-US" w:eastAsia="zh-CN" w:bidi="ar-SA"/>
        </w:rPr>
        <w:t>不提供。</w:t>
      </w:r>
    </w:p>
    <w:p w14:paraId="7B8A184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发包人提供支付担保的形式：</w:t>
      </w:r>
      <w:bookmarkStart w:id="135" w:name="EB71643878354f4c95a26b67b3a487fe84"/>
      <w:bookmarkEnd w:id="135"/>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114E3A8">
      <w:pPr>
        <w:wordWrap/>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承包人</w:t>
      </w:r>
    </w:p>
    <w:p w14:paraId="676FA37A">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3.1 承包人的一般义务</w:t>
      </w:r>
    </w:p>
    <w:p w14:paraId="689E5B8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（9）承包人提交的竣工资料的内容：</w:t>
      </w:r>
      <w:r>
        <w:rPr>
          <w:rFonts w:hint="eastAsia" w:ascii="宋体" w:hAnsi="宋体" w:eastAsia="宋体" w:cs="宋体"/>
          <w:color w:val="auto"/>
          <w:kern w:val="2"/>
          <w:sz w:val="21"/>
          <w:szCs w:val="21"/>
          <w:highlight w:val="none"/>
          <w:u w:val="single"/>
          <w:lang w:val="en-US" w:eastAsia="zh-CN" w:bidi="ar-SA"/>
        </w:rPr>
        <w:t xml:space="preserve">提供完整准确并且能满足档案部门验收备案所需的竣工图（含电子文本）和竣工内业资料 </w:t>
      </w:r>
      <w:r>
        <w:rPr>
          <w:rFonts w:hint="eastAsia" w:ascii="宋体" w:hAnsi="宋体" w:eastAsia="宋体" w:cs="宋体"/>
          <w:color w:val="auto"/>
          <w:kern w:val="2"/>
          <w:sz w:val="21"/>
          <w:szCs w:val="21"/>
          <w:highlight w:val="none"/>
          <w:u w:val="none"/>
          <w:lang w:val="en-US" w:eastAsia="zh-CN" w:bidi="ar-SA"/>
        </w:rPr>
        <w:t>。</w:t>
      </w:r>
    </w:p>
    <w:p w14:paraId="79F57D5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承包人需要提交的竣工资料套数：</w:t>
      </w:r>
      <w:r>
        <w:rPr>
          <w:rFonts w:hint="eastAsia" w:ascii="宋体" w:hAnsi="宋体" w:eastAsia="宋体" w:cs="宋体"/>
          <w:color w:val="auto"/>
          <w:kern w:val="2"/>
          <w:sz w:val="21"/>
          <w:szCs w:val="21"/>
          <w:highlight w:val="none"/>
          <w:u w:val="single"/>
          <w:lang w:val="en-US" w:eastAsia="zh-CN" w:bidi="ar-SA"/>
        </w:rPr>
        <w:t>竣工图</w:t>
      </w:r>
      <w:bookmarkStart w:id="136" w:name="EB153b6dc3bc3441e884074d9f10903e66"/>
      <w:r>
        <w:rPr>
          <w:rFonts w:hint="eastAsia" w:ascii="宋体" w:hAnsi="宋体" w:eastAsia="宋体" w:cs="宋体"/>
          <w:color w:val="auto"/>
          <w:kern w:val="2"/>
          <w:sz w:val="21"/>
          <w:szCs w:val="21"/>
          <w:highlight w:val="none"/>
          <w:u w:val="single"/>
          <w:lang w:val="en-US" w:eastAsia="zh-CN" w:bidi="ar-SA"/>
        </w:rPr>
        <w:t>六</w:t>
      </w:r>
      <w:bookmarkEnd w:id="136"/>
      <w:r>
        <w:rPr>
          <w:rFonts w:hint="eastAsia" w:ascii="宋体" w:hAnsi="宋体" w:eastAsia="宋体" w:cs="宋体"/>
          <w:color w:val="auto"/>
          <w:kern w:val="2"/>
          <w:sz w:val="21"/>
          <w:szCs w:val="21"/>
          <w:highlight w:val="none"/>
          <w:u w:val="single"/>
          <w:lang w:val="en-US" w:eastAsia="zh-CN" w:bidi="ar-SA"/>
        </w:rPr>
        <w:t>套（要求计算机出图），其中原件</w:t>
      </w:r>
      <w:bookmarkStart w:id="137" w:name="EB120b9284fd484270aae1d41b3fc1556b"/>
      <w:r>
        <w:rPr>
          <w:rFonts w:hint="eastAsia" w:ascii="宋体" w:hAnsi="宋体" w:eastAsia="宋体" w:cs="宋体"/>
          <w:color w:val="auto"/>
          <w:kern w:val="2"/>
          <w:sz w:val="21"/>
          <w:szCs w:val="21"/>
          <w:highlight w:val="none"/>
          <w:u w:val="single"/>
          <w:lang w:val="en-US" w:eastAsia="zh-CN" w:bidi="ar-SA"/>
        </w:rPr>
        <w:t>五</w:t>
      </w:r>
      <w:bookmarkEnd w:id="137"/>
      <w:r>
        <w:rPr>
          <w:rFonts w:hint="eastAsia" w:ascii="宋体" w:hAnsi="宋体" w:eastAsia="宋体" w:cs="宋体"/>
          <w:color w:val="auto"/>
          <w:kern w:val="2"/>
          <w:sz w:val="21"/>
          <w:szCs w:val="21"/>
          <w:highlight w:val="none"/>
          <w:u w:val="single"/>
          <w:lang w:val="en-US" w:eastAsia="zh-CN" w:bidi="ar-SA"/>
        </w:rPr>
        <w:t>套、电子文件</w:t>
      </w:r>
      <w:bookmarkStart w:id="138" w:name="EBd98e56fe078140c6bffd1ac5725daf26"/>
      <w:r>
        <w:rPr>
          <w:rFonts w:hint="eastAsia" w:ascii="宋体" w:hAnsi="宋体" w:eastAsia="宋体" w:cs="宋体"/>
          <w:color w:val="auto"/>
          <w:kern w:val="2"/>
          <w:sz w:val="21"/>
          <w:szCs w:val="21"/>
          <w:highlight w:val="none"/>
          <w:u w:val="single"/>
          <w:lang w:val="en-US" w:eastAsia="zh-CN" w:bidi="ar-SA"/>
        </w:rPr>
        <w:t>一</w:t>
      </w:r>
      <w:bookmarkEnd w:id="138"/>
      <w:r>
        <w:rPr>
          <w:rFonts w:hint="eastAsia" w:ascii="宋体" w:hAnsi="宋体" w:eastAsia="宋体" w:cs="宋体"/>
          <w:color w:val="auto"/>
          <w:kern w:val="2"/>
          <w:sz w:val="21"/>
          <w:szCs w:val="21"/>
          <w:highlight w:val="none"/>
          <w:u w:val="single"/>
          <w:lang w:val="en-US" w:eastAsia="zh-CN" w:bidi="ar-SA"/>
        </w:rPr>
        <w:t>套，竣工内业资料</w:t>
      </w:r>
      <w:bookmarkStart w:id="139" w:name="EB8b47ddaeae414f898a9d922571919089"/>
      <w:r>
        <w:rPr>
          <w:rFonts w:hint="eastAsia" w:ascii="宋体" w:hAnsi="宋体" w:eastAsia="宋体" w:cs="宋体"/>
          <w:color w:val="auto"/>
          <w:kern w:val="2"/>
          <w:sz w:val="21"/>
          <w:szCs w:val="21"/>
          <w:highlight w:val="none"/>
          <w:u w:val="single"/>
          <w:lang w:val="en-US" w:eastAsia="zh-CN" w:bidi="ar-SA"/>
        </w:rPr>
        <w:t>四</w:t>
      </w:r>
      <w:bookmarkEnd w:id="139"/>
      <w:r>
        <w:rPr>
          <w:rFonts w:hint="eastAsia" w:ascii="宋体" w:hAnsi="宋体" w:eastAsia="宋体" w:cs="宋体"/>
          <w:color w:val="auto"/>
          <w:kern w:val="2"/>
          <w:sz w:val="21"/>
          <w:szCs w:val="21"/>
          <w:highlight w:val="none"/>
          <w:u w:val="single"/>
          <w:lang w:val="en-US" w:eastAsia="zh-CN" w:bidi="ar-SA"/>
        </w:rPr>
        <w:t xml:space="preserve">套（按要求进行组卷） </w:t>
      </w:r>
      <w:r>
        <w:rPr>
          <w:rFonts w:hint="eastAsia" w:ascii="宋体" w:hAnsi="宋体" w:eastAsia="宋体" w:cs="宋体"/>
          <w:color w:val="auto"/>
          <w:kern w:val="2"/>
          <w:sz w:val="21"/>
          <w:szCs w:val="21"/>
          <w:highlight w:val="none"/>
          <w:u w:val="none"/>
          <w:lang w:val="en-US" w:eastAsia="zh-CN" w:bidi="ar-SA"/>
        </w:rPr>
        <w:t>。</w:t>
      </w:r>
    </w:p>
    <w:p w14:paraId="4DA85D6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承包人提交的竣工资料的费用承担：</w:t>
      </w:r>
      <w:r>
        <w:rPr>
          <w:rFonts w:hint="eastAsia" w:ascii="宋体" w:hAnsi="宋体" w:eastAsia="宋体" w:cs="宋体"/>
          <w:color w:val="auto"/>
          <w:kern w:val="2"/>
          <w:sz w:val="21"/>
          <w:szCs w:val="21"/>
          <w:highlight w:val="none"/>
          <w:u w:val="single"/>
          <w:lang w:val="en-US" w:eastAsia="zh-CN" w:bidi="ar-SA"/>
        </w:rPr>
        <w:t xml:space="preserve"> 由承包人承担 </w:t>
      </w:r>
      <w:r>
        <w:rPr>
          <w:rFonts w:hint="eastAsia" w:ascii="宋体" w:hAnsi="宋体" w:eastAsia="宋体" w:cs="宋体"/>
          <w:color w:val="auto"/>
          <w:kern w:val="2"/>
          <w:sz w:val="21"/>
          <w:szCs w:val="21"/>
          <w:highlight w:val="none"/>
          <w:u w:val="none"/>
          <w:lang w:val="en-US" w:eastAsia="zh-CN" w:bidi="ar-SA"/>
        </w:rPr>
        <w:t>。</w:t>
      </w:r>
    </w:p>
    <w:p w14:paraId="3F64003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承包人提交的竣工资料移交时间：</w:t>
      </w:r>
      <w:r>
        <w:rPr>
          <w:rFonts w:hint="eastAsia" w:ascii="宋体" w:hAnsi="宋体" w:eastAsia="宋体" w:cs="宋体"/>
          <w:strike w:val="0"/>
          <w:dstrike w:val="0"/>
          <w:color w:val="auto"/>
          <w:kern w:val="2"/>
          <w:sz w:val="21"/>
          <w:szCs w:val="21"/>
          <w:highlight w:val="none"/>
          <w:u w:val="single"/>
          <w:lang w:val="en-US" w:eastAsia="zh-CN" w:bidi="ar-SA"/>
        </w:rPr>
        <w:t xml:space="preserve">在工程竣工验收前 </w:t>
      </w:r>
      <w:r>
        <w:rPr>
          <w:rFonts w:hint="eastAsia" w:ascii="宋体" w:hAnsi="宋体" w:eastAsia="宋体" w:cs="宋体"/>
          <w:color w:val="auto"/>
          <w:kern w:val="2"/>
          <w:sz w:val="21"/>
          <w:szCs w:val="21"/>
          <w:highlight w:val="none"/>
          <w:u w:val="none"/>
          <w:lang w:val="en-US" w:eastAsia="zh-CN" w:bidi="ar-SA"/>
        </w:rPr>
        <w:t>。</w:t>
      </w:r>
    </w:p>
    <w:p w14:paraId="634DE26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承包人提交的竣工资料形式要求：</w:t>
      </w:r>
      <w:r>
        <w:rPr>
          <w:rFonts w:hint="eastAsia" w:ascii="宋体" w:hAnsi="宋体" w:eastAsia="宋体" w:cs="宋体"/>
          <w:color w:val="auto"/>
          <w:kern w:val="2"/>
          <w:sz w:val="21"/>
          <w:szCs w:val="21"/>
          <w:highlight w:val="none"/>
          <w:u w:val="single"/>
          <w:lang w:val="en-US" w:eastAsia="zh-CN" w:bidi="ar-SA"/>
        </w:rPr>
        <w:t xml:space="preserve">纸质版和电子版 </w:t>
      </w:r>
      <w:r>
        <w:rPr>
          <w:rFonts w:hint="eastAsia" w:ascii="宋体" w:hAnsi="宋体" w:eastAsia="宋体" w:cs="宋体"/>
          <w:color w:val="auto"/>
          <w:kern w:val="2"/>
          <w:sz w:val="21"/>
          <w:szCs w:val="21"/>
          <w:highlight w:val="none"/>
          <w:u w:val="none"/>
          <w:lang w:val="en-US" w:eastAsia="zh-CN" w:bidi="ar-SA"/>
        </w:rPr>
        <w:t>。</w:t>
      </w:r>
    </w:p>
    <w:p w14:paraId="702D5146">
      <w:pPr>
        <w:pStyle w:val="166"/>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(10)承包人应履行的其他义务</w:t>
      </w:r>
      <w:bookmarkStart w:id="140" w:name="EB3a824d9b66234822be9b963bfce2e323"/>
      <w:bookmarkEnd w:id="140"/>
      <w:r>
        <w:rPr>
          <w:rFonts w:hint="eastAsia" w:ascii="宋体" w:hAnsi="宋体" w:eastAsia="宋体" w:cs="宋体"/>
          <w:color w:val="auto"/>
          <w:sz w:val="21"/>
          <w:szCs w:val="21"/>
          <w:highlight w:val="none"/>
          <w:u w:val="none"/>
        </w:rPr>
        <w:t>：</w:t>
      </w:r>
    </w:p>
    <w:p w14:paraId="28C2493B">
      <w:pPr>
        <w:pStyle w:val="166"/>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single"/>
        </w:rPr>
        <w:t>①承包人在施工时，必须配合发包人协调好与周边环境关系，施工时因承包人自身原因未处理好周边环境关系而导致工程停工，发包人将不承担由此引起的工程延误及其他工程费用损失。②施工现场的安全保卫工作及施工照明（包括此项工作发生的费用）全部由承包人承担。③配合、协助发包人办理前期相关手续。④承包人应主动配合发包人协调和处理施工范围内的有关关系；施工时发生异常情况应及时报告监理工程师和发包人，以便发包人及时与设计单位和相关部门联系，采取有效措施。⑤承包人应自觉按照并遵守发包人对承包人的项目管理人员的考勤。⑥妥善管理好施工人员及车辆进出施工区域。⑦承包人在施工时，根据交通管理需要，必须服从发包人的安排，确保该地段居民及单位的正常生活、工作。⑧参与工程项目建设的所有农民工必须办理工伤保险参保手续，落实工伤保险待遇；⑨承包人不得转包及擅自变更项目负责人、技术负责人，其他管理人员若有个别变动需经发包人书面同意</w:t>
      </w:r>
      <w:r>
        <w:rPr>
          <w:rFonts w:hint="eastAsia" w:ascii="宋体" w:hAnsi="宋体" w:eastAsia="宋体" w:cs="宋体"/>
          <w:color w:val="auto"/>
          <w:sz w:val="21"/>
          <w:szCs w:val="21"/>
          <w:highlight w:val="none"/>
          <w:u w:val="none"/>
        </w:rPr>
        <w:t>。</w:t>
      </w:r>
      <w:r>
        <w:rPr>
          <w:rFonts w:hint="eastAsia" w:ascii="微软雅黑" w:hAnsi="微软雅黑" w:eastAsia="微软雅黑" w:cs="微软雅黑"/>
          <w:color w:val="auto"/>
          <w:sz w:val="21"/>
          <w:szCs w:val="21"/>
          <w:highlight w:val="none"/>
          <w:u w:val="single"/>
          <w:lang w:val="en-US" w:eastAsia="zh-CN"/>
        </w:rPr>
        <w:t>⑩</w:t>
      </w:r>
      <w:r>
        <w:rPr>
          <w:rFonts w:hint="eastAsia" w:ascii="宋体" w:hAnsi="宋体" w:cs="宋体"/>
          <w:color w:val="auto"/>
          <w:kern w:val="2"/>
          <w:sz w:val="21"/>
          <w:szCs w:val="21"/>
          <w:highlight w:val="none"/>
          <w:u w:val="single"/>
          <w:lang w:val="en-US" w:eastAsia="zh-CN" w:bidi="ar-SA"/>
        </w:rPr>
        <w:t>园区内施工用水、电接线自行负责，施工前须自行组织进行现场踏勘。11承包人应配合采购人组织的园区运维和相关活动。</w:t>
      </w:r>
    </w:p>
    <w:p w14:paraId="1EAD942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承包人应按约定时间和要求，完成以下工作：</w:t>
      </w:r>
      <w:r>
        <w:rPr>
          <w:rFonts w:hint="eastAsia" w:ascii="宋体" w:hAnsi="宋体" w:eastAsia="宋体" w:cs="宋体"/>
          <w:color w:val="auto"/>
          <w:kern w:val="2"/>
          <w:sz w:val="21"/>
          <w:szCs w:val="21"/>
          <w:highlight w:val="none"/>
          <w:u w:val="single"/>
          <w:lang w:val="en-US" w:eastAsia="zh-CN" w:bidi="ar-SA"/>
        </w:rPr>
        <w:t>1、在实际施工过程中，承包人必须仔细审核施工图纸，对施工图纸互相矛盾，对节点详图与平立面图纸之间的矛盾，在施工前15天以书面形式及时向监理、设计、发包方提出，禁止擅自变更或按其中某种做法擅自施工，否则由承包人自行承担相应损失。2、承包人在施工时必须服从各个施工标段管理人员的指挥。3、施工场地周围地下管线和邻近建筑物、构筑物（含文物保护建筑）、古树名木的保护要求及费用承担：承包人应采取一切有效措施，负责对施工场地周围地下管线、邻近建（构）筑物（包括文物保护建筑）、古树名木予以保护，保护方案需经发包人审核同意，由此引起的相关费用，以发包人签证为准；但因承包人原因造成损坏，费用由承包人承担。4、己完工程成品保护的特殊要求及费用承担：在未验收合格交付发包人使用前，一切由承包人负责保护，在保护期间若发生损坏由承包人自费予以修复。除发包人派驻的工程师有书面意见指示承包人采取特别措施保护的工程部位费用属于发包人，其他对未交付的已完工程，承包人应承担一切管理费用。5、应提供计划、报表的名称及完成时间：工程施工合同签订后十天内，提供工程进度计划总表，每月25日向发包人送报当月完成的工程量报表与阶段施工进度计划表，均一式五份。6、承担施工安全保卫工作及非夜间施工照明的责任和要求：施工现场的安全保卫工作（包括此项工作发生的费用）全部由承包人承担。</w:t>
      </w:r>
      <w:r>
        <w:rPr>
          <w:rFonts w:hint="eastAsia" w:ascii="宋体" w:hAnsi="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u w:val="single"/>
          <w:lang w:val="en-US" w:eastAsia="zh-CN" w:bidi="ar-SA"/>
        </w:rPr>
        <w:t>、承包人提供的预付款担保的形式需必须经发包人认可方可成立，否则产生的损失由承包人自行承担。</w:t>
      </w:r>
    </w:p>
    <w:p w14:paraId="3EA15A28">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3.2 </w:t>
      </w:r>
      <w:r>
        <w:rPr>
          <w:rFonts w:hint="eastAsia" w:ascii="宋体" w:hAnsi="宋体" w:cs="宋体"/>
          <w:color w:val="auto"/>
          <w:kern w:val="2"/>
          <w:sz w:val="21"/>
          <w:szCs w:val="21"/>
          <w:highlight w:val="none"/>
          <w:u w:val="none"/>
          <w:lang w:val="en-US" w:eastAsia="zh-CN" w:bidi="ar-SA"/>
        </w:rPr>
        <w:t>项目负责人</w:t>
      </w:r>
    </w:p>
    <w:p w14:paraId="0CA9491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3.2.1 </w:t>
      </w:r>
      <w:r>
        <w:rPr>
          <w:rFonts w:hint="eastAsia" w:ascii="宋体" w:hAnsi="宋体" w:cs="宋体"/>
          <w:color w:val="auto"/>
          <w:kern w:val="2"/>
          <w:sz w:val="21"/>
          <w:szCs w:val="21"/>
          <w:highlight w:val="none"/>
          <w:u w:val="non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w:t>
      </w:r>
    </w:p>
    <w:p w14:paraId="06BBBF1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姓    名：</w:t>
      </w:r>
      <w:bookmarkStart w:id="141" w:name="EB030b16c723564b75a375b0dd122ab85e"/>
      <w:bookmarkEnd w:id="14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4FBBDC5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身份证号：</w:t>
      </w:r>
      <w:bookmarkStart w:id="142" w:name="EBe8ff217bdbb84ce78e6cd5b35948b56b"/>
      <w:bookmarkEnd w:id="142"/>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4EE9C22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建造师执业资格等级：</w:t>
      </w:r>
      <w:bookmarkStart w:id="143" w:name="EB6618d7b18aff431c9c69f037a7c549ec"/>
      <w:bookmarkEnd w:id="14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5AB258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建造师注册证书号：</w:t>
      </w:r>
      <w:bookmarkStart w:id="144" w:name="EB691d19e237354f24b2c4ff30e0612711"/>
      <w:bookmarkEnd w:id="144"/>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B699B0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建造师执业印章号：</w:t>
      </w:r>
      <w:bookmarkStart w:id="145" w:name="EB2c9c8c834db64d35acfd9c3c8ccbf2c4"/>
      <w:bookmarkEnd w:id="145"/>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05EF30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安全生产考核合格证书号：</w:t>
      </w:r>
      <w:bookmarkStart w:id="146" w:name="EB8b06f51b06e3468f8a6886156dcfb582"/>
      <w:bookmarkEnd w:id="146"/>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2A9D497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联系电话：</w:t>
      </w:r>
      <w:bookmarkStart w:id="147" w:name="EBb634ff18477545739db3acf5ce0a5a31"/>
      <w:bookmarkEnd w:id="147"/>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w:t>
      </w:r>
    </w:p>
    <w:p w14:paraId="0537C3C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电子信箱：</w:t>
      </w:r>
      <w:bookmarkStart w:id="148" w:name="EB83e9e0da5f134b3e8f59aaa0151bf9ad"/>
      <w:bookmarkEnd w:id="148"/>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95AEC9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通信地址：</w:t>
      </w:r>
      <w:bookmarkStart w:id="149" w:name="EB73c850de05ed415da6e99d7c29ca23bb"/>
      <w:bookmarkEnd w:id="149"/>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BCA89F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承包人对</w:t>
      </w:r>
      <w:r>
        <w:rPr>
          <w:rFonts w:hint="eastAsia" w:ascii="宋体" w:hAnsi="宋体" w:cs="宋体"/>
          <w:color w:val="auto"/>
          <w:kern w:val="2"/>
          <w:sz w:val="21"/>
          <w:szCs w:val="21"/>
          <w:highlight w:val="none"/>
          <w:u w:val="non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的授权范围如下：</w:t>
      </w:r>
      <w:bookmarkStart w:id="150" w:name="EB11a039a9df4045108bb313a4a3af35b7"/>
      <w:bookmarkEnd w:id="150"/>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w:t>
      </w:r>
    </w:p>
    <w:p w14:paraId="527B61D0">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关于项目</w:t>
      </w:r>
      <w:r>
        <w:rPr>
          <w:rFonts w:hint="eastAsia" w:ascii="宋体" w:hAnsi="宋体" w:cs="宋体"/>
          <w:strike w:val="0"/>
          <w:dstrike w:val="0"/>
          <w:color w:val="auto"/>
          <w:kern w:val="2"/>
          <w:sz w:val="21"/>
          <w:szCs w:val="21"/>
          <w:highlight w:val="none"/>
          <w:u w:val="none"/>
          <w:lang w:val="en-US" w:eastAsia="zh-CN" w:bidi="ar-SA"/>
        </w:rPr>
        <w:t>负责人</w:t>
      </w:r>
      <w:r>
        <w:rPr>
          <w:rFonts w:hint="eastAsia" w:ascii="宋体" w:hAnsi="宋体" w:eastAsia="宋体" w:cs="宋体"/>
          <w:color w:val="auto"/>
          <w:kern w:val="2"/>
          <w:sz w:val="21"/>
          <w:szCs w:val="21"/>
          <w:highlight w:val="none"/>
          <w:u w:val="none"/>
          <w:lang w:val="en-US" w:eastAsia="zh-CN" w:bidi="ar-SA"/>
        </w:rPr>
        <w:t>每月在施工现场的时间要求：</w:t>
      </w:r>
      <w:r>
        <w:rPr>
          <w:rFonts w:hint="eastAsia" w:ascii="宋体" w:hAnsi="宋体" w:eastAsia="宋体" w:cs="宋体"/>
          <w:color w:val="auto"/>
          <w:kern w:val="2"/>
          <w:sz w:val="21"/>
          <w:szCs w:val="21"/>
          <w:highlight w:val="none"/>
          <w:u w:val="single"/>
          <w:lang w:val="en-US" w:eastAsia="zh-CN" w:bidi="ar-SA"/>
        </w:rPr>
        <w:t xml:space="preserve">必须保证每月到位不少于22天，每天不少于4小时 </w:t>
      </w:r>
      <w:r>
        <w:rPr>
          <w:rFonts w:hint="eastAsia" w:ascii="宋体" w:hAnsi="宋体" w:eastAsia="宋体" w:cs="宋体"/>
          <w:color w:val="auto"/>
          <w:kern w:val="2"/>
          <w:sz w:val="21"/>
          <w:szCs w:val="21"/>
          <w:highlight w:val="none"/>
          <w:u w:val="none"/>
          <w:lang w:val="en-US" w:eastAsia="zh-CN" w:bidi="ar-SA"/>
        </w:rPr>
        <w:t>。</w:t>
      </w:r>
    </w:p>
    <w:p w14:paraId="265BEA4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承包人未提交劳动合同，以及没有为</w:t>
      </w:r>
      <w:r>
        <w:rPr>
          <w:rFonts w:hint="eastAsia" w:ascii="宋体" w:hAnsi="宋体" w:cs="宋体"/>
          <w:color w:val="auto"/>
          <w:kern w:val="2"/>
          <w:sz w:val="21"/>
          <w:szCs w:val="21"/>
          <w:highlight w:val="none"/>
          <w:u w:val="non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缴纳社会保险证明的违约责任：</w:t>
      </w:r>
      <w:bookmarkStart w:id="151" w:name="EBd5fa3f7a5af247ee9302efb0935b3213"/>
      <w:bookmarkEnd w:id="151"/>
      <w:bookmarkStart w:id="152" w:name="EB24c53c2763164cd5ab225a563e55043a"/>
      <w:r>
        <w:rPr>
          <w:rFonts w:hint="eastAsia" w:ascii="宋体" w:hAnsi="宋体" w:eastAsia="宋体" w:cs="宋体"/>
          <w:color w:val="auto"/>
          <w:kern w:val="2"/>
          <w:sz w:val="21"/>
          <w:szCs w:val="21"/>
          <w:highlight w:val="none"/>
          <w:u w:val="single"/>
          <w:lang w:val="en-US" w:eastAsia="zh-CN" w:bidi="ar-SA"/>
        </w:rPr>
        <w:t>发包人有权要求更换</w:t>
      </w:r>
      <w:r>
        <w:rPr>
          <w:rFonts w:hint="eastAsia" w:ascii="宋体" w:hAnsi="宋体" w:cs="宋体"/>
          <w:color w:val="auto"/>
          <w:kern w:val="2"/>
          <w:sz w:val="21"/>
          <w:szCs w:val="21"/>
          <w:highlight w:val="none"/>
          <w:u w:val="single"/>
          <w:lang w:val="en-US" w:eastAsia="zh-CN" w:bidi="ar-SA"/>
        </w:rPr>
        <w:t>项目负责人</w:t>
      </w:r>
      <w:r>
        <w:rPr>
          <w:rFonts w:hint="eastAsia" w:ascii="宋体" w:hAnsi="宋体" w:eastAsia="宋体" w:cs="宋体"/>
          <w:color w:val="auto"/>
          <w:kern w:val="2"/>
          <w:sz w:val="21"/>
          <w:szCs w:val="21"/>
          <w:highlight w:val="none"/>
          <w:u w:val="single"/>
          <w:lang w:val="en-US" w:eastAsia="zh-CN" w:bidi="ar-SA"/>
        </w:rPr>
        <w:t>，由此增加的费用和（或）延误的工期由承包人承担。发包人有权要求撤换工作不负责任、管理不力、不到位、贻误工作者的项目负责人，或造成严重的安全事故和工程质量事故的项目负责人，更换的项目负责人到位时间为发包人发出书面通知后20天内，逾期视为应未到位，并按项目负责人到位率的违约规定由承包人向发包人支付违约金</w:t>
      </w:r>
      <w:bookmarkEnd w:id="152"/>
      <w:r>
        <w:rPr>
          <w:rFonts w:hint="eastAsia" w:ascii="宋体" w:hAnsi="宋体" w:eastAsia="宋体" w:cs="宋体"/>
          <w:color w:val="auto"/>
          <w:kern w:val="2"/>
          <w:sz w:val="21"/>
          <w:szCs w:val="21"/>
          <w:highlight w:val="none"/>
          <w:u w:val="single"/>
          <w:lang w:val="en-US" w:eastAsia="zh-CN" w:bidi="ar-SA"/>
        </w:rPr>
        <w:t xml:space="preserve"> 。</w:t>
      </w:r>
    </w:p>
    <w:p w14:paraId="0781EEF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未经批准，擅自离开施工现场的违约责任：</w:t>
      </w:r>
      <w:bookmarkStart w:id="153" w:name="EBb92421d4338f44ce93c0c966b985faa6"/>
      <w:bookmarkEnd w:id="153"/>
      <w:r>
        <w:rPr>
          <w:rFonts w:hint="eastAsia" w:ascii="宋体" w:hAnsi="宋体" w:eastAsia="宋体" w:cs="宋体"/>
          <w:color w:val="auto"/>
          <w:kern w:val="2"/>
          <w:sz w:val="21"/>
          <w:szCs w:val="21"/>
          <w:highlight w:val="none"/>
          <w:u w:val="single"/>
          <w:lang w:val="en-US" w:eastAsia="zh-CN" w:bidi="ar-SA"/>
        </w:rPr>
        <w:t>如不能达到合同要求的到位率，则在当月的进度工程款中按3000元／天扣罚；如累计到位率达不到总到位率的80%（到位率由监理工程师与发包人派驻工程师共同考核）则承包人再承担中标价的2%的违约金，</w:t>
      </w:r>
      <w:r>
        <w:rPr>
          <w:rFonts w:hint="eastAsia" w:ascii="宋体" w:hAnsi="宋体" w:cs="宋体"/>
          <w:color w:val="auto"/>
          <w:kern w:val="2"/>
          <w:sz w:val="21"/>
          <w:szCs w:val="21"/>
          <w:highlight w:val="none"/>
          <w:u w:val="single"/>
          <w:lang w:val="en-US" w:eastAsia="zh-CN" w:bidi="ar-SA"/>
        </w:rPr>
        <w:t>最高不超过合同价的10%，</w:t>
      </w:r>
      <w:r>
        <w:rPr>
          <w:rFonts w:hint="eastAsia" w:ascii="宋体" w:hAnsi="宋体" w:eastAsia="宋体" w:cs="宋体"/>
          <w:color w:val="auto"/>
          <w:kern w:val="2"/>
          <w:sz w:val="21"/>
          <w:szCs w:val="21"/>
          <w:highlight w:val="none"/>
          <w:u w:val="single"/>
          <w:lang w:val="en-US" w:eastAsia="zh-CN" w:bidi="ar-SA"/>
        </w:rPr>
        <w:t>在工程结算时扣罚 。</w:t>
      </w:r>
    </w:p>
    <w:p w14:paraId="2C5A601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3.2.3 承包人擅自更换</w:t>
      </w:r>
      <w:r>
        <w:rPr>
          <w:rFonts w:hint="eastAsia" w:ascii="宋体" w:hAnsi="宋体" w:cs="宋体"/>
          <w:color w:val="auto"/>
          <w:kern w:val="2"/>
          <w:sz w:val="21"/>
          <w:szCs w:val="21"/>
          <w:highlight w:val="none"/>
          <w:u w:val="non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的违约责任：</w:t>
      </w:r>
      <w:bookmarkStart w:id="154" w:name="EB3b7d3341d5a84c2b9a30c2277d5626a5"/>
      <w:bookmarkEnd w:id="154"/>
      <w:r>
        <w:rPr>
          <w:rFonts w:hint="eastAsia" w:ascii="宋体" w:hAnsi="宋体" w:eastAsia="宋体" w:cs="宋体"/>
          <w:color w:val="auto"/>
          <w:kern w:val="2"/>
          <w:sz w:val="21"/>
          <w:szCs w:val="21"/>
          <w:highlight w:val="none"/>
          <w:u w:val="single"/>
          <w:lang w:val="en-US" w:eastAsia="zh-CN" w:bidi="ar-SA"/>
        </w:rPr>
        <w:t xml:space="preserve">如若擅自变更，则承包方将承担中标价2%的违约金。 </w:t>
      </w:r>
    </w:p>
    <w:p w14:paraId="2BB0B44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3.2.4 承包人无正当理由拒绝更换</w:t>
      </w:r>
      <w:r>
        <w:rPr>
          <w:rFonts w:hint="eastAsia" w:ascii="宋体" w:hAnsi="宋体" w:cs="宋体"/>
          <w:color w:val="auto"/>
          <w:kern w:val="2"/>
          <w:sz w:val="21"/>
          <w:szCs w:val="21"/>
          <w:highlight w:val="none"/>
          <w:u w:val="none"/>
          <w:lang w:val="en-US" w:eastAsia="zh-CN" w:bidi="ar-SA"/>
        </w:rPr>
        <w:t>项目负责人</w:t>
      </w:r>
      <w:r>
        <w:rPr>
          <w:rFonts w:hint="eastAsia" w:ascii="宋体" w:hAnsi="宋体" w:eastAsia="宋体" w:cs="宋体"/>
          <w:color w:val="auto"/>
          <w:kern w:val="2"/>
          <w:sz w:val="21"/>
          <w:szCs w:val="21"/>
          <w:highlight w:val="none"/>
          <w:u w:val="none"/>
          <w:lang w:val="en-US" w:eastAsia="zh-CN" w:bidi="ar-SA"/>
        </w:rPr>
        <w:t xml:space="preserve">的违约责任： </w:t>
      </w:r>
      <w:r>
        <w:rPr>
          <w:rFonts w:hint="eastAsia" w:ascii="宋体" w:hAnsi="宋体" w:eastAsia="宋体" w:cs="宋体"/>
          <w:color w:val="auto"/>
          <w:kern w:val="2"/>
          <w:sz w:val="21"/>
          <w:szCs w:val="21"/>
          <w:highlight w:val="none"/>
          <w:u w:val="single"/>
          <w:lang w:val="en-US" w:eastAsia="zh-CN" w:bidi="ar-SA"/>
        </w:rPr>
        <w:t>由此对发包人造成的工期延误和经济损失由承包人承担，且发包人有权终止合同 。</w:t>
      </w:r>
    </w:p>
    <w:p w14:paraId="0FB60FBE">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3.3 承包人人员</w:t>
      </w:r>
    </w:p>
    <w:p w14:paraId="186F569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3.3.1 承包人提交项目管理机构及施工现场管理人员安排报告的期限：</w:t>
      </w:r>
      <w:bookmarkStart w:id="155" w:name="EBe60c8b86973242199a8f2f44a2ecd395"/>
      <w:bookmarkEnd w:id="155"/>
      <w:bookmarkStart w:id="156" w:name="EB0a61230326fd4eb9a5feebf713ddb22c"/>
      <w:r>
        <w:rPr>
          <w:rFonts w:hint="eastAsia" w:ascii="宋体" w:hAnsi="宋体" w:eastAsia="宋体" w:cs="宋体"/>
          <w:color w:val="auto"/>
          <w:kern w:val="2"/>
          <w:sz w:val="21"/>
          <w:szCs w:val="21"/>
          <w:highlight w:val="none"/>
          <w:u w:val="single"/>
          <w:lang w:val="en-US" w:eastAsia="zh-CN" w:bidi="ar-SA"/>
        </w:rPr>
        <w:t>合同签订后7日内</w:t>
      </w:r>
      <w:bookmarkEnd w:id="156"/>
      <w:r>
        <w:rPr>
          <w:rFonts w:hint="eastAsia" w:ascii="宋体" w:hAnsi="宋体" w:eastAsia="宋体" w:cs="宋体"/>
          <w:color w:val="auto"/>
          <w:kern w:val="2"/>
          <w:sz w:val="21"/>
          <w:szCs w:val="21"/>
          <w:highlight w:val="none"/>
          <w:u w:val="single"/>
          <w:lang w:val="en-US" w:eastAsia="zh-CN" w:bidi="ar-SA"/>
        </w:rPr>
        <w:t>。</w:t>
      </w:r>
    </w:p>
    <w:p w14:paraId="3915476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3.3.3 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SA"/>
        </w:rPr>
        <w:t>所致损失和责任由承包人承担 。</w:t>
      </w:r>
    </w:p>
    <w:p w14:paraId="4E27E9D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3.3.4 承包人主要施工管理人员离开施工现场的批准要求：</w:t>
      </w:r>
      <w:bookmarkStart w:id="157" w:name="EB035699dcf822424f9ca4031ab19bb6d7"/>
      <w:bookmarkEnd w:id="157"/>
      <w:bookmarkStart w:id="158" w:name="EB316aaf732f164f8a865faa431a77fe70"/>
      <w:r>
        <w:rPr>
          <w:rFonts w:hint="eastAsia" w:ascii="宋体" w:hAnsi="宋体" w:eastAsia="宋体" w:cs="宋体"/>
          <w:color w:val="auto"/>
          <w:kern w:val="2"/>
          <w:sz w:val="21"/>
          <w:szCs w:val="21"/>
          <w:highlight w:val="none"/>
          <w:u w:val="single"/>
          <w:lang w:val="en-US" w:eastAsia="zh-CN" w:bidi="ar-SA"/>
        </w:rPr>
        <w:t>由总监理工程师批准，发包人认可后方可离开</w:t>
      </w:r>
      <w:bookmarkEnd w:id="158"/>
      <w:r>
        <w:rPr>
          <w:rFonts w:hint="eastAsia" w:ascii="宋体" w:hAnsi="宋体" w:eastAsia="宋体" w:cs="宋体"/>
          <w:color w:val="auto"/>
          <w:kern w:val="2"/>
          <w:sz w:val="21"/>
          <w:szCs w:val="21"/>
          <w:highlight w:val="none"/>
          <w:u w:val="single"/>
          <w:lang w:val="en-US" w:eastAsia="zh-CN" w:bidi="ar-SA"/>
        </w:rPr>
        <w:t xml:space="preserve"> 。</w:t>
      </w:r>
    </w:p>
    <w:p w14:paraId="4622350D">
      <w:pPr>
        <w:widowControl/>
        <w:wordWrap/>
        <w:spacing w:before="156" w:line="320" w:lineRule="exact"/>
        <w:ind w:firstLine="105" w:firstLineChars="50"/>
        <w:jc w:val="both"/>
        <w:rPr>
          <w:rFonts w:hint="eastAsia"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3.3.5承包人擅自更换主要施工管理人员的违约责任：</w:t>
      </w:r>
      <w:bookmarkStart w:id="159" w:name="EBd8d56e29b28d40ddb9e1cdfb06f48674"/>
      <w:bookmarkEnd w:id="159"/>
      <w:bookmarkStart w:id="160" w:name="EBff4b71fd46e1430bab605aae2ae72e23"/>
      <w:r>
        <w:rPr>
          <w:rFonts w:hint="eastAsia" w:ascii="宋体" w:hAnsi="宋体" w:eastAsia="宋体" w:cs="宋体"/>
          <w:color w:val="auto"/>
          <w:kern w:val="2"/>
          <w:sz w:val="21"/>
          <w:szCs w:val="21"/>
          <w:highlight w:val="none"/>
          <w:u w:val="single"/>
          <w:lang w:val="en-US" w:eastAsia="zh-CN" w:bidi="ar-SA"/>
        </w:rPr>
        <w:t>未经发包人同意不得擅自更换主要施工管理人员，否则承包人将承担中标价2%的违约金</w:t>
      </w:r>
      <w:bookmarkEnd w:id="160"/>
      <w:r>
        <w:rPr>
          <w:rFonts w:hint="eastAsia" w:ascii="宋体" w:hAnsi="宋体" w:eastAsia="宋体" w:cs="宋体"/>
          <w:color w:val="auto"/>
          <w:kern w:val="2"/>
          <w:sz w:val="21"/>
          <w:szCs w:val="21"/>
          <w:highlight w:val="none"/>
          <w:u w:val="single"/>
          <w:lang w:val="en-US" w:eastAsia="zh-CN" w:bidi="ar-SA"/>
        </w:rPr>
        <w:t xml:space="preserve"> 。</w:t>
      </w:r>
    </w:p>
    <w:p w14:paraId="1682C0EB">
      <w:pPr>
        <w:widowControl/>
        <w:wordWrap/>
        <w:spacing w:before="156" w:line="320" w:lineRule="exact"/>
        <w:ind w:firstLine="105" w:firstLineChars="50"/>
        <w:jc w:val="both"/>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承包人主要施工管理人员擅自离开施工现场的违约责任：</w:t>
      </w:r>
      <w:bookmarkStart w:id="161" w:name="EB12101a024dd04b61ba6b5e3b70accec7"/>
      <w:bookmarkEnd w:id="161"/>
      <w:bookmarkStart w:id="162" w:name="EB47ec5618a20640f684008a2c7b82646e"/>
      <w:r>
        <w:rPr>
          <w:rFonts w:hint="eastAsia" w:ascii="宋体" w:hAnsi="宋体" w:eastAsia="宋体" w:cs="宋体"/>
          <w:color w:val="auto"/>
          <w:kern w:val="2"/>
          <w:sz w:val="21"/>
          <w:szCs w:val="21"/>
          <w:highlight w:val="none"/>
          <w:u w:val="single"/>
          <w:lang w:val="en-US" w:eastAsia="zh-CN" w:bidi="ar-SA"/>
        </w:rPr>
        <w:t>项目管理班子人员每月驻工地的天数不少于22天，每天不少于8小时，如未经发包人书面同意达不到要求的，项目技术负责人每缺一天罚款</w:t>
      </w:r>
      <w:r>
        <w:rPr>
          <w:rFonts w:hint="eastAsia" w:ascii="宋体" w:hAnsi="宋体" w:cs="宋体"/>
          <w:color w:val="auto"/>
          <w:kern w:val="2"/>
          <w:sz w:val="21"/>
          <w:szCs w:val="21"/>
          <w:highlight w:val="none"/>
          <w:u w:val="single"/>
          <w:lang w:val="en-US" w:eastAsia="zh-CN" w:bidi="ar-SA"/>
        </w:rPr>
        <w:t>800</w:t>
      </w:r>
      <w:r>
        <w:rPr>
          <w:rFonts w:hint="eastAsia" w:ascii="宋体" w:hAnsi="宋体" w:eastAsia="宋体" w:cs="宋体"/>
          <w:color w:val="auto"/>
          <w:kern w:val="2"/>
          <w:sz w:val="21"/>
          <w:szCs w:val="21"/>
          <w:highlight w:val="none"/>
          <w:u w:val="single"/>
          <w:lang w:val="en-US" w:eastAsia="zh-CN" w:bidi="ar-SA"/>
        </w:rPr>
        <w:t>元，其他人员每缺一天罚款</w:t>
      </w:r>
      <w:r>
        <w:rPr>
          <w:rFonts w:hint="eastAsia" w:ascii="宋体" w:hAnsi="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u w:val="single"/>
          <w:lang w:val="en-US" w:eastAsia="zh-CN" w:bidi="ar-SA"/>
        </w:rPr>
        <w:t>00元，并在当月的工程进度款中扣除</w:t>
      </w:r>
      <w:r>
        <w:rPr>
          <w:rFonts w:hint="eastAsia" w:ascii="宋体" w:hAnsi="宋体" w:cs="宋体"/>
          <w:color w:val="auto"/>
          <w:kern w:val="2"/>
          <w:sz w:val="21"/>
          <w:szCs w:val="21"/>
          <w:highlight w:val="none"/>
          <w:u w:val="single"/>
          <w:lang w:val="en-US" w:eastAsia="zh-CN" w:bidi="ar-SA"/>
        </w:rPr>
        <w:t>，最高不超过合同价的5%</w:t>
      </w:r>
      <w:r>
        <w:rPr>
          <w:rFonts w:hint="eastAsia" w:ascii="宋体" w:hAnsi="宋体" w:eastAsia="宋体" w:cs="宋体"/>
          <w:color w:val="auto"/>
          <w:kern w:val="2"/>
          <w:sz w:val="21"/>
          <w:szCs w:val="21"/>
          <w:highlight w:val="none"/>
          <w:u w:val="single"/>
          <w:lang w:val="en-US" w:eastAsia="zh-CN" w:bidi="ar-SA"/>
        </w:rPr>
        <w:t>。承包人的</w:t>
      </w:r>
      <w:r>
        <w:rPr>
          <w:rFonts w:hint="eastAsia" w:ascii="宋体" w:hAnsi="宋体" w:cs="宋体"/>
          <w:color w:val="auto"/>
          <w:kern w:val="2"/>
          <w:sz w:val="21"/>
          <w:szCs w:val="21"/>
          <w:highlight w:val="none"/>
          <w:u w:val="single"/>
          <w:lang w:val="en-US" w:eastAsia="zh-CN" w:bidi="ar-SA"/>
        </w:rPr>
        <w:t>项目负责人</w:t>
      </w:r>
      <w:r>
        <w:rPr>
          <w:rFonts w:hint="eastAsia" w:ascii="宋体" w:hAnsi="宋体" w:eastAsia="宋体" w:cs="宋体"/>
          <w:color w:val="auto"/>
          <w:kern w:val="2"/>
          <w:sz w:val="21"/>
          <w:szCs w:val="21"/>
          <w:highlight w:val="none"/>
          <w:u w:val="single"/>
          <w:lang w:val="en-US" w:eastAsia="zh-CN" w:bidi="ar-SA"/>
        </w:rPr>
        <w:t>及相关管理人员应积极配合，支持发包人，对于技术业务水平低，管理协调以力差，不能胜任岗位的工作人员，发包人有权要求承包人作必要变更</w:t>
      </w:r>
      <w:bookmarkEnd w:id="162"/>
      <w:r>
        <w:rPr>
          <w:rFonts w:hint="eastAsia" w:ascii="宋体" w:hAnsi="宋体" w:eastAsia="宋体" w:cs="宋体"/>
          <w:color w:val="auto"/>
          <w:kern w:val="2"/>
          <w:sz w:val="21"/>
          <w:szCs w:val="21"/>
          <w:highlight w:val="none"/>
          <w:u w:val="single"/>
          <w:lang w:val="en-US" w:eastAsia="zh-CN" w:bidi="ar-SA"/>
        </w:rPr>
        <w:t>。</w:t>
      </w:r>
    </w:p>
    <w:p w14:paraId="2CEF7620">
      <w:pPr>
        <w:widowControl/>
        <w:wordWrap/>
        <w:spacing w:before="156" w:line="320" w:lineRule="exact"/>
        <w:ind w:firstLine="105" w:firstLineChars="50"/>
        <w:jc w:val="both"/>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3.5 分包</w:t>
      </w:r>
    </w:p>
    <w:p w14:paraId="23670ED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3.5.1 分包的一般约定</w:t>
      </w:r>
    </w:p>
    <w:p w14:paraId="21A09BE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禁止分包的工程包括</w:t>
      </w:r>
      <w:bookmarkStart w:id="163" w:name="EBc7c15dbd3c2d4368909811fa209ca177"/>
      <w:bookmarkEnd w:id="163"/>
      <w:r>
        <w:rPr>
          <w:rFonts w:hint="eastAsia" w:ascii="宋体" w:hAnsi="宋体" w:eastAsia="宋体" w:cs="宋体"/>
          <w:color w:val="auto"/>
          <w:kern w:val="2"/>
          <w:sz w:val="21"/>
          <w:szCs w:val="21"/>
          <w:highlight w:val="none"/>
          <w:u w:val="none"/>
          <w:lang w:val="en-US" w:eastAsia="zh-CN" w:bidi="ar-SA"/>
        </w:rPr>
        <w:t>:</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p>
    <w:p w14:paraId="7AE0F5F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主体结构、关键性工作的范围：</w:t>
      </w:r>
      <w:bookmarkStart w:id="164" w:name="EBccef62cbd6ed46a591a575a456706ef9"/>
      <w:bookmarkEnd w:id="164"/>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2BBADF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3.5.2分包的确定</w:t>
      </w:r>
    </w:p>
    <w:p w14:paraId="53CD1FE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允许分包的专业工程包括：</w:t>
      </w:r>
      <w:bookmarkStart w:id="165" w:name="EB8cc8ffd692564155b001d3cebe2811fe"/>
      <w:bookmarkEnd w:id="165"/>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647152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其他关于分包的约定：</w:t>
      </w:r>
      <w:r>
        <w:rPr>
          <w:rFonts w:hint="eastAsia" w:ascii="宋体" w:hAnsi="宋体" w:eastAsia="宋体" w:cs="宋体"/>
          <w:color w:val="auto"/>
          <w:kern w:val="2"/>
          <w:sz w:val="21"/>
          <w:szCs w:val="21"/>
          <w:highlight w:val="none"/>
          <w:u w:val="single"/>
          <w:lang w:val="en-US" w:eastAsia="zh-CN" w:bidi="ar-SA"/>
        </w:rPr>
        <w:t xml:space="preserve">应合法合规分包 </w:t>
      </w:r>
      <w:r>
        <w:rPr>
          <w:rFonts w:hint="eastAsia" w:ascii="宋体" w:hAnsi="宋体" w:eastAsia="宋体" w:cs="宋体"/>
          <w:color w:val="auto"/>
          <w:kern w:val="2"/>
          <w:sz w:val="21"/>
          <w:szCs w:val="21"/>
          <w:highlight w:val="none"/>
          <w:u w:val="none"/>
          <w:lang w:val="en-US" w:eastAsia="zh-CN" w:bidi="ar-SA"/>
        </w:rPr>
        <w:t>。</w:t>
      </w:r>
    </w:p>
    <w:p w14:paraId="7B3EB42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3.5.4 分包合同价款</w:t>
      </w:r>
    </w:p>
    <w:p w14:paraId="51FA88A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关于分包合同价款支付的约定：</w:t>
      </w:r>
      <w:bookmarkStart w:id="166" w:name="EB2e67c7623cc545a2bbe67c9f3e2e28ae"/>
      <w:bookmarkEnd w:id="166"/>
      <w:r>
        <w:rPr>
          <w:rFonts w:hint="eastAsia" w:ascii="宋体" w:hAnsi="宋体" w:eastAsia="宋体" w:cs="宋体"/>
          <w:color w:val="auto"/>
          <w:kern w:val="2"/>
          <w:sz w:val="21"/>
          <w:szCs w:val="21"/>
          <w:highlight w:val="none"/>
          <w:u w:val="single"/>
          <w:lang w:val="en-US" w:eastAsia="zh-CN" w:bidi="ar-SA"/>
        </w:rPr>
        <w:t xml:space="preserve">分包工程款必须专款专用，承包人必须按时支付各分包商各种款项。否则，发包人有权暂扣工程款，直至承包人付清欠款后再予支付 </w:t>
      </w:r>
      <w:r>
        <w:rPr>
          <w:rFonts w:hint="eastAsia" w:ascii="宋体" w:hAnsi="宋体" w:eastAsia="宋体" w:cs="宋体"/>
          <w:color w:val="auto"/>
          <w:kern w:val="2"/>
          <w:sz w:val="21"/>
          <w:szCs w:val="21"/>
          <w:highlight w:val="none"/>
          <w:u w:val="none"/>
          <w:lang w:val="en-US" w:eastAsia="zh-CN" w:bidi="ar-SA"/>
        </w:rPr>
        <w:t>。</w:t>
      </w:r>
    </w:p>
    <w:p w14:paraId="1BC80378">
      <w:pPr>
        <w:widowControl w:val="0"/>
        <w:wordWrap/>
        <w:spacing w:line="320" w:lineRule="exact"/>
        <w:ind w:firstLine="411" w:firstLineChars="196"/>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3.6 工程照管与成品、半成品保护 </w:t>
      </w:r>
    </w:p>
    <w:p w14:paraId="4CE21281">
      <w:pPr>
        <w:widowControl w:val="0"/>
        <w:wordWrap/>
        <w:spacing w:line="320" w:lineRule="exact"/>
        <w:ind w:firstLine="413" w:firstLineChars="196"/>
        <w:jc w:val="both"/>
        <w:rPr>
          <w:rFonts w:hint="eastAsia" w:ascii="宋体" w:hAnsi="宋体" w:eastAsia="宋体" w:cs="宋体"/>
          <w:b/>
          <w:color w:val="auto"/>
          <w:kern w:val="2"/>
          <w:sz w:val="21"/>
          <w:szCs w:val="21"/>
          <w:highlight w:val="none"/>
          <w:u w:val="single"/>
          <w:lang w:val="en-US" w:eastAsia="zh-CN" w:bidi="ar-SA"/>
        </w:rPr>
      </w:pPr>
      <w:r>
        <w:rPr>
          <w:rFonts w:hint="eastAsia" w:ascii="宋体" w:hAnsi="宋体" w:eastAsia="宋体" w:cs="宋体"/>
          <w:b/>
          <w:color w:val="auto"/>
          <w:kern w:val="2"/>
          <w:sz w:val="21"/>
          <w:szCs w:val="21"/>
          <w:highlight w:val="none"/>
          <w:u w:val="none"/>
          <w:lang w:val="en-US" w:eastAsia="zh-CN" w:bidi="ar-SA"/>
        </w:rPr>
        <w:t>承包人负责照管工程及工程相关的材料、工程设备的起始时间：</w:t>
      </w:r>
      <w:r>
        <w:rPr>
          <w:rFonts w:hint="eastAsia" w:ascii="宋体" w:hAnsi="宋体" w:eastAsia="宋体" w:cs="宋体"/>
          <w:b/>
          <w:color w:val="auto"/>
          <w:kern w:val="2"/>
          <w:sz w:val="21"/>
          <w:szCs w:val="21"/>
          <w:highlight w:val="none"/>
          <w:u w:val="single"/>
          <w:lang w:val="en-US" w:eastAsia="zh-CN" w:bidi="ar-SA"/>
        </w:rPr>
        <w:t>在工程未交付使用前，由承包人负责保护，在保护期间若发生损坏由承包人自费修复。除发包人或发包人代表有书面意见指示承包人采取特殊措施保护的工程部位费用属于发包人外，其他对未交付的已完工程，由承包人承担一切管理费用 。</w:t>
      </w:r>
    </w:p>
    <w:p w14:paraId="7BB7CDCA">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3.7 履约担保</w:t>
      </w:r>
    </w:p>
    <w:p w14:paraId="017BE1B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承包人是否提供履约担保：</w:t>
      </w:r>
      <w:r>
        <w:rPr>
          <w:rFonts w:hint="eastAsia" w:ascii="宋体" w:hAnsi="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u w:val="single"/>
          <w:lang w:val="en-US" w:eastAsia="zh-CN" w:bidi="ar-SA"/>
        </w:rPr>
        <w:t>。</w:t>
      </w:r>
    </w:p>
    <w:p w14:paraId="023B31C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承包人提供履约担保的形式、金额及期限：</w:t>
      </w:r>
      <w:r>
        <w:rPr>
          <w:rFonts w:hint="eastAsia" w:ascii="宋体" w:hAnsi="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w:t>
      </w:r>
    </w:p>
    <w:p w14:paraId="41BF8387">
      <w:pPr>
        <w:wordWrap/>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监理人</w:t>
      </w:r>
    </w:p>
    <w:p w14:paraId="69D5E4DA">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4.1监理人的一般规定</w:t>
      </w:r>
    </w:p>
    <w:p w14:paraId="1E07ABC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关于监理人的监理内容：</w:t>
      </w:r>
      <w:bookmarkStart w:id="167" w:name="EBf3a5ad77ed15410da1920a23727c49a5"/>
      <w:bookmarkEnd w:id="167"/>
      <w:bookmarkStart w:id="168" w:name="EBfe8005a996e143ee96f8665defa97f5d"/>
      <w:r>
        <w:rPr>
          <w:rFonts w:hint="eastAsia" w:ascii="宋体" w:hAnsi="宋体" w:eastAsia="宋体" w:cs="宋体"/>
          <w:color w:val="auto"/>
          <w:kern w:val="2"/>
          <w:sz w:val="21"/>
          <w:szCs w:val="21"/>
          <w:highlight w:val="none"/>
          <w:u w:val="single"/>
          <w:lang w:val="en-US" w:eastAsia="zh-CN" w:bidi="ar-SA"/>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bookmarkEnd w:id="168"/>
      <w:r>
        <w:rPr>
          <w:rFonts w:hint="eastAsia" w:ascii="宋体" w:hAnsi="宋体" w:eastAsia="宋体" w:cs="宋体"/>
          <w:color w:val="auto"/>
          <w:kern w:val="2"/>
          <w:sz w:val="21"/>
          <w:szCs w:val="21"/>
          <w:highlight w:val="none"/>
          <w:u w:val="single"/>
          <w:lang w:val="en-US" w:eastAsia="zh-CN" w:bidi="ar-SA"/>
        </w:rPr>
        <w:t>。</w:t>
      </w:r>
    </w:p>
    <w:p w14:paraId="25EDFDA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关于监理人的监理权限：</w:t>
      </w:r>
      <w:bookmarkStart w:id="169" w:name="EB38da1895ccc741b5a1260cf596b69fe2"/>
      <w:bookmarkEnd w:id="169"/>
      <w:bookmarkStart w:id="170" w:name="EBe490e14efa33448999bb1333a00ded9f"/>
      <w:r>
        <w:rPr>
          <w:rFonts w:hint="eastAsia" w:ascii="宋体" w:hAnsi="宋体" w:eastAsia="宋体" w:cs="宋体"/>
          <w:color w:val="auto"/>
          <w:kern w:val="2"/>
          <w:sz w:val="21"/>
          <w:szCs w:val="21"/>
          <w:highlight w:val="none"/>
          <w:u w:val="single"/>
          <w:lang w:val="en-US" w:eastAsia="zh-CN" w:bidi="ar-SA"/>
        </w:rPr>
        <w:t>需要取得发包人批准才能行使的职权，工程的设计变更、工程量的变更、材料价格的变更、无价材料认定、工期及影响工期的认定、工程款的支付审核等</w:t>
      </w:r>
      <w:bookmarkEnd w:id="170"/>
      <w:r>
        <w:rPr>
          <w:rFonts w:hint="eastAsia" w:ascii="宋体" w:hAnsi="宋体" w:eastAsia="宋体" w:cs="宋体"/>
          <w:color w:val="auto"/>
          <w:kern w:val="2"/>
          <w:sz w:val="21"/>
          <w:szCs w:val="21"/>
          <w:highlight w:val="none"/>
          <w:u w:val="single"/>
          <w:lang w:val="en-US" w:eastAsia="zh-CN" w:bidi="ar-SA"/>
        </w:rPr>
        <w:t xml:space="preserve">。 </w:t>
      </w:r>
    </w:p>
    <w:p w14:paraId="3F1147F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关于监理人在施工现场的办公场所、生活场所的提供和费用承担的约定：</w:t>
      </w:r>
      <w:r>
        <w:rPr>
          <w:rFonts w:hint="eastAsia" w:ascii="宋体" w:hAnsi="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w:t>
      </w:r>
    </w:p>
    <w:p w14:paraId="02E24B57">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 监理人员</w:t>
      </w:r>
    </w:p>
    <w:p w14:paraId="135A9A2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总监理工程师：              </w:t>
      </w:r>
    </w:p>
    <w:p w14:paraId="50A6D2F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姓    名：</w:t>
      </w:r>
      <w:bookmarkStart w:id="171" w:name="EBc13662a802ce42e5bbaf5a902bd457ca"/>
      <w:bookmarkEnd w:id="17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854798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职    务：</w:t>
      </w:r>
      <w:bookmarkStart w:id="172" w:name="EB74f3e1ace47b4c7cb67bcf69b5af2ef8"/>
      <w:bookmarkEnd w:id="172"/>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79675F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监理工程师执业资格证书号：</w:t>
      </w:r>
      <w:bookmarkStart w:id="173" w:name="EB1785fa5cc4744583b200698f8aeadd27"/>
      <w:bookmarkEnd w:id="17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A91D35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联系电话：</w:t>
      </w:r>
      <w:bookmarkStart w:id="174" w:name="EB886b8733b85b4e78be0f06294975a002"/>
      <w:bookmarkEnd w:id="174"/>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w:t>
      </w:r>
    </w:p>
    <w:p w14:paraId="7711B42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电子信箱：</w:t>
      </w:r>
      <w:bookmarkStart w:id="175" w:name="EBc2d4a18e82a149ffa48fe8ba56f73060"/>
      <w:bookmarkEnd w:id="175"/>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63AF69C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通信地址：</w:t>
      </w:r>
      <w:bookmarkStart w:id="176" w:name="EB24f7fac2bd6348e280f600ec8b0a6985"/>
      <w:bookmarkEnd w:id="176"/>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18ABC82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关于监理人的其他约定：</w:t>
      </w:r>
      <w:bookmarkStart w:id="177" w:name="EBa7edf0ea829140ed977e5023485258b6"/>
      <w:bookmarkEnd w:id="177"/>
      <w:bookmarkStart w:id="178" w:name="EB80df01d540a64e2f8eb36a3d169c73d6"/>
      <w:r>
        <w:rPr>
          <w:rFonts w:hint="eastAsia" w:ascii="宋体" w:hAnsi="宋体" w:eastAsia="宋体" w:cs="宋体"/>
          <w:color w:val="auto"/>
          <w:kern w:val="2"/>
          <w:sz w:val="21"/>
          <w:szCs w:val="21"/>
          <w:highlight w:val="none"/>
          <w:u w:val="single"/>
          <w:lang w:val="en-US" w:eastAsia="zh-CN" w:bidi="ar-SA"/>
        </w:rPr>
        <w:t>需要取得发包人批准才能行使的职权：（1）因某一合同事件，需要顺延工期或增加工程价款；（2）向承包人支付各种款项的签付；（3）任何作为结算依据的工程量的签证及审核；（4）发包人认为须取得批准方可实施的其它重要事项（诸如：设计变更、主要材料的确定、分包商的确定、开工或停复工通知、施工方案或进度计划的批准等）</w:t>
      </w:r>
      <w:bookmarkEnd w:id="178"/>
      <w:r>
        <w:rPr>
          <w:rFonts w:hint="eastAsia" w:ascii="宋体" w:hAnsi="宋体" w:eastAsia="宋体" w:cs="宋体"/>
          <w:color w:val="auto"/>
          <w:kern w:val="2"/>
          <w:sz w:val="21"/>
          <w:szCs w:val="21"/>
          <w:highlight w:val="none"/>
          <w:u w:val="single"/>
          <w:lang w:val="en-US" w:eastAsia="zh-CN" w:bidi="ar-SA"/>
        </w:rPr>
        <w:t>。</w:t>
      </w:r>
    </w:p>
    <w:p w14:paraId="52CC4309">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4.4 商定或确定</w:t>
      </w:r>
    </w:p>
    <w:p w14:paraId="141E643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在发包人和承包人不能通过协商达成一致意见时，发包人授权监理人对以下事项进行确定：</w:t>
      </w:r>
    </w:p>
    <w:p w14:paraId="40312DF7">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w:t>
      </w:r>
      <w:bookmarkStart w:id="179" w:name="EB4a576156642840adb5e0634e22143d87"/>
      <w:bookmarkEnd w:id="179"/>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w:t>
      </w:r>
    </w:p>
    <w:p w14:paraId="5DF6280F">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w:t>
      </w:r>
      <w:bookmarkStart w:id="180" w:name="EBd738191e711c4cad9c27fd4a9436e004"/>
      <w:bookmarkEnd w:id="180"/>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5E6AFB2D">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w:t>
      </w:r>
      <w:bookmarkStart w:id="181" w:name="EB2f41eedd97234be3b0ee65856aad843b"/>
      <w:bookmarkEnd w:id="18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5D68856">
      <w:pPr>
        <w:wordWrap/>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工程质量</w:t>
      </w:r>
    </w:p>
    <w:p w14:paraId="032DE18F">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5.1 质量要求</w:t>
      </w:r>
    </w:p>
    <w:p w14:paraId="325A78D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5.1.1 特殊质量标准和要求：</w:t>
      </w:r>
      <w:bookmarkStart w:id="182" w:name="EBdade15625d0243818fb02033ad2f8e8f"/>
      <w:bookmarkEnd w:id="182"/>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w:t>
      </w:r>
    </w:p>
    <w:p w14:paraId="43CF89CD">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关于工程奖项的约定：本工程质量目标等级要求为：</w:t>
      </w:r>
      <w:bookmarkStart w:id="183" w:name="EB34dbd00a871c44aeb8937012f7c944a7"/>
      <w:r>
        <w:rPr>
          <w:rFonts w:hint="eastAsia" w:ascii="宋体" w:hAnsi="宋体" w:eastAsia="宋体" w:cs="宋体"/>
          <w:color w:val="auto"/>
          <w:kern w:val="2"/>
          <w:sz w:val="21"/>
          <w:szCs w:val="21"/>
          <w:highlight w:val="none"/>
          <w:u w:val="none"/>
          <w:lang w:val="en-US" w:eastAsia="zh-CN" w:bidi="ar-SA"/>
        </w:rPr>
        <w:t>□</w:t>
      </w:r>
      <w:bookmarkEnd w:id="183"/>
      <w:r>
        <w:rPr>
          <w:rFonts w:hint="eastAsia" w:ascii="宋体" w:hAnsi="宋体" w:eastAsia="宋体" w:cs="宋体"/>
          <w:color w:val="auto"/>
          <w:kern w:val="2"/>
          <w:sz w:val="21"/>
          <w:szCs w:val="21"/>
          <w:highlight w:val="none"/>
          <w:u w:val="none"/>
          <w:lang w:val="en-US" w:eastAsia="zh-CN" w:bidi="ar-SA"/>
        </w:rPr>
        <w:t>优质工程（要求达到</w:t>
      </w:r>
      <w:bookmarkStart w:id="184" w:name="EB307169742c604e6980598442713907a8"/>
      <w:r>
        <w:rPr>
          <w:rFonts w:hint="eastAsia" w:ascii="宋体" w:hAnsi="宋体" w:eastAsia="宋体" w:cs="宋体"/>
          <w:color w:val="auto"/>
          <w:kern w:val="2"/>
          <w:sz w:val="21"/>
          <w:szCs w:val="21"/>
          <w:highlight w:val="none"/>
          <w:u w:val="none"/>
          <w:lang w:val="en-US" w:eastAsia="zh-CN" w:bidi="ar-SA"/>
        </w:rPr>
        <w:t>□</w:t>
      </w:r>
      <w:bookmarkEnd w:id="184"/>
      <w:r>
        <w:rPr>
          <w:rFonts w:hint="eastAsia" w:ascii="宋体" w:hAnsi="宋体" w:eastAsia="宋体" w:cs="宋体"/>
          <w:color w:val="auto"/>
          <w:kern w:val="2"/>
          <w:sz w:val="21"/>
          <w:szCs w:val="21"/>
          <w:highlight w:val="none"/>
          <w:u w:val="none"/>
          <w:lang w:val="en-US" w:eastAsia="zh-CN" w:bidi="ar-SA"/>
        </w:rPr>
        <w:t>市级</w:t>
      </w:r>
      <w:bookmarkStart w:id="185" w:name="EB5acb99d23e014923b23e559861822db2"/>
      <w:r>
        <w:rPr>
          <w:rFonts w:hint="eastAsia" w:ascii="宋体" w:hAnsi="宋体" w:eastAsia="宋体" w:cs="宋体"/>
          <w:color w:val="auto"/>
          <w:kern w:val="2"/>
          <w:sz w:val="21"/>
          <w:szCs w:val="21"/>
          <w:highlight w:val="none"/>
          <w:u w:val="none"/>
          <w:lang w:val="en-US" w:eastAsia="zh-CN" w:bidi="ar-SA"/>
        </w:rPr>
        <w:t>□</w:t>
      </w:r>
      <w:bookmarkEnd w:id="185"/>
      <w:r>
        <w:rPr>
          <w:rFonts w:hint="eastAsia" w:ascii="宋体" w:hAnsi="宋体" w:eastAsia="宋体" w:cs="宋体"/>
          <w:color w:val="auto"/>
          <w:kern w:val="2"/>
          <w:sz w:val="21"/>
          <w:szCs w:val="21"/>
          <w:highlight w:val="none"/>
          <w:u w:val="none"/>
          <w:lang w:val="en-US" w:eastAsia="zh-CN" w:bidi="ar-SA"/>
        </w:rPr>
        <w:t>省级</w:t>
      </w:r>
      <w:bookmarkStart w:id="186" w:name="EB7d1e8e41d2814f898afaf7647a286c2c"/>
      <w:r>
        <w:rPr>
          <w:rFonts w:hint="eastAsia" w:ascii="宋体" w:hAnsi="宋体" w:eastAsia="宋体" w:cs="宋体"/>
          <w:color w:val="auto"/>
          <w:kern w:val="2"/>
          <w:sz w:val="21"/>
          <w:szCs w:val="21"/>
          <w:highlight w:val="none"/>
          <w:u w:val="none"/>
          <w:lang w:val="en-US" w:eastAsia="zh-CN" w:bidi="ar-SA"/>
        </w:rPr>
        <w:t>□</w:t>
      </w:r>
      <w:bookmarkEnd w:id="186"/>
      <w:r>
        <w:rPr>
          <w:rFonts w:hint="eastAsia" w:ascii="宋体" w:hAnsi="宋体" w:eastAsia="宋体" w:cs="宋体"/>
          <w:color w:val="auto"/>
          <w:kern w:val="2"/>
          <w:sz w:val="21"/>
          <w:szCs w:val="21"/>
          <w:highlight w:val="none"/>
          <w:u w:val="none"/>
          <w:lang w:val="en-US" w:eastAsia="zh-CN" w:bidi="ar-SA"/>
        </w:rPr>
        <w:t>国家级）</w:t>
      </w:r>
      <w:bookmarkStart w:id="187" w:name="EB86dc69a9c47a48abba343b47eded6086"/>
      <w:r>
        <w:rPr>
          <w:rFonts w:hint="eastAsia" w:ascii="宋体" w:hAnsi="宋体" w:eastAsia="宋体" w:cs="宋体"/>
          <w:color w:val="auto"/>
          <w:kern w:val="2"/>
          <w:sz w:val="21"/>
          <w:szCs w:val="21"/>
          <w:highlight w:val="none"/>
          <w:u w:val="none"/>
          <w:lang w:val="en-US" w:eastAsia="zh-CN" w:bidi="ar-SA"/>
        </w:rPr>
        <w:t>☑</w:t>
      </w:r>
      <w:bookmarkEnd w:id="187"/>
      <w:r>
        <w:rPr>
          <w:rFonts w:hint="eastAsia" w:ascii="宋体" w:hAnsi="宋体" w:eastAsia="宋体" w:cs="宋体"/>
          <w:color w:val="auto"/>
          <w:kern w:val="2"/>
          <w:sz w:val="21"/>
          <w:szCs w:val="21"/>
          <w:highlight w:val="none"/>
          <w:u w:val="none"/>
          <w:lang w:val="en-US" w:eastAsia="zh-CN" w:bidi="ar-SA"/>
        </w:rPr>
        <w:t xml:space="preserve">合格 </w:t>
      </w:r>
    </w:p>
    <w:p w14:paraId="4DF5F324">
      <w:pPr>
        <w:widowControl/>
        <w:wordWrap/>
        <w:spacing w:before="156" w:line="30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 </w:t>
      </w:r>
      <w:r>
        <w:rPr>
          <w:rFonts w:hint="eastAsia" w:ascii="宋体" w:hAnsi="宋体" w:cs="宋体"/>
          <w:color w:val="auto"/>
          <w:kern w:val="2"/>
          <w:sz w:val="21"/>
          <w:szCs w:val="21"/>
          <w:highlight w:val="none"/>
          <w:u w:val="none"/>
          <w:lang w:val="en-US" w:eastAsia="zh-CN" w:bidi="ar-SA"/>
        </w:rPr>
        <w:t>获取优质工程是否奖励：不予奖励。</w:t>
      </w:r>
      <w:r>
        <w:rPr>
          <w:rFonts w:hint="eastAsia" w:ascii="宋体" w:hAnsi="宋体" w:eastAsia="宋体" w:cs="宋体"/>
          <w:color w:val="auto"/>
          <w:kern w:val="2"/>
          <w:sz w:val="21"/>
          <w:szCs w:val="21"/>
          <w:highlight w:val="none"/>
          <w:u w:val="none"/>
          <w:lang w:val="en-US" w:eastAsia="zh-CN" w:bidi="ar-SA"/>
        </w:rPr>
        <w:t xml:space="preserve"> </w:t>
      </w:r>
    </w:p>
    <w:p w14:paraId="2DF3CD6F">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5.3 隐蔽工程检查 </w:t>
      </w:r>
    </w:p>
    <w:p w14:paraId="40B63E4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5.3.2承包人提前通知监理人隐蔽工程检查的期限的约定：</w:t>
      </w:r>
      <w:bookmarkStart w:id="188" w:name="EB2440010670fd4d2192fda77415c3981f"/>
      <w:bookmarkEnd w:id="188"/>
      <w:bookmarkStart w:id="189" w:name="EBddc44dbc2831499f99884f96b36628d2"/>
      <w:r>
        <w:rPr>
          <w:rFonts w:hint="eastAsia" w:ascii="宋体" w:hAnsi="宋体" w:eastAsia="宋体" w:cs="宋体"/>
          <w:color w:val="auto"/>
          <w:kern w:val="2"/>
          <w:sz w:val="21"/>
          <w:szCs w:val="21"/>
          <w:highlight w:val="none"/>
          <w:u w:val="single"/>
          <w:lang w:val="en-US" w:eastAsia="zh-CN" w:bidi="ar-SA"/>
        </w:rPr>
        <w:t>24</w:t>
      </w:r>
      <w:bookmarkEnd w:id="189"/>
      <w:r>
        <w:rPr>
          <w:rFonts w:hint="eastAsia" w:ascii="宋体" w:hAnsi="宋体" w:eastAsia="宋体" w:cs="宋体"/>
          <w:color w:val="auto"/>
          <w:kern w:val="2"/>
          <w:sz w:val="21"/>
          <w:szCs w:val="21"/>
          <w:highlight w:val="none"/>
          <w:u w:val="single"/>
          <w:lang w:val="en-US" w:eastAsia="zh-CN" w:bidi="ar-SA"/>
        </w:rPr>
        <w:t xml:space="preserve">小时 </w:t>
      </w:r>
      <w:r>
        <w:rPr>
          <w:rFonts w:hint="eastAsia" w:ascii="宋体" w:hAnsi="宋体" w:eastAsia="宋体" w:cs="宋体"/>
          <w:color w:val="auto"/>
          <w:kern w:val="2"/>
          <w:sz w:val="21"/>
          <w:szCs w:val="21"/>
          <w:highlight w:val="none"/>
          <w:u w:val="none"/>
          <w:lang w:val="en-US" w:eastAsia="zh-CN" w:bidi="ar-SA"/>
        </w:rPr>
        <w:t>。</w:t>
      </w:r>
    </w:p>
    <w:p w14:paraId="53D268A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监理人不能按时进行检查时，应提前</w:t>
      </w:r>
      <w:bookmarkStart w:id="190" w:name="EBf371477a79c74e3e96d47ca6fc3f2125"/>
      <w:bookmarkEnd w:id="190"/>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u w:val="none"/>
          <w:lang w:val="en-US" w:eastAsia="zh-CN" w:bidi="ar-SA"/>
        </w:rPr>
        <w:t>小时提交书面延期要求。</w:t>
      </w:r>
    </w:p>
    <w:p w14:paraId="42248BC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关于延期最长不得超过：</w:t>
      </w:r>
      <w:bookmarkStart w:id="191" w:name="EB3bca7bbd253d4c688f10e34ed594dddc"/>
      <w:bookmarkEnd w:id="191"/>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u w:val="none"/>
          <w:lang w:val="en-US" w:eastAsia="zh-CN" w:bidi="ar-SA"/>
        </w:rPr>
        <w:t>小时。</w:t>
      </w:r>
    </w:p>
    <w:p w14:paraId="448164DD">
      <w:pPr>
        <w:wordWrap/>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安全文明施工与环境保护</w:t>
      </w:r>
    </w:p>
    <w:p w14:paraId="08AD824A">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6.1安全文明施工</w:t>
      </w:r>
    </w:p>
    <w:p w14:paraId="5E96D9EE">
      <w:pPr>
        <w:widowControl/>
        <w:wordWrap/>
        <w:spacing w:before="156" w:line="360" w:lineRule="exact"/>
        <w:ind w:firstLine="403" w:firstLineChars="192"/>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6.1.1 项目安全生产的达标目标及相应事项的约定：</w:t>
      </w:r>
      <w:r>
        <w:rPr>
          <w:rFonts w:hint="eastAsia" w:ascii="宋体" w:hAnsi="宋体" w:eastAsia="宋体" w:cs="宋体"/>
          <w:color w:val="auto"/>
          <w:kern w:val="2"/>
          <w:sz w:val="21"/>
          <w:szCs w:val="21"/>
          <w:highlight w:val="none"/>
          <w:u w:val="single"/>
          <w:lang w:val="en-US" w:eastAsia="zh-CN" w:bidi="ar-SA"/>
        </w:rPr>
        <w:t>按《浙江省建筑施工安全标准化管理规定》（浙建建〔2012〕54号）及省、市建筑业、安全监督等相关主管部门发布的有关管理规定执行 。</w:t>
      </w:r>
    </w:p>
    <w:p w14:paraId="7773D8F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6.1.4 关于治安保卫的特别约定：</w:t>
      </w:r>
      <w:r>
        <w:rPr>
          <w:rFonts w:hint="eastAsia" w:ascii="宋体" w:hAnsi="宋体" w:eastAsia="宋体" w:cs="宋体"/>
          <w:color w:val="auto"/>
          <w:kern w:val="2"/>
          <w:sz w:val="21"/>
          <w:szCs w:val="21"/>
          <w:highlight w:val="none"/>
          <w:u w:val="single"/>
          <w:lang w:val="en-US" w:eastAsia="zh-CN" w:bidi="ar-SA"/>
        </w:rPr>
        <w:t>施工现场的安全保卫工作（包括此项工作发生的费用）全部由承包人承担 。</w:t>
      </w:r>
    </w:p>
    <w:p w14:paraId="56DF71E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关于编制施工场地治安管理计划的约定：</w:t>
      </w:r>
      <w:r>
        <w:rPr>
          <w:rFonts w:hint="eastAsia" w:ascii="宋体" w:hAnsi="宋体" w:eastAsia="宋体" w:cs="宋体"/>
          <w:color w:val="auto"/>
          <w:kern w:val="2"/>
          <w:sz w:val="21"/>
          <w:szCs w:val="21"/>
          <w:highlight w:val="none"/>
          <w:u w:val="single"/>
          <w:lang w:val="en-US" w:eastAsia="zh-CN" w:bidi="ar-SA"/>
        </w:rPr>
        <w:t xml:space="preserve">承包人负责编制 </w:t>
      </w:r>
      <w:r>
        <w:rPr>
          <w:rFonts w:hint="eastAsia" w:ascii="宋体" w:hAnsi="宋体" w:eastAsia="宋体" w:cs="宋体"/>
          <w:color w:val="auto"/>
          <w:kern w:val="2"/>
          <w:sz w:val="21"/>
          <w:szCs w:val="21"/>
          <w:highlight w:val="none"/>
          <w:u w:val="none"/>
          <w:lang w:val="en-US" w:eastAsia="zh-CN" w:bidi="ar-SA"/>
        </w:rPr>
        <w:t>。</w:t>
      </w:r>
    </w:p>
    <w:p w14:paraId="57F7317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6.1.5 文明施工</w:t>
      </w:r>
    </w:p>
    <w:p w14:paraId="77A85F83">
      <w:pPr>
        <w:widowControl/>
        <w:wordWrap/>
        <w:spacing w:before="156" w:line="300" w:lineRule="exact"/>
        <w:ind w:firstLine="105" w:firstLineChars="50"/>
        <w:jc w:val="both"/>
        <w:rPr>
          <w:rFonts w:hint="eastAsia" w:ascii="宋体" w:hAnsi="宋体" w:eastAsia="宋体" w:cs="宋体"/>
          <w:b w:val="0"/>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合同当事人对文明施工的要求：</w:t>
      </w:r>
      <w:r>
        <w:rPr>
          <w:rFonts w:hint="eastAsia" w:ascii="宋体" w:hAnsi="宋体" w:eastAsia="宋体" w:cs="宋体"/>
          <w:color w:val="auto"/>
          <w:kern w:val="2"/>
          <w:sz w:val="21"/>
          <w:szCs w:val="21"/>
          <w:highlight w:val="none"/>
          <w:u w:val="single"/>
          <w:lang w:val="en-US" w:eastAsia="zh-CN" w:bidi="ar-SA"/>
        </w:rPr>
        <w:t>按现行国家、省、市有关文明施工管理规定执行。</w:t>
      </w:r>
    </w:p>
    <w:p w14:paraId="169C0D0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6.1.6 关于安全文明施工基本费支付比例和支付期限的约定：</w:t>
      </w:r>
    </w:p>
    <w:p w14:paraId="1448DC8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安全文明施工基本费预付费用与工程预付款同期支付，预付比例为安全文明施工基本费（不含创标化工地增加费）总额的</w:t>
      </w:r>
      <w:bookmarkStart w:id="192" w:name="EB9d4c7774c08d47cbb925eb90bbf3f3f3"/>
      <w:bookmarkEnd w:id="192"/>
      <w:r>
        <w:rPr>
          <w:rFonts w:hint="eastAsia" w:ascii="宋体" w:hAnsi="宋体" w:eastAsia="宋体" w:cs="宋体"/>
          <w:color w:val="auto"/>
          <w:kern w:val="2"/>
          <w:sz w:val="21"/>
          <w:szCs w:val="21"/>
          <w:highlight w:val="none"/>
          <w:u w:val="single"/>
          <w:lang w:val="en-US" w:eastAsia="zh-CN" w:bidi="ar-SA"/>
        </w:rPr>
        <w:t>50%。（备注说明：合同工期在一年以内的，预付比例不低于该费用总额的50%，一年以上(含一年)的，不低于该费用总额的30%），其余与进度款同期支付；安全文明施工费的使用按通用条款执行。承包人对安全文明施工费专款专用，在财务帐目中应单独列项备查，不得挪作他用。</w:t>
      </w:r>
    </w:p>
    <w:p w14:paraId="015051F3">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 </w:t>
      </w:r>
      <w:r>
        <w:rPr>
          <w:rFonts w:hint="eastAsia" w:ascii="宋体" w:hAnsi="宋体" w:cs="宋体"/>
          <w:color w:val="auto"/>
          <w:kern w:val="2"/>
          <w:sz w:val="21"/>
          <w:szCs w:val="21"/>
          <w:highlight w:val="none"/>
          <w:u w:val="none"/>
          <w:lang w:val="en-US" w:eastAsia="zh-CN" w:bidi="ar-SA"/>
        </w:rPr>
        <w:t>创安全文明施工标准化工地是否奖励：不予奖励。</w:t>
      </w:r>
      <w:r>
        <w:rPr>
          <w:rFonts w:hint="eastAsia" w:ascii="宋体" w:hAnsi="宋体" w:eastAsia="宋体" w:cs="宋体"/>
          <w:color w:val="auto"/>
          <w:kern w:val="2"/>
          <w:sz w:val="21"/>
          <w:szCs w:val="21"/>
          <w:highlight w:val="none"/>
          <w:u w:val="none"/>
          <w:lang w:val="en-US" w:eastAsia="zh-CN" w:bidi="ar-SA"/>
        </w:rPr>
        <w:t xml:space="preserve"> </w:t>
      </w:r>
    </w:p>
    <w:p w14:paraId="2DE3B4D2">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6.3环境保护</w:t>
      </w:r>
    </w:p>
    <w:p w14:paraId="381EB50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6.3.1建筑垃圾减量目标及措施：</w:t>
      </w:r>
      <w:bookmarkStart w:id="193" w:name="EBa920029dab094aa9b00f458a3884d5fa"/>
      <w:bookmarkEnd w:id="19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1AF690B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6.3.2</w:t>
      </w:r>
      <w:r>
        <w:rPr>
          <w:rFonts w:hint="eastAsia" w:ascii="宋体" w:hAnsi="宋体" w:eastAsia="宋体" w:cs="宋体"/>
          <w:color w:val="auto"/>
          <w:kern w:val="2"/>
          <w:sz w:val="21"/>
          <w:szCs w:val="21"/>
          <w:highlight w:val="none"/>
          <w:u w:val="single"/>
          <w:lang w:val="en-US" w:eastAsia="zh-CN" w:bidi="ar-SA"/>
        </w:rPr>
        <w:t>施工单位应根据《关于实施建设工程建筑垃圾处理方案备案等事项的通知》文件要求编制建筑垃圾处理方案并办理备案手续。</w:t>
      </w:r>
    </w:p>
    <w:p w14:paraId="114E86E9">
      <w:pPr>
        <w:wordWrap/>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工期和进度</w:t>
      </w:r>
    </w:p>
    <w:p w14:paraId="0AC196FC">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7.1 施工组织设计</w:t>
      </w:r>
    </w:p>
    <w:p w14:paraId="1489B73E">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7.1.1 合同当事人约定的施工组织设计应包括的其他内容：              </w:t>
      </w:r>
    </w:p>
    <w:p w14:paraId="3E289C7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对特殊工艺施工、超过一定规模的危险性较大分部分项工程施工（如深基坑支护方案、高支模承重架方案、大型施工机械设备基础等专项施工方案）应按规定办理审批手续，并按当地建设行政主管部门要求组织专家论证。</w:t>
      </w:r>
    </w:p>
    <w:p w14:paraId="724381A4">
      <w:pPr>
        <w:widowControl/>
        <w:wordWrap/>
        <w:autoSpaceDE w:val="0"/>
        <w:autoSpaceDN w:val="0"/>
        <w:adjustRightInd w:val="0"/>
        <w:spacing w:before="156" w:line="320" w:lineRule="exact"/>
        <w:ind w:firstLine="210" w:firstLineChars="100"/>
        <w:jc w:val="both"/>
        <w:rPr>
          <w:rFonts w:hint="eastAsia" w:ascii="宋体" w:hAnsi="宋体" w:eastAsia="宋体" w:cs="宋体"/>
          <w:b w:val="0"/>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7.1.2 施工组织设计的提交和修改</w:t>
      </w:r>
    </w:p>
    <w:p w14:paraId="21FC3305">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承包人提交详细施工组织设计的期限的约定：</w:t>
      </w:r>
      <w:r>
        <w:rPr>
          <w:rFonts w:hint="eastAsia" w:ascii="宋体" w:hAnsi="宋体" w:eastAsia="宋体" w:cs="宋体"/>
          <w:color w:val="auto"/>
          <w:kern w:val="2"/>
          <w:sz w:val="21"/>
          <w:szCs w:val="21"/>
          <w:highlight w:val="none"/>
          <w:u w:val="single"/>
          <w:lang w:val="en-US" w:eastAsia="zh-CN" w:bidi="ar-SA"/>
        </w:rPr>
        <w:t>接到中标通知书后</w:t>
      </w:r>
      <w:bookmarkStart w:id="194" w:name="EB6d842a4d4a65483a864e972069f92756"/>
      <w:bookmarkEnd w:id="194"/>
      <w:r>
        <w:rPr>
          <w:rFonts w:hint="eastAsia" w:ascii="宋体" w:hAnsi="宋体" w:eastAsia="宋体" w:cs="宋体"/>
          <w:color w:val="auto"/>
          <w:kern w:val="2"/>
          <w:sz w:val="21"/>
          <w:szCs w:val="21"/>
          <w:highlight w:val="none"/>
          <w:u w:val="single"/>
          <w:lang w:val="en-US" w:eastAsia="zh-CN" w:bidi="ar-SA"/>
        </w:rPr>
        <w:t>7天内。</w:t>
      </w:r>
    </w:p>
    <w:p w14:paraId="350570B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发包人和监理人在收到详细的施工组织设计后确认或提出修改意见的期限：</w:t>
      </w:r>
      <w:r>
        <w:rPr>
          <w:rFonts w:hint="eastAsia" w:ascii="宋体" w:hAnsi="宋体" w:eastAsia="宋体" w:cs="宋体"/>
          <w:color w:val="auto"/>
          <w:kern w:val="2"/>
          <w:sz w:val="21"/>
          <w:szCs w:val="21"/>
          <w:highlight w:val="none"/>
          <w:u w:val="single"/>
          <w:lang w:val="en-US" w:eastAsia="zh-CN" w:bidi="ar-SA"/>
        </w:rPr>
        <w:t>在承包人提供施工组织设计后</w:t>
      </w:r>
      <w:bookmarkStart w:id="195" w:name="EB747cb97e9dab43acb6685df8b067b4a2"/>
      <w:bookmarkEnd w:id="195"/>
      <w:r>
        <w:rPr>
          <w:rFonts w:hint="eastAsia" w:ascii="宋体" w:hAnsi="宋体" w:eastAsia="宋体" w:cs="宋体"/>
          <w:color w:val="auto"/>
          <w:kern w:val="2"/>
          <w:sz w:val="21"/>
          <w:szCs w:val="21"/>
          <w:highlight w:val="none"/>
          <w:u w:val="single"/>
          <w:lang w:val="en-US" w:eastAsia="zh-CN" w:bidi="ar-SA"/>
        </w:rPr>
        <w:t>7天内审定完毕；若发包人对其施工组织设计提出质疑或要求承包人进行修正，承包人应在</w:t>
      </w:r>
      <w:bookmarkStart w:id="196" w:name="EBf97cba21378943c2aa5c27fd5863738b"/>
      <w:bookmarkEnd w:id="196"/>
      <w:r>
        <w:rPr>
          <w:rFonts w:hint="eastAsia" w:ascii="宋体" w:hAnsi="宋体" w:eastAsia="宋体" w:cs="宋体"/>
          <w:color w:val="auto"/>
          <w:kern w:val="2"/>
          <w:sz w:val="21"/>
          <w:szCs w:val="21"/>
          <w:highlight w:val="none"/>
          <w:u w:val="single"/>
          <w:lang w:val="en-US" w:eastAsia="zh-CN" w:bidi="ar-SA"/>
        </w:rPr>
        <w:t>7天内提供修正的施工组织设计，发包人应在</w:t>
      </w:r>
      <w:bookmarkStart w:id="197" w:name="EBfc7be26d8abf4ef689a96679fc371358"/>
      <w:bookmarkEnd w:id="197"/>
      <w:r>
        <w:rPr>
          <w:rFonts w:hint="eastAsia" w:ascii="宋体" w:hAnsi="宋体" w:eastAsia="宋体" w:cs="宋体"/>
          <w:color w:val="auto"/>
          <w:kern w:val="2"/>
          <w:sz w:val="21"/>
          <w:szCs w:val="21"/>
          <w:highlight w:val="none"/>
          <w:u w:val="single"/>
          <w:lang w:val="en-US" w:eastAsia="zh-CN" w:bidi="ar-SA"/>
        </w:rPr>
        <w:t>7</w:t>
      </w:r>
      <w:r>
        <w:rPr>
          <w:rFonts w:hint="eastAsia" w:hAnsi="宋体" w:cs="宋体"/>
          <w:color w:val="auto"/>
          <w:kern w:val="2"/>
          <w:sz w:val="21"/>
          <w:szCs w:val="21"/>
          <w:highlight w:val="none"/>
          <w:u w:val="single"/>
          <w:lang w:val="en-US" w:eastAsia="zh-CN" w:bidi="ar-SA"/>
        </w:rPr>
        <w:t>个工作</w:t>
      </w:r>
      <w:r>
        <w:rPr>
          <w:rFonts w:hint="eastAsia" w:ascii="宋体" w:hAnsi="宋体" w:eastAsia="宋体" w:cs="宋体"/>
          <w:color w:val="auto"/>
          <w:kern w:val="2"/>
          <w:sz w:val="21"/>
          <w:szCs w:val="21"/>
          <w:highlight w:val="none"/>
          <w:u w:val="single"/>
          <w:lang w:val="en-US" w:eastAsia="zh-CN" w:bidi="ar-SA"/>
        </w:rPr>
        <w:t>日内对承包人修正的施工组织设计进行最后审定。</w:t>
      </w:r>
    </w:p>
    <w:p w14:paraId="7BF20BC6">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7.2 施工进度计划</w:t>
      </w:r>
    </w:p>
    <w:p w14:paraId="379C62A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7.2.2 施工进度计划的修订</w:t>
      </w:r>
    </w:p>
    <w:p w14:paraId="45340F77">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发包人和监理人在收到修订的施工进度计划后确认或提出修改意见的期限：</w:t>
      </w:r>
      <w:bookmarkStart w:id="198" w:name="EBd5d9d8892ae74d86a7401d065032f371"/>
      <w:bookmarkEnd w:id="198"/>
      <w:bookmarkStart w:id="199" w:name="EB7bcfc2bd8951402388bf68e3218a16e4"/>
      <w:r>
        <w:rPr>
          <w:rFonts w:hint="eastAsia" w:ascii="宋体" w:hAnsi="宋体" w:eastAsia="宋体" w:cs="宋体"/>
          <w:color w:val="auto"/>
          <w:kern w:val="2"/>
          <w:sz w:val="21"/>
          <w:szCs w:val="21"/>
          <w:highlight w:val="none"/>
          <w:u w:val="single"/>
          <w:lang w:val="en-US" w:eastAsia="zh-CN" w:bidi="ar-SA"/>
        </w:rPr>
        <w:t>三</w:t>
      </w:r>
      <w:bookmarkEnd w:id="199"/>
      <w:r>
        <w:rPr>
          <w:rFonts w:hint="eastAsia" w:hAnsi="宋体" w:cs="宋体"/>
          <w:color w:val="auto"/>
          <w:kern w:val="2"/>
          <w:sz w:val="21"/>
          <w:szCs w:val="21"/>
          <w:highlight w:val="none"/>
          <w:u w:val="single"/>
          <w:lang w:val="en-US" w:eastAsia="zh-CN" w:bidi="ar-SA"/>
        </w:rPr>
        <w:t>个工作日</w:t>
      </w:r>
      <w:r>
        <w:rPr>
          <w:rFonts w:hint="eastAsia" w:ascii="宋体" w:hAnsi="宋体" w:eastAsia="宋体" w:cs="宋体"/>
          <w:color w:val="auto"/>
          <w:kern w:val="2"/>
          <w:sz w:val="21"/>
          <w:szCs w:val="21"/>
          <w:highlight w:val="none"/>
          <w:u w:val="single"/>
          <w:lang w:val="en-US" w:eastAsia="zh-CN" w:bidi="ar-SA"/>
        </w:rPr>
        <w:t>内 。</w:t>
      </w:r>
    </w:p>
    <w:p w14:paraId="133E9AF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7.3.1 开工准备</w:t>
      </w:r>
    </w:p>
    <w:p w14:paraId="384CE47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关于承包人提交工程开工报审表的期限：</w:t>
      </w:r>
      <w:r>
        <w:rPr>
          <w:rFonts w:hint="eastAsia" w:ascii="宋体" w:hAnsi="宋体" w:cs="宋体"/>
          <w:color w:val="auto"/>
          <w:kern w:val="2"/>
          <w:sz w:val="21"/>
          <w:szCs w:val="21"/>
          <w:highlight w:val="none"/>
          <w:u w:val="single"/>
          <w:lang w:val="en-US" w:eastAsia="zh-CN" w:bidi="ar-SA"/>
        </w:rPr>
        <w:t>合同签订</w:t>
      </w:r>
      <w:r>
        <w:rPr>
          <w:rFonts w:hint="eastAsia" w:ascii="宋体" w:hAnsi="宋体" w:eastAsia="宋体" w:cs="宋体"/>
          <w:color w:val="auto"/>
          <w:kern w:val="2"/>
          <w:sz w:val="21"/>
          <w:szCs w:val="21"/>
          <w:highlight w:val="none"/>
          <w:u w:val="single"/>
          <w:lang w:val="en-US" w:eastAsia="zh-CN" w:bidi="ar-SA"/>
        </w:rPr>
        <w:t>后</w:t>
      </w:r>
      <w:r>
        <w:rPr>
          <w:rFonts w:hint="eastAsia" w:ascii="宋体" w:hAnsi="宋体" w:cs="宋体"/>
          <w:color w:val="auto"/>
          <w:kern w:val="2"/>
          <w:sz w:val="21"/>
          <w:szCs w:val="21"/>
          <w:highlight w:val="none"/>
          <w:u w:val="single"/>
          <w:lang w:val="en-US" w:eastAsia="zh-CN" w:bidi="ar-SA"/>
        </w:rPr>
        <w:t>七</w:t>
      </w:r>
      <w:r>
        <w:rPr>
          <w:rFonts w:hint="eastAsia" w:ascii="宋体" w:hAnsi="宋体" w:eastAsia="宋体" w:cs="宋体"/>
          <w:color w:val="auto"/>
          <w:kern w:val="2"/>
          <w:sz w:val="21"/>
          <w:szCs w:val="21"/>
          <w:highlight w:val="none"/>
          <w:u w:val="single"/>
          <w:lang w:val="en-US" w:eastAsia="zh-CN" w:bidi="ar-SA"/>
        </w:rPr>
        <w:t>天内 。</w:t>
      </w:r>
    </w:p>
    <w:p w14:paraId="329C464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关于发包人应完成的其他开工准备工作及期限：</w:t>
      </w:r>
      <w:r>
        <w:rPr>
          <w:rFonts w:hint="eastAsia" w:ascii="宋体" w:hAnsi="宋体" w:eastAsia="宋体" w:cs="宋体"/>
          <w:color w:val="auto"/>
          <w:kern w:val="2"/>
          <w:sz w:val="21"/>
          <w:szCs w:val="21"/>
          <w:highlight w:val="none"/>
          <w:u w:val="single"/>
          <w:lang w:val="en-US" w:eastAsia="zh-CN" w:bidi="ar-SA"/>
        </w:rPr>
        <w:t>开工前。</w:t>
      </w:r>
    </w:p>
    <w:p w14:paraId="5C5CE25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关于承包人应完成的其他开工准备工作及期限：</w:t>
      </w:r>
      <w:r>
        <w:rPr>
          <w:rFonts w:hint="eastAsia" w:ascii="宋体" w:hAnsi="宋体" w:eastAsia="宋体" w:cs="宋体"/>
          <w:color w:val="auto"/>
          <w:kern w:val="2"/>
          <w:sz w:val="21"/>
          <w:szCs w:val="21"/>
          <w:highlight w:val="none"/>
          <w:u w:val="single"/>
          <w:lang w:val="en-US" w:eastAsia="zh-CN" w:bidi="ar-SA"/>
        </w:rPr>
        <w:t>开工前完成临时设施搭建工作 。</w:t>
      </w:r>
    </w:p>
    <w:p w14:paraId="06A2EAD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7.3.2开工通知</w:t>
      </w:r>
    </w:p>
    <w:p w14:paraId="070292A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因发包人原因造成监理人未能在计划开工日期之日起</w:t>
      </w:r>
      <w:bookmarkStart w:id="200" w:name="EB06a88e521439456eb0edf8b0c4bf553e"/>
      <w:bookmarkEnd w:id="200"/>
      <w:r>
        <w:rPr>
          <w:rFonts w:hint="eastAsia" w:ascii="宋体" w:hAnsi="宋体" w:eastAsia="宋体" w:cs="宋体"/>
          <w:color w:val="auto"/>
          <w:kern w:val="2"/>
          <w:sz w:val="21"/>
          <w:szCs w:val="21"/>
          <w:highlight w:val="none"/>
          <w:u w:val="single"/>
          <w:lang w:val="en-US" w:eastAsia="zh-CN" w:bidi="ar-SA"/>
        </w:rPr>
        <w:t xml:space="preserve"> 90天内发出开工通知的，承包人有权提出价格调整要求，或者解除合同。</w:t>
      </w:r>
    </w:p>
    <w:p w14:paraId="7D9B0BF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发承包双方签订施工合同后，发包人由于征地拆迁、设计变更、规划调整等原因导致延期开工的，遇到人工、材料、机械价格上涨或下跌，经双方协商一致，发承包双方在开工前可按《浙江省建设工程计价规则》（2018版）规定的办法调整合同价格，并签订补充协议。</w:t>
      </w:r>
    </w:p>
    <w:p w14:paraId="257FC565">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7.4 测量放线</w:t>
      </w:r>
    </w:p>
    <w:p w14:paraId="178FC30C">
      <w:pPr>
        <w:widowControl/>
        <w:wordWrap/>
        <w:spacing w:before="156" w:line="320" w:lineRule="exact"/>
        <w:ind w:left="210" w:leftChars="100" w:firstLine="210" w:firstLineChars="1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lang w:val="en-US" w:eastAsia="zh-CN" w:bidi="ar-SA"/>
        </w:rPr>
        <w:t>开工前</w:t>
      </w:r>
      <w:bookmarkStart w:id="201" w:name="EB21c7e0a9c9a04ebb9f79459fc681ce2a"/>
      <w:r>
        <w:rPr>
          <w:rFonts w:hint="eastAsia" w:ascii="宋体" w:hAnsi="宋体" w:eastAsia="宋体" w:cs="宋体"/>
          <w:color w:val="auto"/>
          <w:kern w:val="2"/>
          <w:sz w:val="21"/>
          <w:szCs w:val="21"/>
          <w:highlight w:val="none"/>
          <w:u w:val="single"/>
          <w:lang w:val="en-US" w:eastAsia="zh-CN" w:bidi="ar-SA"/>
        </w:rPr>
        <w:t>五</w:t>
      </w:r>
      <w:bookmarkEnd w:id="201"/>
      <w:r>
        <w:rPr>
          <w:rFonts w:hint="eastAsia" w:ascii="宋体" w:hAnsi="宋体" w:eastAsia="宋体" w:cs="宋体"/>
          <w:color w:val="auto"/>
          <w:kern w:val="2"/>
          <w:sz w:val="21"/>
          <w:szCs w:val="21"/>
          <w:highlight w:val="none"/>
          <w:u w:val="single"/>
          <w:lang w:val="en-US" w:eastAsia="zh-CN" w:bidi="ar-SA"/>
        </w:rPr>
        <w:t>日内以书面形式移交。</w:t>
      </w:r>
    </w:p>
    <w:p w14:paraId="259752F4">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7.5 工期延误</w:t>
      </w:r>
    </w:p>
    <w:p w14:paraId="09BFFC7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7.5.1 因发包人原因导致工期延误</w:t>
      </w:r>
    </w:p>
    <w:p w14:paraId="76C73EF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（7）因发包人原因导致工期延误的其他情形：</w:t>
      </w:r>
      <w:bookmarkStart w:id="202" w:name="EB9d5b0f90a2da493f8371af21a8c40c60"/>
      <w:bookmarkEnd w:id="202"/>
      <w:bookmarkStart w:id="203" w:name="EB070dfd34b4694322ae82d6f1efd651ab"/>
      <w:r>
        <w:rPr>
          <w:rFonts w:hint="eastAsia" w:ascii="宋体" w:hAnsi="宋体" w:eastAsia="宋体" w:cs="宋体"/>
          <w:color w:val="auto"/>
          <w:kern w:val="2"/>
          <w:sz w:val="21"/>
          <w:szCs w:val="21"/>
          <w:highlight w:val="none"/>
          <w:u w:val="single"/>
          <w:lang w:val="en-US" w:eastAsia="zh-CN" w:bidi="ar-SA"/>
        </w:rPr>
        <w:t>如发生通用条款第7.5.1项约定情形的，且该时间处于经发包人批准的施工进度计划的关键线路上，重大设计变更，致使工程量增加20%以上，对于承包人产生实际影响的，造成延误的工期应予顺延。</w:t>
      </w:r>
      <w:bookmarkEnd w:id="203"/>
      <w:r>
        <w:rPr>
          <w:rFonts w:hint="eastAsia" w:ascii="宋体" w:hAnsi="宋体" w:eastAsia="宋体" w:cs="宋体"/>
          <w:color w:val="auto"/>
          <w:kern w:val="2"/>
          <w:sz w:val="21"/>
          <w:szCs w:val="21"/>
          <w:highlight w:val="none"/>
          <w:u w:val="single"/>
          <w:lang w:val="en-US" w:eastAsia="zh-CN" w:bidi="ar-SA"/>
        </w:rPr>
        <w:t>如遇政策处理原因，承包人须积极配合发包人统筹安排施工进度，不得向发包人提出工期费用的索赔，但经发包人确认工期应顺延误。除异常恶劣气候条件外，如遇天气等原因导致无法施工的，不得向发包人提出工期和费用的索赔，且不能作为工期延误的理由 。</w:t>
      </w:r>
    </w:p>
    <w:p w14:paraId="6572272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7.5.2 因承包人原因导致工期延误</w:t>
      </w:r>
    </w:p>
    <w:p w14:paraId="75528E4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因承包人原因造成工期延误，逾期竣工违约金的计算方法为：</w:t>
      </w:r>
      <w:bookmarkStart w:id="204" w:name="EB0a97a020cdb7425dbebf3541639783a2"/>
      <w:bookmarkEnd w:id="204"/>
      <w:r>
        <w:rPr>
          <w:rFonts w:hint="eastAsia" w:ascii="宋体" w:hAnsi="宋体" w:eastAsia="宋体" w:cs="宋体"/>
          <w:color w:val="auto"/>
          <w:kern w:val="2"/>
          <w:sz w:val="21"/>
          <w:szCs w:val="21"/>
          <w:highlight w:val="none"/>
          <w:u w:val="single"/>
          <w:lang w:val="en-US" w:eastAsia="zh-CN" w:bidi="ar-SA"/>
        </w:rPr>
        <w:t>逾期竣工的，承包人应向发包人支付5000元/天的工期违约金，并同时必须承担由此给发包人造成的其他经济损失，逾期竣工超过30天，从第31天起向发包人支付每天签约合同价千分之</w:t>
      </w:r>
      <w:r>
        <w:rPr>
          <w:rFonts w:hint="eastAsia" w:hAnsi="宋体" w:cs="宋体"/>
          <w:color w:val="auto"/>
          <w:kern w:val="2"/>
          <w:sz w:val="21"/>
          <w:szCs w:val="21"/>
          <w:highlight w:val="none"/>
          <w:u w:val="single"/>
          <w:lang w:val="en-US" w:eastAsia="zh-CN" w:bidi="ar-SA"/>
        </w:rPr>
        <w:t>三</w:t>
      </w:r>
      <w:r>
        <w:rPr>
          <w:rFonts w:hint="eastAsia" w:ascii="宋体" w:hAnsi="宋体" w:eastAsia="宋体" w:cs="宋体"/>
          <w:color w:val="auto"/>
          <w:kern w:val="2"/>
          <w:sz w:val="21"/>
          <w:szCs w:val="21"/>
          <w:highlight w:val="none"/>
          <w:u w:val="single"/>
          <w:lang w:val="en-US" w:eastAsia="zh-CN" w:bidi="ar-SA"/>
        </w:rPr>
        <w:t>的工期违约金；逾期竣工超过60天，从第61天起承包人向发包人支付每天签约合同价千分之</w:t>
      </w:r>
      <w:r>
        <w:rPr>
          <w:rFonts w:hint="eastAsia" w:hAnsi="宋体" w:cs="宋体"/>
          <w:color w:val="auto"/>
          <w:kern w:val="2"/>
          <w:sz w:val="21"/>
          <w:szCs w:val="21"/>
          <w:highlight w:val="none"/>
          <w:u w:val="single"/>
          <w:lang w:val="en-US" w:eastAsia="zh-CN" w:bidi="ar-SA"/>
        </w:rPr>
        <w:t>五</w:t>
      </w:r>
      <w:r>
        <w:rPr>
          <w:rFonts w:hint="eastAsia" w:ascii="宋体" w:hAnsi="宋体" w:eastAsia="宋体" w:cs="宋体"/>
          <w:color w:val="auto"/>
          <w:kern w:val="2"/>
          <w:sz w:val="21"/>
          <w:szCs w:val="21"/>
          <w:highlight w:val="none"/>
          <w:u w:val="single"/>
          <w:lang w:val="en-US" w:eastAsia="zh-CN" w:bidi="ar-SA"/>
        </w:rPr>
        <w:t>的工期违约金，发包人并可以解除合同，承包人还必须承担由此给发包人造成的费用增加和工期延误等其他经济损失；承包人在施工过程中不得以任何理由（除发包人同意外）擅自停工或变相停工，否则上述停工情况期间直接视为工期延误，适用本条违约条款执行。发包人可以从应付或者到期应付给承包人的任何款项中或采用其他方法扣除此违约金。承包人支付逾期交工违约金，不免除承包人完成工程及修补缺陷的义务。承包人在施工过程中不得以任何理由（除发包人同意外）擅自停工或变相停工，否则上述停工情况期间直接视为工期延误，适用本条违约条款执行。发包人可以从应付或者到期应付给承包人的任何款项中或采用其他方法扣除此违约金。承包人支付逾期交工违约金，不免除承包人完成工程及修补缺陷的义务 。</w:t>
      </w:r>
    </w:p>
    <w:p w14:paraId="4618002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因承包人原因造成工期延误，逾期竣工违约金的上限：</w:t>
      </w:r>
      <w:r>
        <w:rPr>
          <w:rFonts w:hint="eastAsia" w:ascii="宋体" w:hAnsi="宋体" w:eastAsia="宋体" w:cs="宋体"/>
          <w:color w:val="auto"/>
          <w:kern w:val="2"/>
          <w:sz w:val="21"/>
          <w:szCs w:val="21"/>
          <w:highlight w:val="none"/>
          <w:u w:val="single"/>
          <w:lang w:val="en-US" w:eastAsia="zh-CN" w:bidi="ar-SA"/>
        </w:rPr>
        <w:t xml:space="preserve"> 签约合同价的</w:t>
      </w:r>
      <w:r>
        <w:rPr>
          <w:rFonts w:hint="eastAsia" w:ascii="宋体" w:hAnsi="宋体" w:cs="宋体"/>
          <w:color w:val="auto"/>
          <w:kern w:val="2"/>
          <w:sz w:val="21"/>
          <w:szCs w:val="21"/>
          <w:highlight w:val="none"/>
          <w:u w:val="single"/>
          <w:lang w:val="en-US" w:eastAsia="zh-CN" w:bidi="ar-SA"/>
        </w:rPr>
        <w:t>10</w:t>
      </w:r>
      <w:r>
        <w:rPr>
          <w:rFonts w:hint="eastAsia" w:ascii="宋体" w:hAnsi="宋体" w:eastAsia="宋体" w:cs="宋体"/>
          <w:color w:val="auto"/>
          <w:kern w:val="2"/>
          <w:sz w:val="21"/>
          <w:szCs w:val="21"/>
          <w:highlight w:val="none"/>
          <w:u w:val="single"/>
          <w:lang w:val="en-US" w:eastAsia="zh-CN" w:bidi="ar-SA"/>
        </w:rPr>
        <w:t>% 。</w:t>
      </w:r>
    </w:p>
    <w:p w14:paraId="751362C1">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7.6 不利物质条件</w:t>
      </w:r>
    </w:p>
    <w:p w14:paraId="38634BB7">
      <w:pPr>
        <w:widowControl/>
        <w:wordWrap/>
        <w:spacing w:before="156" w:line="320" w:lineRule="exact"/>
        <w:ind w:firstLine="525" w:firstLineChars="2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不利物质条件的其他情形和有关约定：</w:t>
      </w:r>
    </w:p>
    <w:p w14:paraId="2BD3CA3E">
      <w:pPr>
        <w:wordWrap/>
        <w:spacing w:line="36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bookmarkStart w:id="205" w:name="EB61558d722fe24898b0294f52b845bbb0"/>
      <w:bookmarkEnd w:id="205"/>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p>
    <w:p w14:paraId="021ABDC2">
      <w:pPr>
        <w:wordWrap/>
        <w:spacing w:line="36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bookmarkStart w:id="206" w:name="EBca7bce6872174110b9692ba20989ecf1"/>
      <w:bookmarkEnd w:id="206"/>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p>
    <w:p w14:paraId="2BA3A3FA">
      <w:pPr>
        <w:wordWrap/>
        <w:spacing w:line="36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bookmarkStart w:id="207" w:name="EBfa06adc3c3a04d6daa256d18babc70c3"/>
      <w:bookmarkEnd w:id="20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p>
    <w:p w14:paraId="56E13C9E">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7.7异常恶劣的气候条件</w:t>
      </w:r>
    </w:p>
    <w:p w14:paraId="3398958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发包人和承包人同意以下情形视为异常恶劣的气候条件：</w:t>
      </w:r>
    </w:p>
    <w:p w14:paraId="7C67ED37">
      <w:pPr>
        <w:wordWrap/>
        <w:spacing w:line="36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bookmarkStart w:id="208" w:name="EB90226a3ee6f54c10af83c76409c4a3a2"/>
      <w:bookmarkEnd w:id="20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59C23ECB">
      <w:pPr>
        <w:wordWrap/>
        <w:spacing w:line="36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bookmarkStart w:id="209" w:name="EBbc39c558201f41439177ecb4471b88c0"/>
      <w:bookmarkEnd w:id="209"/>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3E51BC1D">
      <w:pPr>
        <w:wordWrap/>
        <w:spacing w:line="36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bookmarkStart w:id="210" w:name="EB4a80c9a1263144a7ad9290a0ea5196f3"/>
      <w:bookmarkEnd w:id="210"/>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0A2360D7">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7.8暂停施工</w:t>
      </w:r>
    </w:p>
    <w:p w14:paraId="2C230A4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工程项目开工后，由于中途暂停施工导致实际工期超合同工期，经双方协商一致，发承包双方在复工前应根据双方各自责任，按《浙江省建设工程计价规则》（2018版）规定的办法调整人工、材料、机械价差，并签订补充协议。</w:t>
      </w:r>
    </w:p>
    <w:p w14:paraId="38E3B8D7">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7.9 提前竣工的奖励</w:t>
      </w:r>
    </w:p>
    <w:p w14:paraId="1D2BA90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7.9.2提前竣工的奖励：</w:t>
      </w:r>
      <w:bookmarkStart w:id="211" w:name="EBdb68d1de5ecc413bbed7498c5bd402ac"/>
      <w:bookmarkEnd w:id="211"/>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u w:val="none"/>
          <w:lang w:val="en-US" w:eastAsia="zh-CN" w:bidi="ar-SA"/>
        </w:rPr>
        <w:t>。</w:t>
      </w:r>
    </w:p>
    <w:p w14:paraId="7E8ADD6B">
      <w:pPr>
        <w:wordWrap/>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 材料与设备</w:t>
      </w:r>
    </w:p>
    <w:p w14:paraId="222C4867">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8.4材料与工程设备的保管与使用</w:t>
      </w:r>
    </w:p>
    <w:p w14:paraId="79D69FA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8.4.1发包人供应的材料设备的保管费用的承担：</w:t>
      </w:r>
      <w:r>
        <w:rPr>
          <w:rFonts w:hint="eastAsia" w:ascii="宋体" w:hAnsi="宋体" w:eastAsia="宋体" w:cs="宋体"/>
          <w:color w:val="auto"/>
          <w:kern w:val="2"/>
          <w:sz w:val="21"/>
          <w:szCs w:val="21"/>
          <w:highlight w:val="none"/>
          <w:u w:val="single"/>
          <w:lang w:val="en-US" w:eastAsia="zh-CN" w:bidi="ar-SA"/>
        </w:rPr>
        <w:t>除服务内容和要求发生变化外，甲供材料设备保管费分别按甲供材料金额、甲供设备金额以投标报价的相应保管费费率计算 。</w:t>
      </w:r>
    </w:p>
    <w:p w14:paraId="68C92E11">
      <w:pPr>
        <w:pStyle w:val="168"/>
        <w:spacing w:line="300" w:lineRule="exact"/>
        <w:ind w:left="420" w:left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8.4.2 承包人采购材料与工程设备的保管与使用: </w:t>
      </w:r>
    </w:p>
    <w:p w14:paraId="25AFB319">
      <w:pPr>
        <w:pStyle w:val="168"/>
        <w:spacing w:line="300" w:lineRule="exact"/>
        <w:ind w:left="420" w:left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a)本工程所需的材料均由承包人自行采购供应</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采购人有权提前对承包人采购的材料进行实地考察及了解。</w:t>
      </w:r>
    </w:p>
    <w:p w14:paraId="4B5EF836">
      <w:pPr>
        <w:pStyle w:val="168"/>
        <w:spacing w:line="300" w:lineRule="exact"/>
        <w:ind w:left="420" w:left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b)所有材料必须按时提供质保单和检验报告或合格证，并且符合施工图纸和施工规范要求。</w:t>
      </w:r>
    </w:p>
    <w:p w14:paraId="0521918B">
      <w:pPr>
        <w:pStyle w:val="168"/>
        <w:spacing w:line="3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c)施工用水、用电由承包人单独设置水、电计量表，按有关部门规定，由承包人按计量付费</w:t>
      </w:r>
    </w:p>
    <w:p w14:paraId="7FEE2094">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8.6 样品</w:t>
      </w:r>
    </w:p>
    <w:p w14:paraId="45D8724A">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8.6.1 样品的报送与封存</w:t>
      </w:r>
    </w:p>
    <w:p w14:paraId="1E63466D">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需要承包人报送样品的材料或工程设备，样品的种类、名称、规格、数量要求：</w:t>
      </w:r>
    </w:p>
    <w:p w14:paraId="6BB807C9">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应按合同规定的品牌、规格、数量、产地、技术参数等组织采购，但采购前需要携带本材料、设备的原产地证明提前报监理工程师审核、发包人确认后方可采购；承包人若未经监理工程师及发包人确认，所采购的材料、设备，发包人有权让承包人更换，由此产生的一切损失由承包人承担。</w:t>
      </w:r>
    </w:p>
    <w:p w14:paraId="23E86FFA">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所有材料、设备必须按时提供测试报告、质保书或合格证，并且符合施工图纸和技术规范要求，测试费用由承包人承担。承包人采购供应的材料、设备，在开箱验收前24小时内，向发包人和监理工程师提出开箱检验请求，经发包人和监理工程师验收合格并签署意见后方可使用。</w:t>
      </w:r>
    </w:p>
    <w:p w14:paraId="65725D95">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（3）承包人在提供样品时必须提供产品合格证书和计量检定证书，不合格的承包人应退货；已使用的承包人应拆除返工，由此产生的一切后果由承包人承担，因此产生的工期延误不予顺延。</w:t>
      </w:r>
    </w:p>
    <w:p w14:paraId="11D10C6A">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与供货商签订合同后须向业主报备。业主有权监督承包人与供货商的合同履行情况，若承包人不按合同规定支付材料（设备）款，业主有权从应支付给承包人的任一款项中扣除该部分并支付给材料（设备）供货商。</w:t>
      </w:r>
    </w:p>
    <w:p w14:paraId="4D4EB5E1">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（5）在承包商与设备供货商签订的合同中必须明确：在设备生产过程中和出厂试验时，业主方有权随时派员对设备生产厂家进行实地考察及了解有关所供设备的生产及试验情况。</w:t>
      </w:r>
    </w:p>
    <w:p w14:paraId="5C86F578">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（6）对于进口设备，承包人必须出具有国内代理商提供的原产地证明，并提供进口设备的报关单及相关检验证明的原件。</w:t>
      </w:r>
    </w:p>
    <w:p w14:paraId="41C9E34B">
      <w:pPr>
        <w:pStyle w:val="166"/>
        <w:autoSpaceDE w:val="0"/>
        <w:autoSpaceDN w:val="0"/>
        <w:adjustRightInd w:val="0"/>
        <w:spacing w:line="3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（7）在产品投标价格不变，质量、性能优于合同规定的材料、设备品牌的情况下，承包人可以提出对其进行更换的书面请求，在征得发包人同意确认后采购。</w:t>
      </w:r>
    </w:p>
    <w:p w14:paraId="7F37930A">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single"/>
          <w:lang w:val="en-US" w:eastAsia="zh-CN" w:bidi="ar-SA"/>
        </w:rPr>
        <w:t>（8）发包人有权对进场的材料、设备进行检测，若检测结果为不合格，则发包人有权让承包人更换，由此产生的一切损失由承包人承担。</w:t>
      </w:r>
      <w:r>
        <w:rPr>
          <w:rFonts w:hint="eastAsia" w:ascii="宋体" w:hAnsi="宋体" w:eastAsia="宋体" w:cs="宋体"/>
          <w:color w:val="auto"/>
          <w:kern w:val="2"/>
          <w:sz w:val="21"/>
          <w:szCs w:val="21"/>
          <w:highlight w:val="none"/>
          <w:u w:val="none"/>
          <w:lang w:val="en-US" w:eastAsia="zh-CN" w:bidi="ar-SA"/>
        </w:rPr>
        <w:t xml:space="preserve">       </w:t>
      </w:r>
      <w:bookmarkStart w:id="212" w:name="EBae9c9c47e2ba41239bae9a37f26d042b"/>
      <w:bookmarkEnd w:id="212"/>
    </w:p>
    <w:p w14:paraId="0DBEB142">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8.8 施工设备和临时设施</w:t>
      </w:r>
    </w:p>
    <w:p w14:paraId="03AEC66B">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8.8.1 承包人提供的施工设备和临时设施</w:t>
      </w:r>
    </w:p>
    <w:p w14:paraId="7C93E03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关于提供施工设备费用承担的约定：</w:t>
      </w:r>
      <w:bookmarkStart w:id="213" w:name="EBaf55c2c55c6b47079ef376aedc8cbb6c"/>
      <w:bookmarkEnd w:id="213"/>
      <w:bookmarkStart w:id="214" w:name="EB86f5e0f3fdd5485ca78c3748b51cdeab"/>
      <w:r>
        <w:rPr>
          <w:rFonts w:hint="eastAsia" w:ascii="宋体" w:hAnsi="宋体" w:eastAsia="宋体" w:cs="宋体"/>
          <w:color w:val="auto"/>
          <w:kern w:val="2"/>
          <w:sz w:val="21"/>
          <w:szCs w:val="21"/>
          <w:highlight w:val="none"/>
          <w:u w:val="single"/>
          <w:lang w:val="en-US" w:eastAsia="zh-CN" w:bidi="ar-SA"/>
        </w:rPr>
        <w:t>根据现场实际需要，由承包人自行解决，发生费用由承包人承担</w:t>
      </w:r>
      <w:bookmarkEnd w:id="214"/>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none"/>
          <w:lang w:val="en-US" w:eastAsia="zh-CN" w:bidi="ar-SA"/>
        </w:rPr>
        <w:t xml:space="preserve">                                </w:t>
      </w:r>
    </w:p>
    <w:p w14:paraId="6D99084D">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关于修建临时设施费用承担的约定：</w:t>
      </w:r>
      <w:bookmarkStart w:id="215" w:name="EBe9921fbde6b14763ab0350576ec1cb5c"/>
      <w:bookmarkEnd w:id="215"/>
      <w:r>
        <w:rPr>
          <w:rFonts w:hint="eastAsia" w:ascii="宋体" w:hAnsi="宋体" w:eastAsia="宋体" w:cs="宋体"/>
          <w:color w:val="auto"/>
          <w:kern w:val="2"/>
          <w:sz w:val="21"/>
          <w:szCs w:val="21"/>
          <w:highlight w:val="none"/>
          <w:u w:val="single"/>
          <w:lang w:val="en-US" w:eastAsia="zh-CN" w:bidi="ar-SA"/>
        </w:rPr>
        <w:t>根据现场实际需要，由承包人自行解决，发生费用由承包人承担。</w:t>
      </w:r>
    </w:p>
    <w:p w14:paraId="292F70C6">
      <w:pPr>
        <w:wordWrap/>
        <w:spacing w:line="240" w:lineRule="auto"/>
        <w:ind w:firstLine="0" w:firstLineChars="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9. 试验与检验</w:t>
      </w:r>
    </w:p>
    <w:p w14:paraId="2E396E46">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9.1试验设备与试验人员</w:t>
      </w:r>
    </w:p>
    <w:p w14:paraId="670D6F1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9.1.2 试验设备</w:t>
      </w:r>
    </w:p>
    <w:p w14:paraId="57EEC0BC">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施工现场需要配置的试验场所：</w:t>
      </w:r>
      <w:bookmarkStart w:id="216" w:name="EB49cea67eee6f4d5dbe7b750f1fcc752f"/>
      <w:bookmarkEnd w:id="216"/>
      <w:bookmarkStart w:id="217" w:name="EB88425ee0af144de0ba2586b0d81f9f55"/>
      <w:r>
        <w:rPr>
          <w:rFonts w:hint="eastAsia" w:ascii="宋体" w:hAnsi="宋体" w:eastAsia="宋体" w:cs="宋体"/>
          <w:color w:val="auto"/>
          <w:kern w:val="2"/>
          <w:sz w:val="21"/>
          <w:szCs w:val="21"/>
          <w:highlight w:val="none"/>
          <w:u w:val="single"/>
          <w:lang w:val="en-US" w:eastAsia="zh-CN" w:bidi="ar-SA"/>
        </w:rPr>
        <w:t>根据现场实际需要，由承包人自行解决，发生费用由承包人承担</w:t>
      </w:r>
      <w:bookmarkEnd w:id="217"/>
      <w:r>
        <w:rPr>
          <w:rFonts w:hint="eastAsia" w:ascii="宋体" w:hAnsi="宋体" w:eastAsia="宋体" w:cs="宋体"/>
          <w:color w:val="auto"/>
          <w:kern w:val="2"/>
          <w:sz w:val="21"/>
          <w:szCs w:val="21"/>
          <w:highlight w:val="none"/>
          <w:u w:val="single"/>
          <w:lang w:val="en-US" w:eastAsia="zh-CN" w:bidi="ar-SA"/>
        </w:rPr>
        <w:t xml:space="preserve"> 。</w:t>
      </w:r>
    </w:p>
    <w:p w14:paraId="69EA04E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施工现场需要配备的试验设备：</w:t>
      </w:r>
      <w:bookmarkStart w:id="218" w:name="EB1a632227f4f941af971bedd9c79d7f88"/>
      <w:bookmarkEnd w:id="218"/>
      <w:r>
        <w:rPr>
          <w:rFonts w:hint="eastAsia" w:ascii="宋体" w:hAnsi="宋体" w:eastAsia="宋体" w:cs="宋体"/>
          <w:color w:val="auto"/>
          <w:kern w:val="2"/>
          <w:sz w:val="21"/>
          <w:szCs w:val="21"/>
          <w:highlight w:val="none"/>
          <w:u w:val="single"/>
          <w:lang w:val="en-US" w:eastAsia="zh-CN" w:bidi="ar-SA"/>
        </w:rPr>
        <w:t>根据现场实际需要，由承包人自行解决，发生费用由承包人承担 。</w:t>
      </w:r>
    </w:p>
    <w:p w14:paraId="51735BE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施工现场需要具备的其他试验条件：</w:t>
      </w:r>
      <w:bookmarkStart w:id="219" w:name="EBd569981df60642e388814fcf30026d77"/>
      <w:bookmarkEnd w:id="219"/>
      <w:bookmarkStart w:id="220" w:name="EB106d23ae36ca4beb99b1bc415d40fbef"/>
      <w:r>
        <w:rPr>
          <w:rFonts w:hint="eastAsia" w:ascii="宋体" w:hAnsi="宋体" w:eastAsia="宋体" w:cs="宋体"/>
          <w:color w:val="auto"/>
          <w:kern w:val="2"/>
          <w:sz w:val="21"/>
          <w:szCs w:val="21"/>
          <w:highlight w:val="none"/>
          <w:u w:val="single"/>
          <w:lang w:val="en-US" w:eastAsia="zh-CN" w:bidi="ar-SA"/>
        </w:rPr>
        <w:t>根据现场实际需要，由承包人自行解决，发生费用由承包人承担</w:t>
      </w:r>
      <w:bookmarkEnd w:id="220"/>
      <w:r>
        <w:rPr>
          <w:rFonts w:hint="eastAsia" w:ascii="宋体" w:hAnsi="宋体" w:eastAsia="宋体" w:cs="宋体"/>
          <w:color w:val="auto"/>
          <w:kern w:val="2"/>
          <w:sz w:val="21"/>
          <w:szCs w:val="21"/>
          <w:highlight w:val="none"/>
          <w:u w:val="single"/>
          <w:lang w:val="en-US" w:eastAsia="zh-CN" w:bidi="ar-SA"/>
        </w:rPr>
        <w:t>。</w:t>
      </w:r>
    </w:p>
    <w:p w14:paraId="65193555">
      <w:pPr>
        <w:wordWrap/>
        <w:spacing w:line="586"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9.3 材料、工程设备和工程的试验和检验</w:t>
      </w:r>
    </w:p>
    <w:p w14:paraId="4C717494">
      <w:pPr>
        <w:wordWrap/>
        <w:spacing w:line="586"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材料、设备和工程的试验和检验的费用：</w:t>
      </w:r>
    </w:p>
    <w:p w14:paraId="14478797">
      <w:pPr>
        <w:widowControl/>
        <w:wordWrap/>
        <w:spacing w:before="156" w:line="360" w:lineRule="exact"/>
        <w:ind w:firstLine="506" w:firstLineChars="241"/>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（1）按《建设工程质量管理条例》、《建设工程质量检测管理办法》等及省、市地方有关工程质量检测的有关规定实施。</w:t>
      </w:r>
    </w:p>
    <w:p w14:paraId="2CE656F3">
      <w:pPr>
        <w:widowControl/>
        <w:wordWrap/>
        <w:spacing w:before="156" w:line="360" w:lineRule="exact"/>
        <w:ind w:firstLine="506" w:firstLineChars="241"/>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84381C5">
      <w:pPr>
        <w:widowControl/>
        <w:wordWrap/>
        <w:spacing w:before="156" w:line="360" w:lineRule="exact"/>
        <w:ind w:firstLine="506" w:firstLineChars="241"/>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3）当质量安全管理机构根据相关规范要求开展，要求发包人与承包人开展本工程某一部分质量实体或某项材料设备质量监督抽检，如地基基础工程检测、结构实体检测、空气检测等专项检测需要时，发包人与承包人应配合，按要求进行检（试）验，检测、恢复费用由发包人承担。如检测不合格，则由承包人承担本次及重新检测、恢复费用。</w:t>
      </w:r>
    </w:p>
    <w:p w14:paraId="3D47F218">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9.4 现场工艺试验 </w:t>
      </w:r>
    </w:p>
    <w:p w14:paraId="3F03A91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现场工艺试验的有关约定：</w:t>
      </w:r>
      <w:bookmarkStart w:id="221" w:name="EB10d59a8dfe1f417cb32124bff24e3167"/>
      <w:bookmarkEnd w:id="221"/>
      <w:r>
        <w:rPr>
          <w:rFonts w:hint="eastAsia" w:ascii="宋体" w:hAnsi="宋体" w:eastAsia="宋体" w:cs="宋体"/>
          <w:color w:val="auto"/>
          <w:kern w:val="2"/>
          <w:sz w:val="21"/>
          <w:szCs w:val="21"/>
          <w:highlight w:val="none"/>
          <w:u w:val="single"/>
          <w:lang w:val="en-US" w:eastAsia="zh-CN" w:bidi="ar-SA"/>
        </w:rPr>
        <w:t>根据有关部门相关规范要求进行检验，所产生的检测费用由发承包双方根据相关规定各自承担；所有的施工工序必须执行样板先行制度，样板检查通过后方可全面实施 。</w:t>
      </w:r>
    </w:p>
    <w:p w14:paraId="5F7CA090">
      <w:pPr>
        <w:wordWrap/>
        <w:spacing w:line="240" w:lineRule="auto"/>
        <w:ind w:firstLine="0" w:firstLineChars="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10. 变更</w:t>
      </w:r>
    </w:p>
    <w:p w14:paraId="41C08A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10.1变更的范围</w:t>
      </w:r>
    </w:p>
    <w:p w14:paraId="02EDE31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auto"/>
          <w:kern w:val="0"/>
          <w:szCs w:val="21"/>
          <w:highlight w:val="none"/>
          <w:lang w:val="en-US" w:eastAsia="zh-CN"/>
        </w:rPr>
        <w:t>关于变更的范围的约定：</w:t>
      </w:r>
      <w:bookmarkStart w:id="222" w:name="EBce86e954ee21479aa211d25c89fe2f0b"/>
      <w:bookmarkEnd w:id="222"/>
      <w:r>
        <w:rPr>
          <w:rFonts w:hint="eastAsia" w:ascii="宋体" w:hAnsi="宋体" w:eastAsia="宋体" w:cs="宋体"/>
          <w:color w:val="auto"/>
          <w:kern w:val="0"/>
          <w:szCs w:val="21"/>
          <w:highlight w:val="none"/>
          <w:lang w:val="en-US" w:eastAsia="zh-CN"/>
        </w:rPr>
        <w:t>（1）发包人有权根据工程需要调整项目设计，增加或减少部分工程范围，承包人不得以任何理由拒绝施</w:t>
      </w:r>
      <w:r>
        <w:rPr>
          <w:rFonts w:hint="eastAsia" w:ascii="宋体" w:hAnsi="宋体" w:eastAsia="宋体" w:cs="宋体"/>
          <w:color w:val="000000"/>
          <w:kern w:val="0"/>
          <w:szCs w:val="21"/>
          <w:highlight w:val="none"/>
          <w:lang w:val="en-US" w:eastAsia="zh-CN"/>
        </w:rPr>
        <w:t>工。（2）如承包人擅自变更导致的拆除、返工费用不予计取，工期不予调整。设计变更必须经设计单位，发包人确认；因工程变更而产生的新增减工程量，经发包人工程联系单盖章签复意见后，方可作为结算依据。（3）如承包人在变更发生后提出，发包人不予答复，不支付任何费用，并追究承包人相应责任。（4）施工中承包人不得对原工程设计进行变更。因承包人擅自变更设计发生的费用和由此导致发包人的直接损失，由承包人承担，延误的工期不予顺延。（5）承包人在施工中提出的合理化建议涉及到设计图纸或施工组织设计的更改及对材料、设备的换用，须经发包人同意。未经同意擅自更改或换用时，承包人承担由此发生的费用，并赔偿发包人的有关损失，延误的工期不予顺延。</w:t>
      </w:r>
    </w:p>
    <w:p w14:paraId="774ED9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10.4 变更估价 </w:t>
      </w:r>
    </w:p>
    <w:p w14:paraId="140C5C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10.4.1 变更估价原则</w:t>
      </w:r>
    </w:p>
    <w:p w14:paraId="0A471374">
      <w:pPr>
        <w:wordWrap/>
        <w:spacing w:line="440" w:lineRule="exact"/>
        <w:ind w:firstLine="420" w:firstLineChars="200"/>
        <w:rPr>
          <w:rFonts w:hint="eastAsia" w:ascii="宋体" w:hAnsi="宋体" w:eastAsia="宋体" w:cs="宋体"/>
          <w:strike/>
          <w:dstrike w:val="0"/>
          <w:color w:val="auto"/>
          <w:kern w:val="0"/>
          <w:szCs w:val="21"/>
          <w:highlight w:val="none"/>
          <w:lang w:val="en-US" w:eastAsia="zh-CN"/>
        </w:rPr>
      </w:pPr>
      <w:r>
        <w:rPr>
          <w:rFonts w:hint="eastAsia" w:ascii="宋体" w:hAnsi="宋体" w:eastAsia="宋体" w:cs="宋体"/>
          <w:color w:val="000000"/>
          <w:kern w:val="0"/>
          <w:szCs w:val="21"/>
          <w:highlight w:val="none"/>
          <w:lang w:val="en-US" w:eastAsia="zh-CN"/>
        </w:rPr>
        <w:t>关于变更估价的约定：</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Cs w:val="21"/>
          <w:highlight w:val="none"/>
          <w:u w:val="single"/>
          <w:lang w:val="en-US" w:eastAsia="zh-CN"/>
        </w:rPr>
        <w:t>按本合同12.1条第1款的规定执行</w:t>
      </w:r>
      <w:r>
        <w:rPr>
          <w:rFonts w:hint="eastAsia" w:ascii="宋体" w:hAnsi="宋体" w:eastAsia="宋体" w:cs="宋体"/>
          <w:color w:val="auto"/>
          <w:sz w:val="24"/>
          <w:highlight w:val="none"/>
          <w:u w:val="single"/>
          <w:lang w:eastAsia="zh-CN"/>
        </w:rPr>
        <w:t>。</w:t>
      </w:r>
    </w:p>
    <w:p w14:paraId="3009C27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10.5承包人的合理化建议</w:t>
      </w:r>
    </w:p>
    <w:p w14:paraId="6396066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监理人审查承包人合理化建议的期限：</w:t>
      </w:r>
      <w:bookmarkStart w:id="223" w:name="EB01613561e9584981837f0c1808d9bb1b"/>
      <w:bookmarkEnd w:id="223"/>
      <w:bookmarkStart w:id="224" w:name="EB4a7a6e10e365445ea8787102f1dc77b1"/>
      <w:r>
        <w:rPr>
          <w:rFonts w:hint="eastAsia" w:ascii="宋体" w:hAnsi="宋体" w:eastAsia="宋体" w:cs="宋体"/>
          <w:color w:val="000000"/>
          <w:kern w:val="0"/>
          <w:szCs w:val="21"/>
          <w:highlight w:val="none"/>
          <w:lang w:val="en-US" w:eastAsia="zh-CN"/>
        </w:rPr>
        <w:t>按通用条款执行</w:t>
      </w:r>
      <w:bookmarkEnd w:id="224"/>
      <w:r>
        <w:rPr>
          <w:rFonts w:hint="eastAsia" w:ascii="宋体" w:hAnsi="宋体" w:eastAsia="宋体" w:cs="宋体"/>
          <w:color w:val="000000"/>
          <w:kern w:val="0"/>
          <w:szCs w:val="21"/>
          <w:highlight w:val="none"/>
          <w:lang w:val="en-US" w:eastAsia="zh-CN"/>
        </w:rPr>
        <w:t xml:space="preserve"> 。</w:t>
      </w:r>
    </w:p>
    <w:p w14:paraId="6403662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发包人审批承包人合理化建议的期限：</w:t>
      </w:r>
      <w:bookmarkStart w:id="225" w:name="EB0bccd84360f74c529f351258c4bcd93b"/>
      <w:bookmarkEnd w:id="225"/>
      <w:r>
        <w:rPr>
          <w:rFonts w:hint="eastAsia" w:ascii="宋体" w:hAnsi="宋体" w:eastAsia="宋体" w:cs="宋体"/>
          <w:color w:val="000000"/>
          <w:kern w:val="0"/>
          <w:szCs w:val="21"/>
          <w:highlight w:val="none"/>
          <w:lang w:val="en-US" w:eastAsia="zh-CN"/>
        </w:rPr>
        <w:t>按通用条款执行 。</w:t>
      </w:r>
    </w:p>
    <w:p w14:paraId="46B96C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承包人提出的合理化建议降低了合同价格或者提高了工程经济效益的奖励的方法和金额为：</w:t>
      </w:r>
      <w:bookmarkStart w:id="226" w:name="EB4b19bf24d61546a8b23eb8f3b02a8621"/>
      <w:bookmarkEnd w:id="226"/>
      <w:r>
        <w:rPr>
          <w:rFonts w:hint="eastAsia" w:ascii="宋体" w:hAnsi="宋体" w:eastAsia="宋体" w:cs="宋体"/>
          <w:color w:val="000000"/>
          <w:kern w:val="0"/>
          <w:szCs w:val="21"/>
          <w:highlight w:val="none"/>
          <w:lang w:val="en-US" w:eastAsia="zh-CN"/>
        </w:rPr>
        <w:t xml:space="preserve"> </w:t>
      </w:r>
      <w:bookmarkStart w:id="227" w:name="EB5fdc99f3691645d888cc9377f5f2201a"/>
      <w:r>
        <w:rPr>
          <w:rFonts w:hint="eastAsia" w:ascii="宋体" w:hAnsi="宋体" w:eastAsia="宋体" w:cs="宋体"/>
          <w:color w:val="000000"/>
          <w:kern w:val="0"/>
          <w:szCs w:val="21"/>
          <w:highlight w:val="none"/>
          <w:lang w:val="en-US" w:eastAsia="zh-CN"/>
        </w:rPr>
        <w:t>无</w:t>
      </w:r>
      <w:bookmarkEnd w:id="227"/>
      <w:r>
        <w:rPr>
          <w:rFonts w:hint="eastAsia" w:ascii="宋体" w:hAnsi="宋体" w:eastAsia="宋体" w:cs="宋体"/>
          <w:color w:val="000000"/>
          <w:kern w:val="0"/>
          <w:szCs w:val="21"/>
          <w:highlight w:val="none"/>
          <w:lang w:val="en-US" w:eastAsia="zh-CN"/>
        </w:rPr>
        <w:t>。</w:t>
      </w:r>
    </w:p>
    <w:p w14:paraId="7CBAD4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10.7 暂估价</w:t>
      </w:r>
    </w:p>
    <w:p w14:paraId="3E35B9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材料（工程设备）暂估价明细详见附件3：《材料（工程设备）暂估价表》。</w:t>
      </w:r>
    </w:p>
    <w:p w14:paraId="5EEDCD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专业工程暂估价详见附件：《专业工程暂估价表》</w:t>
      </w:r>
    </w:p>
    <w:p w14:paraId="75EAF9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专项技术措施暂估价详见附件：《专项技术措施暂估价表》</w:t>
      </w:r>
    </w:p>
    <w:p w14:paraId="7F94FA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10.7.1 依法必须招标的暂估价项目</w:t>
      </w:r>
    </w:p>
    <w:p w14:paraId="70D1F7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对于依法必须招标的暂估价项目的确认和批准采取第</w:t>
      </w:r>
      <w:bookmarkStart w:id="228" w:name="EBb6d6806deb6c4990a0fccbda3b119b6b"/>
      <w:bookmarkEnd w:id="228"/>
      <w:r>
        <w:rPr>
          <w:rFonts w:hint="eastAsia" w:ascii="宋体" w:hAnsi="宋体" w:eastAsia="宋体" w:cs="宋体"/>
          <w:color w:val="000000"/>
          <w:kern w:val="0"/>
          <w:szCs w:val="21"/>
          <w:highlight w:val="none"/>
          <w:lang w:val="en-US" w:eastAsia="zh-CN"/>
        </w:rPr>
        <w:t xml:space="preserve">   种方式确定。</w:t>
      </w:r>
    </w:p>
    <w:p w14:paraId="5B3B39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10.7.2 不属于依法必须招标的暂估价项目</w:t>
      </w:r>
    </w:p>
    <w:p w14:paraId="4AC7FB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对于不属于依法必须招标的暂估价项目的确认和批准采取第</w:t>
      </w:r>
      <w:bookmarkStart w:id="229" w:name="EB1177c9040ff141d881ec03d7b340b3d6"/>
      <w:bookmarkEnd w:id="229"/>
      <w:r>
        <w:rPr>
          <w:rFonts w:hint="eastAsia" w:ascii="宋体" w:hAnsi="宋体" w:eastAsia="宋体" w:cs="宋体"/>
          <w:color w:val="000000"/>
          <w:kern w:val="0"/>
          <w:szCs w:val="21"/>
          <w:highlight w:val="none"/>
          <w:lang w:val="en-US" w:eastAsia="zh-CN"/>
        </w:rPr>
        <w:t xml:space="preserve"> 3 种方式确定。</w:t>
      </w:r>
    </w:p>
    <w:p w14:paraId="1C54F4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第3种方式：承包人直接实施的暂估价项目</w:t>
      </w:r>
    </w:p>
    <w:p w14:paraId="7F2A133A">
      <w:pPr>
        <w:widowControl w:val="0"/>
        <w:wordWrap/>
        <w:spacing w:before="156" w:line="360" w:lineRule="auto"/>
        <w:ind w:firstLine="508" w:firstLineChars="241"/>
        <w:jc w:val="both"/>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承包人直接实施的暂估价项目的约定：</w:t>
      </w:r>
      <w:bookmarkStart w:id="230" w:name="EBddaf4c44cd5249f69d06bde1391e2a9d"/>
      <w:bookmarkEnd w:id="230"/>
      <w:r>
        <w:rPr>
          <w:rFonts w:hint="eastAsia" w:ascii="宋体" w:hAnsi="宋体" w:eastAsia="宋体" w:cs="宋体"/>
          <w:b w:val="0"/>
          <w:bCs/>
          <w:color w:val="auto"/>
          <w:kern w:val="0"/>
          <w:sz w:val="21"/>
          <w:szCs w:val="21"/>
          <w:highlight w:val="none"/>
          <w:u w:val="single"/>
          <w:lang w:val="en-US" w:eastAsia="zh-CN" w:bidi="ar-SA"/>
        </w:rPr>
        <w:t>经发包人确认后执行。</w:t>
      </w:r>
    </w:p>
    <w:p w14:paraId="2C50A7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10.8 暂列金额</w:t>
      </w:r>
    </w:p>
    <w:p w14:paraId="33DA8A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合同当事人关于暂列金额使用的约定：</w:t>
      </w:r>
    </w:p>
    <w:p w14:paraId="548BFD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000000"/>
          <w:kern w:val="0"/>
          <w:szCs w:val="21"/>
          <w:highlight w:val="none"/>
          <w:lang w:val="en-US" w:eastAsia="zh-CN"/>
        </w:rPr>
        <w:t>暂列金额是指发包人在工程量清单中暂定并包括在合同价款中的一笔款项。用于施工合同签订时尚未确定或者不可预见的所需材料、设备、服务的采购，施工中可能发生的工程变更、合同约定调整因素出现时的工程价款调整及发生的索赔、现场签证确认等的费用</w:t>
      </w:r>
      <w:r>
        <w:rPr>
          <w:rFonts w:hint="eastAsia" w:ascii="宋体" w:hAnsi="宋体" w:eastAsia="宋体" w:cs="宋体"/>
          <w:strike w:val="0"/>
          <w:dstrike w:val="0"/>
          <w:color w:val="000000"/>
          <w:kern w:val="0"/>
          <w:szCs w:val="21"/>
          <w:highlight w:val="none"/>
          <w:lang w:val="en-US" w:eastAsia="zh-CN"/>
        </w:rPr>
        <w:t>。</w:t>
      </w:r>
    </w:p>
    <w:p w14:paraId="1899D64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 价格调整</w:t>
      </w:r>
    </w:p>
    <w:p w14:paraId="73B4E0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11.1 市场价格波动引起的调整</w:t>
      </w:r>
    </w:p>
    <w:p w14:paraId="039DFC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市场价格波动是否调整合同价格的约定：市场价格波动超过合同当事人约定的范围，合同价</w:t>
      </w:r>
      <w:r>
        <w:rPr>
          <w:rFonts w:hint="eastAsia" w:ascii="宋体" w:hAnsi="宋体" w:eastAsia="宋体" w:cs="宋体"/>
          <w:color w:val="auto"/>
          <w:kern w:val="0"/>
          <w:szCs w:val="21"/>
          <w:highlight w:val="none"/>
          <w:lang w:val="en-US" w:eastAsia="zh-CN"/>
        </w:rPr>
        <w:t>格不予以调</w:t>
      </w:r>
      <w:r>
        <w:rPr>
          <w:rFonts w:hint="eastAsia" w:ascii="宋体" w:hAnsi="宋体" w:eastAsia="宋体" w:cs="宋体"/>
          <w:color w:val="000000"/>
          <w:kern w:val="0"/>
          <w:szCs w:val="21"/>
          <w:highlight w:val="none"/>
          <w:lang w:val="en-US" w:eastAsia="zh-CN"/>
        </w:rPr>
        <w:t>整 。</w:t>
      </w:r>
    </w:p>
    <w:p w14:paraId="18AB48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11.2　法律变化引起的调整</w:t>
      </w:r>
    </w:p>
    <w:p w14:paraId="0B46B7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法律、法规、规章和政策发生变化，按以下原则调整合同价款：</w:t>
      </w:r>
    </w:p>
    <w:p w14:paraId="7A65AD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11.2.1法律、法规、规章和政策发生变化，导致工程安全文明施工基本费、规费、税金调整的，应按规定调整合同价款；</w:t>
      </w:r>
    </w:p>
    <w:p w14:paraId="108986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11.2.2；在因承包人原因导致工期延误的，法律、法规、规章和政策等调整在施工合同原定竣工时间之后，合同价款调增的不予调整，调减的则予以调整；</w:t>
      </w:r>
    </w:p>
    <w:p w14:paraId="383664F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11.2.3因发包人原因造成工程停工而导致工期延误的，法律、法规、规章和政策等调整在施工合同原定竣工时间之后，合同价款调增的予以调整，调减的则由承包人受益，不予以调减。</w:t>
      </w:r>
    </w:p>
    <w:p w14:paraId="44934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 合同价格、计量与支付</w:t>
      </w:r>
    </w:p>
    <w:p w14:paraId="6BC4AE7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12.1 合同价格形式</w:t>
      </w:r>
    </w:p>
    <w:p w14:paraId="663AB8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1、单价合同。</w:t>
      </w:r>
    </w:p>
    <w:p w14:paraId="6EA2BB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综合单价包含的风险范围：</w:t>
      </w:r>
      <w:r>
        <w:rPr>
          <w:rFonts w:hint="eastAsia" w:ascii="宋体" w:hAnsi="宋体" w:cs="宋体"/>
          <w:color w:val="000000"/>
          <w:kern w:val="0"/>
          <w:szCs w:val="21"/>
          <w:highlight w:val="none"/>
          <w:lang w:val="en-US" w:eastAsia="zh-CN"/>
        </w:rPr>
        <w:t>/</w:t>
      </w:r>
      <w:r>
        <w:rPr>
          <w:rFonts w:hint="eastAsia" w:ascii="宋体" w:hAnsi="宋体" w:eastAsia="宋体" w:cs="宋体"/>
          <w:color w:val="000000"/>
          <w:kern w:val="0"/>
          <w:szCs w:val="21"/>
          <w:highlight w:val="none"/>
          <w:lang w:val="en-US" w:eastAsia="zh-CN"/>
        </w:rPr>
        <w:t>。</w:t>
      </w:r>
    </w:p>
    <w:p w14:paraId="07BCA6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风险费用的计算方法：由承包人在投标时自行考虑，为包干费用。</w:t>
      </w:r>
    </w:p>
    <w:p w14:paraId="6A3765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风险范围以外合同价格的调整方法：</w:t>
      </w:r>
    </w:p>
    <w:p w14:paraId="2BAD18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（1）因法律、法规、规章和政策发生变化引起的调整按本合同专用条款第11.2款执行；</w:t>
      </w:r>
    </w:p>
    <w:p w14:paraId="2B27F3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（3）本专用条款第1.13款约定工程量清单项目和工程量调整，按本合同专用条款第10.4.1款调整综合单价。</w:t>
      </w:r>
    </w:p>
    <w:p w14:paraId="66CF13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（4）措施项目调整。因专用条款第1.13款约定的工程量清单项目及工程数量变化，施工组织设计或施工方案变更，引起措施项目内容、工程数量发生变化，应调整措施项目内容及措施费。</w:t>
      </w:r>
    </w:p>
    <w:p w14:paraId="0179A7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fldChar w:fldCharType="begin"/>
      </w:r>
      <w:r>
        <w:rPr>
          <w:rFonts w:hint="eastAsia" w:ascii="宋体" w:hAnsi="宋体" w:eastAsia="宋体" w:cs="宋体"/>
          <w:color w:val="000000"/>
          <w:kern w:val="0"/>
          <w:szCs w:val="21"/>
          <w:highlight w:val="none"/>
          <w:lang w:val="en-US" w:eastAsia="zh-CN"/>
        </w:rPr>
        <w:instrText xml:space="preserve"> = 1 \* GB3 </w:instrText>
      </w:r>
      <w:r>
        <w:rPr>
          <w:rFonts w:hint="eastAsia" w:ascii="宋体" w:hAnsi="宋体" w:eastAsia="宋体" w:cs="宋体"/>
          <w:color w:val="000000"/>
          <w:kern w:val="0"/>
          <w:szCs w:val="21"/>
          <w:highlight w:val="none"/>
          <w:lang w:val="en-US" w:eastAsia="zh-CN"/>
        </w:rPr>
        <w:fldChar w:fldCharType="separate"/>
      </w:r>
      <w:r>
        <w:rPr>
          <w:rFonts w:hint="eastAsia" w:ascii="宋体" w:hAnsi="宋体" w:eastAsia="宋体" w:cs="宋体"/>
          <w:color w:val="000000"/>
          <w:kern w:val="0"/>
          <w:szCs w:val="21"/>
          <w:highlight w:val="none"/>
          <w:lang w:val="en-US" w:eastAsia="zh-CN"/>
        </w:rPr>
        <w:t>①</w:t>
      </w:r>
      <w:r>
        <w:rPr>
          <w:rFonts w:hint="eastAsia" w:ascii="宋体" w:hAnsi="宋体" w:eastAsia="宋体" w:cs="宋体"/>
          <w:color w:val="000000"/>
          <w:kern w:val="0"/>
          <w:szCs w:val="21"/>
          <w:highlight w:val="none"/>
          <w:lang w:val="en-US" w:eastAsia="zh-CN"/>
        </w:rPr>
        <w:fldChar w:fldCharType="end"/>
      </w:r>
      <w:r>
        <w:rPr>
          <w:rFonts w:hint="eastAsia" w:ascii="宋体" w:hAnsi="宋体" w:eastAsia="宋体" w:cs="宋体"/>
          <w:color w:val="000000"/>
          <w:kern w:val="0"/>
          <w:szCs w:val="21"/>
          <w:highlight w:val="none"/>
          <w:lang w:val="en-US" w:eastAsia="zh-CN"/>
        </w:rPr>
        <w:t>采用综合单价计价的措施项目，按本合同专用条款第10.4.1款规定计价；</w:t>
      </w:r>
    </w:p>
    <w:p w14:paraId="698253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fldChar w:fldCharType="begin"/>
      </w:r>
      <w:r>
        <w:rPr>
          <w:rFonts w:hint="eastAsia" w:ascii="宋体" w:hAnsi="宋体" w:eastAsia="宋体" w:cs="宋体"/>
          <w:color w:val="000000"/>
          <w:kern w:val="0"/>
          <w:szCs w:val="21"/>
          <w:highlight w:val="none"/>
          <w:lang w:val="en-US" w:eastAsia="zh-CN"/>
        </w:rPr>
        <w:instrText xml:space="preserve"> = 2 \* GB3 </w:instrText>
      </w:r>
      <w:r>
        <w:rPr>
          <w:rFonts w:hint="eastAsia" w:ascii="宋体" w:hAnsi="宋体" w:eastAsia="宋体" w:cs="宋体"/>
          <w:color w:val="000000"/>
          <w:kern w:val="0"/>
          <w:szCs w:val="21"/>
          <w:highlight w:val="none"/>
          <w:lang w:val="en-US" w:eastAsia="zh-CN"/>
        </w:rPr>
        <w:fldChar w:fldCharType="separate"/>
      </w:r>
      <w:r>
        <w:rPr>
          <w:rFonts w:hint="eastAsia" w:ascii="宋体" w:hAnsi="宋体" w:eastAsia="宋体" w:cs="宋体"/>
          <w:color w:val="000000"/>
          <w:kern w:val="0"/>
          <w:szCs w:val="21"/>
          <w:highlight w:val="none"/>
          <w:lang w:val="en-US" w:eastAsia="zh-CN"/>
        </w:rPr>
        <w:t>②</w:t>
      </w:r>
      <w:r>
        <w:rPr>
          <w:rFonts w:hint="eastAsia" w:ascii="宋体" w:hAnsi="宋体" w:eastAsia="宋体" w:cs="宋体"/>
          <w:color w:val="000000"/>
          <w:kern w:val="0"/>
          <w:szCs w:val="21"/>
          <w:highlight w:val="none"/>
          <w:lang w:val="en-US" w:eastAsia="zh-CN"/>
        </w:rPr>
        <w:fldChar w:fldCharType="end"/>
      </w:r>
      <w:r>
        <w:rPr>
          <w:rFonts w:hint="eastAsia" w:ascii="宋体" w:hAnsi="宋体" w:eastAsia="宋体" w:cs="宋体"/>
          <w:color w:val="000000"/>
          <w:kern w:val="0"/>
          <w:szCs w:val="21"/>
          <w:highlight w:val="none"/>
          <w:lang w:val="en-US" w:eastAsia="zh-CN"/>
        </w:rPr>
        <w:t>采用以“项”计价的技术措施项目，工程量清单项目及工程数量变化引起措施变动部分应重新组价；</w:t>
      </w:r>
    </w:p>
    <w:p w14:paraId="2BCA3B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fldChar w:fldCharType="begin"/>
      </w:r>
      <w:r>
        <w:rPr>
          <w:rFonts w:hint="eastAsia" w:ascii="宋体" w:hAnsi="宋体" w:eastAsia="宋体" w:cs="宋体"/>
          <w:color w:val="000000"/>
          <w:kern w:val="0"/>
          <w:szCs w:val="21"/>
          <w:highlight w:val="none"/>
          <w:lang w:val="en-US" w:eastAsia="zh-CN"/>
        </w:rPr>
        <w:instrText xml:space="preserve"> = 3 \* GB3 </w:instrText>
      </w:r>
      <w:r>
        <w:rPr>
          <w:rFonts w:hint="eastAsia" w:ascii="宋体" w:hAnsi="宋体" w:eastAsia="宋体" w:cs="宋体"/>
          <w:color w:val="000000"/>
          <w:kern w:val="0"/>
          <w:szCs w:val="21"/>
          <w:highlight w:val="none"/>
          <w:lang w:val="en-US" w:eastAsia="zh-CN"/>
        </w:rPr>
        <w:fldChar w:fldCharType="separate"/>
      </w:r>
      <w:r>
        <w:rPr>
          <w:rFonts w:hint="eastAsia" w:ascii="宋体" w:hAnsi="宋体" w:eastAsia="宋体" w:cs="宋体"/>
          <w:color w:val="000000"/>
          <w:kern w:val="0"/>
          <w:szCs w:val="21"/>
          <w:highlight w:val="none"/>
          <w:lang w:val="en-US" w:eastAsia="zh-CN"/>
        </w:rPr>
        <w:t>③</w:t>
      </w:r>
      <w:r>
        <w:rPr>
          <w:rFonts w:hint="eastAsia" w:ascii="宋体" w:hAnsi="宋体" w:eastAsia="宋体" w:cs="宋体"/>
          <w:color w:val="000000"/>
          <w:kern w:val="0"/>
          <w:szCs w:val="21"/>
          <w:highlight w:val="none"/>
          <w:lang w:val="en-US" w:eastAsia="zh-CN"/>
        </w:rPr>
        <w:fldChar w:fldCharType="end"/>
      </w:r>
      <w:r>
        <w:rPr>
          <w:rFonts w:hint="eastAsia" w:ascii="宋体" w:hAnsi="宋体" w:eastAsia="宋体" w:cs="宋体"/>
          <w:color w:val="000000"/>
          <w:kern w:val="0"/>
          <w:szCs w:val="21"/>
          <w:highlight w:val="none"/>
          <w:lang w:val="en-US" w:eastAsia="zh-CN"/>
        </w:rPr>
        <w:t>施工组织措施项目按合同约定的费率内容调整相关措施费用。</w:t>
      </w:r>
    </w:p>
    <w:p w14:paraId="1C6FB0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2、总价合同。</w:t>
      </w:r>
    </w:p>
    <w:p w14:paraId="081E469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总价包含的风险范围：</w:t>
      </w:r>
      <w:bookmarkStart w:id="231" w:name="EB644648c4019f42c99bcb89f36e44ef40"/>
      <w:bookmarkEnd w:id="231"/>
      <w:r>
        <w:rPr>
          <w:rFonts w:hint="eastAsia" w:ascii="宋体" w:hAnsi="宋体" w:eastAsia="宋体" w:cs="宋体"/>
          <w:color w:val="auto"/>
          <w:kern w:val="0"/>
          <w:szCs w:val="21"/>
          <w:highlight w:val="none"/>
          <w:lang w:val="en-US" w:eastAsia="zh-CN"/>
        </w:rPr>
        <w:t xml:space="preserve">   /    。</w:t>
      </w:r>
    </w:p>
    <w:p w14:paraId="0CDC31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风险费用的计算方法：</w:t>
      </w:r>
      <w:bookmarkStart w:id="232" w:name="EB85a51c8a48a34334ac86a1386e20bf3c"/>
      <w:bookmarkEnd w:id="232"/>
      <w:r>
        <w:rPr>
          <w:rFonts w:hint="eastAsia" w:ascii="宋体" w:hAnsi="宋体" w:eastAsia="宋体" w:cs="宋体"/>
          <w:color w:val="auto"/>
          <w:kern w:val="0"/>
          <w:szCs w:val="21"/>
          <w:highlight w:val="none"/>
          <w:u w:val="single"/>
          <w:lang w:val="en-US" w:eastAsia="zh-CN"/>
        </w:rPr>
        <w:t>由承包人在投标时自行考虑，为包干费用</w:t>
      </w:r>
      <w:r>
        <w:rPr>
          <w:rFonts w:hint="eastAsia" w:ascii="宋体" w:hAnsi="宋体" w:eastAsia="宋体" w:cs="宋体"/>
          <w:color w:val="auto"/>
          <w:kern w:val="0"/>
          <w:szCs w:val="21"/>
          <w:highlight w:val="none"/>
          <w:lang w:val="en-US" w:eastAsia="zh-CN"/>
        </w:rPr>
        <w:t>。</w:t>
      </w:r>
    </w:p>
    <w:p w14:paraId="1F7D80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风险范围以外合同价格的调整方法：</w:t>
      </w:r>
      <w:bookmarkStart w:id="233" w:name="EB6ec5e9516d7c4971b23e919caf7d234a"/>
      <w:bookmarkEnd w:id="233"/>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lang w:val="en-US" w:eastAsia="zh-CN"/>
        </w:rPr>
        <w:t>因法律、法规、规章和政策发生变化引起的调整按本合同专用条款第11.2款执行</w:t>
      </w:r>
      <w:r>
        <w:rPr>
          <w:rFonts w:hint="eastAsia" w:ascii="宋体" w:hAnsi="宋体" w:cs="宋体"/>
          <w:color w:val="auto"/>
          <w:kern w:val="0"/>
          <w:szCs w:val="21"/>
          <w:highlight w:val="none"/>
          <w:u w:val="single"/>
          <w:lang w:val="en-US" w:eastAsia="zh-CN"/>
        </w:rPr>
        <w:t>，其余不予调整</w:t>
      </w:r>
      <w:r>
        <w:rPr>
          <w:rFonts w:hint="eastAsia" w:ascii="宋体" w:hAnsi="宋体" w:eastAsia="宋体" w:cs="宋体"/>
          <w:color w:val="auto"/>
          <w:kern w:val="0"/>
          <w:szCs w:val="21"/>
          <w:highlight w:val="none"/>
          <w:lang w:val="en-US" w:eastAsia="zh-CN"/>
        </w:rPr>
        <w:t xml:space="preserve">  。</w:t>
      </w:r>
    </w:p>
    <w:p w14:paraId="283E56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3、其他价格方式：</w:t>
      </w:r>
      <w:bookmarkStart w:id="234" w:name="EB59993497ebbd4ad8a7940c461883b881"/>
      <w:bookmarkEnd w:id="234"/>
      <w:r>
        <w:rPr>
          <w:rFonts w:hint="eastAsia" w:ascii="宋体" w:hAnsi="宋体" w:eastAsia="宋体" w:cs="宋体"/>
          <w:color w:val="auto"/>
          <w:kern w:val="0"/>
          <w:szCs w:val="21"/>
          <w:highlight w:val="none"/>
          <w:lang w:val="en-US" w:eastAsia="zh-CN"/>
        </w:rPr>
        <w:t xml:space="preserve"> /   。</w:t>
      </w:r>
    </w:p>
    <w:p w14:paraId="1C90DF2F">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12.2 预付款</w:t>
      </w:r>
    </w:p>
    <w:p w14:paraId="2B6A646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12.2.1 预付款的支付</w:t>
      </w:r>
    </w:p>
    <w:p w14:paraId="6478362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预付款支付比例或金额：</w:t>
      </w:r>
      <w:r>
        <w:rPr>
          <w:rFonts w:hint="eastAsia" w:ascii="宋体" w:hAnsi="宋体" w:eastAsia="宋体" w:cs="宋体"/>
          <w:color w:val="auto"/>
          <w:kern w:val="2"/>
          <w:sz w:val="21"/>
          <w:szCs w:val="21"/>
          <w:highlight w:val="none"/>
          <w:u w:val="single"/>
          <w:lang w:val="en-US" w:eastAsia="zh-CN" w:bidi="ar-SA"/>
        </w:rPr>
        <w:t>合同总价的40%。</w:t>
      </w:r>
    </w:p>
    <w:p w14:paraId="4A68B087">
      <w:pPr>
        <w:widowControl/>
        <w:wordWrap/>
        <w:spacing w:before="156" w:line="320" w:lineRule="exact"/>
        <w:ind w:firstLine="105" w:firstLineChars="50"/>
        <w:jc w:val="both"/>
        <w:rPr>
          <w:rFonts w:hint="eastAsia" w:ascii="宋体" w:hAnsi="宋体" w:eastAsia="宋体" w:cs="宋体"/>
          <w:b w:val="0"/>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预付款支付期限：</w:t>
      </w:r>
      <w:r>
        <w:rPr>
          <w:rFonts w:hint="eastAsia" w:ascii="宋体" w:hAnsi="宋体" w:eastAsia="宋体" w:cs="宋体"/>
          <w:color w:val="auto"/>
          <w:kern w:val="2"/>
          <w:sz w:val="21"/>
          <w:szCs w:val="21"/>
          <w:highlight w:val="none"/>
          <w:u w:val="single"/>
          <w:lang w:val="en-US" w:eastAsia="zh-CN" w:bidi="ar-SA"/>
        </w:rPr>
        <w:t>在合同签定并取得开工报告</w:t>
      </w:r>
      <w:r>
        <w:rPr>
          <w:rFonts w:hint="eastAsia" w:hAnsi="宋体" w:cs="宋体"/>
          <w:color w:val="auto"/>
          <w:kern w:val="2"/>
          <w:sz w:val="21"/>
          <w:szCs w:val="21"/>
          <w:highlight w:val="none"/>
          <w:u w:val="single"/>
          <w:lang w:val="en-US" w:eastAsia="zh-CN" w:bidi="ar-SA"/>
        </w:rPr>
        <w:t>7个工作</w:t>
      </w:r>
      <w:r>
        <w:rPr>
          <w:rFonts w:hint="eastAsia" w:ascii="宋体" w:hAnsi="宋体" w:eastAsia="宋体" w:cs="宋体"/>
          <w:color w:val="auto"/>
          <w:kern w:val="2"/>
          <w:sz w:val="21"/>
          <w:szCs w:val="21"/>
          <w:highlight w:val="none"/>
          <w:u w:val="single"/>
          <w:lang w:val="en-US" w:eastAsia="zh-CN" w:bidi="ar-SA"/>
        </w:rPr>
        <w:t xml:space="preserve">日内 。 </w:t>
      </w:r>
    </w:p>
    <w:p w14:paraId="2EFF5F0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预付款扣回的方式：</w:t>
      </w:r>
      <w:bookmarkStart w:id="235" w:name="EB7b5487933c754a8e9ec0cdaba294006b"/>
      <w:bookmarkEnd w:id="235"/>
      <w:r>
        <w:rPr>
          <w:rFonts w:hint="eastAsia" w:ascii="宋体" w:hAnsi="宋体" w:cs="宋体"/>
          <w:color w:val="auto"/>
          <w:kern w:val="2"/>
          <w:sz w:val="21"/>
          <w:szCs w:val="21"/>
          <w:highlight w:val="none"/>
          <w:u w:val="single"/>
          <w:lang w:val="en-US" w:eastAsia="zh-CN" w:bidi="ar-SA"/>
        </w:rPr>
        <w:t>不扣回抵作进度款</w:t>
      </w:r>
      <w:r>
        <w:rPr>
          <w:rFonts w:hint="eastAsia" w:ascii="宋体" w:hAnsi="宋体" w:eastAsia="宋体" w:cs="宋体"/>
          <w:color w:val="auto"/>
          <w:kern w:val="2"/>
          <w:sz w:val="21"/>
          <w:szCs w:val="21"/>
          <w:highlight w:val="none"/>
          <w:u w:val="single"/>
          <w:lang w:val="en-US" w:eastAsia="zh-CN" w:bidi="ar-SA"/>
        </w:rPr>
        <w:t xml:space="preserve"> 。</w:t>
      </w:r>
    </w:p>
    <w:p w14:paraId="3F0000A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12.2.2 预付款担保</w:t>
      </w:r>
    </w:p>
    <w:p w14:paraId="5663B01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承包人提交预付款担保的期限：</w:t>
      </w:r>
      <w:bookmarkStart w:id="236" w:name="EB4d2958a051ec470ba931b79ba63e5d96"/>
      <w:bookmarkEnd w:id="236"/>
      <w:r>
        <w:rPr>
          <w:rFonts w:hint="eastAsia" w:ascii="宋体" w:hAnsi="宋体" w:eastAsia="宋体" w:cs="宋体"/>
          <w:color w:val="auto"/>
          <w:kern w:val="2"/>
          <w:sz w:val="21"/>
          <w:szCs w:val="21"/>
          <w:highlight w:val="none"/>
          <w:u w:val="single"/>
          <w:lang w:val="en-US" w:eastAsia="zh-CN" w:bidi="ar-SA"/>
        </w:rPr>
        <w:t>在合同签定并取得开工报告7</w:t>
      </w:r>
      <w:r>
        <w:rPr>
          <w:rFonts w:hint="eastAsia" w:hAnsi="宋体" w:cs="宋体"/>
          <w:color w:val="auto"/>
          <w:kern w:val="2"/>
          <w:sz w:val="21"/>
          <w:szCs w:val="21"/>
          <w:highlight w:val="none"/>
          <w:u w:val="single"/>
          <w:lang w:val="en-US" w:eastAsia="zh-CN" w:bidi="ar-SA"/>
        </w:rPr>
        <w:t>个工作</w:t>
      </w:r>
      <w:r>
        <w:rPr>
          <w:rFonts w:hint="eastAsia" w:ascii="宋体" w:hAnsi="宋体" w:eastAsia="宋体" w:cs="宋体"/>
          <w:color w:val="auto"/>
          <w:kern w:val="2"/>
          <w:sz w:val="21"/>
          <w:szCs w:val="21"/>
          <w:highlight w:val="none"/>
          <w:u w:val="single"/>
          <w:lang w:val="en-US" w:eastAsia="zh-CN" w:bidi="ar-SA"/>
        </w:rPr>
        <w:t>日内。</w:t>
      </w:r>
    </w:p>
    <w:p w14:paraId="591E613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预付款担保的形式为：</w:t>
      </w:r>
      <w:r>
        <w:rPr>
          <w:rFonts w:hint="eastAsia" w:ascii="宋体" w:hAnsi="宋体" w:eastAsia="宋体" w:cs="宋体"/>
          <w:color w:val="auto"/>
          <w:kern w:val="2"/>
          <w:sz w:val="21"/>
          <w:szCs w:val="21"/>
          <w:highlight w:val="none"/>
          <w:u w:val="single"/>
          <w:lang w:val="en-US" w:eastAsia="zh-CN" w:bidi="ar-SA"/>
        </w:rPr>
        <w:t>银行保函、担保公司担保或建设工程综合保险等。</w:t>
      </w:r>
    </w:p>
    <w:p w14:paraId="63897B8E">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 计量</w:t>
      </w:r>
    </w:p>
    <w:p w14:paraId="04C9E45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12.3.1 计量原则</w:t>
      </w:r>
    </w:p>
    <w:p w14:paraId="1A491B29">
      <w:pPr>
        <w:wordWrap/>
        <w:autoSpaceDE w:val="0"/>
        <w:autoSpaceDN w:val="0"/>
        <w:adjustRightInd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工程量计算规则：</w:t>
      </w:r>
      <w:r>
        <w:rPr>
          <w:rFonts w:hint="eastAsia" w:ascii="宋体" w:hAnsi="宋体" w:eastAsia="宋体" w:cs="宋体"/>
          <w:color w:val="auto"/>
          <w:sz w:val="21"/>
          <w:szCs w:val="21"/>
          <w:highlight w:val="none"/>
          <w:u w:val="single"/>
        </w:rPr>
        <w:t>工程量按照实际完成施工图纸范围内和经发包人同意增减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仿古建筑工程工程量计算规范》GB50855-2013、浙建站计[2013]63号《关于印发&lt;建设工程工程量清单计算规范（2013）浙江省补充规定&gt;的通知》、浙建站计[2014]31号《关于印发&lt;建设工程工程量清单计算规范（2013）浙江省补充规定（二）&gt;的通知》、《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浙建建［2018］61号《关于颁发&lt;浙江省建设工程计价依据&gt;（2018版）的通知》、舟建发[2018]265号《关于贯彻执行&lt;浙江省建设工程计价依据&gt;（2018版）的通知》、浙建站信[2018]52号《关于发布浙江省房屋建筑人工综合价格指数的通知》、浙建建发［2019］92号《关于增值税调整后我省建设工程计价依据增值税税率及有关计价调整的通知》、浙建站定［2019］77号《关于印发&lt;浙江省建设工程计价依据&gt;（2018版）综合解释的通知》、建设发[2015]479号文件、舟建发[2014]197号、浙建建发[2022]37号等及发包人提供的工程量清单中说明的工程量计算规则计量。</w:t>
      </w:r>
    </w:p>
    <w:p w14:paraId="6940C39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12.3.2 计量周期</w:t>
      </w:r>
    </w:p>
    <w:p w14:paraId="29F19FE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关于计量周期的约定：</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p>
    <w:p w14:paraId="65FFB1A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12.3.3 单价合同的计量</w:t>
      </w:r>
    </w:p>
    <w:p w14:paraId="24D616E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12.3.3.1、关于单价合同计量的约定：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p>
    <w:p w14:paraId="7984ED7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12.3.4 总价合同的计量</w:t>
      </w:r>
    </w:p>
    <w:p w14:paraId="16360F6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关于总价合同计量的约定：</w:t>
      </w:r>
      <w:bookmarkStart w:id="237" w:name="EB870720d47aed41bea299108272753eff"/>
      <w:bookmarkEnd w:id="237"/>
      <w:r>
        <w:rPr>
          <w:rFonts w:hint="eastAsia" w:ascii="宋体" w:hAnsi="宋体" w:eastAsia="宋体" w:cs="宋体"/>
          <w:color w:val="auto"/>
          <w:kern w:val="2"/>
          <w:sz w:val="21"/>
          <w:szCs w:val="21"/>
          <w:highlight w:val="none"/>
          <w:u w:val="single"/>
          <w:lang w:val="en-US" w:eastAsia="zh-CN" w:bidi="ar-SA"/>
        </w:rPr>
        <w:t>承包人应当在每月25日前向发包人提交已完工程量的报告，该报告必须一式</w:t>
      </w:r>
      <w:bookmarkStart w:id="238" w:name="EB12eef3cd78ba491f9c0e9db90acb889d"/>
      <w:r>
        <w:rPr>
          <w:rFonts w:hint="eastAsia" w:ascii="宋体" w:hAnsi="宋体" w:eastAsia="宋体" w:cs="宋体"/>
          <w:color w:val="auto"/>
          <w:kern w:val="2"/>
          <w:sz w:val="21"/>
          <w:szCs w:val="21"/>
          <w:highlight w:val="none"/>
          <w:u w:val="single"/>
          <w:lang w:val="en-US" w:eastAsia="zh-CN" w:bidi="ar-SA"/>
        </w:rPr>
        <w:t>四</w:t>
      </w:r>
      <w:bookmarkEnd w:id="238"/>
      <w:r>
        <w:rPr>
          <w:rFonts w:hint="eastAsia" w:ascii="宋体" w:hAnsi="宋体" w:eastAsia="宋体" w:cs="宋体"/>
          <w:color w:val="auto"/>
          <w:kern w:val="2"/>
          <w:sz w:val="21"/>
          <w:szCs w:val="21"/>
          <w:highlight w:val="none"/>
          <w:u w:val="single"/>
          <w:lang w:val="en-US" w:eastAsia="zh-CN" w:bidi="ar-SA"/>
        </w:rPr>
        <w:t>份。发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参加核实，核实结果无效。发包人收到承包人报告后14天内未核实完工程量，从第15天起，承包人报告的工程量即视为被确认，作为工程价款支付的依据。前述工程量的核实不影响双方在竣工后的终局计量结算</w:t>
      </w:r>
      <w:r>
        <w:rPr>
          <w:rFonts w:hint="eastAsia" w:ascii="宋体" w:hAnsi="宋体" w:eastAsia="宋体" w:cs="宋体"/>
          <w:color w:val="auto"/>
          <w:kern w:val="2"/>
          <w:sz w:val="21"/>
          <w:szCs w:val="21"/>
          <w:highlight w:val="none"/>
          <w:u w:val="none"/>
          <w:lang w:val="en-US" w:eastAsia="zh-CN" w:bidi="ar-SA"/>
        </w:rPr>
        <w:t>。</w:t>
      </w:r>
    </w:p>
    <w:p w14:paraId="35F545F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12.3.5总价合同采用支付分解表计量支付的，是否适用第12.3.4 项〔总价合同的计量〕约定进行计量：</w:t>
      </w:r>
      <w:bookmarkStart w:id="239" w:name="EBeecf39f40dae41e29ee240c1ac00e8fb"/>
      <w:bookmarkEnd w:id="239"/>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u w:val="none"/>
          <w:lang w:val="en-US" w:eastAsia="zh-CN" w:bidi="ar-SA"/>
        </w:rPr>
        <w:t>。</w:t>
      </w:r>
    </w:p>
    <w:p w14:paraId="3FA1011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12.3.6 其他价格形式合同的计量</w:t>
      </w:r>
    </w:p>
    <w:p w14:paraId="695552D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其他价格形式的计量方式和程序：</w:t>
      </w:r>
      <w:bookmarkStart w:id="240" w:name="EB3c75e0f10d9f4608ba7718df648e37ce"/>
      <w:bookmarkEnd w:id="240"/>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u w:val="none"/>
          <w:lang w:val="en-US" w:eastAsia="zh-CN" w:bidi="ar-SA"/>
        </w:rPr>
        <w:t>。</w:t>
      </w:r>
    </w:p>
    <w:p w14:paraId="11E80ECD">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12.4 工程进度款支付</w:t>
      </w:r>
    </w:p>
    <w:p w14:paraId="14B8E34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12.4.1 付款周期</w:t>
      </w:r>
    </w:p>
    <w:p w14:paraId="2B00D90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关于付款周期的约定：</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w:t>
      </w:r>
    </w:p>
    <w:p w14:paraId="7621C41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12.4.2 进度付款申请单的编制</w:t>
      </w:r>
    </w:p>
    <w:p w14:paraId="7D1C6B7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关于进度付款申请单编制的约定：</w:t>
      </w:r>
      <w:r>
        <w:rPr>
          <w:rFonts w:hint="eastAsia" w:ascii="宋体" w:hAnsi="宋体" w:eastAsia="宋体" w:cs="宋体"/>
          <w:color w:val="auto"/>
          <w:kern w:val="2"/>
          <w:sz w:val="21"/>
          <w:szCs w:val="21"/>
          <w:highlight w:val="none"/>
          <w:u w:val="single"/>
          <w:lang w:val="en-US" w:eastAsia="zh-CN" w:bidi="ar-SA"/>
        </w:rPr>
        <w:t>在合同生效以及具备实施条件后7个工作日内支付合同总价的40%（乙方须提交与预付款等额的预付款担保）；项目主体基本完工后支付合同总价的45%；余款根据第三方审定的结算价结清合同价款外增减部分（含设计变更、签证单等）等按合同通用条款约定</w:t>
      </w:r>
      <w:r>
        <w:rPr>
          <w:rFonts w:hint="eastAsia" w:ascii="宋体" w:hAnsi="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p>
    <w:p w14:paraId="01D0983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12.4.3 进度付款申请单的提交</w:t>
      </w:r>
    </w:p>
    <w:p w14:paraId="126EE9C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（1）单价合同进度付款申请单提交的约定：</w:t>
      </w:r>
      <w:bookmarkStart w:id="241" w:name="EB2fa7007e20224ed7b3f5a54d1b02e86e"/>
      <w:bookmarkEnd w:id="24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65191E6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（2）总价合同进度付款申请单提交的约定：</w:t>
      </w:r>
      <w:bookmarkStart w:id="242" w:name="EBbec9b13e172e4e0e853a0c695b232aac"/>
      <w:bookmarkEnd w:id="242"/>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 w:val="0"/>
          <w:bCs/>
          <w:color w:val="auto"/>
          <w:kern w:val="0"/>
          <w:szCs w:val="21"/>
          <w:highlight w:val="none"/>
          <w:u w:val="single"/>
          <w:lang w:val="en-US" w:eastAsia="zh-CN"/>
        </w:rPr>
        <w:t>按本合同第12.3.4项执行</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33DF25B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（3）其他价格形式合同进度付款申请单提交的约定：</w:t>
      </w:r>
      <w:bookmarkStart w:id="243" w:name="EB8ad04527c9fc43dcbb7f393f8cd5dc4c"/>
      <w:bookmarkEnd w:id="24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454F9E5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12.4.4 进度款审核和支付</w:t>
      </w:r>
    </w:p>
    <w:p w14:paraId="3A2FE5B5">
      <w:pPr>
        <w:widowControl/>
        <w:wordWrap/>
        <w:spacing w:before="156" w:line="320" w:lineRule="exact"/>
        <w:ind w:firstLine="443" w:firstLineChars="211"/>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（1）监理人审查并报送发包人的期限：</w:t>
      </w:r>
      <w:bookmarkStart w:id="244" w:name="EB68960aedff644641b305e166b10d7e0f"/>
      <w:bookmarkEnd w:id="244"/>
      <w:bookmarkStart w:id="245" w:name="EB60d48d05a4e740d7865abbf95d7c923f"/>
      <w:r>
        <w:rPr>
          <w:rFonts w:hint="eastAsia" w:ascii="宋体" w:hAnsi="宋体" w:eastAsia="宋体" w:cs="宋体"/>
          <w:color w:val="auto"/>
          <w:kern w:val="2"/>
          <w:sz w:val="21"/>
          <w:szCs w:val="21"/>
          <w:highlight w:val="none"/>
          <w:u w:val="single"/>
          <w:lang w:val="en-US" w:eastAsia="zh-CN" w:bidi="ar-SA"/>
        </w:rPr>
        <w:t>在收到承包人进度款申请单以及相关资料后7</w:t>
      </w:r>
      <w:r>
        <w:rPr>
          <w:rFonts w:hint="eastAsia" w:hAnsi="宋体" w:cs="宋体"/>
          <w:color w:val="auto"/>
          <w:kern w:val="2"/>
          <w:sz w:val="21"/>
          <w:szCs w:val="21"/>
          <w:highlight w:val="none"/>
          <w:u w:val="single"/>
          <w:lang w:val="en-US" w:eastAsia="zh-CN" w:bidi="ar-SA"/>
        </w:rPr>
        <w:t>天</w:t>
      </w:r>
      <w:r>
        <w:rPr>
          <w:rFonts w:hint="eastAsia" w:ascii="宋体" w:hAnsi="宋体" w:eastAsia="宋体" w:cs="宋体"/>
          <w:color w:val="auto"/>
          <w:kern w:val="2"/>
          <w:sz w:val="21"/>
          <w:szCs w:val="21"/>
          <w:highlight w:val="none"/>
          <w:u w:val="single"/>
          <w:lang w:val="en-US" w:eastAsia="zh-CN" w:bidi="ar-SA"/>
        </w:rPr>
        <w:t>内完成审查并报送发包人</w:t>
      </w:r>
      <w:bookmarkEnd w:id="245"/>
      <w:r>
        <w:rPr>
          <w:rFonts w:hint="eastAsia" w:ascii="宋体" w:hAnsi="宋体" w:eastAsia="宋体" w:cs="宋体"/>
          <w:color w:val="auto"/>
          <w:kern w:val="2"/>
          <w:sz w:val="21"/>
          <w:szCs w:val="21"/>
          <w:highlight w:val="none"/>
          <w:u w:val="single"/>
          <w:lang w:val="en-US" w:eastAsia="zh-CN" w:bidi="ar-SA"/>
        </w:rPr>
        <w:t>。</w:t>
      </w:r>
    </w:p>
    <w:p w14:paraId="30AEB50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发包人完成审批并签发进度款支付证书的期限：</w:t>
      </w:r>
      <w:bookmarkStart w:id="246" w:name="EB06c6ced0b61542089889985450af2537"/>
      <w:bookmarkEnd w:id="246"/>
      <w:bookmarkStart w:id="247" w:name="EBe0be4c3b0f4d43e4a5879ade2d7091a5"/>
      <w:r>
        <w:rPr>
          <w:rFonts w:hint="eastAsia" w:ascii="宋体" w:hAnsi="宋体" w:eastAsia="宋体" w:cs="宋体"/>
          <w:color w:val="auto"/>
          <w:kern w:val="2"/>
          <w:sz w:val="21"/>
          <w:szCs w:val="21"/>
          <w:highlight w:val="none"/>
          <w:u w:val="single"/>
          <w:lang w:val="en-US" w:eastAsia="zh-CN" w:bidi="ar-SA"/>
        </w:rPr>
        <w:t>发包人在收到监理人报送的相关资料后 7</w:t>
      </w:r>
      <w:r>
        <w:rPr>
          <w:rFonts w:hint="eastAsia" w:hAnsi="宋体" w:cs="宋体"/>
          <w:color w:val="auto"/>
          <w:kern w:val="2"/>
          <w:sz w:val="21"/>
          <w:szCs w:val="21"/>
          <w:highlight w:val="none"/>
          <w:u w:val="single"/>
          <w:lang w:val="en-US" w:eastAsia="zh-CN" w:bidi="ar-SA"/>
        </w:rPr>
        <w:t>个工作日</w:t>
      </w:r>
      <w:r>
        <w:rPr>
          <w:rFonts w:hint="eastAsia" w:ascii="宋体" w:hAnsi="宋体" w:eastAsia="宋体" w:cs="宋体"/>
          <w:color w:val="auto"/>
          <w:kern w:val="2"/>
          <w:sz w:val="21"/>
          <w:szCs w:val="21"/>
          <w:highlight w:val="none"/>
          <w:u w:val="single"/>
          <w:lang w:val="en-US" w:eastAsia="zh-CN" w:bidi="ar-SA"/>
        </w:rPr>
        <w:t>内完成审批并签发进度款支付证书</w:t>
      </w:r>
      <w:bookmarkEnd w:id="247"/>
      <w:r>
        <w:rPr>
          <w:rFonts w:hint="eastAsia" w:ascii="宋体" w:hAnsi="宋体" w:eastAsia="宋体" w:cs="宋体"/>
          <w:color w:val="auto"/>
          <w:kern w:val="2"/>
          <w:sz w:val="21"/>
          <w:szCs w:val="21"/>
          <w:highlight w:val="none"/>
          <w:u w:val="single"/>
          <w:lang w:val="en-US" w:eastAsia="zh-CN" w:bidi="ar-SA"/>
        </w:rPr>
        <w:t>。</w:t>
      </w:r>
    </w:p>
    <w:p w14:paraId="76F144A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（2）发包人支付进度款的期限：</w:t>
      </w:r>
      <w:r>
        <w:rPr>
          <w:rFonts w:hint="eastAsia" w:ascii="宋体" w:hAnsi="宋体" w:eastAsia="宋体" w:cs="宋体"/>
          <w:color w:val="auto"/>
          <w:kern w:val="2"/>
          <w:sz w:val="21"/>
          <w:szCs w:val="21"/>
          <w:highlight w:val="none"/>
          <w:u w:val="single"/>
          <w:lang w:val="en-US" w:eastAsia="zh-CN" w:bidi="ar-SA"/>
        </w:rPr>
        <w:t>在发包人确认计量结果后14天内完成支付 。</w:t>
      </w:r>
    </w:p>
    <w:p w14:paraId="3828575B">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（3）发包人逾期支付进度款的违约金的计算方式：</w:t>
      </w:r>
      <w:r>
        <w:rPr>
          <w:rFonts w:hint="eastAsia" w:ascii="宋体" w:hAnsi="宋体" w:eastAsia="宋体" w:cs="宋体"/>
          <w:color w:val="auto"/>
          <w:kern w:val="2"/>
          <w:sz w:val="21"/>
          <w:szCs w:val="21"/>
          <w:highlight w:val="none"/>
          <w:u w:val="single"/>
          <w:lang w:val="en-US" w:eastAsia="zh-CN" w:bidi="ar-SA"/>
        </w:rPr>
        <w:t xml:space="preserve">按通用合同条款执行。  </w:t>
      </w:r>
      <w:bookmarkStart w:id="248" w:name="EB3ebc2e712ce14d7984cbbf23c4dc21ff"/>
      <w:bookmarkEnd w:id="248"/>
    </w:p>
    <w:p w14:paraId="6303BA8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（4）发包人每月签发的工程量审核报告、进度款支付证书或临时进度款支付证书，不表明发包人已同意、批准或接受了承包人完成的相应部分工作或已确认计量结果，仅为本期工程款支付依据。</w:t>
      </w:r>
    </w:p>
    <w:p w14:paraId="4520957A">
      <w:pPr>
        <w:widowControl/>
        <w:wordWrap/>
        <w:spacing w:before="156" w:line="320" w:lineRule="exact"/>
        <w:ind w:firstLine="525" w:firstLineChars="2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12.4.6 支付分解表的编制</w:t>
      </w:r>
    </w:p>
    <w:p w14:paraId="651BABA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2、总价合同支付分解表的编制与审批：</w:t>
      </w:r>
      <w:bookmarkStart w:id="249" w:name="EB6fc27bec271a4ac48a49aabc39a6d9c3"/>
      <w:bookmarkEnd w:id="249"/>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6AA4A2D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3、单价合同的总价项目支付分解表的编制与审批：</w:t>
      </w:r>
      <w:bookmarkStart w:id="250" w:name="EB6d2bb66ec4474b3eb6c7d4739737eacc"/>
      <w:bookmarkEnd w:id="250"/>
      <w:r>
        <w:rPr>
          <w:rFonts w:hint="eastAsia" w:ascii="宋体" w:hAnsi="宋体" w:eastAsia="宋体" w:cs="宋体"/>
          <w:color w:val="auto"/>
          <w:kern w:val="2"/>
          <w:sz w:val="21"/>
          <w:szCs w:val="21"/>
          <w:highlight w:val="none"/>
          <w:u w:val="none"/>
          <w:lang w:val="en-US" w:eastAsia="zh-CN" w:bidi="ar-SA"/>
        </w:rPr>
        <w:t xml:space="preserve">              </w:t>
      </w:r>
    </w:p>
    <w:p w14:paraId="36AE9DD4">
      <w:pPr>
        <w:wordWrap/>
        <w:spacing w:line="240" w:lineRule="auto"/>
        <w:ind w:firstLine="0" w:firstLineChars="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13. 验收和工程试车</w:t>
      </w:r>
    </w:p>
    <w:p w14:paraId="16113F74">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13.1 分部分项工程验收</w:t>
      </w:r>
    </w:p>
    <w:p w14:paraId="4FA9AE3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13.1.2监理人不能按时进行验收时，应提前</w:t>
      </w:r>
      <w:bookmarkStart w:id="251" w:name="EB500e6cb5f1aa44dc9c34ccdcbc2c9850"/>
      <w:bookmarkEnd w:id="251"/>
      <w:r>
        <w:rPr>
          <w:rFonts w:hint="eastAsia" w:ascii="宋体" w:hAnsi="宋体" w:eastAsia="宋体" w:cs="宋体"/>
          <w:color w:val="auto"/>
          <w:kern w:val="2"/>
          <w:sz w:val="21"/>
          <w:szCs w:val="21"/>
          <w:highlight w:val="none"/>
          <w:u w:val="none"/>
          <w:lang w:val="en-US" w:eastAsia="zh-CN" w:bidi="ar-SA"/>
        </w:rPr>
        <w:t xml:space="preserve"> 24 小时提交书面延期要求。</w:t>
      </w:r>
    </w:p>
    <w:p w14:paraId="7F32729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关于延期最长不得超过：</w:t>
      </w:r>
      <w:bookmarkStart w:id="252" w:name="EBc963b0f181ae418098a369619ab378ac"/>
      <w:bookmarkEnd w:id="252"/>
      <w:r>
        <w:rPr>
          <w:rFonts w:hint="eastAsia" w:ascii="宋体" w:hAnsi="宋体" w:eastAsia="宋体" w:cs="宋体"/>
          <w:color w:val="auto"/>
          <w:kern w:val="2"/>
          <w:sz w:val="21"/>
          <w:szCs w:val="21"/>
          <w:highlight w:val="none"/>
          <w:u w:val="single"/>
          <w:lang w:val="en-US" w:eastAsia="zh-CN" w:bidi="ar-SA"/>
        </w:rPr>
        <w:t>48 小时。</w:t>
      </w:r>
    </w:p>
    <w:p w14:paraId="1FE3215A">
      <w:pPr>
        <w:widowControl/>
        <w:wordWrap/>
        <w:spacing w:before="156" w:after="120" w:line="320" w:lineRule="exact"/>
        <w:ind w:firstLine="105" w:firstLineChars="50"/>
        <w:jc w:val="both"/>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13.2 竣工验收</w:t>
      </w:r>
    </w:p>
    <w:p w14:paraId="0BA5F6D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13.2.2竣工验收程序</w:t>
      </w:r>
    </w:p>
    <w:p w14:paraId="73C45516">
      <w:pPr>
        <w:widowControl/>
        <w:wordWrap/>
        <w:spacing w:before="156" w:line="320" w:lineRule="exact"/>
        <w:ind w:firstLine="319" w:firstLineChars="152"/>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关于竣工验收程序的约定：</w:t>
      </w:r>
      <w:r>
        <w:rPr>
          <w:rFonts w:hint="eastAsia" w:ascii="宋体" w:hAnsi="宋体" w:eastAsia="宋体" w:cs="宋体"/>
          <w:color w:val="auto"/>
          <w:kern w:val="2"/>
          <w:sz w:val="21"/>
          <w:szCs w:val="21"/>
          <w:highlight w:val="none"/>
          <w:u w:val="single"/>
          <w:lang w:val="en-US" w:eastAsia="zh-CN" w:bidi="ar-SA"/>
        </w:rPr>
        <w:t xml:space="preserve"> 承包人完成施工合同内容，通过自查合格，用书面形式报监理工程师，监理工程师14天内组织有关人员进行验收，对存在的问题，承包人及时整改完毕后，向发包人提交工程竣工报告，申请工程竣工验收，发包人应在收到报告后及时组织有关人员进行竣工验收。</w:t>
      </w:r>
    </w:p>
    <w:p w14:paraId="14D09818">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发包人不按照本项约定组织竣工验收、颁发工程接收证书的违约金的计算方法： 按通用条款执行。</w:t>
      </w:r>
    </w:p>
    <w:p w14:paraId="41898E96">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13.2.5移交、接收全部与部分工程</w:t>
      </w:r>
    </w:p>
    <w:p w14:paraId="0B77B0A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承包人向发包人移交工程的期限：</w:t>
      </w:r>
      <w:bookmarkStart w:id="253" w:name="EBbd67dacca0c74f3db392a8aa0fbd5d83"/>
      <w:bookmarkEnd w:id="253"/>
      <w:bookmarkStart w:id="254" w:name="EBac215ee8b9514f5c95bc1009a8b380c6"/>
      <w:r>
        <w:rPr>
          <w:rFonts w:hint="eastAsia" w:ascii="宋体" w:hAnsi="宋体" w:eastAsia="宋体" w:cs="宋体"/>
          <w:color w:val="auto"/>
          <w:kern w:val="2"/>
          <w:sz w:val="21"/>
          <w:szCs w:val="21"/>
          <w:highlight w:val="none"/>
          <w:u w:val="single"/>
          <w:lang w:val="en-US" w:eastAsia="zh-CN" w:bidi="ar-SA"/>
        </w:rPr>
        <w:t>工程竣工验收合格，并资料存档后7天内</w:t>
      </w:r>
      <w:bookmarkEnd w:id="254"/>
      <w:r>
        <w:rPr>
          <w:rFonts w:hint="eastAsia" w:ascii="宋体" w:hAnsi="宋体" w:eastAsia="宋体" w:cs="宋体"/>
          <w:color w:val="auto"/>
          <w:kern w:val="2"/>
          <w:sz w:val="21"/>
          <w:szCs w:val="21"/>
          <w:highlight w:val="none"/>
          <w:u w:val="single"/>
          <w:lang w:val="en-US" w:eastAsia="zh-CN" w:bidi="ar-SA"/>
        </w:rPr>
        <w:t>。</w:t>
      </w:r>
    </w:p>
    <w:p w14:paraId="2C80444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发包人未按本合同约定接收全部或部分工程的，违约金的计算方法为：</w:t>
      </w:r>
      <w:bookmarkStart w:id="255" w:name="EB6298a3a843c84ef9a4e2d2286a5e491e"/>
      <w:bookmarkEnd w:id="255"/>
      <w:bookmarkStart w:id="256" w:name="EB2ba92d8fde004304aadd28fecdf391ab"/>
      <w:r>
        <w:rPr>
          <w:rFonts w:hint="eastAsia" w:ascii="宋体" w:hAnsi="宋体" w:eastAsia="宋体" w:cs="宋体"/>
          <w:color w:val="auto"/>
          <w:kern w:val="2"/>
          <w:sz w:val="21"/>
          <w:szCs w:val="21"/>
          <w:highlight w:val="none"/>
          <w:u w:val="single"/>
          <w:lang w:val="en-US" w:eastAsia="zh-CN" w:bidi="ar-SA"/>
        </w:rPr>
        <w:t>应当接收工程起，除承担现场各种保管费用外，以签约合同价为基数，按全国银行间同业拆借中心公布的基础性贷款参考利率支付违约金</w:t>
      </w:r>
      <w:bookmarkEnd w:id="256"/>
      <w:r>
        <w:rPr>
          <w:rFonts w:hint="eastAsia" w:ascii="宋体" w:hAnsi="宋体" w:eastAsia="宋体" w:cs="宋体"/>
          <w:color w:val="auto"/>
          <w:kern w:val="2"/>
          <w:sz w:val="21"/>
          <w:szCs w:val="21"/>
          <w:highlight w:val="none"/>
          <w:u w:val="single"/>
          <w:lang w:val="en-US" w:eastAsia="zh-CN" w:bidi="ar-SA"/>
        </w:rPr>
        <w:t xml:space="preserve"> 。</w:t>
      </w:r>
    </w:p>
    <w:p w14:paraId="4805D74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承包人未按时移交工程的，违约金的计算方法为：</w:t>
      </w:r>
      <w:bookmarkStart w:id="257" w:name="EBbae1673a30f44ebca4e6fcc98eb7c5b2"/>
      <w:bookmarkEnd w:id="257"/>
      <w:bookmarkStart w:id="258" w:name="EBaaf09fbd8a8a41ec870f73c5bba2b300"/>
      <w:r>
        <w:rPr>
          <w:rFonts w:hint="eastAsia" w:ascii="宋体" w:hAnsi="宋体" w:eastAsia="宋体" w:cs="宋体"/>
          <w:color w:val="auto"/>
          <w:kern w:val="2"/>
          <w:sz w:val="21"/>
          <w:szCs w:val="21"/>
          <w:highlight w:val="none"/>
          <w:u w:val="single"/>
          <w:lang w:val="en-US" w:eastAsia="zh-CN" w:bidi="ar-SA"/>
        </w:rPr>
        <w:t>逾期移交，每天按签约合同价的万分之三承担工程逾期移交违约金</w:t>
      </w:r>
      <w:bookmarkEnd w:id="258"/>
      <w:r>
        <w:rPr>
          <w:rFonts w:hint="eastAsia" w:ascii="宋体" w:hAnsi="宋体" w:eastAsia="宋体" w:cs="宋体"/>
          <w:color w:val="auto"/>
          <w:kern w:val="2"/>
          <w:sz w:val="21"/>
          <w:szCs w:val="21"/>
          <w:highlight w:val="none"/>
          <w:u w:val="single"/>
          <w:lang w:val="en-US" w:eastAsia="zh-CN" w:bidi="ar-SA"/>
        </w:rPr>
        <w:t>。</w:t>
      </w:r>
    </w:p>
    <w:p w14:paraId="45EFA318">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13.3 工程试车</w:t>
      </w:r>
    </w:p>
    <w:p w14:paraId="5DB04CE6">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13.3.1 试车程序</w:t>
      </w:r>
    </w:p>
    <w:p w14:paraId="633E600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工程试车内容：</w:t>
      </w:r>
      <w:bookmarkStart w:id="259" w:name="EB81b630e4b60846e988be04b69c790045"/>
      <w:bookmarkEnd w:id="259"/>
      <w:r>
        <w:rPr>
          <w:rFonts w:hint="eastAsia" w:ascii="宋体" w:hAnsi="宋体" w:eastAsia="宋体" w:cs="宋体"/>
          <w:color w:val="auto"/>
          <w:kern w:val="2"/>
          <w:sz w:val="21"/>
          <w:szCs w:val="21"/>
          <w:highlight w:val="none"/>
          <w:u w:val="none"/>
          <w:lang w:val="en-US" w:eastAsia="zh-CN" w:bidi="ar-SA"/>
        </w:rPr>
        <w:t xml:space="preserve">              。</w:t>
      </w:r>
    </w:p>
    <w:p w14:paraId="180DC64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（1）单机无负荷试车费用由</w:t>
      </w:r>
      <w:bookmarkStart w:id="260" w:name="EBae497c857c874cf989dbdc36ea1ff87f"/>
      <w:bookmarkEnd w:id="260"/>
      <w:r>
        <w:rPr>
          <w:rFonts w:hint="eastAsia" w:ascii="宋体" w:hAnsi="宋体" w:eastAsia="宋体" w:cs="宋体"/>
          <w:color w:val="auto"/>
          <w:kern w:val="2"/>
          <w:sz w:val="21"/>
          <w:szCs w:val="21"/>
          <w:highlight w:val="none"/>
          <w:u w:val="single"/>
          <w:lang w:val="en-US" w:eastAsia="zh-CN" w:bidi="ar-SA"/>
        </w:rPr>
        <w:t xml:space="preserve"> </w:t>
      </w:r>
      <w:bookmarkStart w:id="261" w:name="EBfd7d0f79a8074870b34f4c622b46b073"/>
      <w:r>
        <w:rPr>
          <w:rFonts w:hint="eastAsia" w:ascii="宋体" w:hAnsi="宋体" w:eastAsia="宋体" w:cs="宋体"/>
          <w:color w:val="auto"/>
          <w:kern w:val="2"/>
          <w:sz w:val="21"/>
          <w:szCs w:val="21"/>
          <w:highlight w:val="none"/>
          <w:u w:val="single"/>
          <w:lang w:val="en-US" w:eastAsia="zh-CN" w:bidi="ar-SA"/>
        </w:rPr>
        <w:t>承包人</w:t>
      </w:r>
      <w:bookmarkEnd w:id="261"/>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承担；</w:t>
      </w:r>
    </w:p>
    <w:p w14:paraId="27CB2AF3">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（2）无负荷联动试车费用由</w:t>
      </w:r>
      <w:bookmarkStart w:id="262" w:name="EB98669ea748ba4887b935a58c899ffe6c"/>
      <w:bookmarkEnd w:id="262"/>
      <w:r>
        <w:rPr>
          <w:rFonts w:hint="eastAsia" w:ascii="宋体" w:hAnsi="宋体" w:eastAsia="宋体" w:cs="宋体"/>
          <w:color w:val="auto"/>
          <w:kern w:val="2"/>
          <w:sz w:val="21"/>
          <w:szCs w:val="21"/>
          <w:highlight w:val="none"/>
          <w:u w:val="single"/>
          <w:lang w:val="en-US" w:eastAsia="zh-CN" w:bidi="ar-SA"/>
        </w:rPr>
        <w:t xml:space="preserve"> 承包人 </w:t>
      </w:r>
      <w:r>
        <w:rPr>
          <w:rFonts w:hint="eastAsia" w:ascii="宋体" w:hAnsi="宋体" w:eastAsia="宋体" w:cs="宋体"/>
          <w:color w:val="auto"/>
          <w:kern w:val="2"/>
          <w:sz w:val="21"/>
          <w:szCs w:val="21"/>
          <w:highlight w:val="none"/>
          <w:u w:val="none"/>
          <w:lang w:val="en-US" w:eastAsia="zh-CN" w:bidi="ar-SA"/>
        </w:rPr>
        <w:t>承担。</w:t>
      </w:r>
    </w:p>
    <w:p w14:paraId="25B6340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13.3.3 投料试车</w:t>
      </w:r>
    </w:p>
    <w:p w14:paraId="216F655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关于投料试车相关事项的约定：</w:t>
      </w:r>
      <w:bookmarkStart w:id="263" w:name="EBca1eabefdbe7484992f296a5ea03575b"/>
      <w:bookmarkEnd w:id="263"/>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E42CFB9">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13.6 竣工退场</w:t>
      </w:r>
    </w:p>
    <w:p w14:paraId="5A1334F9">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13.6.1 竣工退场</w:t>
      </w:r>
    </w:p>
    <w:p w14:paraId="01496DD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承包人完成竣工退场的期限：</w:t>
      </w:r>
      <w:bookmarkStart w:id="264" w:name="EB6eaa79b154f848719f4b34cf809c26e0"/>
      <w:bookmarkEnd w:id="264"/>
      <w:bookmarkStart w:id="265" w:name="EB032d08ff333c43739a44c12ef77c09d7"/>
      <w:r>
        <w:rPr>
          <w:rFonts w:hint="eastAsia" w:ascii="宋体" w:hAnsi="宋体" w:eastAsia="宋体" w:cs="宋体"/>
          <w:color w:val="auto"/>
          <w:kern w:val="2"/>
          <w:sz w:val="21"/>
          <w:szCs w:val="21"/>
          <w:highlight w:val="none"/>
          <w:u w:val="single"/>
          <w:lang w:val="en-US" w:eastAsia="zh-CN" w:bidi="ar-SA"/>
        </w:rPr>
        <w:t>竣工验收通过后28天内完成</w:t>
      </w:r>
      <w:bookmarkEnd w:id="265"/>
      <w:r>
        <w:rPr>
          <w:rFonts w:hint="eastAsia" w:ascii="宋体" w:hAnsi="宋体" w:eastAsia="宋体" w:cs="宋体"/>
          <w:color w:val="auto"/>
          <w:kern w:val="2"/>
          <w:sz w:val="21"/>
          <w:szCs w:val="21"/>
          <w:highlight w:val="none"/>
          <w:u w:val="single"/>
          <w:lang w:val="en-US" w:eastAsia="zh-CN" w:bidi="ar-SA"/>
        </w:rPr>
        <w:t xml:space="preserve"> 。</w:t>
      </w:r>
    </w:p>
    <w:p w14:paraId="55D4E22A">
      <w:pPr>
        <w:wordWrap/>
        <w:spacing w:line="240" w:lineRule="auto"/>
        <w:ind w:firstLine="0" w:firstLineChars="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14. 竣工结算</w:t>
      </w:r>
    </w:p>
    <w:p w14:paraId="6866BD2C">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14.1 竣工结算申请</w:t>
      </w:r>
    </w:p>
    <w:p w14:paraId="1372069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承包人提交竣工结算申请单的期限：</w:t>
      </w:r>
      <w:bookmarkStart w:id="266" w:name="EB4dbecf8ed86b40fdaa4870b9e4a83866"/>
      <w:bookmarkEnd w:id="266"/>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竣工验收后60天内向发包人提供竣工结算申请单，并提交完整的结算资料，如承包人未及时提交结算资料或提交的结算资料不完整的，承包人应向发包人按每天5000元支付违约金。该违约金上限为剩余合同价款</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838E1C9">
      <w:pPr>
        <w:widowControl/>
        <w:wordWrap/>
        <w:spacing w:before="156" w:line="320" w:lineRule="exact"/>
        <w:ind w:firstLine="105" w:firstLineChars="50"/>
        <w:jc w:val="both"/>
        <w:rPr>
          <w:rFonts w:hint="default"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竣工验收后半年内还未提交竣工结算申请单及完整资料的，发包人可按已支付金额作为该工程的结算金额进行结算。</w:t>
      </w:r>
    </w:p>
    <w:p w14:paraId="46D8445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竣工结算申请单应包括的内容</w:t>
      </w:r>
      <w:bookmarkStart w:id="267" w:name="EB7367672bffab445e9aa02de1e4d3d1e1"/>
      <w:bookmarkEnd w:id="267"/>
      <w:r>
        <w:rPr>
          <w:rFonts w:hint="eastAsia" w:ascii="宋体" w:hAnsi="宋体" w:eastAsia="宋体" w:cs="宋体"/>
          <w:color w:val="auto"/>
          <w:kern w:val="2"/>
          <w:sz w:val="21"/>
          <w:szCs w:val="21"/>
          <w:highlight w:val="none"/>
          <w:u w:val="none"/>
          <w:lang w:val="en-US" w:eastAsia="zh-CN" w:bidi="ar-SA"/>
        </w:rPr>
        <w:t>：</w:t>
      </w:r>
      <w:r>
        <w:rPr>
          <w:rFonts w:hint="eastAsia" w:ascii="宋体" w:hAnsi="宋体" w:eastAsia="宋体" w:cs="宋体"/>
          <w:color w:val="auto"/>
          <w:kern w:val="2"/>
          <w:sz w:val="21"/>
          <w:szCs w:val="21"/>
          <w:highlight w:val="none"/>
          <w:u w:val="single"/>
          <w:lang w:val="en-US" w:eastAsia="zh-CN" w:bidi="ar-SA"/>
        </w:rPr>
        <w:t>按通用合同条款 。</w:t>
      </w:r>
    </w:p>
    <w:p w14:paraId="11FDDC4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竣工结算按以下第</w:t>
      </w:r>
      <w:bookmarkStart w:id="268" w:name="EBaf6604e4a4f14d8c8802ed53457ea204"/>
      <w:bookmarkEnd w:id="268"/>
      <w:r>
        <w:rPr>
          <w:rFonts w:hint="eastAsia" w:ascii="宋体" w:hAnsi="宋体" w:eastAsia="宋体" w:cs="宋体"/>
          <w:color w:val="auto"/>
          <w:kern w:val="2"/>
          <w:sz w:val="21"/>
          <w:szCs w:val="21"/>
          <w:highlight w:val="none"/>
          <w:u w:val="single"/>
          <w:lang w:val="en-US" w:eastAsia="zh-CN" w:bidi="ar-SA"/>
        </w:rPr>
        <w:t xml:space="preserve"> （2）</w:t>
      </w:r>
      <w:r>
        <w:rPr>
          <w:rFonts w:hint="eastAsia" w:ascii="宋体" w:hAnsi="宋体" w:eastAsia="宋体" w:cs="宋体"/>
          <w:color w:val="auto"/>
          <w:kern w:val="2"/>
          <w:sz w:val="21"/>
          <w:szCs w:val="21"/>
          <w:highlight w:val="none"/>
          <w:u w:val="none"/>
          <w:lang w:val="en-US" w:eastAsia="zh-CN" w:bidi="ar-SA"/>
        </w:rPr>
        <w:t>款方式编制：</w:t>
      </w:r>
    </w:p>
    <w:p w14:paraId="105DA53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（1）按月结算。</w:t>
      </w:r>
    </w:p>
    <w:p w14:paraId="3773AA3E">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（2）按整体工程一次性结算。</w:t>
      </w:r>
    </w:p>
    <w:p w14:paraId="4A8D968D">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14.2 竣工结算审核</w:t>
      </w:r>
    </w:p>
    <w:p w14:paraId="5541A7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（1）发包人结算审核时间：发包人应在收到承包人递交的竣工结算报告及完整齐全的结算资料后，</w:t>
      </w:r>
      <w:bookmarkStart w:id="269" w:name="EB08b0512d4087403bb09a523c7e4bcadd"/>
      <w:r>
        <w:rPr>
          <w:rFonts w:hint="eastAsia" w:ascii="宋体" w:hAnsi="宋体" w:eastAsia="宋体" w:cs="宋体"/>
          <w:color w:val="000000"/>
          <w:kern w:val="0"/>
          <w:szCs w:val="21"/>
          <w:highlight w:val="none"/>
          <w:lang w:val="en-US" w:eastAsia="zh-CN"/>
        </w:rPr>
        <w:t>6</w:t>
      </w:r>
      <w:bookmarkEnd w:id="269"/>
      <w:r>
        <w:rPr>
          <w:rFonts w:hint="eastAsia" w:ascii="宋体" w:hAnsi="宋体" w:eastAsia="宋体" w:cs="宋体"/>
          <w:color w:val="000000"/>
          <w:kern w:val="0"/>
          <w:szCs w:val="21"/>
          <w:highlight w:val="none"/>
          <w:lang w:val="en-US" w:eastAsia="zh-CN"/>
        </w:rPr>
        <w:t>个月内审核完毕，并签发竣工结算证书。</w:t>
      </w:r>
      <w:r>
        <w:rPr>
          <w:rFonts w:hint="eastAsia" w:ascii="宋体" w:hAnsi="宋体" w:cs="宋体"/>
          <w:color w:val="000000"/>
          <w:kern w:val="0"/>
          <w:szCs w:val="21"/>
          <w:highlight w:val="none"/>
          <w:lang w:val="en-US" w:eastAsia="zh-CN"/>
        </w:rPr>
        <w:t>本</w:t>
      </w:r>
      <w:r>
        <w:rPr>
          <w:rFonts w:hint="eastAsia" w:ascii="宋体" w:hAnsi="宋体" w:eastAsia="宋体" w:cs="宋体"/>
          <w:color w:val="000000"/>
          <w:kern w:val="0"/>
          <w:szCs w:val="21"/>
          <w:highlight w:val="none"/>
          <w:lang w:val="en-US" w:eastAsia="zh-CN"/>
        </w:rPr>
        <w:t>项目以</w:t>
      </w:r>
      <w:r>
        <w:rPr>
          <w:rFonts w:hint="eastAsia" w:ascii="宋体" w:hAnsi="宋体" w:cs="宋体"/>
          <w:color w:val="000000"/>
          <w:kern w:val="0"/>
          <w:szCs w:val="21"/>
          <w:highlight w:val="none"/>
          <w:lang w:val="en-US" w:eastAsia="zh-CN"/>
        </w:rPr>
        <w:t>第三方</w:t>
      </w:r>
      <w:r>
        <w:rPr>
          <w:rFonts w:hint="eastAsia" w:ascii="宋体" w:hAnsi="宋体" w:eastAsia="宋体" w:cs="宋体"/>
          <w:color w:val="000000"/>
          <w:kern w:val="0"/>
          <w:szCs w:val="21"/>
          <w:highlight w:val="none"/>
          <w:lang w:val="en-US" w:eastAsia="zh-CN"/>
        </w:rPr>
        <w:t>出具工程结算报告日期为准。</w:t>
      </w:r>
    </w:p>
    <w:p w14:paraId="430BF0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发包人或其委托的中介机构在接收承包人提交的工程结算送审资料时应对资料完整性进行初审，接收通过资料完整性初审的资料后，在结算审核过程中，发包人或其委托的中介机构要求承包人进一步补充资料的，因承包人原因提交补充资料对工程结算进度产生实质性影响的，工程结算审核时间予以顺延。</w:t>
      </w:r>
    </w:p>
    <w:p w14:paraId="47785D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由发包人原因逾期审核责任：向承包人支付违约金，违约金为工程结算后应付工程款的利息，利率按中国人民银行发布的同期同类贷款基准利率，利息计算时间为应付工程款日至支付工程款日止。</w:t>
      </w:r>
    </w:p>
    <w:p w14:paraId="6B4D92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3E216B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工程结算核对完成后，发承包双方须签字确认。如承包人对核对后的工程结算书部分内容有异议的，对无异议部分应予认可，发包人可先支付承包人无异议部分结算款。对异议部分签署不同意见，异议部分重新进行复核或按照第20条〔争议解决约定〕处理，发包人应予以支持配合。</w:t>
      </w:r>
    </w:p>
    <w:p w14:paraId="1E5D016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工程结算核对完成，发承包双方签字确认后，发包人不得要求承包人与另一个或多个工程造价咨询人重复核对竣工结算。竣工结算审定文件一经双方确认即生效，除法律、法规另有规定外，任何一方不得随意更改。</w:t>
      </w:r>
    </w:p>
    <w:p w14:paraId="15E2A549">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14.4 最终结清</w:t>
      </w:r>
    </w:p>
    <w:p w14:paraId="3279DDF4">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14.4.1 最终结清申请单</w:t>
      </w:r>
    </w:p>
    <w:p w14:paraId="6F48418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承包人提交最终结清申请单的份数：</w:t>
      </w:r>
      <w:bookmarkStart w:id="270" w:name="EBec64c1a399194762bceb3a62b73141cc"/>
      <w:bookmarkEnd w:id="270"/>
      <w:bookmarkStart w:id="271" w:name="EBcfef7256eeac42b587727001be915fba"/>
      <w:r>
        <w:rPr>
          <w:rFonts w:hint="eastAsia" w:ascii="宋体" w:hAnsi="宋体" w:eastAsia="宋体" w:cs="宋体"/>
          <w:color w:val="auto"/>
          <w:kern w:val="2"/>
          <w:sz w:val="21"/>
          <w:szCs w:val="21"/>
          <w:highlight w:val="none"/>
          <w:u w:val="single"/>
          <w:lang w:val="en-US" w:eastAsia="zh-CN" w:bidi="ar-SA"/>
        </w:rPr>
        <w:t>5份</w:t>
      </w:r>
      <w:bookmarkEnd w:id="271"/>
      <w:r>
        <w:rPr>
          <w:rFonts w:hint="eastAsia" w:ascii="宋体" w:hAnsi="宋体" w:eastAsia="宋体" w:cs="宋体"/>
          <w:color w:val="auto"/>
          <w:kern w:val="2"/>
          <w:sz w:val="21"/>
          <w:szCs w:val="21"/>
          <w:highlight w:val="none"/>
          <w:u w:val="single"/>
          <w:lang w:val="en-US" w:eastAsia="zh-CN" w:bidi="ar-SA"/>
        </w:rPr>
        <w:t>。</w:t>
      </w:r>
    </w:p>
    <w:p w14:paraId="3FB2DC5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承包人提交最终结算申请单的期限：</w:t>
      </w:r>
      <w:bookmarkStart w:id="272" w:name="EB5a5e0b9272744436a16097cda4a1ed0d"/>
      <w:bookmarkEnd w:id="272"/>
      <w:bookmarkStart w:id="273" w:name="EB0c80662d3a63475ca3be900d8b1b2c9e"/>
      <w:r>
        <w:rPr>
          <w:rFonts w:hint="eastAsia" w:ascii="宋体" w:hAnsi="宋体" w:eastAsia="宋体" w:cs="宋体"/>
          <w:color w:val="auto"/>
          <w:kern w:val="2"/>
          <w:sz w:val="21"/>
          <w:szCs w:val="21"/>
          <w:highlight w:val="none"/>
          <w:u w:val="single"/>
          <w:lang w:val="en-US" w:eastAsia="zh-CN" w:bidi="ar-SA"/>
        </w:rPr>
        <w:t>结算审定后一个月内</w:t>
      </w:r>
      <w:bookmarkEnd w:id="273"/>
      <w:r>
        <w:rPr>
          <w:rFonts w:hint="eastAsia" w:ascii="宋体" w:hAnsi="宋体" w:eastAsia="宋体" w:cs="宋体"/>
          <w:color w:val="auto"/>
          <w:kern w:val="2"/>
          <w:sz w:val="21"/>
          <w:szCs w:val="21"/>
          <w:highlight w:val="none"/>
          <w:u w:val="single"/>
          <w:lang w:val="en-US" w:eastAsia="zh-CN" w:bidi="ar-SA"/>
        </w:rPr>
        <w:t xml:space="preserve"> 。 </w:t>
      </w:r>
    </w:p>
    <w:p w14:paraId="3ACB05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14.4.2 最终结清证书和支付</w:t>
      </w:r>
    </w:p>
    <w:p w14:paraId="52C333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（1）发包人完成最终结清申请单的审批并颁发最终结清证书的期限：发包人应在收到承包人提交的最终结清申请单后</w:t>
      </w:r>
      <w:bookmarkStart w:id="274" w:name="EB864ed6e5cd794311b5c1a420a2bf5e36"/>
      <w:r>
        <w:rPr>
          <w:rFonts w:hint="eastAsia" w:ascii="宋体" w:hAnsi="宋体" w:eastAsia="宋体" w:cs="宋体"/>
          <w:color w:val="000000"/>
          <w:kern w:val="0"/>
          <w:szCs w:val="21"/>
          <w:highlight w:val="none"/>
          <w:lang w:val="en-US" w:eastAsia="zh-CN"/>
        </w:rPr>
        <w:t>28</w:t>
      </w:r>
      <w:bookmarkEnd w:id="274"/>
      <w:r>
        <w:rPr>
          <w:rFonts w:hint="eastAsia" w:ascii="宋体" w:hAnsi="宋体" w:eastAsia="宋体" w:cs="宋体"/>
          <w:color w:val="000000"/>
          <w:kern w:val="0"/>
          <w:szCs w:val="21"/>
          <w:highlight w:val="none"/>
          <w:lang w:val="en-US" w:eastAsia="zh-CN"/>
        </w:rPr>
        <w:t>天内完成审批并向承包人颁发最终结清证书。发包人逾期未完成审批，又未提出修改意见的，视为发包人同意承包人提交的最终结清申请单，且自发包人收到承包人提交的最终结清申请单后</w:t>
      </w:r>
      <w:bookmarkStart w:id="275" w:name="EB8b69c610043e4fd194a77969e98b8cd2"/>
      <w:r>
        <w:rPr>
          <w:rFonts w:hint="eastAsia" w:ascii="宋体" w:hAnsi="宋体" w:eastAsia="宋体" w:cs="宋体"/>
          <w:color w:val="000000"/>
          <w:kern w:val="0"/>
          <w:szCs w:val="21"/>
          <w:highlight w:val="none"/>
          <w:lang w:val="en-US" w:eastAsia="zh-CN"/>
        </w:rPr>
        <w:t>29</w:t>
      </w:r>
      <w:bookmarkEnd w:id="275"/>
      <w:r>
        <w:rPr>
          <w:rFonts w:hint="eastAsia" w:ascii="宋体" w:hAnsi="宋体" w:eastAsia="宋体" w:cs="宋体"/>
          <w:color w:val="000000"/>
          <w:kern w:val="0"/>
          <w:szCs w:val="21"/>
          <w:highlight w:val="none"/>
          <w:lang w:val="en-US" w:eastAsia="zh-CN"/>
        </w:rPr>
        <w:t>天起视为已颁发最终结清证书 。</w:t>
      </w:r>
    </w:p>
    <w:p w14:paraId="7CAC90F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（2）发包人完成支付的期限： 发包人应在颁发最终结清证书后</w:t>
      </w:r>
      <w:bookmarkStart w:id="276" w:name="EB100781c540b44ad8b56f371f17c928e9"/>
      <w:r>
        <w:rPr>
          <w:rFonts w:hint="eastAsia" w:ascii="宋体" w:hAnsi="宋体" w:eastAsia="宋体" w:cs="宋体"/>
          <w:color w:val="000000"/>
          <w:kern w:val="0"/>
          <w:szCs w:val="21"/>
          <w:highlight w:val="none"/>
          <w:lang w:val="en-US" w:eastAsia="zh-CN"/>
        </w:rPr>
        <w:t>28</w:t>
      </w:r>
      <w:bookmarkEnd w:id="276"/>
      <w:r>
        <w:rPr>
          <w:rFonts w:hint="eastAsia" w:ascii="宋体" w:hAnsi="宋体" w:eastAsia="宋体" w:cs="宋体"/>
          <w:color w:val="000000"/>
          <w:kern w:val="0"/>
          <w:szCs w:val="21"/>
          <w:highlight w:val="none"/>
          <w:lang w:val="en-US" w:eastAsia="zh-CN"/>
        </w:rPr>
        <w:t>天内完成支付。发包人逾期支付的，按照全国银行间同业拆借中心公布的贷款市场报价利率支付违约金。</w:t>
      </w:r>
    </w:p>
    <w:p w14:paraId="2FD95B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15. 缺陷责任期与保修</w:t>
      </w:r>
    </w:p>
    <w:p w14:paraId="2426D7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15.2缺陷责任期</w:t>
      </w:r>
    </w:p>
    <w:p w14:paraId="456444F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缺陷责任期的具体期限：</w:t>
      </w:r>
      <w:bookmarkStart w:id="277" w:name="EBc1f2675ed0a24879b3132925aac32fb3"/>
      <w:bookmarkEnd w:id="277"/>
      <w:bookmarkStart w:id="278" w:name="EB1c4c4ad0ac8d447797712733626a9f90"/>
      <w:r>
        <w:rPr>
          <w:rFonts w:hint="eastAsia" w:ascii="宋体" w:hAnsi="宋体" w:eastAsia="宋体" w:cs="宋体"/>
          <w:color w:val="auto"/>
          <w:kern w:val="2"/>
          <w:sz w:val="21"/>
          <w:szCs w:val="21"/>
          <w:highlight w:val="none"/>
          <w:u w:val="single"/>
          <w:lang w:val="en-US" w:eastAsia="zh-CN" w:bidi="ar-SA"/>
        </w:rPr>
        <w:t>自竣工验收通过之日起12个月</w:t>
      </w:r>
      <w:bookmarkEnd w:id="278"/>
      <w:r>
        <w:rPr>
          <w:rFonts w:hint="eastAsia" w:ascii="宋体" w:hAnsi="宋体" w:eastAsia="宋体" w:cs="宋体"/>
          <w:color w:val="auto"/>
          <w:kern w:val="2"/>
          <w:sz w:val="21"/>
          <w:szCs w:val="21"/>
          <w:highlight w:val="none"/>
          <w:u w:val="single"/>
          <w:lang w:val="en-US" w:eastAsia="zh-CN" w:bidi="ar-SA"/>
        </w:rPr>
        <w:t xml:space="preserve"> 。</w:t>
      </w:r>
    </w:p>
    <w:p w14:paraId="722290E4">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15.3 质量保证金</w:t>
      </w:r>
    </w:p>
    <w:p w14:paraId="64F55FF9">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关于是否扣留质量保证金的约定</w:t>
      </w:r>
      <w:r>
        <w:rPr>
          <w:rFonts w:hint="eastAsia" w:ascii="宋体" w:hAnsi="宋体" w:eastAsia="宋体" w:cs="宋体"/>
          <w:color w:val="auto"/>
          <w:kern w:val="2"/>
          <w:sz w:val="21"/>
          <w:szCs w:val="21"/>
          <w:highlight w:val="none"/>
          <w:u w:val="single"/>
          <w:lang w:val="en-US" w:eastAsia="zh-CN" w:bidi="ar-SA"/>
        </w:rPr>
        <w:t>：</w:t>
      </w:r>
      <w:bookmarkStart w:id="279" w:name="EB4fc226e606c04cfda401f9f00b8facef"/>
      <w:bookmarkEnd w:id="279"/>
      <w:r>
        <w:rPr>
          <w:rFonts w:hint="eastAsia" w:ascii="宋体" w:hAnsi="宋体" w:eastAsia="宋体" w:cs="宋体"/>
          <w:color w:val="auto"/>
          <w:kern w:val="2"/>
          <w:sz w:val="21"/>
          <w:szCs w:val="21"/>
          <w:highlight w:val="none"/>
          <w:u w:val="single"/>
          <w:lang w:val="en-US" w:eastAsia="zh-CN" w:bidi="ar-SA"/>
        </w:rPr>
        <w:t>否。</w:t>
      </w:r>
    </w:p>
    <w:p w14:paraId="3A74921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15.3.1 承包人提供质量保证金的方式</w:t>
      </w:r>
    </w:p>
    <w:p w14:paraId="1E4B4102">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工程质量保证金的金额：</w:t>
      </w:r>
      <w:r>
        <w:rPr>
          <w:rFonts w:hint="eastAsia" w:ascii="宋体" w:hAnsi="宋体" w:eastAsia="宋体" w:cs="宋体"/>
          <w:color w:val="auto"/>
          <w:kern w:val="2"/>
          <w:sz w:val="21"/>
          <w:szCs w:val="21"/>
          <w:highlight w:val="none"/>
          <w:u w:val="single"/>
          <w:lang w:val="en-US" w:eastAsia="zh-CN" w:bidi="ar-SA"/>
        </w:rPr>
        <w:t xml:space="preserve">/ </w:t>
      </w:r>
    </w:p>
    <w:p w14:paraId="051A3151">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质量保证金采用以下第</w:t>
      </w:r>
      <w:bookmarkStart w:id="280" w:name="EB1c1b4c6954e24faa94b492177c12adc2"/>
      <w:bookmarkEnd w:id="280"/>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u w:val="none"/>
          <w:lang w:val="en-US" w:eastAsia="zh-CN" w:bidi="ar-SA"/>
        </w:rPr>
        <w:t>种方式：</w:t>
      </w:r>
    </w:p>
    <w:p w14:paraId="3EEE427C">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（1）质量保证金保函，保证金额为：</w:t>
      </w:r>
      <w:bookmarkStart w:id="281" w:name="EB0197138bebed4ca792a5bbcdb2e26dc5"/>
      <w:bookmarkEnd w:id="281"/>
      <w:r>
        <w:rPr>
          <w:rFonts w:hint="eastAsia" w:ascii="宋体" w:hAnsi="宋体" w:eastAsia="宋体" w:cs="宋体"/>
          <w:color w:val="auto"/>
          <w:kern w:val="2"/>
          <w:sz w:val="21"/>
          <w:szCs w:val="21"/>
          <w:highlight w:val="none"/>
          <w:u w:val="none"/>
          <w:lang w:val="en-US" w:eastAsia="zh-CN" w:bidi="ar-SA"/>
        </w:rPr>
        <w:t xml:space="preserve">          ； </w:t>
      </w:r>
    </w:p>
    <w:p w14:paraId="2586CBD9">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（2）质量保证金商业保险；</w:t>
      </w:r>
    </w:p>
    <w:p w14:paraId="67E03A9E">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（3）其他方式:</w:t>
      </w:r>
      <w:bookmarkStart w:id="282" w:name="EB72926f2395ee41e8b185ec4762401ffc"/>
      <w:bookmarkEnd w:id="282"/>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495FE8E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15.3.2 质量保证金的扣留 </w:t>
      </w:r>
    </w:p>
    <w:p w14:paraId="451DE7D2">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质量保证金的扣留采取以下第</w:t>
      </w:r>
      <w:bookmarkStart w:id="283" w:name="EBba93c8b69c6844cd90007c9d0e565b56"/>
      <w:bookmarkEnd w:id="283"/>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u w:val="none"/>
          <w:lang w:val="en-US" w:eastAsia="zh-CN" w:bidi="ar-SA"/>
        </w:rPr>
        <w:t>种方式：</w:t>
      </w:r>
    </w:p>
    <w:p w14:paraId="62CABC5A">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（1）在支付工程进度款时逐次扣留，在此情形下，质量保证金的计算基数不包括预付款的支付、扣回以及价格调整的金额；</w:t>
      </w:r>
    </w:p>
    <w:p w14:paraId="20310C50">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（2）工程竣工结算时一次性扣留质量保证金；</w:t>
      </w:r>
    </w:p>
    <w:p w14:paraId="516BD14C">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（3）其他扣留方式:</w:t>
      </w:r>
      <w:bookmarkStart w:id="284" w:name="EB791a1cb4d7d543d4a14841f6624f134b"/>
      <w:bookmarkEnd w:id="284"/>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u w:val="none"/>
          <w:lang w:val="en-US" w:eastAsia="zh-CN" w:bidi="ar-SA"/>
        </w:rPr>
        <w:t>。</w:t>
      </w:r>
    </w:p>
    <w:p w14:paraId="2B34977F">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关于质量保证金的补充约定：工程缺陷责任期屇满后28天内，扣除发包人代为维修发生的费用，一次性无息支付给承包人。</w:t>
      </w:r>
    </w:p>
    <w:p w14:paraId="79106391">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15.4保修</w:t>
      </w:r>
    </w:p>
    <w:p w14:paraId="61BDE225">
      <w:pPr>
        <w:widowControl/>
        <w:wordWrap/>
        <w:spacing w:before="156" w:line="320" w:lineRule="exact"/>
        <w:ind w:firstLine="409" w:firstLineChars="195"/>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15.4.1 保修责任</w:t>
      </w:r>
    </w:p>
    <w:p w14:paraId="45983FBD">
      <w:pPr>
        <w:widowControl/>
        <w:wordWrap/>
        <w:spacing w:before="156" w:line="320" w:lineRule="exact"/>
        <w:ind w:firstLine="525" w:firstLineChars="25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工程保修期为：</w:t>
      </w:r>
      <w:bookmarkStart w:id="285" w:name="EBbb684c6012774880af85ea076d6c6efa"/>
      <w:bookmarkEnd w:id="285"/>
      <w:r>
        <w:rPr>
          <w:rFonts w:hint="eastAsia" w:ascii="宋体" w:hAnsi="宋体" w:eastAsia="宋体" w:cs="宋体"/>
          <w:color w:val="auto"/>
          <w:kern w:val="2"/>
          <w:sz w:val="21"/>
          <w:szCs w:val="21"/>
          <w:highlight w:val="none"/>
          <w:u w:val="single"/>
          <w:lang w:val="en-US" w:eastAsia="zh-CN" w:bidi="ar-SA"/>
        </w:rPr>
        <w:t>本工程保修期限</w:t>
      </w:r>
      <w:r>
        <w:rPr>
          <w:rFonts w:hint="eastAsia" w:ascii="宋体" w:hAnsi="宋体" w:cs="宋体"/>
          <w:color w:val="auto"/>
          <w:kern w:val="2"/>
          <w:sz w:val="21"/>
          <w:szCs w:val="21"/>
          <w:highlight w:val="none"/>
          <w:u w:val="single"/>
          <w:lang w:val="en-US" w:eastAsia="zh-CN" w:bidi="ar-SA"/>
        </w:rPr>
        <w:t>12个月</w:t>
      </w:r>
      <w:r>
        <w:rPr>
          <w:rFonts w:hint="eastAsia" w:ascii="宋体" w:hAnsi="宋体" w:eastAsia="宋体" w:cs="宋体"/>
          <w:color w:val="auto"/>
          <w:kern w:val="2"/>
          <w:sz w:val="21"/>
          <w:szCs w:val="21"/>
          <w:highlight w:val="none"/>
          <w:u w:val="single"/>
          <w:lang w:val="en-US" w:eastAsia="zh-CN" w:bidi="ar-SA"/>
        </w:rPr>
        <w:t>，保修期从竣工验收通过之日起计算。</w:t>
      </w:r>
    </w:p>
    <w:p w14:paraId="661F0FA5">
      <w:pPr>
        <w:widowControl/>
        <w:wordWrap/>
        <w:spacing w:before="156" w:line="320" w:lineRule="exact"/>
        <w:ind w:firstLine="409" w:firstLineChars="195"/>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15.4.3 修复通知</w:t>
      </w:r>
    </w:p>
    <w:p w14:paraId="24BAC91C">
      <w:pPr>
        <w:widowControl/>
        <w:wordWrap/>
        <w:spacing w:before="156" w:line="320" w:lineRule="exact"/>
        <w:ind w:firstLine="409" w:firstLineChars="195"/>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承包人收到保修通知并到达工程现场的合理时间：</w:t>
      </w:r>
      <w:bookmarkStart w:id="286" w:name="EBe43cc469c75c42ba8c9e878b16e09424"/>
      <w:bookmarkEnd w:id="286"/>
      <w:bookmarkStart w:id="287" w:name="EB553ebebd08d542e499bb9ef08e17987d"/>
      <w:r>
        <w:rPr>
          <w:rFonts w:hint="eastAsia" w:ascii="宋体" w:hAnsi="宋体" w:cs="宋体"/>
          <w:color w:val="auto"/>
          <w:kern w:val="2"/>
          <w:sz w:val="21"/>
          <w:szCs w:val="21"/>
          <w:highlight w:val="none"/>
          <w:u w:val="single"/>
          <w:lang w:val="en-US" w:eastAsia="zh-CN" w:bidi="ar-SA"/>
        </w:rPr>
        <w:t>2</w:t>
      </w:r>
      <w:r>
        <w:rPr>
          <w:rFonts w:hint="eastAsia" w:ascii="宋体" w:hAnsi="宋体" w:eastAsia="宋体" w:cs="宋体"/>
          <w:color w:val="auto"/>
          <w:kern w:val="2"/>
          <w:sz w:val="21"/>
          <w:szCs w:val="21"/>
          <w:highlight w:val="none"/>
          <w:u w:val="single"/>
          <w:lang w:val="en-US" w:eastAsia="zh-CN" w:bidi="ar-SA"/>
        </w:rPr>
        <w:t>4小时内</w:t>
      </w:r>
      <w:bookmarkEnd w:id="287"/>
      <w:r>
        <w:rPr>
          <w:rFonts w:hint="eastAsia" w:ascii="宋体" w:hAnsi="宋体" w:eastAsia="宋体" w:cs="宋体"/>
          <w:color w:val="auto"/>
          <w:kern w:val="2"/>
          <w:sz w:val="21"/>
          <w:szCs w:val="21"/>
          <w:highlight w:val="none"/>
          <w:u w:val="single"/>
          <w:lang w:val="en-US" w:eastAsia="zh-CN" w:bidi="ar-SA"/>
        </w:rPr>
        <w:t>。</w:t>
      </w:r>
    </w:p>
    <w:p w14:paraId="6C9B766D">
      <w:pPr>
        <w:wordWrap/>
        <w:spacing w:line="240" w:lineRule="auto"/>
        <w:ind w:firstLine="0" w:firstLineChars="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16. 违约</w:t>
      </w:r>
    </w:p>
    <w:p w14:paraId="12C29D4D">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16.1 发包人违约</w:t>
      </w:r>
    </w:p>
    <w:p w14:paraId="34E8F255">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16.1.1发包人违约的情形</w:t>
      </w:r>
    </w:p>
    <w:p w14:paraId="203150F1">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发包人违约的其他情形：</w:t>
      </w:r>
      <w:bookmarkStart w:id="288" w:name="EB7045482f1e234eb19cfa09b0f126a8f8"/>
      <w:bookmarkEnd w:id="288"/>
      <w:bookmarkStart w:id="289" w:name="EB79ad7a74aefd45169c3409043d20863b"/>
      <w:r>
        <w:rPr>
          <w:rFonts w:hint="eastAsia" w:ascii="宋体" w:hAnsi="宋体" w:eastAsia="宋体" w:cs="宋体"/>
          <w:color w:val="auto"/>
          <w:kern w:val="2"/>
          <w:sz w:val="21"/>
          <w:szCs w:val="21"/>
          <w:highlight w:val="none"/>
          <w:u w:val="single"/>
          <w:lang w:val="en-US" w:eastAsia="zh-CN" w:bidi="ar-SA"/>
        </w:rPr>
        <w:t>按通用合同条款执行</w:t>
      </w:r>
      <w:bookmarkEnd w:id="289"/>
      <w:r>
        <w:rPr>
          <w:rFonts w:hint="eastAsia" w:ascii="宋体" w:hAnsi="宋体" w:eastAsia="宋体" w:cs="宋体"/>
          <w:color w:val="auto"/>
          <w:kern w:val="2"/>
          <w:sz w:val="21"/>
          <w:szCs w:val="21"/>
          <w:highlight w:val="none"/>
          <w:u w:val="single"/>
          <w:lang w:val="en-US" w:eastAsia="zh-CN" w:bidi="ar-SA"/>
        </w:rPr>
        <w:t>。</w:t>
      </w:r>
    </w:p>
    <w:p w14:paraId="65B60D0E">
      <w:pPr>
        <w:widowControl/>
        <w:wordWrap/>
        <w:spacing w:before="156" w:line="320" w:lineRule="exact"/>
        <w:ind w:left="1050" w:hanging="1050" w:hangingChars="5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    16.1.2 发包人违约的责任  </w:t>
      </w:r>
    </w:p>
    <w:p w14:paraId="561C2E2C">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发包人违约责任的承担方式和计算方法：</w:t>
      </w:r>
      <w:bookmarkStart w:id="290" w:name="EBee680d4d470c4352b14fb8d8c6a393b5"/>
      <w:bookmarkEnd w:id="290"/>
    </w:p>
    <w:p w14:paraId="7574D43D">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 （1）因发包人原因未能在计划开工日期前7天内下达开工通知的违约责任：</w:t>
      </w:r>
      <w:bookmarkStart w:id="291" w:name="EB46a6e75a9d6a46238db936e3dc5f05e5"/>
      <w:r>
        <w:rPr>
          <w:rFonts w:hint="eastAsia" w:ascii="宋体" w:hAnsi="宋体" w:eastAsia="宋体" w:cs="宋体"/>
          <w:color w:val="auto"/>
          <w:kern w:val="2"/>
          <w:sz w:val="21"/>
          <w:szCs w:val="21"/>
          <w:highlight w:val="none"/>
          <w:u w:val="single"/>
          <w:lang w:val="en-US" w:eastAsia="zh-CN" w:bidi="ar-SA"/>
        </w:rPr>
        <w:t>工期顺延</w:t>
      </w:r>
      <w:bookmarkEnd w:id="291"/>
      <w:r>
        <w:rPr>
          <w:rFonts w:hint="eastAsia" w:ascii="宋体" w:hAnsi="宋体" w:eastAsia="宋体" w:cs="宋体"/>
          <w:color w:val="auto"/>
          <w:kern w:val="2"/>
          <w:sz w:val="21"/>
          <w:szCs w:val="21"/>
          <w:highlight w:val="none"/>
          <w:u w:val="single"/>
          <w:lang w:val="en-US" w:eastAsia="zh-CN" w:bidi="ar-SA"/>
        </w:rPr>
        <w:t xml:space="preserve">。 </w:t>
      </w:r>
    </w:p>
    <w:p w14:paraId="405C2990">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（2）因发包人原因未能按合同约定支付合同价款的违约责任：</w:t>
      </w:r>
      <w:r>
        <w:rPr>
          <w:rFonts w:hint="eastAsia" w:ascii="宋体" w:hAnsi="宋体" w:eastAsia="宋体" w:cs="宋体"/>
          <w:color w:val="auto"/>
          <w:kern w:val="2"/>
          <w:sz w:val="21"/>
          <w:szCs w:val="21"/>
          <w:highlight w:val="none"/>
          <w:u w:val="single"/>
          <w:lang w:val="en-US" w:eastAsia="zh-CN" w:bidi="ar-SA"/>
        </w:rPr>
        <w:t xml:space="preserve">  / </w:t>
      </w:r>
    </w:p>
    <w:p w14:paraId="54C43127">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（3）发包人违反第10.1款〔变更的范围〕第（2）项约定，自行实施被取消的工作或转由他人实施的违约责任：</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u w:val="none"/>
          <w:lang w:val="en-US" w:eastAsia="zh-CN" w:bidi="ar-SA"/>
        </w:rPr>
        <w:t>。</w:t>
      </w:r>
    </w:p>
    <w:p w14:paraId="24FB33CD">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2"/>
          <w:sz w:val="21"/>
          <w:szCs w:val="21"/>
          <w:highlight w:val="none"/>
          <w:u w:val="single"/>
          <w:lang w:val="en-US" w:eastAsia="zh-CN" w:bidi="ar-SA"/>
        </w:rPr>
        <w:t>按通用合同条款执行 。</w:t>
      </w:r>
    </w:p>
    <w:p w14:paraId="27F13829">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（5）因发包人违反合同约定造成暂停施工的违约责任：</w:t>
      </w:r>
      <w:r>
        <w:rPr>
          <w:rFonts w:hint="eastAsia" w:ascii="宋体" w:hAnsi="宋体" w:eastAsia="宋体" w:cs="宋体"/>
          <w:color w:val="auto"/>
          <w:kern w:val="2"/>
          <w:sz w:val="21"/>
          <w:szCs w:val="21"/>
          <w:highlight w:val="none"/>
          <w:u w:val="single"/>
          <w:lang w:val="en-US" w:eastAsia="zh-CN" w:bidi="ar-SA"/>
        </w:rPr>
        <w:t>按通用合同条款执行。</w:t>
      </w:r>
    </w:p>
    <w:p w14:paraId="6D58A7E1">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（6）发包人无正当理由没有在约定期限内发出复工指示，导致承包人无法复工的违约责任：</w:t>
      </w:r>
      <w:r>
        <w:rPr>
          <w:rFonts w:hint="eastAsia" w:ascii="宋体" w:hAnsi="宋体" w:eastAsia="宋体" w:cs="宋体"/>
          <w:color w:val="auto"/>
          <w:kern w:val="2"/>
          <w:sz w:val="21"/>
          <w:szCs w:val="21"/>
          <w:highlight w:val="none"/>
          <w:u w:val="single"/>
          <w:lang w:val="en-US" w:eastAsia="zh-CN" w:bidi="ar-SA"/>
        </w:rPr>
        <w:t>按通用合同条款执行。</w:t>
      </w:r>
    </w:p>
    <w:p w14:paraId="4A5BB400">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（7）其他：</w:t>
      </w:r>
      <w:r>
        <w:rPr>
          <w:rFonts w:hint="eastAsia" w:ascii="宋体" w:hAnsi="宋体" w:eastAsia="宋体" w:cs="宋体"/>
          <w:color w:val="auto"/>
          <w:kern w:val="2"/>
          <w:sz w:val="21"/>
          <w:szCs w:val="21"/>
          <w:highlight w:val="none"/>
          <w:u w:val="single"/>
          <w:lang w:val="en-US" w:eastAsia="zh-CN" w:bidi="ar-SA"/>
        </w:rPr>
        <w:t>按通用合同条款执行 。</w:t>
      </w:r>
    </w:p>
    <w:p w14:paraId="29D6DC57">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16.1.3 因发包人违约解除合同</w:t>
      </w:r>
    </w:p>
    <w:p w14:paraId="408E7486">
      <w:pPr>
        <w:widowControl/>
        <w:wordWrap/>
        <w:autoSpaceDE w:val="0"/>
        <w:autoSpaceDN w:val="0"/>
        <w:adjustRightInd w:val="0"/>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承包人按16.1.1项〔发包人违约的情形〕约定暂停施工满 90 天后发包人仍不纠正其违约行为并致使合同目的不能实现的，承包人有权解除合同。</w:t>
      </w:r>
    </w:p>
    <w:p w14:paraId="797EBD1B">
      <w:pPr>
        <w:widowControl/>
        <w:wordWrap/>
        <w:spacing w:before="156" w:after="120"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16.2 承包人违约</w:t>
      </w:r>
    </w:p>
    <w:p w14:paraId="19C93EF5">
      <w:pPr>
        <w:widowControl/>
        <w:wordWrap/>
        <w:spacing w:before="156" w:line="32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16.2.1 承包人违约的情形</w:t>
      </w:r>
    </w:p>
    <w:p w14:paraId="303AC954">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承包人违约的其他情形：</w:t>
      </w:r>
      <w:bookmarkStart w:id="292" w:name="EB60ba04612011453f8edafb465b72352d"/>
      <w:bookmarkEnd w:id="292"/>
      <w:r>
        <w:rPr>
          <w:rFonts w:hint="eastAsia" w:ascii="宋体" w:hAnsi="宋体" w:eastAsia="宋体" w:cs="宋体"/>
          <w:color w:val="auto"/>
          <w:kern w:val="2"/>
          <w:sz w:val="21"/>
          <w:szCs w:val="21"/>
          <w:highlight w:val="none"/>
          <w:u w:val="none"/>
          <w:lang w:val="en-US" w:eastAsia="zh-CN" w:bidi="ar-SA"/>
        </w:rPr>
        <w:t>包括但不限于工程质量问题、材料品牌约定不符、工期延长、项目部主要管理人员未按约定时间到位、逾期竣工或移交、未按约定进行资料备案等，其他情形</w:t>
      </w:r>
      <w:r>
        <w:rPr>
          <w:rFonts w:hint="eastAsia" w:ascii="宋体" w:hAnsi="宋体" w:eastAsia="宋体" w:cs="宋体"/>
          <w:color w:val="auto"/>
          <w:kern w:val="2"/>
          <w:sz w:val="21"/>
          <w:szCs w:val="21"/>
          <w:highlight w:val="none"/>
          <w:u w:val="single"/>
          <w:lang w:val="en-US" w:eastAsia="zh-CN" w:bidi="ar-SA"/>
        </w:rPr>
        <w:t>按通用合同条款执行。</w:t>
      </w:r>
    </w:p>
    <w:p w14:paraId="6943E99D">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16.2.2承包人违约的责任</w:t>
      </w:r>
    </w:p>
    <w:p w14:paraId="76794D6B">
      <w:pPr>
        <w:pStyle w:val="166"/>
        <w:ind w:firstLine="403" w:firstLineChars="19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承包人违约责任的承担方式和计算方法：</w:t>
      </w:r>
    </w:p>
    <w:p w14:paraId="5EB5379D">
      <w:pPr>
        <w:pStyle w:val="166"/>
        <w:ind w:firstLine="403" w:firstLineChars="19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（1）承包人应向发包人和监理单位提供月进度计划，若承包人月施工工期无故延误达</w:t>
      </w:r>
      <w:bookmarkStart w:id="293" w:name="EB8d8cb577904b43aca325866b843836a6"/>
      <w:r>
        <w:rPr>
          <w:rFonts w:hint="eastAsia" w:ascii="宋体" w:hAnsi="宋体" w:eastAsia="宋体" w:cs="宋体"/>
          <w:color w:val="auto"/>
          <w:sz w:val="21"/>
          <w:szCs w:val="21"/>
          <w:highlight w:val="none"/>
          <w:u w:val="none"/>
        </w:rPr>
        <w:t>5</w:t>
      </w:r>
      <w:bookmarkEnd w:id="293"/>
      <w:r>
        <w:rPr>
          <w:rFonts w:hint="eastAsia" w:ascii="宋体" w:hAnsi="宋体" w:eastAsia="宋体" w:cs="宋体"/>
          <w:color w:val="auto"/>
          <w:sz w:val="21"/>
          <w:szCs w:val="21"/>
          <w:highlight w:val="none"/>
          <w:u w:val="none"/>
        </w:rPr>
        <w:t>天及以上，发包人将签发整改通知书，责令承包人限期抢回，并暂扣承包人</w:t>
      </w:r>
      <w:bookmarkStart w:id="294" w:name="EB0515cfa51872495588c3382a5ff601c7"/>
      <w:r>
        <w:rPr>
          <w:rFonts w:hint="eastAsia" w:ascii="宋体" w:hAnsi="宋体" w:eastAsia="宋体" w:cs="宋体"/>
          <w:color w:val="auto"/>
          <w:sz w:val="21"/>
          <w:szCs w:val="21"/>
          <w:highlight w:val="none"/>
          <w:u w:val="none"/>
        </w:rPr>
        <w:t>30</w:t>
      </w:r>
      <w:bookmarkEnd w:id="294"/>
      <w:r>
        <w:rPr>
          <w:rFonts w:hint="eastAsia" w:ascii="宋体" w:hAnsi="宋体" w:eastAsia="宋体" w:cs="宋体"/>
          <w:color w:val="auto"/>
          <w:sz w:val="21"/>
          <w:szCs w:val="21"/>
          <w:highlight w:val="none"/>
          <w:u w:val="none"/>
        </w:rPr>
        <w:t>%的月应付工程进度款，待工期抢回后，再还暂扣款。</w:t>
      </w:r>
    </w:p>
    <w:p w14:paraId="22295A2B">
      <w:pPr>
        <w:pStyle w:val="166"/>
        <w:widowControl/>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（2）施工现场文明施工管理未达到相关文件标准要求，发包人有权要求承包人按照工程款的一定比例承担违约责任。</w:t>
      </w:r>
    </w:p>
    <w:p w14:paraId="606CFAAF">
      <w:pPr>
        <w:widowControl/>
        <w:wordWrap/>
        <w:spacing w:before="156" w:line="32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16.2.3 因承包人违约解除合同</w:t>
      </w:r>
    </w:p>
    <w:p w14:paraId="4C93D14F">
      <w:pPr>
        <w:widowControl/>
        <w:wordWrap/>
        <w:spacing w:before="120" w:after="120" w:line="30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承包人违约解除合同的特别约定：出现16.2.1条约定情形的，发包人有权解除合同，并要求承包人支付合同总价款20%的违约金，支付违约金不免除承包人更换、维修、重做等法律责任，承包人还应承担由此给发包人造成的所有经济损失。</w:t>
      </w:r>
    </w:p>
    <w:p w14:paraId="48062FE1">
      <w:pPr>
        <w:widowControl/>
        <w:wordWrap/>
        <w:spacing w:before="120"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发包人继续使用承包人在施工现场的材料、设备、临时工程、承包人文件和由承包人或以其名义编制的其他文件的费用承担方式： 因承包人违约情形导致的，不再支付。</w:t>
      </w:r>
    </w:p>
    <w:p w14:paraId="033E6780">
      <w:pPr>
        <w:widowControl/>
        <w:wordWrap/>
        <w:spacing w:before="156" w:after="120" w:line="300" w:lineRule="exact"/>
        <w:ind w:firstLine="0" w:firstLineChars="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17. 不可抗力 </w:t>
      </w:r>
    </w:p>
    <w:p w14:paraId="32AD2B6A">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17.1 不可抗力的确认</w:t>
      </w:r>
    </w:p>
    <w:p w14:paraId="1DDCE603">
      <w:pPr>
        <w:widowControl/>
        <w:wordWrap/>
        <w:spacing w:before="156" w:line="30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除通用合同条款约定的不可抗力事件之外，视为不可抗力的其他情形：</w:t>
      </w:r>
      <w:bookmarkStart w:id="295" w:name="EB4fe919848c864c13b3be00d2bc5b6b56"/>
      <w:bookmarkEnd w:id="295"/>
      <w:r>
        <w:rPr>
          <w:rFonts w:hint="eastAsia" w:ascii="宋体" w:hAnsi="宋体" w:eastAsia="宋体" w:cs="宋体"/>
          <w:b/>
          <w:color w:val="auto"/>
          <w:kern w:val="0"/>
          <w:sz w:val="21"/>
          <w:szCs w:val="21"/>
          <w:highlight w:val="none"/>
          <w:lang w:val="en-US" w:eastAsia="zh-CN" w:bidi="ar-SA"/>
        </w:rPr>
        <w:t xml:space="preserve"> </w:t>
      </w:r>
      <w:r>
        <w:rPr>
          <w:rFonts w:hint="eastAsia" w:ascii="宋体" w:hAnsi="宋体" w:eastAsia="宋体" w:cs="宋体"/>
          <w:b w:val="0"/>
          <w:color w:val="auto"/>
          <w:kern w:val="0"/>
          <w:sz w:val="21"/>
          <w:szCs w:val="21"/>
          <w:highlight w:val="none"/>
          <w:u w:val="single"/>
          <w:lang w:val="en-US" w:eastAsia="zh-CN" w:bidi="ar-SA"/>
        </w:rPr>
        <w:t>（1）工程本身的损害、因工程损害导致第三方人员伤亡和财产损失以及运到施工现场用于施工的材料和待安装的设备的损害，由承包人自行承担；（2）承包人的施工机械设备损坏及停工损失，由承包人承担（3）工程所需清理费、修复费用，由承包人承担</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71ADE20">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17.4 因不可抗力解除合同</w:t>
      </w:r>
    </w:p>
    <w:p w14:paraId="5D886D41">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合同解除后，发包人应在商定或确定发包人应支付款项后</w:t>
      </w:r>
      <w:bookmarkStart w:id="296" w:name="EBc6dc5f90405c42a3b152b66b80d97015"/>
      <w:bookmarkEnd w:id="296"/>
      <w:r>
        <w:rPr>
          <w:rFonts w:hint="eastAsia" w:ascii="宋体" w:hAnsi="宋体" w:eastAsia="宋体" w:cs="宋体"/>
          <w:color w:val="auto"/>
          <w:kern w:val="2"/>
          <w:sz w:val="21"/>
          <w:szCs w:val="21"/>
          <w:highlight w:val="none"/>
          <w:u w:val="none"/>
          <w:lang w:val="en-US" w:eastAsia="zh-CN" w:bidi="ar-SA"/>
        </w:rPr>
        <w:t xml:space="preserve"> 90 天内完成款项的支付。</w:t>
      </w:r>
    </w:p>
    <w:p w14:paraId="32CB62BC">
      <w:pPr>
        <w:widowControl/>
        <w:wordWrap/>
        <w:spacing w:before="156" w:after="120" w:line="300" w:lineRule="exact"/>
        <w:ind w:firstLine="0" w:firstLineChars="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18.保险</w:t>
      </w:r>
    </w:p>
    <w:p w14:paraId="79B5784B">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18.1 工程保险</w:t>
      </w:r>
    </w:p>
    <w:p w14:paraId="233F5D8B">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关于工程保险的特别约定：</w:t>
      </w:r>
      <w:bookmarkStart w:id="297" w:name="EBfbec3afc8506466b9cd2c3a7f999c548"/>
      <w:bookmarkEnd w:id="297"/>
      <w:bookmarkStart w:id="298" w:name="EBa1b3c36905114881a2e2eab76d117de5"/>
      <w:r>
        <w:rPr>
          <w:rFonts w:hint="eastAsia" w:ascii="宋体" w:hAnsi="宋体" w:eastAsia="宋体" w:cs="宋体"/>
          <w:color w:val="auto"/>
          <w:kern w:val="2"/>
          <w:sz w:val="21"/>
          <w:szCs w:val="21"/>
          <w:highlight w:val="none"/>
          <w:u w:val="single"/>
          <w:lang w:val="en-US" w:eastAsia="zh-CN" w:bidi="ar-SA"/>
        </w:rPr>
        <w:t>建设工程一切险委托承包人投保，投保产生的保险费和其他相关费用包含在投标报价中，保险期限自开工之日至本工程缺陷责任期满止，承包人必须在工程施工前与保险公司签订相关合同，工伤保险费按当地建设行政主管部门规定办理相关手续。若在施工过程中出现作业人员和第三者意外伤害，一切损失和责任均由承包人承担</w:t>
      </w:r>
      <w:bookmarkEnd w:id="298"/>
      <w:r>
        <w:rPr>
          <w:rFonts w:hint="eastAsia" w:ascii="宋体" w:hAnsi="宋体" w:eastAsia="宋体" w:cs="宋体"/>
          <w:color w:val="auto"/>
          <w:kern w:val="2"/>
          <w:sz w:val="21"/>
          <w:szCs w:val="21"/>
          <w:highlight w:val="none"/>
          <w:u w:val="single"/>
          <w:lang w:val="en-US" w:eastAsia="zh-CN" w:bidi="ar-SA"/>
        </w:rPr>
        <w:t>。</w:t>
      </w:r>
    </w:p>
    <w:p w14:paraId="29BAEFA9">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18.3 其他保险</w:t>
      </w:r>
    </w:p>
    <w:p w14:paraId="153E12AA">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关于其他保险的约定：</w:t>
      </w:r>
      <w:bookmarkStart w:id="299" w:name="EB57751dd7efec46b19fef313a3f3e8933"/>
      <w:bookmarkEnd w:id="299"/>
      <w:bookmarkStart w:id="300" w:name="EBa39cd529e38a440081db53c9fbc6eeb0"/>
      <w:r>
        <w:rPr>
          <w:rFonts w:hint="eastAsia" w:ascii="宋体" w:hAnsi="宋体" w:eastAsia="宋体" w:cs="宋体"/>
          <w:color w:val="auto"/>
          <w:kern w:val="2"/>
          <w:sz w:val="21"/>
          <w:szCs w:val="21"/>
          <w:highlight w:val="none"/>
          <w:u w:val="single"/>
          <w:lang w:val="en-US" w:eastAsia="zh-CN" w:bidi="ar-SA"/>
        </w:rPr>
        <w:t>承包人的施工现场全部人员，包括其员工及为履行合同聘请的第三方人员的意外伤害保险由承包人投保，该费用包括在价格清单的单价及总价中，发包人不单独支付</w:t>
      </w:r>
      <w:bookmarkEnd w:id="300"/>
      <w:r>
        <w:rPr>
          <w:rFonts w:hint="eastAsia" w:ascii="宋体" w:hAnsi="宋体" w:eastAsia="宋体" w:cs="宋体"/>
          <w:color w:val="auto"/>
          <w:kern w:val="2"/>
          <w:sz w:val="21"/>
          <w:szCs w:val="21"/>
          <w:highlight w:val="none"/>
          <w:u w:val="single"/>
          <w:lang w:val="en-US" w:eastAsia="zh-CN" w:bidi="ar-SA"/>
        </w:rPr>
        <w:t>。</w:t>
      </w:r>
    </w:p>
    <w:p w14:paraId="3C748216">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承包人是否应为其施工设备等办理财产保险：</w:t>
      </w:r>
      <w:bookmarkStart w:id="301" w:name="EB88bda8cbdd0340ac920eadfaddbd9563"/>
      <w:bookmarkEnd w:id="301"/>
      <w:bookmarkStart w:id="302" w:name="EB50494347dde540d7bb0774455da384f7"/>
      <w:r>
        <w:rPr>
          <w:rFonts w:hint="eastAsia" w:ascii="宋体" w:hAnsi="宋体" w:eastAsia="宋体" w:cs="宋体"/>
          <w:color w:val="auto"/>
          <w:kern w:val="2"/>
          <w:sz w:val="21"/>
          <w:szCs w:val="21"/>
          <w:highlight w:val="none"/>
          <w:u w:val="single"/>
          <w:lang w:val="en-US" w:eastAsia="zh-CN" w:bidi="ar-SA"/>
        </w:rPr>
        <w:t>由承包人自行办理并承担相应费用</w:t>
      </w:r>
      <w:bookmarkEnd w:id="302"/>
      <w:r>
        <w:rPr>
          <w:rFonts w:hint="eastAsia" w:ascii="宋体" w:hAnsi="宋体" w:eastAsia="宋体" w:cs="宋体"/>
          <w:color w:val="auto"/>
          <w:kern w:val="2"/>
          <w:sz w:val="21"/>
          <w:szCs w:val="21"/>
          <w:highlight w:val="none"/>
          <w:u w:val="single"/>
          <w:lang w:val="en-US" w:eastAsia="zh-CN" w:bidi="ar-SA"/>
        </w:rPr>
        <w:t>。</w:t>
      </w:r>
    </w:p>
    <w:p w14:paraId="7C9C4A07">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18.7 通知义务 </w:t>
      </w:r>
    </w:p>
    <w:p w14:paraId="49EE4B6F">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关于变更保险合同时的通知义务的约定：</w:t>
      </w:r>
      <w:bookmarkStart w:id="303" w:name="EB349a6d4988dd46bfaaa49044004fb1f4"/>
      <w:bookmarkEnd w:id="303"/>
      <w:bookmarkStart w:id="304" w:name="EB0d89efe17b0747db9782337fce5ce73a"/>
      <w:r>
        <w:rPr>
          <w:rFonts w:hint="eastAsia" w:ascii="宋体" w:hAnsi="宋体" w:eastAsia="宋体" w:cs="宋体"/>
          <w:color w:val="auto"/>
          <w:kern w:val="2"/>
          <w:sz w:val="21"/>
          <w:szCs w:val="21"/>
          <w:highlight w:val="none"/>
          <w:u w:val="single"/>
          <w:lang w:val="en-US" w:eastAsia="zh-CN" w:bidi="ar-SA"/>
        </w:rPr>
        <w:t>按通用合同条款执行</w:t>
      </w:r>
      <w:bookmarkEnd w:id="304"/>
      <w:r>
        <w:rPr>
          <w:rFonts w:hint="eastAsia" w:ascii="宋体" w:hAnsi="宋体" w:eastAsia="宋体" w:cs="宋体"/>
          <w:color w:val="auto"/>
          <w:kern w:val="2"/>
          <w:sz w:val="21"/>
          <w:szCs w:val="21"/>
          <w:highlight w:val="none"/>
          <w:u w:val="single"/>
          <w:lang w:val="en-US" w:eastAsia="zh-CN" w:bidi="ar-SA"/>
        </w:rPr>
        <w:t>。</w:t>
      </w:r>
    </w:p>
    <w:p w14:paraId="31D35FC9">
      <w:pPr>
        <w:widowControl/>
        <w:wordWrap/>
        <w:spacing w:before="156" w:after="120" w:line="300" w:lineRule="exact"/>
        <w:ind w:firstLine="0" w:firstLineChars="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20.争议解决</w:t>
      </w:r>
    </w:p>
    <w:p w14:paraId="5ECF8755">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20.2调解</w:t>
      </w:r>
    </w:p>
    <w:p w14:paraId="50548646">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因合同及合同有关事项发生的争议，经过双方协商，可根据《浙江省建设工程计价规则》（2018版）工程计价纠纷处理规定，实行自愿原则，按下列第</w:t>
      </w:r>
      <w:bookmarkStart w:id="305" w:name="EBc9411b88aa3142848cd1f6e5ceba3b6a"/>
      <w:bookmarkEnd w:id="305"/>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u w:val="none"/>
          <w:lang w:val="en-US" w:eastAsia="zh-CN" w:bidi="ar-SA"/>
        </w:rPr>
        <w:t>种方式调解解决：</w:t>
      </w:r>
    </w:p>
    <w:p w14:paraId="4419E47D">
      <w:pPr>
        <w:widowControl/>
        <w:wordWrap/>
        <w:spacing w:before="156" w:after="120" w:line="300" w:lineRule="exact"/>
        <w:ind w:firstLine="105" w:firstLineChars="50"/>
        <w:jc w:val="both"/>
        <w:rPr>
          <w:rFonts w:hint="eastAsia" w:ascii="宋体" w:hAnsi="宋体" w:eastAsia="宋体" w:cs="宋体"/>
          <w:b w:val="0"/>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1、第三方调解；</w:t>
      </w:r>
    </w:p>
    <w:p w14:paraId="3592C8E3">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2、专家评审；</w:t>
      </w:r>
    </w:p>
    <w:p w14:paraId="1DCF5A98">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3、行政调解。</w:t>
      </w:r>
    </w:p>
    <w:p w14:paraId="4CB81090">
      <w:pPr>
        <w:widowControl/>
        <w:wordWrap/>
        <w:spacing w:before="156" w:after="120"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20.3 争议评审</w:t>
      </w:r>
    </w:p>
    <w:p w14:paraId="0532C2A0">
      <w:pPr>
        <w:widowControl/>
        <w:wordWrap/>
        <w:spacing w:before="156" w:line="300" w:lineRule="exact"/>
        <w:ind w:left="149" w:leftChars="71" w:firstLine="315" w:firstLineChars="1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合同当事人约定按以下方式申请工程计价纠纷处理的，应根据《浙江省建设工程计价规则》（2018版）工程计价纠纷处理规定，实行自愿原则：</w:t>
      </w:r>
    </w:p>
    <w:p w14:paraId="4F6523D2">
      <w:pPr>
        <w:widowControl/>
        <w:wordWrap/>
        <w:spacing w:before="156" w:line="300" w:lineRule="exact"/>
        <w:ind w:left="149" w:leftChars="71" w:firstLine="315" w:firstLineChars="1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合同当事人是否同意将工程争议提交争议评审小组决定：</w:t>
      </w:r>
      <w:bookmarkStart w:id="306" w:name="EB7242379e7665445c9243d8ceb4d90900"/>
      <w:bookmarkEnd w:id="306"/>
      <w:bookmarkStart w:id="307" w:name="EB4d1e4a15f8ca4eefab7ac273d1343f03"/>
      <w:r>
        <w:rPr>
          <w:rFonts w:hint="eastAsia" w:ascii="宋体" w:hAnsi="宋体" w:eastAsia="宋体" w:cs="宋体"/>
          <w:color w:val="auto"/>
          <w:kern w:val="2"/>
          <w:sz w:val="21"/>
          <w:szCs w:val="21"/>
          <w:highlight w:val="none"/>
          <w:u w:val="single"/>
          <w:lang w:val="en-US" w:eastAsia="zh-CN" w:bidi="ar-SA"/>
        </w:rPr>
        <w:t>按通用合同条款执行</w:t>
      </w:r>
      <w:bookmarkEnd w:id="307"/>
      <w:r>
        <w:rPr>
          <w:rFonts w:hint="eastAsia" w:ascii="宋体" w:hAnsi="宋体" w:eastAsia="宋体" w:cs="宋体"/>
          <w:color w:val="auto"/>
          <w:kern w:val="2"/>
          <w:sz w:val="21"/>
          <w:szCs w:val="21"/>
          <w:highlight w:val="none"/>
          <w:u w:val="single"/>
          <w:lang w:val="en-US" w:eastAsia="zh-CN" w:bidi="ar-SA"/>
        </w:rPr>
        <w:t xml:space="preserve"> 。</w:t>
      </w:r>
    </w:p>
    <w:p w14:paraId="01BA028E">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20.3.1 争议评审小组的确定</w:t>
      </w:r>
    </w:p>
    <w:p w14:paraId="69316BE3">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争议评审小组成员的确定：</w:t>
      </w:r>
      <w:bookmarkStart w:id="308" w:name="EBc3af1e7bebcc42e4b1d19e9f61bb6d29"/>
      <w:bookmarkEnd w:id="308"/>
      <w:bookmarkStart w:id="309" w:name="EB265d57e971574379a05b5b47d1f852a5"/>
      <w:r>
        <w:rPr>
          <w:rFonts w:hint="eastAsia" w:ascii="宋体" w:hAnsi="宋体" w:eastAsia="宋体" w:cs="宋体"/>
          <w:color w:val="auto"/>
          <w:kern w:val="2"/>
          <w:sz w:val="21"/>
          <w:szCs w:val="21"/>
          <w:highlight w:val="none"/>
          <w:u w:val="single"/>
          <w:lang w:val="en-US" w:eastAsia="zh-CN" w:bidi="ar-SA"/>
        </w:rPr>
        <w:t>按通用合同条款执行</w:t>
      </w:r>
      <w:bookmarkEnd w:id="309"/>
      <w:r>
        <w:rPr>
          <w:rFonts w:hint="eastAsia" w:ascii="宋体" w:hAnsi="宋体" w:eastAsia="宋体" w:cs="宋体"/>
          <w:color w:val="auto"/>
          <w:kern w:val="2"/>
          <w:sz w:val="21"/>
          <w:szCs w:val="21"/>
          <w:highlight w:val="none"/>
          <w:u w:val="single"/>
          <w:lang w:val="en-US" w:eastAsia="zh-CN" w:bidi="ar-SA"/>
        </w:rPr>
        <w:t xml:space="preserve"> 。</w:t>
      </w:r>
    </w:p>
    <w:p w14:paraId="44CFF99A">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选定争议评审员的期限：</w:t>
      </w:r>
      <w:bookmarkStart w:id="310" w:name="EB3fe889e5ac2b4d2ca5b648806a653e45"/>
      <w:bookmarkEnd w:id="310"/>
      <w:r>
        <w:rPr>
          <w:rFonts w:hint="eastAsia" w:ascii="宋体" w:hAnsi="宋体" w:eastAsia="宋体" w:cs="宋体"/>
          <w:color w:val="auto"/>
          <w:kern w:val="2"/>
          <w:sz w:val="21"/>
          <w:szCs w:val="21"/>
          <w:highlight w:val="none"/>
          <w:u w:val="single"/>
          <w:lang w:val="en-US" w:eastAsia="zh-CN" w:bidi="ar-SA"/>
        </w:rPr>
        <w:t xml:space="preserve"> 按通用合同条款执行。</w:t>
      </w:r>
    </w:p>
    <w:p w14:paraId="16F89486">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争议评审小组成员的报酬承担方式：</w:t>
      </w:r>
      <w:bookmarkStart w:id="311" w:name="EB2ae6c17da2c2443183bcb6c8debf5a96"/>
      <w:bookmarkEnd w:id="311"/>
      <w:r>
        <w:rPr>
          <w:rFonts w:hint="eastAsia" w:ascii="宋体" w:hAnsi="宋体" w:eastAsia="宋体" w:cs="宋体"/>
          <w:color w:val="auto"/>
          <w:kern w:val="2"/>
          <w:sz w:val="21"/>
          <w:szCs w:val="21"/>
          <w:highlight w:val="none"/>
          <w:u w:val="single"/>
          <w:lang w:val="en-US" w:eastAsia="zh-CN" w:bidi="ar-SA"/>
        </w:rPr>
        <w:t>按通用合同条款执行 。</w:t>
      </w:r>
    </w:p>
    <w:p w14:paraId="3F39B3C0">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其他事项的约定：</w:t>
      </w:r>
      <w:bookmarkStart w:id="312" w:name="EBd3307ee0f897467ba8dcf26fa38e194e"/>
      <w:bookmarkEnd w:id="312"/>
      <w:r>
        <w:rPr>
          <w:rFonts w:hint="eastAsia" w:ascii="宋体" w:hAnsi="宋体" w:eastAsia="宋体" w:cs="宋体"/>
          <w:color w:val="auto"/>
          <w:kern w:val="2"/>
          <w:sz w:val="21"/>
          <w:szCs w:val="21"/>
          <w:highlight w:val="none"/>
          <w:u w:val="single"/>
          <w:lang w:val="en-US" w:eastAsia="zh-CN" w:bidi="ar-SA"/>
        </w:rPr>
        <w:t>按通用合同条款执行 。</w:t>
      </w:r>
    </w:p>
    <w:p w14:paraId="318B98FB">
      <w:pPr>
        <w:widowControl/>
        <w:wordWrap/>
        <w:autoSpaceDE w:val="0"/>
        <w:autoSpaceDN w:val="0"/>
        <w:adjustRightInd w:val="0"/>
        <w:spacing w:before="156" w:line="300" w:lineRule="exact"/>
        <w:ind w:firstLine="105" w:firstLineChars="5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20.3.2 争议评审小组的决定</w:t>
      </w:r>
    </w:p>
    <w:p w14:paraId="06345C77">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合同当事人关于本项的约定：</w:t>
      </w:r>
      <w:bookmarkStart w:id="313" w:name="EB68c83c2c797a43dab80c410702200fd1"/>
      <w:bookmarkEnd w:id="313"/>
      <w:r>
        <w:rPr>
          <w:rFonts w:hint="eastAsia" w:ascii="宋体" w:hAnsi="宋体" w:eastAsia="宋体" w:cs="宋体"/>
          <w:color w:val="auto"/>
          <w:kern w:val="2"/>
          <w:sz w:val="21"/>
          <w:szCs w:val="21"/>
          <w:highlight w:val="none"/>
          <w:u w:val="single"/>
          <w:lang w:val="en-US" w:eastAsia="zh-CN" w:bidi="ar-SA"/>
        </w:rPr>
        <w:t>按通用合同条款执行 。</w:t>
      </w:r>
    </w:p>
    <w:p w14:paraId="08C4E5E0">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20.4仲裁或诉讼</w:t>
      </w:r>
    </w:p>
    <w:p w14:paraId="0218D42E">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因合同及合同有关事项发生的争议，按下列第</w:t>
      </w:r>
      <w:bookmarkStart w:id="314" w:name="EBd74478de50bf454ab118ffbf0db8c867"/>
      <w:bookmarkEnd w:id="314"/>
      <w:r>
        <w:rPr>
          <w:rFonts w:hint="eastAsia" w:ascii="宋体" w:hAnsi="宋体" w:eastAsia="宋体" w:cs="宋体"/>
          <w:color w:val="auto"/>
          <w:kern w:val="2"/>
          <w:sz w:val="21"/>
          <w:szCs w:val="21"/>
          <w:highlight w:val="none"/>
          <w:u w:val="none"/>
          <w:lang w:val="en-US" w:eastAsia="zh-CN" w:bidi="ar-SA"/>
        </w:rPr>
        <w:t xml:space="preserve"> 2 种方式解决：</w:t>
      </w:r>
    </w:p>
    <w:p w14:paraId="1D9471C2">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（1）向</w:t>
      </w:r>
      <w:bookmarkStart w:id="315" w:name="EBbb55eea768ee4b15b823365c7b9ee6f2"/>
      <w:bookmarkEnd w:id="315"/>
      <w:r>
        <w:rPr>
          <w:rFonts w:hint="eastAsia" w:ascii="宋体" w:hAnsi="宋体" w:eastAsia="宋体" w:cs="宋体"/>
          <w:color w:val="auto"/>
          <w:kern w:val="2"/>
          <w:sz w:val="21"/>
          <w:szCs w:val="21"/>
          <w:highlight w:val="none"/>
          <w:u w:val="none"/>
          <w:lang w:val="en-US" w:eastAsia="zh-CN" w:bidi="ar-SA"/>
        </w:rPr>
        <w:t>仲裁委员会申请仲裁；</w:t>
      </w:r>
    </w:p>
    <w:p w14:paraId="6DF9497F">
      <w:pPr>
        <w:widowControl/>
        <w:wordWrap/>
        <w:spacing w:before="156" w:line="300" w:lineRule="exact"/>
        <w:ind w:firstLine="105" w:firstLineChars="5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（2）向</w:t>
      </w:r>
      <w:bookmarkStart w:id="316" w:name="EBefc35259abf44458bca005fb5fe71c5b"/>
      <w:bookmarkEnd w:id="316"/>
      <w:r>
        <w:rPr>
          <w:rFonts w:hint="eastAsia" w:ascii="宋体" w:hAnsi="宋体" w:eastAsia="宋体" w:cs="宋体"/>
          <w:color w:val="auto"/>
          <w:kern w:val="2"/>
          <w:sz w:val="21"/>
          <w:szCs w:val="21"/>
          <w:highlight w:val="none"/>
          <w:u w:val="single"/>
          <w:lang w:val="en-US" w:eastAsia="zh-CN" w:bidi="ar-SA"/>
        </w:rPr>
        <w:t xml:space="preserve"> 舟山市 </w:t>
      </w:r>
      <w:r>
        <w:rPr>
          <w:rFonts w:hint="eastAsia" w:ascii="宋体" w:hAnsi="宋体" w:eastAsia="宋体" w:cs="宋体"/>
          <w:color w:val="auto"/>
          <w:kern w:val="2"/>
          <w:sz w:val="21"/>
          <w:szCs w:val="21"/>
          <w:highlight w:val="none"/>
          <w:u w:val="none"/>
          <w:lang w:val="en-US" w:eastAsia="zh-CN" w:bidi="ar-SA"/>
        </w:rPr>
        <w:t xml:space="preserve">人民法院起诉。 </w:t>
      </w:r>
    </w:p>
    <w:p w14:paraId="56427316">
      <w:pPr>
        <w:wordWrap/>
        <w:spacing w:line="240" w:lineRule="auto"/>
        <w:ind w:firstLine="0" w:firstLineChars="0"/>
        <w:rPr>
          <w:rFonts w:ascii="Times New Roman" w:hAnsi="Times New Roman" w:eastAsia="仿宋_GB2312" w:cs="Times New Roman"/>
          <w:szCs w:val="30"/>
          <w:highlight w:val="none"/>
        </w:rPr>
      </w:pPr>
      <w:r>
        <w:rPr>
          <w:rFonts w:hint="eastAsia" w:ascii="宋体" w:hAnsi="Times New Roman" w:eastAsia="宋体" w:cs="Times New Roman"/>
          <w:b/>
          <w:bCs/>
          <w:kern w:val="2"/>
          <w:sz w:val="21"/>
          <w:szCs w:val="22"/>
          <w:highlight w:val="none"/>
          <w:lang w:val="en-US" w:eastAsia="zh-CN" w:bidi="ar-SA"/>
        </w:rPr>
        <w:br w:type="page"/>
      </w:r>
    </w:p>
    <w:p w14:paraId="4AE480E6">
      <w:pPr>
        <w:wordWrap/>
        <w:spacing w:line="240" w:lineRule="auto"/>
        <w:ind w:firstLine="0" w:firstLineChars="0"/>
        <w:rPr>
          <w:rFonts w:ascii="Times New Roman" w:hAnsi="Times New Roman" w:eastAsia="仿宋_GB2312" w:cs="Times New Roman"/>
          <w:szCs w:val="30"/>
          <w:highlight w:val="none"/>
        </w:rPr>
      </w:pPr>
    </w:p>
    <w:p w14:paraId="583258A6">
      <w:pPr>
        <w:wordWrap/>
        <w:spacing w:line="240" w:lineRule="auto"/>
        <w:ind w:firstLine="0" w:firstLineChars="0"/>
        <w:jc w:val="left"/>
        <w:rPr>
          <w:rFonts w:ascii="宋体" w:hAnsi="宋体" w:eastAsia="宋体" w:cs="宋体"/>
          <w:highlight w:val="none"/>
        </w:rPr>
      </w:pPr>
    </w:p>
    <w:p w14:paraId="0A62DEB2">
      <w:pPr>
        <w:wordWrap/>
        <w:spacing w:line="240" w:lineRule="auto"/>
        <w:ind w:firstLine="0" w:firstLineChars="0"/>
        <w:jc w:val="center"/>
        <w:rPr>
          <w:rFonts w:ascii="宋体" w:hAnsi="宋体" w:eastAsia="宋体" w:cs="宋体"/>
          <w:sz w:val="30"/>
          <w:szCs w:val="30"/>
          <w:highlight w:val="none"/>
        </w:rPr>
      </w:pPr>
      <w:r>
        <w:rPr>
          <w:rFonts w:hint="eastAsia" w:ascii="宋体" w:hAnsi="宋体" w:eastAsia="宋体" w:cs="宋体"/>
          <w:sz w:val="30"/>
          <w:szCs w:val="30"/>
          <w:highlight w:val="none"/>
        </w:rPr>
        <w:t>协议书附件</w:t>
      </w:r>
    </w:p>
    <w:p w14:paraId="7DA11158">
      <w:pPr>
        <w:widowControl w:val="0"/>
        <w:wordWrap/>
        <w:spacing w:line="240" w:lineRule="auto"/>
        <w:ind w:firstLine="0" w:firstLineChars="0"/>
        <w:jc w:val="both"/>
        <w:rPr>
          <w:rFonts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1、工程质量保修书</w:t>
      </w:r>
    </w:p>
    <w:p w14:paraId="27261C7B">
      <w:pPr>
        <w:widowControl w:val="0"/>
        <w:wordWrap/>
        <w:spacing w:line="240" w:lineRule="auto"/>
        <w:ind w:firstLine="0" w:firstLineChars="0"/>
        <w:jc w:val="both"/>
        <w:rPr>
          <w:rFonts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2</w:t>
      </w:r>
      <w:r>
        <w:rPr>
          <w:rFonts w:hint="eastAsia" w:ascii="宋体" w:hAnsi="宋体" w:eastAsia="宋体" w:cs="宋体"/>
          <w:kern w:val="2"/>
          <w:sz w:val="28"/>
          <w:szCs w:val="28"/>
          <w:highlight w:val="none"/>
          <w:lang w:val="en-US" w:eastAsia="zh-CN" w:bidi="ar-SA"/>
        </w:rPr>
        <w:t>、预付款担保</w:t>
      </w:r>
    </w:p>
    <w:p w14:paraId="12953D2A">
      <w:pPr>
        <w:widowControl w:val="0"/>
        <w:wordWrap/>
        <w:spacing w:line="240" w:lineRule="auto"/>
        <w:ind w:firstLine="0" w:firstLineChars="0"/>
        <w:jc w:val="both"/>
        <w:rPr>
          <w:rFonts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、银行保函</w:t>
      </w:r>
    </w:p>
    <w:p w14:paraId="6F290F61">
      <w:pPr>
        <w:pageBreakBefore/>
        <w:wordWrap/>
        <w:spacing w:line="240" w:lineRule="auto"/>
        <w:ind w:firstLine="0" w:firstLineChars="0"/>
        <w:rPr>
          <w:rFonts w:ascii="宋体" w:hAnsi="宋体" w:eastAsia="宋体" w:cs="宋体"/>
          <w:sz w:val="30"/>
          <w:szCs w:val="30"/>
          <w:highlight w:val="none"/>
        </w:rPr>
      </w:pPr>
      <w:r>
        <w:rPr>
          <w:rFonts w:hint="eastAsia" w:ascii="宋体" w:hAnsi="宋体" w:eastAsia="宋体" w:cs="宋体"/>
          <w:sz w:val="30"/>
          <w:szCs w:val="30"/>
          <w:highlight w:val="none"/>
        </w:rPr>
        <w:t>附件1、工程质量保修书</w:t>
      </w:r>
    </w:p>
    <w:p w14:paraId="46DBCB19">
      <w:pPr>
        <w:widowControl w:val="0"/>
        <w:wordWrap/>
        <w:spacing w:before="120" w:beforeLines="50" w:after="120" w:afterLines="50" w:line="320" w:lineRule="exact"/>
        <w:ind w:firstLine="600" w:firstLineChars="200"/>
        <w:jc w:val="center"/>
        <w:rPr>
          <w:rFonts w:ascii="黑体" w:hAnsi="黑体" w:eastAsia="黑体" w:cs="Times New Roman"/>
          <w:kern w:val="2"/>
          <w:sz w:val="30"/>
          <w:szCs w:val="30"/>
          <w:highlight w:val="none"/>
          <w:lang w:val="en-US" w:eastAsia="zh-CN" w:bidi="ar-SA"/>
        </w:rPr>
      </w:pPr>
      <w:r>
        <w:rPr>
          <w:rFonts w:hint="eastAsia" w:ascii="黑体" w:hAnsi="黑体" w:eastAsia="黑体" w:cs="Times New Roman"/>
          <w:kern w:val="2"/>
          <w:sz w:val="30"/>
          <w:szCs w:val="30"/>
          <w:highlight w:val="none"/>
          <w:lang w:val="en-US" w:eastAsia="zh-CN" w:bidi="ar-SA"/>
        </w:rPr>
        <w:t>工程质量保修书</w:t>
      </w:r>
    </w:p>
    <w:p w14:paraId="0814DDBD">
      <w:pPr>
        <w:widowControl w:val="0"/>
        <w:wordWrap/>
        <w:spacing w:before="120" w:beforeLines="50" w:after="120" w:afterLines="50" w:line="320" w:lineRule="exact"/>
        <w:ind w:firstLine="420" w:firstLineChars="20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发包人（全称）：</w:t>
      </w:r>
      <w:bookmarkStart w:id="317" w:name="EB7125e05c82dd4a9b83e86bdaa0ac24a9"/>
      <w:bookmarkEnd w:id="317"/>
    </w:p>
    <w:p w14:paraId="25B62AFF">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承包人（全称）：</w:t>
      </w:r>
      <w:bookmarkStart w:id="318" w:name="EB807a1e917c51447fad03ecf0ded2795c"/>
      <w:bookmarkEnd w:id="318"/>
    </w:p>
    <w:p w14:paraId="1DDB57AF">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p>
    <w:p w14:paraId="314AC915">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发包人和承包人根据《中华人民共和国建筑法》和《建设工程质量管理条例》，经协商一致就</w:t>
      </w:r>
      <w:bookmarkStart w:id="319" w:name="EBc2ac7e61121848439f362f966dcbfc08"/>
      <w:bookmarkEnd w:id="319"/>
      <w:r>
        <w:rPr>
          <w:rFonts w:hint="eastAsia" w:ascii="Times New Roman" w:hAnsi="Times New Roman" w:eastAsia="仿宋_GB2312" w:cs="Times New Roman"/>
          <w:kern w:val="2"/>
          <w:sz w:val="21"/>
          <w:szCs w:val="21"/>
          <w:highlight w:val="none"/>
          <w:lang w:val="en-US" w:eastAsia="zh-CN" w:bidi="ar-SA"/>
        </w:rPr>
        <w:t>（工程全称）签订工程质量保修书。</w:t>
      </w:r>
    </w:p>
    <w:p w14:paraId="6189ACCB">
      <w:pPr>
        <w:widowControl w:val="0"/>
        <w:wordWrap/>
        <w:spacing w:line="320" w:lineRule="exact"/>
        <w:ind w:firstLine="420" w:firstLineChars="200"/>
        <w:jc w:val="both"/>
        <w:rPr>
          <w:rFonts w:ascii="Times New Roman" w:hAnsi="Times New Roman" w:eastAsia="黑体" w:cs="Times New Roman"/>
          <w:kern w:val="2"/>
          <w:sz w:val="21"/>
          <w:szCs w:val="21"/>
          <w:highlight w:val="none"/>
          <w:lang w:val="en-US" w:eastAsia="zh-CN" w:bidi="ar-SA"/>
        </w:rPr>
      </w:pPr>
      <w:r>
        <w:rPr>
          <w:rFonts w:hint="eastAsia" w:ascii="Times New Roman" w:hAnsi="Times New Roman" w:eastAsia="黑体" w:cs="Times New Roman"/>
          <w:kern w:val="2"/>
          <w:sz w:val="21"/>
          <w:szCs w:val="21"/>
          <w:highlight w:val="none"/>
          <w:lang w:val="en-US" w:eastAsia="zh-CN" w:bidi="ar-SA"/>
        </w:rPr>
        <w:t>一、工程质量保修范围和内容</w:t>
      </w:r>
    </w:p>
    <w:p w14:paraId="194F8E44">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承包人在质量保修期内，按照有关法律规定和合同约定，承担工程质量保修责任。</w:t>
      </w:r>
    </w:p>
    <w:p w14:paraId="31831128">
      <w:pPr>
        <w:widowControl w:val="0"/>
        <w:wordWrap/>
        <w:spacing w:line="320" w:lineRule="exact"/>
        <w:ind w:firstLine="420" w:firstLineChars="0"/>
        <w:jc w:val="both"/>
        <w:rPr>
          <w:rFonts w:ascii="Times New Roman" w:hAnsi="Times New Roman" w:eastAsia="仿宋_GB2312" w:cs="Times New Roman"/>
          <w:kern w:val="2"/>
          <w:sz w:val="21"/>
          <w:szCs w:val="21"/>
          <w:highlight w:val="none"/>
          <w:u w:val="single"/>
          <w:lang w:val="en-US" w:eastAsia="zh-CN" w:bidi="ar-SA"/>
        </w:rPr>
      </w:pPr>
      <w:r>
        <w:rPr>
          <w:rFonts w:hint="eastAsia" w:ascii="Times New Roman" w:hAnsi="Times New Roman" w:eastAsia="仿宋_GB2312" w:cs="Times New Roman"/>
          <w:kern w:val="2"/>
          <w:sz w:val="21"/>
          <w:szCs w:val="21"/>
          <w:highlight w:val="none"/>
          <w:lang w:val="en-US" w:eastAsia="zh-CN" w:bidi="ar-SA"/>
        </w:rPr>
        <w:t>质量保修范围为承包人全部施工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6CDBF7F">
      <w:pPr>
        <w:widowControl w:val="0"/>
        <w:wordWrap/>
        <w:spacing w:line="320" w:lineRule="exact"/>
        <w:ind w:firstLine="420" w:firstLineChars="200"/>
        <w:jc w:val="both"/>
        <w:rPr>
          <w:rFonts w:ascii="Times New Roman" w:hAnsi="Times New Roman" w:eastAsia="黑体" w:cs="Times New Roman"/>
          <w:kern w:val="2"/>
          <w:sz w:val="21"/>
          <w:szCs w:val="21"/>
          <w:highlight w:val="none"/>
          <w:lang w:val="en-US" w:eastAsia="zh-CN" w:bidi="ar-SA"/>
        </w:rPr>
      </w:pPr>
      <w:r>
        <w:rPr>
          <w:rFonts w:hint="eastAsia" w:ascii="Times New Roman" w:hAnsi="Times New Roman" w:eastAsia="黑体" w:cs="Times New Roman"/>
          <w:kern w:val="2"/>
          <w:sz w:val="21"/>
          <w:szCs w:val="21"/>
          <w:highlight w:val="none"/>
          <w:lang w:val="en-US" w:eastAsia="zh-CN" w:bidi="ar-SA"/>
        </w:rPr>
        <w:t>二、质量保修期</w:t>
      </w:r>
    </w:p>
    <w:p w14:paraId="7BBF2BCF">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根据《建设工程质量管</w:t>
      </w:r>
      <w:r>
        <w:rPr>
          <w:rFonts w:hint="eastAsia" w:ascii="Times New Roman" w:hAnsi="Times New Roman" w:eastAsia="仿宋_GB2312" w:cs="Times New Roman"/>
          <w:color w:val="auto"/>
          <w:kern w:val="2"/>
          <w:sz w:val="21"/>
          <w:szCs w:val="21"/>
          <w:highlight w:val="none"/>
          <w:lang w:val="en-US" w:eastAsia="zh-CN" w:bidi="ar-SA"/>
        </w:rPr>
        <w:t>理条例》及有关规定，工程的质量保修期如下：</w:t>
      </w:r>
    </w:p>
    <w:p w14:paraId="49715F2F">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eastAsia="仿宋_GB2312" w:cs="Times New Roman"/>
          <w:color w:val="auto"/>
          <w:kern w:val="2"/>
          <w:sz w:val="21"/>
          <w:szCs w:val="21"/>
          <w:highlight w:val="none"/>
          <w:lang w:val="en-US" w:eastAsia="zh-CN" w:bidi="ar-SA"/>
        </w:rPr>
        <w:t>1</w:t>
      </w:r>
      <w:r>
        <w:rPr>
          <w:rFonts w:hint="eastAsia" w:ascii="仿宋_GB2312"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b/>
          <w:bCs/>
          <w:color w:val="auto"/>
          <w:kern w:val="2"/>
          <w:sz w:val="21"/>
          <w:szCs w:val="21"/>
          <w:highlight w:val="none"/>
          <w:lang w:val="en-US" w:eastAsia="zh-CN" w:bidi="ar-SA"/>
        </w:rPr>
        <w:t>其他项目保修期限约定按以下第</w:t>
      </w:r>
      <w:r>
        <w:rPr>
          <w:rFonts w:hint="eastAsia" w:ascii="Times New Roman" w:hAnsi="Times New Roman" w:eastAsia="仿宋_GB2312" w:cs="Times New Roman"/>
          <w:b/>
          <w:bCs/>
          <w:color w:val="auto"/>
          <w:kern w:val="2"/>
          <w:sz w:val="21"/>
          <w:szCs w:val="21"/>
          <w:highlight w:val="none"/>
          <w:u w:val="single"/>
          <w:lang w:val="en-US" w:eastAsia="zh-CN" w:bidi="ar-SA"/>
        </w:rPr>
        <w:t xml:space="preserve">  （1）  </w:t>
      </w:r>
      <w:r>
        <w:rPr>
          <w:rFonts w:hint="eastAsia" w:ascii="Times New Roman" w:hAnsi="Times New Roman" w:eastAsia="仿宋_GB2312" w:cs="Times New Roman"/>
          <w:b/>
          <w:bCs/>
          <w:color w:val="auto"/>
          <w:kern w:val="2"/>
          <w:sz w:val="21"/>
          <w:szCs w:val="21"/>
          <w:highlight w:val="none"/>
          <w:lang w:val="en-US" w:eastAsia="zh-CN" w:bidi="ar-SA"/>
        </w:rPr>
        <w:t>条约定：</w:t>
      </w:r>
    </w:p>
    <w:p w14:paraId="0EEF6CE4">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w:t>
      </w:r>
      <w:r>
        <w:rPr>
          <w:rFonts w:ascii="Times New Roman" w:hAnsi="Times New Roman" w:eastAsia="仿宋_GB2312" w:cs="Times New Roman"/>
          <w:color w:val="auto"/>
          <w:kern w:val="2"/>
          <w:sz w:val="21"/>
          <w:szCs w:val="21"/>
          <w:highlight w:val="none"/>
          <w:lang w:val="en-US" w:eastAsia="zh-CN" w:bidi="ar-SA"/>
        </w:rPr>
        <w:t>1</w:t>
      </w:r>
      <w:r>
        <w:rPr>
          <w:rFonts w:hint="eastAsia" w:ascii="Times New Roman" w:hAnsi="Times New Roman" w:eastAsia="仿宋_GB2312" w:cs="Times New Roman"/>
          <w:color w:val="auto"/>
          <w:kern w:val="2"/>
          <w:sz w:val="21"/>
          <w:szCs w:val="21"/>
          <w:highlight w:val="none"/>
          <w:lang w:val="en-US" w:eastAsia="zh-CN" w:bidi="ar-SA"/>
        </w:rPr>
        <w:t>）其他项目的保修期限统一为</w:t>
      </w:r>
      <w:r>
        <w:rPr>
          <w:rFonts w:hint="eastAsia" w:ascii="Times New Roman" w:hAnsi="Times New Roman" w:eastAsia="仿宋_GB2312" w:cs="Times New Roman"/>
          <w:color w:val="auto"/>
          <w:kern w:val="2"/>
          <w:sz w:val="21"/>
          <w:szCs w:val="21"/>
          <w:highlight w:val="none"/>
          <w:u w:val="single"/>
          <w:lang w:val="en-US" w:eastAsia="zh-CN" w:bidi="ar-SA"/>
        </w:rPr>
        <w:t xml:space="preserve">   </w:t>
      </w:r>
      <w:r>
        <w:rPr>
          <w:rFonts w:hint="eastAsia" w:eastAsia="仿宋_GB2312" w:cs="Times New Roman"/>
          <w:color w:val="auto"/>
          <w:kern w:val="2"/>
          <w:sz w:val="21"/>
          <w:szCs w:val="21"/>
          <w:highlight w:val="none"/>
          <w:u w:val="single"/>
          <w:lang w:val="en-US" w:eastAsia="zh-CN" w:bidi="ar-SA"/>
        </w:rPr>
        <w:t>1</w:t>
      </w:r>
      <w:r>
        <w:rPr>
          <w:rFonts w:hint="eastAsia" w:ascii="Times New Roman" w:hAnsi="Times New Roman" w:eastAsia="仿宋_GB2312" w:cs="Times New Roman"/>
          <w:color w:val="auto"/>
          <w:kern w:val="2"/>
          <w:sz w:val="21"/>
          <w:szCs w:val="21"/>
          <w:highlight w:val="none"/>
          <w:u w:val="single"/>
          <w:lang w:val="en-US" w:eastAsia="zh-CN" w:bidi="ar-SA"/>
        </w:rPr>
        <w:t xml:space="preserve">  </w:t>
      </w:r>
      <w:r>
        <w:rPr>
          <w:rFonts w:hint="eastAsia" w:ascii="Times New Roman" w:hAnsi="Times New Roman" w:eastAsia="仿宋_GB2312" w:cs="Times New Roman"/>
          <w:color w:val="auto"/>
          <w:kern w:val="2"/>
          <w:sz w:val="21"/>
          <w:szCs w:val="21"/>
          <w:highlight w:val="none"/>
          <w:lang w:val="en-US" w:eastAsia="zh-CN" w:bidi="ar-SA"/>
        </w:rPr>
        <w:t>年。</w:t>
      </w:r>
    </w:p>
    <w:p w14:paraId="3E2D51AD">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u w:val="single"/>
          <w:lang w:val="en-US" w:eastAsia="zh-CN" w:bidi="ar-SA"/>
        </w:rPr>
      </w:pPr>
      <w:bookmarkStart w:id="320" w:name="EB4f00accbb2484a0391c906d193f7f30c"/>
      <w:r>
        <w:rPr>
          <w:rFonts w:hint="eastAsia" w:ascii="Times New Roman" w:hAnsi="Times New Roman" w:eastAsia="仿宋_GB2312" w:cs="Times New Roman"/>
          <w:color w:val="auto"/>
          <w:kern w:val="2"/>
          <w:sz w:val="21"/>
          <w:szCs w:val="21"/>
          <w:highlight w:val="none"/>
          <w:u w:val="single"/>
          <w:lang w:val="en-US" w:eastAsia="zh-CN" w:bidi="ar-SA"/>
        </w:rPr>
        <w:t>上述项目及未设计项目的保修期均以国家有关规定为准 。</w:t>
      </w:r>
      <w:bookmarkEnd w:id="320"/>
    </w:p>
    <w:p w14:paraId="77E85CA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质量保修期自工程竣工验收合格之日起计算。</w:t>
      </w:r>
    </w:p>
    <w:p w14:paraId="309C42C8">
      <w:pPr>
        <w:widowControl w:val="0"/>
        <w:wordWrap/>
        <w:spacing w:line="320" w:lineRule="exact"/>
        <w:ind w:firstLine="420" w:firstLineChars="200"/>
        <w:jc w:val="both"/>
        <w:rPr>
          <w:rFonts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三、缺陷责任期</w:t>
      </w:r>
    </w:p>
    <w:p w14:paraId="4F445390">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工程缺陷责任期为</w:t>
      </w:r>
      <w:r>
        <w:rPr>
          <w:rFonts w:hint="eastAsia" w:ascii="Times New Roman" w:hAnsi="Times New Roman" w:eastAsia="仿宋_GB2312" w:cs="Times New Roman"/>
          <w:color w:val="auto"/>
          <w:kern w:val="2"/>
          <w:sz w:val="21"/>
          <w:szCs w:val="21"/>
          <w:highlight w:val="none"/>
          <w:u w:val="single"/>
          <w:lang w:val="en-US" w:eastAsia="zh-CN" w:bidi="ar-SA"/>
        </w:rPr>
        <w:t xml:space="preserve"> 12</w:t>
      </w:r>
      <w:r>
        <w:rPr>
          <w:rFonts w:hint="eastAsia" w:ascii="Times New Roman" w:hAnsi="Times New Roman" w:eastAsia="仿宋_GB2312" w:cs="Times New Roman"/>
          <w:color w:val="auto"/>
          <w:kern w:val="2"/>
          <w:sz w:val="21"/>
          <w:szCs w:val="21"/>
          <w:highlight w:val="none"/>
          <w:lang w:val="en-US" w:eastAsia="zh-CN" w:bidi="ar-SA"/>
        </w:rPr>
        <w:t>个月，缺陷责任期自工程通过竣工验收之日起计算。单位工程先于全部工程进行验收，单位工程缺陷责任期自单位工程验收合格之日起算。</w:t>
      </w:r>
    </w:p>
    <w:p w14:paraId="326A128A">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缺陷责任期终止后，发包人应退还剩余的质量保证金。</w:t>
      </w:r>
    </w:p>
    <w:p w14:paraId="3EBD737D">
      <w:pPr>
        <w:widowControl w:val="0"/>
        <w:wordWrap/>
        <w:spacing w:line="320" w:lineRule="exact"/>
        <w:ind w:firstLine="420" w:firstLineChars="0"/>
        <w:jc w:val="both"/>
        <w:rPr>
          <w:rFonts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四、质量保修责任</w:t>
      </w:r>
    </w:p>
    <w:p w14:paraId="32C6969E">
      <w:pPr>
        <w:widowControl w:val="0"/>
        <w:wordWrap/>
        <w:spacing w:line="320" w:lineRule="exact"/>
        <w:ind w:left="105" w:leftChars="50" w:firstLine="430" w:firstLineChars="205"/>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1</w:t>
      </w:r>
      <w:r>
        <w:rPr>
          <w:rFonts w:hint="eastAsia" w:ascii="仿宋_GB2312"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属于保修范围、内容的项目，承包人应当在接到保修通知之日起</w:t>
      </w:r>
      <w:r>
        <w:rPr>
          <w:rFonts w:ascii="Times New Roman" w:hAnsi="Times New Roman" w:eastAsia="仿宋_GB2312" w:cs="Times New Roman"/>
          <w:color w:val="auto"/>
          <w:kern w:val="2"/>
          <w:sz w:val="21"/>
          <w:szCs w:val="21"/>
          <w:highlight w:val="none"/>
          <w:lang w:val="en-US" w:eastAsia="zh-CN" w:bidi="ar-SA"/>
        </w:rPr>
        <w:t>7</w:t>
      </w:r>
      <w:r>
        <w:rPr>
          <w:rFonts w:hint="eastAsia" w:ascii="Times New Roman" w:hAnsi="Times New Roman" w:eastAsia="仿宋_GB2312" w:cs="Times New Roman"/>
          <w:color w:val="auto"/>
          <w:kern w:val="2"/>
          <w:sz w:val="21"/>
          <w:szCs w:val="21"/>
          <w:highlight w:val="none"/>
          <w:lang w:val="en-US" w:eastAsia="zh-CN" w:bidi="ar-SA"/>
        </w:rPr>
        <w:t>天内派人保修。承包人不在约定期限内派人保修的，发包人可以委托他人修理。</w:t>
      </w:r>
    </w:p>
    <w:p w14:paraId="4972F092">
      <w:pPr>
        <w:widowControl w:val="0"/>
        <w:wordWrap/>
        <w:spacing w:line="320" w:lineRule="exact"/>
        <w:ind w:left="105" w:leftChars="50" w:firstLine="430" w:firstLineChars="205"/>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2</w:t>
      </w:r>
      <w:r>
        <w:rPr>
          <w:rFonts w:hint="eastAsia" w:ascii="仿宋_GB2312"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发生紧急事故需抢修的，承包人在接到事故通知后，应当立即到达事故现场抢修。</w:t>
      </w:r>
    </w:p>
    <w:p w14:paraId="0BB344E2">
      <w:pPr>
        <w:widowControl w:val="0"/>
        <w:wordWrap/>
        <w:spacing w:line="320" w:lineRule="exact"/>
        <w:ind w:left="105" w:leftChars="50" w:firstLine="430" w:firstLineChars="205"/>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3</w:t>
      </w:r>
      <w:r>
        <w:rPr>
          <w:rFonts w:hint="eastAsia" w:ascii="仿宋_GB2312"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56F8E9">
      <w:pPr>
        <w:widowControl w:val="0"/>
        <w:wordWrap/>
        <w:spacing w:line="320" w:lineRule="exact"/>
        <w:ind w:left="420" w:leftChars="200" w:firstLine="105" w:firstLineChars="50"/>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4</w:t>
      </w:r>
      <w:r>
        <w:rPr>
          <w:rFonts w:hint="eastAsia" w:ascii="仿宋_GB2312"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质量保修完成后，由发包人组织验收。</w:t>
      </w:r>
    </w:p>
    <w:p w14:paraId="2F6AB8C3">
      <w:pPr>
        <w:widowControl w:val="0"/>
        <w:wordWrap/>
        <w:spacing w:line="320" w:lineRule="exact"/>
        <w:ind w:firstLine="420" w:firstLineChars="0"/>
        <w:jc w:val="both"/>
        <w:rPr>
          <w:rFonts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五、保修费用</w:t>
      </w:r>
    </w:p>
    <w:p w14:paraId="18D49B5C">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保修费用由造成质量缺陷的责任方承担。</w:t>
      </w:r>
    </w:p>
    <w:p w14:paraId="3F077FD2">
      <w:pPr>
        <w:widowControl w:val="0"/>
        <w:numPr>
          <w:ilvl w:val="0"/>
          <w:numId w:val="0"/>
        </w:numPr>
        <w:wordWrap/>
        <w:spacing w:line="320" w:lineRule="exact"/>
        <w:ind w:left="390" w:leftChars="0" w:firstLine="0" w:firstLineChars="0"/>
        <w:jc w:val="both"/>
        <w:rPr>
          <w:rFonts w:hint="eastAsia"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六、双方约定的其他工程质量保修事项：</w:t>
      </w:r>
      <w:bookmarkStart w:id="321" w:name="EBa862a630835b47dbb982cd3919cfc2ed"/>
      <w:bookmarkEnd w:id="321"/>
      <w:r>
        <w:rPr>
          <w:rFonts w:hint="eastAsia" w:ascii="Times New Roman" w:hAnsi="Times New Roman" w:eastAsia="仿宋_GB2312" w:cs="Times New Roman"/>
          <w:color w:val="auto"/>
          <w:kern w:val="2"/>
          <w:sz w:val="21"/>
          <w:szCs w:val="21"/>
          <w:highlight w:val="none"/>
          <w:lang w:val="en-US" w:eastAsia="zh-CN" w:bidi="ar-SA"/>
        </w:rPr>
        <w:t>本工程保修期限</w:t>
      </w:r>
      <w:r>
        <w:rPr>
          <w:rFonts w:hint="eastAsia" w:eastAsia="仿宋_GB2312" w:cs="Times New Roman"/>
          <w:color w:val="auto"/>
          <w:kern w:val="2"/>
          <w:sz w:val="21"/>
          <w:szCs w:val="21"/>
          <w:highlight w:val="none"/>
          <w:lang w:val="en-US" w:eastAsia="zh-CN" w:bidi="ar-SA"/>
        </w:rPr>
        <w:t>12个月</w:t>
      </w:r>
      <w:r>
        <w:rPr>
          <w:rFonts w:hint="eastAsia" w:ascii="Times New Roman" w:hAnsi="Times New Roman" w:eastAsia="仿宋_GB2312" w:cs="Times New Roman"/>
          <w:color w:val="auto"/>
          <w:kern w:val="2"/>
          <w:sz w:val="21"/>
          <w:szCs w:val="21"/>
          <w:highlight w:val="none"/>
          <w:lang w:val="en-US" w:eastAsia="zh-CN" w:bidi="ar-SA"/>
        </w:rPr>
        <w:t>，保修期从竣工验收通过之日起计算。</w:t>
      </w:r>
    </w:p>
    <w:p w14:paraId="17D93E95">
      <w:pPr>
        <w:widowControl w:val="0"/>
        <w:wordWrap/>
        <w:spacing w:line="320" w:lineRule="exact"/>
        <w:ind w:firstLine="399" w:firstLineChars="19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工程质量保修书由发包人、承包人在工程竣工验收前共同签署，作为施工合同附件，其有效期限至保修期满。</w:t>
      </w:r>
    </w:p>
    <w:tbl>
      <w:tblPr>
        <w:tblStyle w:val="30"/>
        <w:tblW w:w="9757" w:type="dxa"/>
        <w:tblInd w:w="0" w:type="dxa"/>
        <w:tblLayout w:type="fixed"/>
        <w:tblCellMar>
          <w:top w:w="0" w:type="dxa"/>
          <w:left w:w="108" w:type="dxa"/>
          <w:bottom w:w="0" w:type="dxa"/>
          <w:right w:w="108" w:type="dxa"/>
        </w:tblCellMar>
      </w:tblPr>
      <w:tblGrid>
        <w:gridCol w:w="3182"/>
        <w:gridCol w:w="1696"/>
        <w:gridCol w:w="3416"/>
        <w:gridCol w:w="1463"/>
      </w:tblGrid>
      <w:tr w14:paraId="2EA6822C">
        <w:tblPrEx>
          <w:tblCellMar>
            <w:top w:w="0" w:type="dxa"/>
            <w:left w:w="108" w:type="dxa"/>
            <w:bottom w:w="0" w:type="dxa"/>
            <w:right w:w="108" w:type="dxa"/>
          </w:tblCellMar>
        </w:tblPrEx>
        <w:trPr>
          <w:trHeight w:val="368" w:hRule="atLeast"/>
        </w:trPr>
        <w:tc>
          <w:tcPr>
            <w:tcW w:w="3182" w:type="dxa"/>
            <w:noWrap w:val="0"/>
            <w:vAlign w:val="top"/>
          </w:tcPr>
          <w:p w14:paraId="76C46278">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发包人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公章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696" w:type="dxa"/>
            <w:noWrap w:val="0"/>
            <w:vAlign w:val="top"/>
          </w:tcPr>
          <w:p w14:paraId="1109CD12">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2" w:name="EBfd0bcf38cd314f2d9322d10effab8625"/>
            <w:bookmarkEnd w:id="322"/>
          </w:p>
        </w:tc>
        <w:tc>
          <w:tcPr>
            <w:tcW w:w="3416" w:type="dxa"/>
            <w:noWrap w:val="0"/>
            <w:vAlign w:val="top"/>
          </w:tcPr>
          <w:p w14:paraId="211CDBB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承包人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公章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463" w:type="dxa"/>
            <w:noWrap w:val="0"/>
            <w:vAlign w:val="top"/>
          </w:tcPr>
          <w:p w14:paraId="2C76434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3" w:name="EB5a8d47cdbdc74c64bee2d0fdcd8aebdc"/>
            <w:bookmarkEnd w:id="323"/>
          </w:p>
        </w:tc>
      </w:tr>
      <w:tr w14:paraId="3E8CBA1A">
        <w:tblPrEx>
          <w:tblCellMar>
            <w:top w:w="0" w:type="dxa"/>
            <w:left w:w="108" w:type="dxa"/>
            <w:bottom w:w="0" w:type="dxa"/>
            <w:right w:w="108" w:type="dxa"/>
          </w:tblCellMar>
        </w:tblPrEx>
        <w:tc>
          <w:tcPr>
            <w:tcW w:w="3182" w:type="dxa"/>
            <w:noWrap w:val="0"/>
            <w:vAlign w:val="top"/>
          </w:tcPr>
          <w:p w14:paraId="4B68C8B1">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地址：</w:t>
            </w:r>
          </w:p>
        </w:tc>
        <w:tc>
          <w:tcPr>
            <w:tcW w:w="1696" w:type="dxa"/>
            <w:noWrap w:val="0"/>
            <w:vAlign w:val="top"/>
          </w:tcPr>
          <w:p w14:paraId="38BF34A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4" w:name="EB165df4737940432d8ed385587c9c52a1"/>
            <w:bookmarkEnd w:id="324"/>
          </w:p>
        </w:tc>
        <w:tc>
          <w:tcPr>
            <w:tcW w:w="3416" w:type="dxa"/>
            <w:noWrap w:val="0"/>
            <w:vAlign w:val="top"/>
          </w:tcPr>
          <w:p w14:paraId="7FDFF8C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地址：</w:t>
            </w:r>
          </w:p>
        </w:tc>
        <w:tc>
          <w:tcPr>
            <w:tcW w:w="1463" w:type="dxa"/>
            <w:noWrap w:val="0"/>
            <w:vAlign w:val="top"/>
          </w:tcPr>
          <w:p w14:paraId="07E50570">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5" w:name="EB4c3d6ad9568b4a5395183853d0479711"/>
            <w:bookmarkEnd w:id="325"/>
          </w:p>
        </w:tc>
      </w:tr>
      <w:tr w14:paraId="36FB271E">
        <w:tblPrEx>
          <w:tblCellMar>
            <w:top w:w="0" w:type="dxa"/>
            <w:left w:w="108" w:type="dxa"/>
            <w:bottom w:w="0" w:type="dxa"/>
            <w:right w:w="108" w:type="dxa"/>
          </w:tblCellMar>
        </w:tblPrEx>
        <w:tc>
          <w:tcPr>
            <w:tcW w:w="3182" w:type="dxa"/>
            <w:noWrap w:val="0"/>
            <w:vAlign w:val="top"/>
          </w:tcPr>
          <w:p w14:paraId="0CC4462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法定代表人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签字或盖章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696" w:type="dxa"/>
            <w:noWrap w:val="0"/>
            <w:vAlign w:val="top"/>
          </w:tcPr>
          <w:p w14:paraId="064A897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6" w:name="EB66bab63302994852b0c3916f6dd4a149"/>
            <w:bookmarkEnd w:id="326"/>
          </w:p>
        </w:tc>
        <w:tc>
          <w:tcPr>
            <w:tcW w:w="3416" w:type="dxa"/>
            <w:noWrap w:val="0"/>
            <w:vAlign w:val="top"/>
          </w:tcPr>
          <w:p w14:paraId="60353CEC">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法定代表人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签字或盖章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463" w:type="dxa"/>
            <w:noWrap w:val="0"/>
            <w:vAlign w:val="top"/>
          </w:tcPr>
          <w:p w14:paraId="5ACE5AD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7" w:name="EB06d05890ed7e41a0b4c0ebacb81c3bd9"/>
            <w:bookmarkEnd w:id="327"/>
          </w:p>
        </w:tc>
      </w:tr>
      <w:tr w14:paraId="304C73C8">
        <w:tblPrEx>
          <w:tblCellMar>
            <w:top w:w="0" w:type="dxa"/>
            <w:left w:w="108" w:type="dxa"/>
            <w:bottom w:w="0" w:type="dxa"/>
            <w:right w:w="108" w:type="dxa"/>
          </w:tblCellMar>
        </w:tblPrEx>
        <w:tc>
          <w:tcPr>
            <w:tcW w:w="3182" w:type="dxa"/>
            <w:noWrap w:val="0"/>
            <w:vAlign w:val="top"/>
          </w:tcPr>
          <w:p w14:paraId="717D0A2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委托代理人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696" w:type="dxa"/>
            <w:noWrap w:val="0"/>
            <w:vAlign w:val="top"/>
          </w:tcPr>
          <w:p w14:paraId="68A2000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8" w:name="EBfb30f2df9e5647b4b922a294a844c8f9"/>
            <w:bookmarkEnd w:id="328"/>
          </w:p>
        </w:tc>
        <w:tc>
          <w:tcPr>
            <w:tcW w:w="3416" w:type="dxa"/>
            <w:noWrap w:val="0"/>
            <w:vAlign w:val="top"/>
          </w:tcPr>
          <w:p w14:paraId="3F3A828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委托代理人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463" w:type="dxa"/>
            <w:noWrap w:val="0"/>
            <w:vAlign w:val="top"/>
          </w:tcPr>
          <w:p w14:paraId="108F48A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9" w:name="EB90fdcb1014b34a8e96c014c9d60c3955"/>
            <w:bookmarkEnd w:id="329"/>
          </w:p>
        </w:tc>
      </w:tr>
      <w:tr w14:paraId="5F1CC3BD">
        <w:tblPrEx>
          <w:tblCellMar>
            <w:top w:w="0" w:type="dxa"/>
            <w:left w:w="108" w:type="dxa"/>
            <w:bottom w:w="0" w:type="dxa"/>
            <w:right w:w="108" w:type="dxa"/>
          </w:tblCellMar>
        </w:tblPrEx>
        <w:tc>
          <w:tcPr>
            <w:tcW w:w="3182" w:type="dxa"/>
            <w:noWrap w:val="0"/>
            <w:vAlign w:val="top"/>
          </w:tcPr>
          <w:p w14:paraId="0B174433">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电话：</w:t>
            </w:r>
          </w:p>
        </w:tc>
        <w:tc>
          <w:tcPr>
            <w:tcW w:w="1696" w:type="dxa"/>
            <w:noWrap w:val="0"/>
            <w:vAlign w:val="top"/>
          </w:tcPr>
          <w:p w14:paraId="4C97FAF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0" w:name="EBc19077d3fc714e08991dfe8812084560"/>
            <w:bookmarkEnd w:id="330"/>
          </w:p>
        </w:tc>
        <w:tc>
          <w:tcPr>
            <w:tcW w:w="3416" w:type="dxa"/>
            <w:noWrap w:val="0"/>
            <w:vAlign w:val="top"/>
          </w:tcPr>
          <w:p w14:paraId="6EB60B5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电话：</w:t>
            </w:r>
          </w:p>
        </w:tc>
        <w:tc>
          <w:tcPr>
            <w:tcW w:w="1463" w:type="dxa"/>
            <w:noWrap w:val="0"/>
            <w:vAlign w:val="top"/>
          </w:tcPr>
          <w:p w14:paraId="7E3FB930">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1" w:name="EBfd1b68575acd449b933bb89610e69e52"/>
            <w:bookmarkEnd w:id="331"/>
          </w:p>
        </w:tc>
      </w:tr>
      <w:tr w14:paraId="3FE8C9E1">
        <w:tblPrEx>
          <w:tblCellMar>
            <w:top w:w="0" w:type="dxa"/>
            <w:left w:w="108" w:type="dxa"/>
            <w:bottom w:w="0" w:type="dxa"/>
            <w:right w:w="108" w:type="dxa"/>
          </w:tblCellMar>
        </w:tblPrEx>
        <w:tc>
          <w:tcPr>
            <w:tcW w:w="3182" w:type="dxa"/>
            <w:noWrap w:val="0"/>
            <w:vAlign w:val="top"/>
          </w:tcPr>
          <w:p w14:paraId="1406D91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传真：</w:t>
            </w:r>
          </w:p>
        </w:tc>
        <w:tc>
          <w:tcPr>
            <w:tcW w:w="1696" w:type="dxa"/>
            <w:noWrap w:val="0"/>
            <w:vAlign w:val="top"/>
          </w:tcPr>
          <w:p w14:paraId="6F7FC6B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2" w:name="EBc286ab8ca50a49f49d88f4d4d2f0946a"/>
            <w:bookmarkEnd w:id="332"/>
          </w:p>
        </w:tc>
        <w:tc>
          <w:tcPr>
            <w:tcW w:w="3416" w:type="dxa"/>
            <w:noWrap w:val="0"/>
            <w:vAlign w:val="top"/>
          </w:tcPr>
          <w:p w14:paraId="493AFEED">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传真：</w:t>
            </w:r>
          </w:p>
        </w:tc>
        <w:tc>
          <w:tcPr>
            <w:tcW w:w="1463" w:type="dxa"/>
            <w:noWrap w:val="0"/>
            <w:vAlign w:val="top"/>
          </w:tcPr>
          <w:p w14:paraId="6ABCC3D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3" w:name="EB8a8e535b11b14554ab4df792a0f5e5a4"/>
            <w:bookmarkEnd w:id="333"/>
          </w:p>
        </w:tc>
      </w:tr>
      <w:tr w14:paraId="21AE05DA">
        <w:tblPrEx>
          <w:tblCellMar>
            <w:top w:w="0" w:type="dxa"/>
            <w:left w:w="108" w:type="dxa"/>
            <w:bottom w:w="0" w:type="dxa"/>
            <w:right w:w="108" w:type="dxa"/>
          </w:tblCellMar>
        </w:tblPrEx>
        <w:tc>
          <w:tcPr>
            <w:tcW w:w="3182" w:type="dxa"/>
            <w:noWrap w:val="0"/>
            <w:vAlign w:val="top"/>
          </w:tcPr>
          <w:p w14:paraId="1185E90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开户银行：</w:t>
            </w:r>
          </w:p>
        </w:tc>
        <w:tc>
          <w:tcPr>
            <w:tcW w:w="1696" w:type="dxa"/>
            <w:noWrap w:val="0"/>
            <w:vAlign w:val="top"/>
          </w:tcPr>
          <w:p w14:paraId="346DC6F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4" w:name="EBc34e391c190e479d888f22e109c02810"/>
            <w:bookmarkEnd w:id="334"/>
          </w:p>
        </w:tc>
        <w:tc>
          <w:tcPr>
            <w:tcW w:w="3416" w:type="dxa"/>
            <w:noWrap w:val="0"/>
            <w:vAlign w:val="top"/>
          </w:tcPr>
          <w:p w14:paraId="416664E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开户银行：</w:t>
            </w:r>
          </w:p>
        </w:tc>
        <w:tc>
          <w:tcPr>
            <w:tcW w:w="1463" w:type="dxa"/>
            <w:noWrap w:val="0"/>
            <w:vAlign w:val="top"/>
          </w:tcPr>
          <w:p w14:paraId="5ACC930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5" w:name="EBd3de465ee0344e2491cd2119446d223c"/>
            <w:bookmarkEnd w:id="335"/>
          </w:p>
        </w:tc>
      </w:tr>
      <w:tr w14:paraId="257C69AD">
        <w:tblPrEx>
          <w:tblCellMar>
            <w:top w:w="0" w:type="dxa"/>
            <w:left w:w="108" w:type="dxa"/>
            <w:bottom w:w="0" w:type="dxa"/>
            <w:right w:w="108" w:type="dxa"/>
          </w:tblCellMar>
        </w:tblPrEx>
        <w:tc>
          <w:tcPr>
            <w:tcW w:w="3182" w:type="dxa"/>
            <w:noWrap w:val="0"/>
            <w:vAlign w:val="top"/>
          </w:tcPr>
          <w:p w14:paraId="696BE4B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账号：</w:t>
            </w:r>
          </w:p>
        </w:tc>
        <w:tc>
          <w:tcPr>
            <w:tcW w:w="1696" w:type="dxa"/>
            <w:noWrap w:val="0"/>
            <w:vAlign w:val="top"/>
          </w:tcPr>
          <w:p w14:paraId="2871073E">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6" w:name="EBddb7db06b77942d6b464a3ec45a8aea8"/>
            <w:bookmarkEnd w:id="336"/>
          </w:p>
        </w:tc>
        <w:tc>
          <w:tcPr>
            <w:tcW w:w="3416" w:type="dxa"/>
            <w:noWrap w:val="0"/>
            <w:vAlign w:val="top"/>
          </w:tcPr>
          <w:p w14:paraId="5A9B2B7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账号：</w:t>
            </w:r>
          </w:p>
        </w:tc>
        <w:tc>
          <w:tcPr>
            <w:tcW w:w="1463" w:type="dxa"/>
            <w:noWrap w:val="0"/>
            <w:vAlign w:val="top"/>
          </w:tcPr>
          <w:p w14:paraId="7B15DB8E">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7" w:name="EBe9bf02acee8e494087098f85a2ae2fde"/>
            <w:bookmarkEnd w:id="337"/>
          </w:p>
        </w:tc>
      </w:tr>
      <w:tr w14:paraId="103EE85E">
        <w:tblPrEx>
          <w:tblCellMar>
            <w:top w:w="0" w:type="dxa"/>
            <w:left w:w="108" w:type="dxa"/>
            <w:bottom w:w="0" w:type="dxa"/>
            <w:right w:w="108" w:type="dxa"/>
          </w:tblCellMar>
        </w:tblPrEx>
        <w:tc>
          <w:tcPr>
            <w:tcW w:w="3182" w:type="dxa"/>
            <w:noWrap w:val="0"/>
            <w:vAlign w:val="top"/>
          </w:tcPr>
          <w:p w14:paraId="401B610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邮政编码：</w:t>
            </w:r>
          </w:p>
        </w:tc>
        <w:tc>
          <w:tcPr>
            <w:tcW w:w="1696" w:type="dxa"/>
            <w:noWrap w:val="0"/>
            <w:vAlign w:val="top"/>
          </w:tcPr>
          <w:p w14:paraId="470C8CA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8" w:name="EB1f7fe764b5254a639e04028dac0eb593"/>
            <w:bookmarkEnd w:id="338"/>
          </w:p>
        </w:tc>
        <w:tc>
          <w:tcPr>
            <w:tcW w:w="3416" w:type="dxa"/>
            <w:noWrap w:val="0"/>
            <w:vAlign w:val="top"/>
          </w:tcPr>
          <w:p w14:paraId="65DC424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账号：</w:t>
            </w:r>
          </w:p>
        </w:tc>
        <w:tc>
          <w:tcPr>
            <w:tcW w:w="1463" w:type="dxa"/>
            <w:noWrap w:val="0"/>
            <w:vAlign w:val="top"/>
          </w:tcPr>
          <w:p w14:paraId="6B0C41C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9" w:name="EBabeb0b27cc1d4074a5b13ccced57123f"/>
            <w:bookmarkEnd w:id="339"/>
          </w:p>
        </w:tc>
      </w:tr>
    </w:tbl>
    <w:p w14:paraId="4493CFA2">
      <w:pPr>
        <w:pageBreakBefore/>
        <w:wordWrap/>
        <w:spacing w:line="240" w:lineRule="auto"/>
        <w:ind w:firstLine="0" w:firstLineChars="0"/>
        <w:rPr>
          <w:rFonts w:ascii="宋体" w:hAnsi="宋体" w:eastAsia="宋体" w:cs="宋体"/>
          <w:sz w:val="30"/>
          <w:szCs w:val="30"/>
          <w:highlight w:val="none"/>
        </w:rPr>
      </w:pPr>
      <w:r>
        <w:rPr>
          <w:rFonts w:hint="eastAsia" w:ascii="宋体" w:hAnsi="宋体" w:eastAsia="宋体" w:cs="宋体"/>
          <w:sz w:val="30"/>
          <w:szCs w:val="30"/>
          <w:highlight w:val="none"/>
        </w:rPr>
        <w:t>附件</w:t>
      </w:r>
      <w:r>
        <w:rPr>
          <w:rFonts w:hint="eastAsia" w:ascii="宋体" w:hAnsi="宋体" w:cs="宋体"/>
          <w:sz w:val="30"/>
          <w:szCs w:val="30"/>
          <w:highlight w:val="none"/>
          <w:lang w:val="en-US" w:eastAsia="zh-CN"/>
        </w:rPr>
        <w:t>2</w:t>
      </w:r>
      <w:r>
        <w:rPr>
          <w:rFonts w:hint="eastAsia" w:ascii="宋体" w:hAnsi="宋体" w:eastAsia="宋体" w:cs="宋体"/>
          <w:sz w:val="30"/>
          <w:szCs w:val="30"/>
          <w:highlight w:val="none"/>
        </w:rPr>
        <w:t>、预付款担保</w:t>
      </w:r>
    </w:p>
    <w:p w14:paraId="7E430BD6">
      <w:pPr>
        <w:widowControl w:val="0"/>
        <w:wordWrap/>
        <w:spacing w:line="360" w:lineRule="auto"/>
        <w:ind w:firstLine="0" w:firstLineChars="0"/>
        <w:jc w:val="both"/>
        <w:rPr>
          <w:rFonts w:ascii="宋体" w:hAnsi="宋体" w:eastAsia="宋体" w:cs="宋体"/>
          <w:kern w:val="2"/>
          <w:sz w:val="21"/>
          <w:szCs w:val="21"/>
          <w:highlight w:val="none"/>
          <w:lang w:val="en-US" w:eastAsia="zh-CN" w:bidi="ar-SA"/>
        </w:rPr>
      </w:pPr>
      <w:bookmarkStart w:id="340" w:name="EBb9fd00995fb148fd8c3f9b7025216c25"/>
      <w:bookmarkEnd w:id="340"/>
      <w:r>
        <w:rPr>
          <w:rFonts w:hint="eastAsia" w:ascii="宋体" w:hAnsi="宋体" w:eastAsia="宋体" w:cs="宋体"/>
          <w:kern w:val="2"/>
          <w:sz w:val="21"/>
          <w:szCs w:val="21"/>
          <w:highlight w:val="none"/>
          <w:lang w:val="en-US" w:eastAsia="zh-CN" w:bidi="ar-SA"/>
        </w:rPr>
        <w:t>（发包人名称）：</w:t>
      </w:r>
    </w:p>
    <w:p w14:paraId="3547BEE1">
      <w:pPr>
        <w:widowControl w:val="0"/>
        <w:wordWrap/>
        <w:spacing w:line="360" w:lineRule="auto"/>
        <w:ind w:firstLine="0" w:firstLineChars="0"/>
        <w:jc w:val="both"/>
        <w:rPr>
          <w:rFonts w:ascii="宋体" w:hAnsi="宋体" w:eastAsia="宋体" w:cs="宋体"/>
          <w:kern w:val="2"/>
          <w:sz w:val="21"/>
          <w:szCs w:val="21"/>
          <w:highlight w:val="none"/>
          <w:lang w:val="en-US" w:eastAsia="zh-CN" w:bidi="ar-SA"/>
        </w:rPr>
      </w:pPr>
    </w:p>
    <w:p w14:paraId="3B665C47">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w:t>
      </w:r>
      <w:bookmarkStart w:id="341" w:name="EBc6cfcdf74e2940a9a0a8050118a83f2a"/>
      <w:bookmarkEnd w:id="341"/>
      <w:r>
        <w:rPr>
          <w:rFonts w:hint="eastAsia" w:ascii="宋体" w:hAnsi="宋体" w:eastAsia="宋体" w:cs="宋体"/>
          <w:kern w:val="2"/>
          <w:sz w:val="21"/>
          <w:szCs w:val="21"/>
          <w:highlight w:val="none"/>
          <w:lang w:val="en-US" w:eastAsia="zh-CN" w:bidi="ar-SA"/>
        </w:rPr>
        <w:t>（承包人名称）（以下称“承包人”）与</w:t>
      </w:r>
      <w:bookmarkStart w:id="342" w:name="EB8e10329dbda74a07a8d34ffdd15f1f64"/>
      <w:bookmarkEnd w:id="342"/>
      <w:r>
        <w:rPr>
          <w:rFonts w:hint="eastAsia" w:ascii="宋体" w:hAnsi="宋体" w:eastAsia="宋体" w:cs="宋体"/>
          <w:kern w:val="2"/>
          <w:sz w:val="21"/>
          <w:szCs w:val="21"/>
          <w:highlight w:val="none"/>
          <w:lang w:val="en-US" w:eastAsia="zh-CN" w:bidi="ar-SA"/>
        </w:rPr>
        <w:t>（发包人名称）（以下简称“发包人”）于</w:t>
      </w:r>
      <w:bookmarkStart w:id="343" w:name="EB3b50b86c74f844f88c260e1c2075769f"/>
      <w:bookmarkEnd w:id="343"/>
      <w:r>
        <w:rPr>
          <w:rFonts w:hint="eastAsia" w:ascii="宋体" w:hAnsi="宋体" w:eastAsia="宋体" w:cs="宋体"/>
          <w:kern w:val="2"/>
          <w:sz w:val="21"/>
          <w:szCs w:val="21"/>
          <w:highlight w:val="none"/>
          <w:lang w:val="en-US" w:eastAsia="zh-CN" w:bidi="ar-SA"/>
        </w:rPr>
        <w:t>签订的</w:t>
      </w:r>
      <w:bookmarkStart w:id="344" w:name="EB1b12bd5f69564fed901c016611ef7491"/>
      <w:bookmarkEnd w:id="344"/>
      <w:r>
        <w:rPr>
          <w:rFonts w:hint="eastAsia" w:ascii="宋体" w:hAnsi="宋体" w:eastAsia="宋体" w:cs="宋体"/>
          <w:kern w:val="2"/>
          <w:sz w:val="21"/>
          <w:szCs w:val="21"/>
          <w:highlight w:val="none"/>
          <w:lang w:val="en-US" w:eastAsia="zh-CN" w:bidi="ar-SA"/>
        </w:rPr>
        <w:t>（工程名称）《建设工程施工合同》，承包人按约定的金额向你方提交一份预付款担保，即有权得到你方支付相等金额的预付款。我方愿意就你方提供给承包人的预付款为承包人提供连带责任担保。</w:t>
      </w:r>
    </w:p>
    <w:p w14:paraId="1FB2EC73">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 担保金额人民币（大写）</w:t>
      </w:r>
      <w:bookmarkStart w:id="345" w:name="EBea0709624f3e40adb54c7eec5ba19785"/>
      <w:bookmarkEnd w:id="345"/>
      <w:r>
        <w:rPr>
          <w:rFonts w:hint="eastAsia" w:ascii="宋体" w:hAnsi="宋体" w:eastAsia="宋体" w:cs="宋体"/>
          <w:kern w:val="2"/>
          <w:sz w:val="21"/>
          <w:szCs w:val="21"/>
          <w:highlight w:val="none"/>
          <w:lang w:val="en-US" w:eastAsia="zh-CN" w:bidi="ar-SA"/>
        </w:rPr>
        <w:t>元（¥</w:t>
      </w:r>
      <w:bookmarkStart w:id="346" w:name="EBd8460886764643c09b48e38d269b947a"/>
      <w:bookmarkEnd w:id="346"/>
      <w:r>
        <w:rPr>
          <w:rFonts w:hint="eastAsia" w:ascii="宋体" w:hAnsi="宋体" w:eastAsia="宋体" w:cs="宋体"/>
          <w:kern w:val="2"/>
          <w:sz w:val="21"/>
          <w:szCs w:val="21"/>
          <w:highlight w:val="none"/>
          <w:lang w:val="en-US" w:eastAsia="zh-CN" w:bidi="ar-SA"/>
        </w:rPr>
        <w:t>）。</w:t>
      </w:r>
    </w:p>
    <w:p w14:paraId="0F0DE33B">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 担保有效期自预付款支付给承包人起生效，至你方签发的进度款支付证书说明已完全扣清止。</w:t>
      </w:r>
    </w:p>
    <w:p w14:paraId="776430B1">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6B92E59">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 你方和承包人按合同约定变更合同时，我方承担本保函规定的义务不变。</w:t>
      </w:r>
    </w:p>
    <w:p w14:paraId="09021BDE">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 因本保函发生的纠纷，可由双方协商解决，协商不成的，任何一方均可提请</w:t>
      </w:r>
      <w:bookmarkStart w:id="347" w:name="EBd707f30995b04f84b8e7a089aec01d0d"/>
      <w:bookmarkEnd w:id="347"/>
      <w:r>
        <w:rPr>
          <w:rFonts w:hint="eastAsia" w:ascii="宋体" w:hAnsi="宋体" w:eastAsia="宋体" w:cs="宋体"/>
          <w:kern w:val="2"/>
          <w:sz w:val="21"/>
          <w:szCs w:val="21"/>
          <w:highlight w:val="none"/>
          <w:lang w:val="en-US" w:eastAsia="zh-CN" w:bidi="ar-SA"/>
        </w:rPr>
        <w:t>仲裁委员会仲裁。</w:t>
      </w:r>
    </w:p>
    <w:p w14:paraId="776FA9F4">
      <w:pPr>
        <w:widowControl w:val="0"/>
        <w:wordWrap/>
        <w:spacing w:line="360" w:lineRule="auto"/>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 本保函自我方法定代表人（或其授权代理人）签字并加盖公章之日起生效。</w:t>
      </w:r>
    </w:p>
    <w:p w14:paraId="1ECC9B52">
      <w:pPr>
        <w:widowControl w:val="0"/>
        <w:wordWrap/>
        <w:spacing w:line="360" w:lineRule="auto"/>
        <w:ind w:firstLine="0" w:firstLineChars="0"/>
        <w:jc w:val="both"/>
        <w:rPr>
          <w:rFonts w:ascii="宋体" w:hAnsi="宋体" w:eastAsia="宋体" w:cs="宋体"/>
          <w:kern w:val="2"/>
          <w:sz w:val="21"/>
          <w:szCs w:val="21"/>
          <w:highlight w:val="none"/>
          <w:lang w:val="en-US" w:eastAsia="zh-CN" w:bidi="ar-SA"/>
        </w:rPr>
      </w:pPr>
    </w:p>
    <w:p w14:paraId="33E188DD">
      <w:pPr>
        <w:widowControl w:val="0"/>
        <w:wordWrap/>
        <w:spacing w:line="360" w:lineRule="auto"/>
        <w:ind w:firstLine="0"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担保人：</w:t>
      </w:r>
      <w:bookmarkStart w:id="348" w:name="EBb8bce141d06f451a8de104534989ad8f"/>
      <w:bookmarkEnd w:id="348"/>
      <w:r>
        <w:rPr>
          <w:rFonts w:hint="eastAsia" w:ascii="宋体" w:hAnsi="宋体" w:eastAsia="宋体" w:cs="宋体"/>
          <w:kern w:val="2"/>
          <w:sz w:val="21"/>
          <w:szCs w:val="21"/>
          <w:highlight w:val="none"/>
          <w:lang w:val="en-US" w:eastAsia="zh-CN" w:bidi="ar-SA"/>
        </w:rPr>
        <w:t>（盖单位章）</w:t>
      </w:r>
    </w:p>
    <w:p w14:paraId="3EDEF11F">
      <w:pPr>
        <w:widowControl w:val="0"/>
        <w:wordWrap/>
        <w:spacing w:line="360" w:lineRule="auto"/>
        <w:ind w:firstLine="0" w:firstLineChars="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法定代表人或其委托代理人：</w:t>
      </w:r>
      <w:bookmarkStart w:id="349" w:name="EB6982298f74df4b648abccd99fa5f08c0"/>
      <w:bookmarkEnd w:id="349"/>
      <w:r>
        <w:rPr>
          <w:rFonts w:hint="eastAsia" w:ascii="宋体" w:hAnsi="宋体" w:eastAsia="宋体" w:cs="宋体"/>
          <w:kern w:val="2"/>
          <w:sz w:val="21"/>
          <w:szCs w:val="21"/>
          <w:highlight w:val="none"/>
          <w:lang w:val="en-US" w:eastAsia="zh-CN" w:bidi="ar-SA"/>
        </w:rPr>
        <w:t>（签字）</w:t>
      </w:r>
    </w:p>
    <w:p w14:paraId="65EC8E5F">
      <w:pPr>
        <w:widowControl w:val="0"/>
        <w:wordWrap/>
        <w:spacing w:line="360" w:lineRule="auto"/>
        <w:ind w:firstLine="0" w:firstLineChars="0"/>
        <w:jc w:val="both"/>
        <w:rPr>
          <w:rFonts w:ascii="宋体" w:hAnsi="宋体" w:eastAsia="宋体" w:cs="宋体"/>
          <w:color w:val="0000FF"/>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地    址：</w:t>
      </w:r>
      <w:bookmarkStart w:id="350" w:name="EBfb9b3ec54e6b422686582a59a8abc3bb"/>
      <w:bookmarkEnd w:id="350"/>
    </w:p>
    <w:p w14:paraId="193DA53F">
      <w:pPr>
        <w:widowControl w:val="0"/>
        <w:wordWrap/>
        <w:spacing w:line="360" w:lineRule="auto"/>
        <w:ind w:firstLine="0" w:firstLineChars="0"/>
        <w:jc w:val="both"/>
        <w:rPr>
          <w:rFonts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邮政编码：</w:t>
      </w:r>
      <w:bookmarkStart w:id="351" w:name="EBcaed9bdd0fe241b9b7a63056a4f8b5fb"/>
      <w:bookmarkEnd w:id="351"/>
    </w:p>
    <w:p w14:paraId="6E013589">
      <w:pPr>
        <w:widowControl w:val="0"/>
        <w:wordWrap/>
        <w:spacing w:line="360" w:lineRule="auto"/>
        <w:ind w:firstLine="0" w:firstLineChars="0"/>
        <w:jc w:val="both"/>
        <w:rPr>
          <w:rFonts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电    话：</w:t>
      </w:r>
      <w:bookmarkStart w:id="352" w:name="EBd4ba82e65368441da9d90d161a80b671"/>
      <w:bookmarkEnd w:id="352"/>
    </w:p>
    <w:p w14:paraId="7012D908">
      <w:pPr>
        <w:widowControl w:val="0"/>
        <w:wordWrap/>
        <w:spacing w:line="360" w:lineRule="auto"/>
        <w:ind w:firstLine="0" w:firstLineChars="0"/>
        <w:jc w:val="both"/>
        <w:rPr>
          <w:rFonts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传    真：</w:t>
      </w:r>
      <w:bookmarkStart w:id="353" w:name="EBd0d558671433478b8c17add3a43f7bec"/>
      <w:bookmarkEnd w:id="353"/>
    </w:p>
    <w:p w14:paraId="5B92AFE6">
      <w:pPr>
        <w:widowControl w:val="0"/>
        <w:wordWrap/>
        <w:spacing w:line="360" w:lineRule="exact"/>
        <w:ind w:right="150" w:firstLine="420" w:firstLineChars="200"/>
        <w:jc w:val="left"/>
        <w:rPr>
          <w:rFonts w:ascii="宋体" w:hAnsi="宋体" w:eastAsia="宋体" w:cs="宋体"/>
          <w:kern w:val="2"/>
          <w:sz w:val="21"/>
          <w:szCs w:val="21"/>
          <w:highlight w:val="none"/>
          <w:lang w:val="en-US" w:eastAsia="zh-CN" w:bidi="ar-SA"/>
        </w:rPr>
      </w:pPr>
    </w:p>
    <w:p w14:paraId="4AE14928">
      <w:pPr>
        <w:widowControl w:val="0"/>
        <w:wordWrap/>
        <w:spacing w:line="360" w:lineRule="exact"/>
        <w:ind w:right="150" w:firstLine="0" w:firstLineChars="0"/>
        <w:jc w:val="left"/>
        <w:rPr>
          <w:rFonts w:ascii="宋体" w:hAnsi="宋体" w:eastAsia="宋体" w:cs="宋体"/>
          <w:kern w:val="2"/>
          <w:sz w:val="21"/>
          <w:szCs w:val="21"/>
          <w:highlight w:val="none"/>
          <w:lang w:val="en-US" w:eastAsia="zh-CN" w:bidi="ar-SA"/>
        </w:rPr>
      </w:pPr>
    </w:p>
    <w:p w14:paraId="6C99907E">
      <w:pPr>
        <w:wordWrap/>
        <w:spacing w:line="240" w:lineRule="auto"/>
        <w:ind w:firstLine="0" w:firstLineChars="0"/>
        <w:rPr>
          <w:rFonts w:ascii="宋体" w:hAnsi="宋体" w:eastAsia="宋体" w:cs="宋体"/>
          <w:sz w:val="30"/>
          <w:szCs w:val="30"/>
          <w:highlight w:val="none"/>
        </w:rPr>
      </w:pPr>
      <w:r>
        <w:rPr>
          <w:rFonts w:hint="eastAsia" w:ascii="宋体" w:hAnsi="宋体" w:eastAsia="宋体" w:cs="宋体"/>
          <w:sz w:val="30"/>
          <w:szCs w:val="30"/>
          <w:highlight w:val="none"/>
        </w:rPr>
        <w:t>附件</w:t>
      </w:r>
      <w:r>
        <w:rPr>
          <w:rFonts w:hint="eastAsia" w:ascii="宋体" w:hAnsi="宋体" w:cs="宋体"/>
          <w:sz w:val="30"/>
          <w:szCs w:val="30"/>
          <w:highlight w:val="none"/>
          <w:lang w:val="en-US" w:eastAsia="zh-CN"/>
        </w:rPr>
        <w:t>3</w:t>
      </w:r>
      <w:r>
        <w:rPr>
          <w:rFonts w:hint="eastAsia" w:ascii="宋体" w:hAnsi="宋体" w:eastAsia="宋体" w:cs="宋体"/>
          <w:sz w:val="30"/>
          <w:szCs w:val="30"/>
          <w:highlight w:val="none"/>
        </w:rPr>
        <w:t>、银行保函</w:t>
      </w:r>
    </w:p>
    <w:p w14:paraId="7C5FCBC5">
      <w:pPr>
        <w:widowControl w:val="0"/>
        <w:wordWrap/>
        <w:spacing w:line="240" w:lineRule="auto"/>
        <w:ind w:firstLine="0" w:firstLineChars="0"/>
        <w:jc w:val="both"/>
        <w:rPr>
          <w:rFonts w:ascii="仿宋_GB2312" w:eastAsia="仿宋_GB2312"/>
          <w:sz w:val="21"/>
          <w:szCs w:val="21"/>
          <w:highlight w:val="none"/>
        </w:rPr>
        <w:sectPr>
          <w:headerReference r:id="rId4" w:type="default"/>
          <w:footerReference r:id="rId5" w:type="default"/>
          <w:type w:val="continuous"/>
          <w:pgSz w:w="11906" w:h="16838"/>
          <w:pgMar w:top="1440" w:right="1440" w:bottom="1440" w:left="1440" w:header="851" w:footer="851" w:gutter="0"/>
          <w:pgNumType w:fmt="decimal" w:start="1"/>
          <w:cols w:space="720" w:num="1"/>
          <w:docGrid w:linePitch="312" w:charSpace="0"/>
        </w:sectPr>
      </w:pPr>
      <w:r>
        <w:rPr>
          <w:rFonts w:hint="eastAsia" w:ascii="宋体" w:hAnsi="宋体" w:eastAsia="宋体" w:cs="宋体"/>
          <w:bCs/>
          <w:kern w:val="2"/>
          <w:sz w:val="21"/>
          <w:szCs w:val="24"/>
          <w:highlight w:val="none"/>
          <w:lang w:val="en-US" w:eastAsia="zh-CN" w:bidi="ar-SA"/>
        </w:rPr>
        <w:t>（具体格式由担保银行提供）</w:t>
      </w:r>
    </w:p>
    <w:p w14:paraId="08BAE136">
      <w:pPr>
        <w:autoSpaceDE w:val="0"/>
        <w:autoSpaceDN w:val="0"/>
        <w:adjustRightInd w:val="0"/>
        <w:spacing w:line="360" w:lineRule="auto"/>
        <w:outlineLvl w:val="1"/>
        <w:rPr>
          <w:rFonts w:hint="eastAsia" w:ascii="Times New Roman" w:hAnsi="Times New Roman" w:cs="Times New Roman"/>
          <w:b/>
          <w:bCs/>
          <w:color w:val="auto"/>
          <w:sz w:val="24"/>
          <w:highlight w:val="none"/>
        </w:rPr>
      </w:pPr>
    </w:p>
    <w:p w14:paraId="5F0AB23A">
      <w:pPr>
        <w:autoSpaceDE w:val="0"/>
        <w:autoSpaceDN w:val="0"/>
        <w:adjustRightInd w:val="0"/>
        <w:spacing w:line="360" w:lineRule="auto"/>
        <w:outlineLvl w:val="1"/>
        <w:rPr>
          <w:rFonts w:hint="eastAsia"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一、备份文件包装封面（格式供参考）：</w:t>
      </w:r>
    </w:p>
    <w:p w14:paraId="43C20C6F">
      <w:pPr>
        <w:autoSpaceDE w:val="0"/>
        <w:autoSpaceDN w:val="0"/>
        <w:adjustRightInd w:val="0"/>
        <w:spacing w:line="360" w:lineRule="auto"/>
        <w:jc w:val="center"/>
        <w:rPr>
          <w:rFonts w:hint="eastAsia" w:ascii="Times New Roman" w:hAnsi="Times New Roman" w:cs="Times New Roman"/>
          <w:b/>
          <w:color w:val="auto"/>
          <w:sz w:val="32"/>
          <w:szCs w:val="32"/>
          <w:highlight w:val="none"/>
        </w:rPr>
      </w:pPr>
    </w:p>
    <w:p w14:paraId="121F1EAD">
      <w:pPr>
        <w:pStyle w:val="11"/>
        <w:rPr>
          <w:rFonts w:hint="eastAsia" w:ascii="Times New Roman" w:hAnsi="Times New Roman" w:cs="Times New Roman"/>
          <w:color w:val="auto"/>
          <w:highlight w:val="none"/>
        </w:rPr>
      </w:pPr>
    </w:p>
    <w:p w14:paraId="3772CD00">
      <w:pPr>
        <w:snapToGrid w:val="0"/>
        <w:spacing w:before="156" w:beforeLines="50" w:after="50"/>
        <w:jc w:val="center"/>
        <w:rPr>
          <w:rFonts w:hint="eastAsia" w:ascii="Times New Roman" w:hAnsi="Times New Roman" w:cs="Times New Roman"/>
          <w:b/>
          <w:sz w:val="96"/>
          <w:szCs w:val="44"/>
          <w:highlight w:val="none"/>
        </w:rPr>
      </w:pPr>
      <w:r>
        <w:rPr>
          <w:rFonts w:hint="eastAsia" w:ascii="Times New Roman" w:hAnsi="Times New Roman" w:cs="Times New Roman"/>
          <w:b/>
          <w:sz w:val="96"/>
          <w:szCs w:val="44"/>
          <w:highlight w:val="none"/>
        </w:rPr>
        <w:t>投 标 文 件</w:t>
      </w:r>
    </w:p>
    <w:p w14:paraId="13DBD6BA">
      <w:pPr>
        <w:snapToGrid w:val="0"/>
        <w:spacing w:before="156" w:beforeLines="50" w:after="50"/>
        <w:rPr>
          <w:rFonts w:hint="eastAsia" w:ascii="Times New Roman" w:hAnsi="Times New Roman" w:cs="Times New Roman"/>
          <w:sz w:val="24"/>
          <w:highlight w:val="none"/>
        </w:rPr>
      </w:pPr>
    </w:p>
    <w:p w14:paraId="6F94435F">
      <w:pPr>
        <w:snapToGrid w:val="0"/>
        <w:spacing w:before="312" w:beforeLines="100" w:after="312" w:afterLines="100" w:line="360" w:lineRule="auto"/>
        <w:ind w:firstLine="1124" w:firstLineChars="400"/>
        <w:rPr>
          <w:rFonts w:hint="eastAsia" w:ascii="Times New Roman" w:hAnsi="Times New Roman" w:cs="Times New Roman"/>
          <w:b/>
          <w:sz w:val="28"/>
          <w:highlight w:val="none"/>
        </w:rPr>
      </w:pPr>
    </w:p>
    <w:p w14:paraId="06FA7004">
      <w:pPr>
        <w:snapToGrid w:val="0"/>
        <w:spacing w:before="312" w:beforeLines="100" w:after="312" w:afterLines="100" w:line="360" w:lineRule="auto"/>
        <w:ind w:firstLine="1124" w:firstLineChars="400"/>
        <w:rPr>
          <w:rFonts w:hint="eastAsia" w:ascii="Times New Roman" w:hAnsi="Times New Roman" w:cs="Times New Roman"/>
          <w:b/>
          <w:sz w:val="28"/>
          <w:highlight w:val="none"/>
        </w:rPr>
      </w:pPr>
    </w:p>
    <w:p w14:paraId="6F72F0A0">
      <w:pPr>
        <w:snapToGrid w:val="0"/>
        <w:spacing w:before="312" w:beforeLines="100" w:after="312" w:afterLines="100" w:line="360" w:lineRule="auto"/>
        <w:ind w:firstLine="1124" w:firstLineChars="400"/>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 xml:space="preserve">项目名称： </w:t>
      </w:r>
      <w:r>
        <w:rPr>
          <w:rFonts w:hint="eastAsia" w:ascii="Times New Roman" w:hAnsi="Times New Roman" w:cs="Times New Roman"/>
          <w:b/>
          <w:sz w:val="28"/>
          <w:highlight w:val="none"/>
          <w:u w:val="single"/>
        </w:rPr>
        <w:t xml:space="preserve">                                 </w:t>
      </w:r>
    </w:p>
    <w:p w14:paraId="70A39B8E">
      <w:pPr>
        <w:snapToGrid w:val="0"/>
        <w:spacing w:before="312" w:beforeLines="100" w:after="312" w:afterLines="100" w:line="360" w:lineRule="auto"/>
        <w:ind w:firstLine="562" w:firstLineChars="200"/>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 xml:space="preserve">    项目编号：</w:t>
      </w:r>
      <w:r>
        <w:rPr>
          <w:rFonts w:hint="eastAsia" w:ascii="Times New Roman" w:hAnsi="Times New Roman" w:cs="Times New Roman"/>
          <w:b/>
          <w:sz w:val="28"/>
          <w:highlight w:val="none"/>
          <w:u w:val="single"/>
        </w:rPr>
        <w:t xml:space="preserve">                                  </w:t>
      </w:r>
    </w:p>
    <w:p w14:paraId="0A75C7E5">
      <w:pPr>
        <w:pStyle w:val="9"/>
        <w:snapToGrid w:val="0"/>
        <w:spacing w:before="312" w:beforeLines="100" w:after="312" w:afterLines="100" w:line="360" w:lineRule="auto"/>
        <w:ind w:firstLine="1169" w:firstLineChars="416"/>
        <w:rPr>
          <w:rFonts w:hint="eastAsia" w:ascii="Times New Roman" w:hAnsi="Times New Roman" w:cs="Times New Roman"/>
          <w:b/>
          <w:sz w:val="28"/>
          <w:highlight w:val="none"/>
        </w:rPr>
      </w:pPr>
      <w:r>
        <w:rPr>
          <w:rFonts w:hint="eastAsia" w:ascii="Times New Roman" w:hAnsi="Times New Roman" w:cs="Times New Roman"/>
          <w:b/>
          <w:sz w:val="28"/>
          <w:highlight w:val="none"/>
        </w:rPr>
        <w:t>投标人名称：</w:t>
      </w:r>
      <w:r>
        <w:rPr>
          <w:rFonts w:hint="eastAsia" w:ascii="Times New Roman" w:hAnsi="Times New Roman" w:cs="Times New Roman"/>
          <w:b/>
          <w:sz w:val="28"/>
          <w:highlight w:val="none"/>
          <w:u w:val="single"/>
        </w:rPr>
        <w:t xml:space="preserve">                            （</w:t>
      </w:r>
      <w:r>
        <w:rPr>
          <w:rFonts w:hint="eastAsia" w:ascii="Times New Roman" w:hAnsi="Times New Roman" w:cs="Times New Roman"/>
          <w:b/>
          <w:sz w:val="28"/>
          <w:highlight w:val="none"/>
        </w:rPr>
        <w:t>加盖公章）</w:t>
      </w:r>
    </w:p>
    <w:p w14:paraId="0B70F33D">
      <w:pPr>
        <w:pStyle w:val="9"/>
        <w:snapToGrid w:val="0"/>
        <w:spacing w:before="312" w:beforeLines="100" w:after="312" w:afterLines="100" w:line="360" w:lineRule="auto"/>
        <w:ind w:firstLine="1169" w:firstLineChars="416"/>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投标人地址：</w:t>
      </w:r>
      <w:r>
        <w:rPr>
          <w:rFonts w:hint="eastAsia" w:ascii="Times New Roman" w:hAnsi="Times New Roman" w:cs="Times New Roman"/>
          <w:b/>
          <w:sz w:val="28"/>
          <w:highlight w:val="none"/>
          <w:u w:val="single"/>
        </w:rPr>
        <w:t xml:space="preserve">                                  </w:t>
      </w:r>
      <w:r>
        <w:rPr>
          <w:rFonts w:hint="eastAsia" w:ascii="Times New Roman" w:hAnsi="Times New Roman" w:cs="Times New Roman"/>
          <w:b/>
          <w:sz w:val="28"/>
          <w:highlight w:val="none"/>
        </w:rPr>
        <w:t xml:space="preserve">   </w:t>
      </w:r>
    </w:p>
    <w:p w14:paraId="16568F06">
      <w:pPr>
        <w:pStyle w:val="9"/>
        <w:snapToGrid w:val="0"/>
        <w:spacing w:before="312" w:beforeLines="100" w:after="312" w:afterLines="100" w:line="360" w:lineRule="auto"/>
        <w:ind w:firstLine="1124" w:firstLineChars="400"/>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 xml:space="preserve">投标联系人电话: </w:t>
      </w:r>
      <w:r>
        <w:rPr>
          <w:rFonts w:hint="eastAsia" w:ascii="Times New Roman" w:hAnsi="Times New Roman" w:cs="Times New Roman"/>
          <w:b/>
          <w:sz w:val="28"/>
          <w:highlight w:val="none"/>
          <w:u w:val="single"/>
        </w:rPr>
        <w:t xml:space="preserve">                                </w:t>
      </w:r>
    </w:p>
    <w:p w14:paraId="405FCDF8">
      <w:pPr>
        <w:pStyle w:val="9"/>
        <w:snapToGrid w:val="0"/>
        <w:spacing w:before="312" w:beforeLines="100" w:after="312" w:afterLines="100" w:line="360" w:lineRule="auto"/>
        <w:ind w:firstLine="1124" w:firstLineChars="400"/>
        <w:outlineLvl w:val="2"/>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启封时间：</w:t>
      </w:r>
      <w:r>
        <w:rPr>
          <w:rFonts w:hint="eastAsia" w:ascii="Times New Roman" w:hAnsi="Times New Roman" w:cs="Times New Roman"/>
          <w:b/>
          <w:sz w:val="28"/>
          <w:highlight w:val="none"/>
          <w:u w:val="single"/>
        </w:rPr>
        <w:t>在20     年  月  日  时  分之前不得启封</w:t>
      </w:r>
    </w:p>
    <w:p w14:paraId="73130E54">
      <w:pPr>
        <w:autoSpaceDE w:val="0"/>
        <w:autoSpaceDN w:val="0"/>
        <w:adjustRightInd w:val="0"/>
        <w:spacing w:line="360" w:lineRule="auto"/>
        <w:rPr>
          <w:rFonts w:hint="eastAsia" w:ascii="Times New Roman" w:hAnsi="Times New Roman" w:cs="Times New Roman"/>
          <w:highlight w:val="none"/>
        </w:rPr>
        <w:sectPr>
          <w:headerReference r:id="rId6" w:type="default"/>
          <w:footerReference r:id="rId7" w:type="default"/>
          <w:type w:val="continuous"/>
          <w:pgSz w:w="11905" w:h="16838"/>
          <w:pgMar w:top="1304" w:right="1531" w:bottom="833" w:left="1531" w:header="1304" w:footer="1304" w:gutter="0"/>
          <w:pgNumType w:fmt="decimal"/>
          <w:cols w:space="0" w:num="1"/>
          <w:rtlGutter w:val="0"/>
          <w:docGrid w:linePitch="312" w:charSpace="0"/>
        </w:sectPr>
      </w:pPr>
    </w:p>
    <w:p w14:paraId="154CF0B4">
      <w:pPr>
        <w:snapToGrid w:val="0"/>
        <w:spacing w:line="360" w:lineRule="auto"/>
        <w:jc w:val="left"/>
        <w:rPr>
          <w:rFonts w:hint="eastAsia" w:ascii="Times New Roman" w:hAnsi="Times New Roman" w:cs="Times New Roman"/>
          <w:szCs w:val="21"/>
          <w:highlight w:val="none"/>
        </w:rPr>
      </w:pPr>
      <w:r>
        <w:rPr>
          <w:rFonts w:hint="eastAsia" w:ascii="Times New Roman" w:hAnsi="Times New Roman" w:cs="Times New Roman"/>
          <w:b/>
          <w:bCs/>
          <w:szCs w:val="21"/>
          <w:highlight w:val="none"/>
        </w:rPr>
        <w:t>基本资格条件：符合《中华人民共和国政府采购法》第二十二条的规定；</w:t>
      </w:r>
    </w:p>
    <w:p w14:paraId="3ECB5910">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（以下A~E项是第二十二条要求及对应证明材料的具体内容，各投标人须在投标文件中出具对应证明材料）</w:t>
      </w:r>
    </w:p>
    <w:p w14:paraId="0B03D04B">
      <w:pPr>
        <w:spacing w:line="360" w:lineRule="auto"/>
        <w:ind w:firstLine="422" w:firstLineChars="20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A.具有独立承担民事责任的能力：</w:t>
      </w:r>
    </w:p>
    <w:p w14:paraId="6897094D">
      <w:pPr>
        <w:spacing w:line="360" w:lineRule="auto"/>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 xml:space="preserve">  </w:t>
      </w:r>
      <w:r>
        <w:rPr>
          <w:rFonts w:hint="eastAsia" w:ascii="Times New Roman" w:hAnsi="Times New Roman" w:cs="Times New Roman"/>
          <w:szCs w:val="21"/>
          <w:highlight w:val="none"/>
        </w:rPr>
        <w:t xml:space="preserve">  投标人须在投标文件中出具符合以下情况的证明材料扫描件</w:t>
      </w:r>
      <w:r>
        <w:rPr>
          <w:rFonts w:hint="eastAsia" w:ascii="Times New Roman" w:hAnsi="Times New Roman" w:cs="Times New Roman"/>
          <w:b/>
          <w:bCs/>
          <w:szCs w:val="21"/>
          <w:highlight w:val="none"/>
        </w:rPr>
        <w:t>（五选一）：</w:t>
      </w:r>
    </w:p>
    <w:p w14:paraId="36D50549">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,1)</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如投标人是企业（包括合伙企业），提供在工商部门注册的有效“企业法人营业执照”或“营业执照”；</w:t>
      </w:r>
    </w:p>
    <w:p w14:paraId="1426B12E">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,2)</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如投标人是事业单位， 提供有效的“事业单位法人证书”；</w:t>
      </w:r>
    </w:p>
    <w:p w14:paraId="5F83FDC8">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,3)</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如投标人是非企业专业服务机构的，提供执业许可证等证明文件等证明文件；</w:t>
      </w:r>
    </w:p>
    <w:p w14:paraId="19B86441">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,4)</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如投标人是个体工商户，提供有效的“个体工商户营业执照”；</w:t>
      </w:r>
    </w:p>
    <w:p w14:paraId="09A00B65">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,5)</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如投标人是自然人，提供有效的自然人身份证明（居民身份证正反面或公安机关出具的临时居民身份证正反面或港澳台胞证或证照）。</w:t>
      </w:r>
    </w:p>
    <w:p w14:paraId="2212C046">
      <w:pPr>
        <w:spacing w:line="360" w:lineRule="auto"/>
        <w:ind w:firstLine="422" w:firstLineChars="20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B.具有良好的商业信誉和健全的财务会计制度：</w:t>
      </w:r>
    </w:p>
    <w:p w14:paraId="0A01D815">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,1)</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良好的商业信誉：</w:t>
      </w:r>
    </w:p>
    <w:p w14:paraId="5199935F">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投标人书面承诺具有良好的商业信誉，至本项目投标截止时间止符合参与政府采购活动资格条件（格式自拟）；</w:t>
      </w:r>
    </w:p>
    <w:p w14:paraId="1DB02FD6">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D228DC1">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对列入失信被执行人、重大税收违法案件当事人名单、政府采购严重违法失信行为记录名单的投标人，其投标将作无效标处理。</w:t>
      </w:r>
    </w:p>
    <w:p w14:paraId="1C5A99C7">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②健全的财务会计制度：</w:t>
      </w:r>
    </w:p>
    <w:p w14:paraId="11E7DF08">
      <w:pPr>
        <w:numPr>
          <w:ilvl w:val="0"/>
          <w:numId w:val="6"/>
        </w:num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投标人书面承诺具有健全的财务会计制度，至本项目投标截止时间止符合参与政府采购活动资格条件；</w:t>
      </w:r>
    </w:p>
    <w:p w14:paraId="670D73D5">
      <w:pPr>
        <w:pStyle w:val="134"/>
        <w:spacing w:line="360" w:lineRule="auto"/>
        <w:ind w:left="420" w:firstLine="0" w:firstLineChars="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C.具有履行合同所必需的设备和专业技术能力：</w:t>
      </w:r>
    </w:p>
    <w:p w14:paraId="3263169C">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投标人须在投标文件中出具具有履行合同所必需的设备和专业技术能力的《投标函》。（格式见附件）</w:t>
      </w:r>
    </w:p>
    <w:p w14:paraId="2327EB1D">
      <w:pPr>
        <w:pStyle w:val="134"/>
        <w:spacing w:line="360" w:lineRule="auto"/>
        <w:ind w:left="420" w:firstLine="0" w:firstLineChars="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D.有依法缴纳税收和社会保障资金的良好记录：</w:t>
      </w:r>
    </w:p>
    <w:p w14:paraId="6F868168">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投标人书面承诺有依法缴纳税收和社会保障资金的良好记录，至本项目投标截止时间止符合参与政府采购活动资格条件；</w:t>
      </w:r>
    </w:p>
    <w:p w14:paraId="6EC63448">
      <w:pPr>
        <w:spacing w:line="360" w:lineRule="auto"/>
        <w:ind w:firstLine="422" w:firstLineChars="20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E.参加政府采购活动前三年内，在经营活动中没有重大违法记录：</w:t>
      </w:r>
    </w:p>
    <w:p w14:paraId="54EB7797">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投标人须在投标文件中出具《声明函》。（格式见附件）</w:t>
      </w:r>
    </w:p>
    <w:p w14:paraId="0F3FB52D">
      <w:pPr>
        <w:pStyle w:val="40"/>
        <w:ind w:left="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    1.2投标人法定代表人身份证扫描件；</w:t>
      </w:r>
    </w:p>
    <w:p w14:paraId="25E81857">
      <w:pPr>
        <w:pStyle w:val="40"/>
        <w:ind w:left="0" w:firstLine="420" w:firstLineChars="20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1.3《法定代表人授权函》原件，非法定代表人参加投标时用；</w:t>
      </w:r>
    </w:p>
    <w:p w14:paraId="488D6593">
      <w:pPr>
        <w:pStyle w:val="40"/>
        <w:ind w:left="0" w:firstLine="420" w:firstLineChars="20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1.4投标人代表身份证扫描件，非法定代表人参加投标时用；</w:t>
      </w:r>
    </w:p>
    <w:p w14:paraId="2A2F0AE7">
      <w:pPr>
        <w:pStyle w:val="40"/>
        <w:ind w:left="0" w:firstLine="420" w:firstLineChars="20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1.5</w:t>
      </w:r>
      <w:r>
        <w:rPr>
          <w:rFonts w:hint="eastAsia" w:ascii="宋体" w:hAnsi="宋体" w:cs="宋体"/>
          <w:sz w:val="21"/>
          <w:szCs w:val="21"/>
          <w:highlight w:val="none"/>
          <w:lang w:val="en-US" w:eastAsia="zh-CN"/>
        </w:rPr>
        <w:t>项目负责人</w:t>
      </w:r>
      <w:r>
        <w:rPr>
          <w:rFonts w:hint="eastAsia" w:ascii="宋体" w:hAnsi="宋体" w:eastAsia="宋体" w:cs="宋体"/>
          <w:sz w:val="21"/>
          <w:szCs w:val="21"/>
          <w:highlight w:val="none"/>
          <w:lang w:val="en-US" w:eastAsia="zh-CN"/>
        </w:rPr>
        <w:t>的相关证书及社保证明；</w:t>
      </w:r>
    </w:p>
    <w:p w14:paraId="0D494498">
      <w:pPr>
        <w:pStyle w:val="40"/>
        <w:ind w:left="0" w:firstLine="420" w:firstLineChars="200"/>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1.6中小企业声明函</w:t>
      </w:r>
      <w:r>
        <w:rPr>
          <w:rFonts w:hint="eastAsia" w:ascii="Times New Roman" w:hAnsi="Times New Roman" w:cs="Times New Roman"/>
          <w:sz w:val="21"/>
          <w:szCs w:val="21"/>
          <w:highlight w:val="none"/>
        </w:rPr>
        <w:t xml:space="preserve"> </w:t>
      </w:r>
      <w:r>
        <w:rPr>
          <w:rFonts w:hint="eastAsia" w:ascii="Times New Roman" w:hAnsi="Times New Roman" w:cs="Times New Roman"/>
          <w:sz w:val="21"/>
          <w:szCs w:val="21"/>
          <w:highlight w:val="none"/>
          <w:lang w:val="en-US" w:eastAsia="zh-CN"/>
        </w:rPr>
        <w:t>.</w:t>
      </w:r>
    </w:p>
    <w:p w14:paraId="1B0736A5">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注：证明材料均需加盖签章。</w:t>
      </w:r>
    </w:p>
    <w:p w14:paraId="66E5B332">
      <w:pPr>
        <w:rPr>
          <w:rFonts w:hint="eastAsia" w:ascii="Times New Roman" w:hAnsi="Times New Roman" w:cs="Times New Roman"/>
          <w:b/>
          <w:szCs w:val="21"/>
          <w:highlight w:val="none"/>
        </w:rPr>
      </w:pPr>
    </w:p>
    <w:p w14:paraId="02B1460B">
      <w:pPr>
        <w:outlineLvl w:val="1"/>
        <w:rPr>
          <w:rFonts w:hint="eastAsia" w:ascii="Times New Roman" w:hAnsi="Times New Roman" w:cs="Times New Roman"/>
          <w:b/>
          <w:szCs w:val="21"/>
          <w:highlight w:val="none"/>
        </w:rPr>
      </w:pPr>
      <w:r>
        <w:rPr>
          <w:rFonts w:hint="eastAsia" w:ascii="Times New Roman" w:hAnsi="Times New Roman" w:cs="Times New Roman"/>
          <w:b/>
          <w:szCs w:val="21"/>
          <w:highlight w:val="none"/>
        </w:rPr>
        <w:br w:type="page"/>
      </w:r>
      <w:r>
        <w:rPr>
          <w:rFonts w:hint="eastAsia" w:ascii="Times New Roman" w:hAnsi="Times New Roman" w:cs="Times New Roman"/>
          <w:b/>
          <w:szCs w:val="21"/>
          <w:highlight w:val="none"/>
        </w:rPr>
        <w:t>二、投标函格式:</w:t>
      </w:r>
    </w:p>
    <w:p w14:paraId="378162BB">
      <w:pPr>
        <w:snapToGrid w:val="0"/>
        <w:spacing w:before="156" w:beforeLines="50" w:after="50"/>
        <w:jc w:val="center"/>
        <w:rPr>
          <w:rFonts w:hint="eastAsia" w:ascii="Times New Roman" w:hAnsi="Times New Roman" w:cs="Times New Roman"/>
          <w:b/>
          <w:szCs w:val="21"/>
          <w:highlight w:val="none"/>
        </w:rPr>
      </w:pPr>
      <w:r>
        <w:rPr>
          <w:rFonts w:hint="eastAsia" w:ascii="Times New Roman" w:hAnsi="Times New Roman" w:cs="Times New Roman"/>
          <w:b/>
          <w:szCs w:val="21"/>
          <w:highlight w:val="none"/>
        </w:rPr>
        <w:t>投 标 函</w:t>
      </w:r>
    </w:p>
    <w:p w14:paraId="563A7FDE">
      <w:pPr>
        <w:snapToGrid w:val="0"/>
        <w:spacing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致：</w:t>
      </w:r>
      <w:r>
        <w:rPr>
          <w:rFonts w:hint="eastAsia" w:ascii="Times New Roman" w:hAnsi="Times New Roman" w:cs="Times New Roman"/>
          <w:szCs w:val="21"/>
          <w:highlight w:val="none"/>
          <w:u w:val="single"/>
        </w:rPr>
        <w:t xml:space="preserve"> （采购人）     </w:t>
      </w:r>
      <w:r>
        <w:rPr>
          <w:rFonts w:hint="eastAsia" w:ascii="Times New Roman" w:hAnsi="Times New Roman" w:cs="Times New Roman"/>
          <w:szCs w:val="21"/>
          <w:highlight w:val="none"/>
        </w:rPr>
        <w:t>：</w:t>
      </w:r>
    </w:p>
    <w:p w14:paraId="11DD7F29">
      <w:pPr>
        <w:pStyle w:val="157"/>
        <w:spacing w:line="360" w:lineRule="auto"/>
        <w:ind w:right="-91" w:firstLine="404" w:firstLineChars="20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我方</w:t>
      </w:r>
      <w:r>
        <w:rPr>
          <w:rFonts w:hint="eastAsia" w:ascii="Times New Roman" w:hAnsi="Times New Roman" w:cs="Times New Roman"/>
          <w:b/>
          <w:sz w:val="21"/>
          <w:szCs w:val="21"/>
          <w:highlight w:val="none"/>
          <w:u w:val="single"/>
        </w:rPr>
        <w:t>（投标人名称）</w:t>
      </w:r>
      <w:r>
        <w:rPr>
          <w:rFonts w:hint="eastAsia" w:ascii="Times New Roman" w:hAnsi="Times New Roman" w:cs="Times New Roman"/>
          <w:sz w:val="21"/>
          <w:szCs w:val="21"/>
          <w:highlight w:val="none"/>
        </w:rPr>
        <w:t>已详细审查了贵方采购编号为</w:t>
      </w:r>
      <w:r>
        <w:rPr>
          <w:rFonts w:hint="eastAsia" w:ascii="Times New Roman" w:hAnsi="Times New Roman" w:cs="Times New Roman"/>
          <w:b/>
          <w:spacing w:val="20"/>
          <w:sz w:val="21"/>
          <w:szCs w:val="21"/>
          <w:highlight w:val="none"/>
          <w:u w:val="single"/>
        </w:rPr>
        <w:t>（</w:t>
      </w:r>
      <w:r>
        <w:rPr>
          <w:rFonts w:hint="eastAsia" w:ascii="Times New Roman" w:hAnsi="Times New Roman" w:cs="Times New Roman"/>
          <w:b/>
          <w:sz w:val="21"/>
          <w:szCs w:val="21"/>
          <w:highlight w:val="none"/>
          <w:u w:val="single"/>
        </w:rPr>
        <w:t>采购编号）</w:t>
      </w:r>
      <w:r>
        <w:rPr>
          <w:rFonts w:hint="eastAsia" w:ascii="Times New Roman" w:hAnsi="Times New Roman" w:cs="Times New Roman"/>
          <w:sz w:val="21"/>
          <w:szCs w:val="21"/>
          <w:highlight w:val="none"/>
        </w:rPr>
        <w:t>的</w:t>
      </w:r>
      <w:r>
        <w:rPr>
          <w:rFonts w:hint="eastAsia" w:ascii="Times New Roman" w:hAnsi="Times New Roman" w:cs="Times New Roman"/>
          <w:b/>
          <w:sz w:val="21"/>
          <w:szCs w:val="21"/>
          <w:highlight w:val="none"/>
          <w:u w:val="single"/>
        </w:rPr>
        <w:t>（项目名称）</w:t>
      </w:r>
      <w:r>
        <w:rPr>
          <w:rFonts w:hint="eastAsia" w:ascii="Times New Roman" w:hAnsi="Times New Roman" w:cs="Times New Roman"/>
          <w:sz w:val="21"/>
          <w:szCs w:val="21"/>
          <w:highlight w:val="none"/>
        </w:rPr>
        <w:t>采购项目的采购文件及其相关补充文件</w:t>
      </w:r>
      <w:r>
        <w:rPr>
          <w:rFonts w:hint="eastAsia" w:ascii="Times New Roman" w:hAnsi="Times New Roman" w:cs="Times New Roman"/>
          <w:b/>
          <w:sz w:val="21"/>
          <w:szCs w:val="21"/>
          <w:highlight w:val="none"/>
        </w:rPr>
        <w:t>（若有）</w:t>
      </w:r>
      <w:r>
        <w:rPr>
          <w:rFonts w:hint="eastAsia" w:ascii="Times New Roman" w:hAnsi="Times New Roman" w:cs="Times New Roman"/>
          <w:sz w:val="21"/>
          <w:szCs w:val="21"/>
          <w:highlight w:val="none"/>
        </w:rPr>
        <w:t>，并正式授权我公司的</w:t>
      </w:r>
      <w:r>
        <w:rPr>
          <w:rFonts w:hint="eastAsia" w:ascii="Times New Roman" w:hAnsi="Times New Roman" w:cs="Times New Roman"/>
          <w:b/>
          <w:sz w:val="21"/>
          <w:szCs w:val="21"/>
          <w:highlight w:val="none"/>
          <w:u w:val="single"/>
        </w:rPr>
        <w:t xml:space="preserve">（被授权人姓名）  </w:t>
      </w:r>
      <w:r>
        <w:rPr>
          <w:rFonts w:hint="eastAsia" w:ascii="Times New Roman" w:hAnsi="Times New Roman" w:cs="Times New Roman"/>
          <w:sz w:val="21"/>
          <w:szCs w:val="21"/>
          <w:highlight w:val="none"/>
        </w:rPr>
        <w:t>以本公司名义，全权代表我方自愿参加上述招标项目的投标，现就有关事项向采购代理机构郑重承诺如下：</w:t>
      </w:r>
    </w:p>
    <w:p w14:paraId="7FE44B5E">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1、我方已详细审查了招标文件的全部内容及其相关补充文件（若有），并完全清晰理解全部内容及相关的补充文件（若有），不存在任何误解之处，同意放弃提出异议和质疑的权利。</w:t>
      </w:r>
    </w:p>
    <w:p w14:paraId="43F109E2">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2、我方遵守《中华人民共和国政府采购法》及相关法律法规的规定。同意招标文件中所提到的无效标条款，并服从有关开标现场的会议纪律。否则，同意被废除投标资格。</w:t>
      </w:r>
    </w:p>
    <w:p w14:paraId="30D52367">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3、我方本服务项目所提供的投标服务报价均具充分的合理性和准确性，保证不存在低于成本的恶意报价行为，同时清楚理解到报价最低并非意味着必定获得合同授予资格。</w:t>
      </w:r>
    </w:p>
    <w:p w14:paraId="002CF7E7">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4、投标有效期为自开标之日起90天内，如在投标有效期内撤回投标，我方同意被废除投标资格。</w:t>
      </w:r>
    </w:p>
    <w:p w14:paraId="3693A525">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5、我方承诺参加政府采购活动前3年内在经营活动中没有重大违法记录</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rPr>
        <w:t>依法缴纳了税收</w:t>
      </w:r>
      <w:r>
        <w:rPr>
          <w:rFonts w:hint="eastAsia" w:ascii="Times New Roman" w:hAnsi="Times New Roman" w:cs="Times New Roman"/>
          <w:sz w:val="21"/>
          <w:szCs w:val="21"/>
          <w:highlight w:val="none"/>
        </w:rPr>
        <w:t>和社会保障资金</w:t>
      </w:r>
      <w:r>
        <w:rPr>
          <w:rFonts w:hint="eastAsia" w:ascii="Times New Roman" w:hAnsi="Times New Roman" w:cs="Times New Roman"/>
          <w:szCs w:val="21"/>
          <w:highlight w:val="none"/>
        </w:rPr>
        <w:t>（投标截止时间进行计算）。</w:t>
      </w:r>
    </w:p>
    <w:p w14:paraId="630145E0">
      <w:pPr>
        <w:spacing w:line="360" w:lineRule="auto"/>
        <w:ind w:firstLine="420" w:firstLineChars="200"/>
        <w:jc w:val="left"/>
        <w:outlineLvl w:val="2"/>
        <w:rPr>
          <w:rFonts w:hint="eastAsia" w:ascii="Times New Roman" w:hAnsi="Times New Roman" w:cs="Times New Roman"/>
          <w:szCs w:val="21"/>
          <w:highlight w:val="none"/>
        </w:rPr>
      </w:pPr>
      <w:r>
        <w:rPr>
          <w:rFonts w:hint="eastAsia" w:ascii="Times New Roman" w:hAnsi="Times New Roman" w:cs="Times New Roman"/>
          <w:szCs w:val="21"/>
          <w:highlight w:val="none"/>
        </w:rPr>
        <w:t>6、我方承诺具备本项目履行合同所必需的设备和专业技术能力。</w:t>
      </w:r>
    </w:p>
    <w:p w14:paraId="4FDDE3B7">
      <w:pPr>
        <w:spacing w:line="360" w:lineRule="auto"/>
        <w:ind w:firstLine="420" w:firstLineChars="200"/>
        <w:jc w:val="left"/>
        <w:outlineLvl w:val="2"/>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7、</w:t>
      </w:r>
      <w:r>
        <w:rPr>
          <w:rFonts w:hint="eastAsia" w:ascii="Times New Roman" w:hAnsi="Times New Roman" w:cs="Times New Roman"/>
          <w:szCs w:val="21"/>
          <w:highlight w:val="none"/>
        </w:rPr>
        <w:t>我方承诺</w:t>
      </w:r>
      <w:r>
        <w:rPr>
          <w:rFonts w:hint="eastAsia" w:ascii="Times New Roman" w:hAnsi="Times New Roman" w:cs="Times New Roman"/>
          <w:color w:val="000000" w:themeColor="text1"/>
          <w:szCs w:val="21"/>
          <w:highlight w:val="none"/>
          <w14:textFill>
            <w14:solidFill>
              <w14:schemeClr w14:val="tx1"/>
            </w14:solidFill>
          </w14:textFill>
        </w:rPr>
        <w:t>具有良好的商业信誉和健全的财务会计制度</w:t>
      </w:r>
    </w:p>
    <w:p w14:paraId="0F07F852">
      <w:pPr>
        <w:spacing w:line="360" w:lineRule="auto"/>
        <w:ind w:firstLine="420" w:firstLineChars="200"/>
        <w:jc w:val="left"/>
        <w:rPr>
          <w:rFonts w:hint="eastAsia" w:ascii="Times New Roman" w:hAnsi="Times New Roman" w:cs="Times New Roman"/>
          <w:szCs w:val="21"/>
          <w:highlight w:val="none"/>
        </w:rPr>
      </w:pPr>
      <w:r>
        <w:rPr>
          <w:rFonts w:hint="eastAsia" w:cs="Times New Roman"/>
          <w:szCs w:val="21"/>
          <w:highlight w:val="none"/>
          <w:lang w:val="en-US" w:eastAsia="zh-CN"/>
        </w:rPr>
        <w:t>8</w:t>
      </w:r>
      <w:r>
        <w:rPr>
          <w:rFonts w:hint="eastAsia" w:ascii="Times New Roman" w:hAnsi="Times New Roman" w:cs="Times New Roman"/>
          <w:szCs w:val="21"/>
          <w:highlight w:val="none"/>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7E32EA5">
      <w:pPr>
        <w:widowControl/>
        <w:spacing w:line="360" w:lineRule="auto"/>
        <w:ind w:firstLine="420" w:firstLineChars="200"/>
        <w:jc w:val="left"/>
        <w:rPr>
          <w:rFonts w:hint="eastAsia" w:ascii="Times New Roman" w:hAnsi="Times New Roman" w:cs="Times New Roman"/>
          <w:szCs w:val="21"/>
          <w:highlight w:val="none"/>
        </w:rPr>
      </w:pPr>
      <w:r>
        <w:rPr>
          <w:rFonts w:hint="eastAsia" w:cs="Times New Roman"/>
          <w:szCs w:val="21"/>
          <w:highlight w:val="none"/>
          <w:lang w:val="en-US" w:eastAsia="zh-CN"/>
        </w:rPr>
        <w:t>9</w:t>
      </w:r>
      <w:r>
        <w:rPr>
          <w:rFonts w:hint="eastAsia" w:ascii="Times New Roman" w:hAnsi="Times New Roman" w:cs="Times New Roman"/>
          <w:szCs w:val="21"/>
          <w:highlight w:val="none"/>
        </w:rPr>
        <w:t>、我方承诺至本项目投标截止时间止未被列入失信被执行人、重大税收违法案件当事人名单、政府采购严重违法失信行为记录。</w:t>
      </w:r>
    </w:p>
    <w:p w14:paraId="0A4A3BF0">
      <w:pPr>
        <w:pStyle w:val="158"/>
        <w:tabs>
          <w:tab w:val="left" w:pos="939"/>
        </w:tabs>
        <w:snapToGrid w:val="0"/>
        <w:ind w:left="716" w:leftChars="150" w:hanging="401" w:hangingChars="191"/>
        <w:rPr>
          <w:rFonts w:hint="eastAsia" w:ascii="Times New Roman" w:hAnsi="Times New Roman" w:cs="Times New Roman"/>
          <w:sz w:val="21"/>
          <w:szCs w:val="21"/>
          <w:highlight w:val="none"/>
        </w:rPr>
      </w:pPr>
    </w:p>
    <w:p w14:paraId="009BB20C">
      <w:pPr>
        <w:pStyle w:val="111"/>
        <w:snapToGrid w:val="0"/>
        <w:spacing w:before="156" w:beforeLines="50"/>
        <w:ind w:firstLine="200"/>
        <w:rPr>
          <w:rFonts w:hint="eastAsia" w:ascii="Times New Roman" w:hAnsi="Times New Roman" w:cs="Times New Roman"/>
          <w:sz w:val="21"/>
          <w:szCs w:val="21"/>
          <w:highlight w:val="none"/>
        </w:rPr>
      </w:pPr>
    </w:p>
    <w:p w14:paraId="5BE83BBA">
      <w:pPr>
        <w:spacing w:line="360" w:lineRule="auto"/>
        <w:jc w:val="left"/>
        <w:rPr>
          <w:rFonts w:hint="eastAsia" w:ascii="Times New Roman" w:hAnsi="Times New Roman" w:cs="Times New Roman"/>
          <w:spacing w:val="-4"/>
          <w:szCs w:val="21"/>
          <w:highlight w:val="none"/>
        </w:rPr>
      </w:pPr>
      <w:r>
        <w:rPr>
          <w:rFonts w:hint="eastAsia" w:ascii="Times New Roman" w:hAnsi="Times New Roman" w:cs="Times New Roman"/>
          <w:spacing w:val="-4"/>
          <w:szCs w:val="21"/>
          <w:highlight w:val="none"/>
        </w:rPr>
        <w:t>投标人名称：</w:t>
      </w:r>
      <w:r>
        <w:rPr>
          <w:rFonts w:hint="eastAsia" w:ascii="Times New Roman" w:hAnsi="Times New Roman" w:cs="Times New Roman"/>
          <w:spacing w:val="-4"/>
          <w:szCs w:val="21"/>
          <w:highlight w:val="none"/>
          <w:u w:val="single"/>
        </w:rPr>
        <w:t xml:space="preserve">                  </w:t>
      </w:r>
      <w:r>
        <w:rPr>
          <w:rFonts w:hint="eastAsia" w:ascii="Times New Roman" w:hAnsi="Times New Roman" w:cs="Times New Roman"/>
          <w:spacing w:val="-4"/>
          <w:szCs w:val="21"/>
          <w:highlight w:val="none"/>
        </w:rPr>
        <w:t xml:space="preserve">（加盖公章）    </w:t>
      </w:r>
    </w:p>
    <w:p w14:paraId="65E1B741">
      <w:pPr>
        <w:spacing w:line="360" w:lineRule="auto"/>
        <w:jc w:val="left"/>
        <w:rPr>
          <w:rFonts w:hint="eastAsia" w:ascii="Times New Roman" w:hAnsi="Times New Roman" w:cs="Times New Roman"/>
          <w:spacing w:val="-4"/>
          <w:szCs w:val="21"/>
          <w:highlight w:val="none"/>
        </w:rPr>
      </w:pPr>
      <w:r>
        <w:rPr>
          <w:rFonts w:hint="eastAsia" w:ascii="Times New Roman" w:hAnsi="Times New Roman" w:cs="Times New Roman"/>
          <w:spacing w:val="-4"/>
          <w:szCs w:val="21"/>
          <w:highlight w:val="none"/>
        </w:rPr>
        <w:t>投标人代表：</w:t>
      </w:r>
      <w:r>
        <w:rPr>
          <w:rFonts w:hint="eastAsia" w:ascii="Times New Roman" w:hAnsi="Times New Roman" w:cs="Times New Roman"/>
          <w:spacing w:val="-4"/>
          <w:szCs w:val="21"/>
          <w:highlight w:val="none"/>
          <w:u w:val="single"/>
        </w:rPr>
        <w:t xml:space="preserve">                  </w:t>
      </w:r>
      <w:r>
        <w:rPr>
          <w:rFonts w:hint="eastAsia" w:ascii="Times New Roman" w:hAnsi="Times New Roman" w:cs="Times New Roman"/>
          <w:spacing w:val="-4"/>
          <w:szCs w:val="21"/>
          <w:highlight w:val="none"/>
        </w:rPr>
        <w:t xml:space="preserve">（签字或盖章）        </w:t>
      </w:r>
    </w:p>
    <w:p w14:paraId="46762C9C">
      <w:pPr>
        <w:spacing w:line="360" w:lineRule="auto"/>
        <w:rPr>
          <w:rFonts w:hint="eastAsia" w:ascii="Times New Roman" w:hAnsi="Times New Roman" w:cs="Times New Roman"/>
          <w:spacing w:val="-4"/>
          <w:szCs w:val="21"/>
          <w:highlight w:val="none"/>
          <w:u w:val="thick"/>
        </w:rPr>
      </w:pPr>
      <w:r>
        <w:rPr>
          <w:rFonts w:hint="eastAsia" w:ascii="Times New Roman" w:hAnsi="Times New Roman" w:cs="Times New Roman"/>
          <w:spacing w:val="-4"/>
          <w:szCs w:val="21"/>
          <w:highlight w:val="none"/>
        </w:rPr>
        <w:t>投标人地址：</w:t>
      </w:r>
      <w:r>
        <w:rPr>
          <w:rFonts w:hint="eastAsia" w:ascii="Times New Roman" w:hAnsi="Times New Roman" w:cs="Times New Roman"/>
          <w:spacing w:val="-4"/>
          <w:szCs w:val="21"/>
          <w:highlight w:val="none"/>
          <w:u w:val="single"/>
        </w:rPr>
        <w:t xml:space="preserve">                   </w:t>
      </w:r>
    </w:p>
    <w:p w14:paraId="2698D8DD">
      <w:pPr>
        <w:pStyle w:val="15"/>
        <w:snapToGrid w:val="0"/>
        <w:rPr>
          <w:rFonts w:hint="eastAsia" w:ascii="Times New Roman" w:hAnsi="Times New Roman" w:eastAsia="宋体" w:cs="Times New Roman"/>
          <w:sz w:val="21"/>
          <w:szCs w:val="21"/>
          <w:highlight w:val="none"/>
        </w:rPr>
      </w:pPr>
      <w:r>
        <w:rPr>
          <w:rFonts w:hint="eastAsia" w:ascii="Times New Roman" w:hAnsi="Times New Roman" w:eastAsia="宋体" w:cs="Times New Roman"/>
          <w:spacing w:val="20"/>
          <w:sz w:val="21"/>
          <w:szCs w:val="21"/>
          <w:highlight w:val="none"/>
        </w:rPr>
        <w:t>日期：</w:t>
      </w:r>
      <w:r>
        <w:rPr>
          <w:rFonts w:hint="eastAsia" w:ascii="Times New Roman" w:hAnsi="Times New Roman" w:eastAsia="宋体" w:cs="Times New Roman"/>
          <w:spacing w:val="20"/>
          <w:sz w:val="21"/>
          <w:szCs w:val="21"/>
          <w:highlight w:val="none"/>
          <w:u w:val="single"/>
        </w:rPr>
        <w:t xml:space="preserve">    </w:t>
      </w:r>
      <w:r>
        <w:rPr>
          <w:rFonts w:hint="eastAsia" w:ascii="Times New Roman" w:hAnsi="Times New Roman" w:eastAsia="宋体" w:cs="Times New Roman"/>
          <w:spacing w:val="20"/>
          <w:sz w:val="21"/>
          <w:szCs w:val="21"/>
          <w:highlight w:val="none"/>
        </w:rPr>
        <w:t>年</w:t>
      </w:r>
      <w:r>
        <w:rPr>
          <w:rFonts w:hint="eastAsia" w:ascii="Times New Roman" w:hAnsi="Times New Roman" w:eastAsia="宋体" w:cs="Times New Roman"/>
          <w:spacing w:val="20"/>
          <w:sz w:val="21"/>
          <w:szCs w:val="21"/>
          <w:highlight w:val="none"/>
          <w:u w:val="single"/>
        </w:rPr>
        <w:t xml:space="preserve">   </w:t>
      </w:r>
      <w:r>
        <w:rPr>
          <w:rFonts w:hint="eastAsia" w:ascii="Times New Roman" w:hAnsi="Times New Roman" w:eastAsia="宋体" w:cs="Times New Roman"/>
          <w:spacing w:val="20"/>
          <w:sz w:val="21"/>
          <w:szCs w:val="21"/>
          <w:highlight w:val="none"/>
        </w:rPr>
        <w:t>月</w:t>
      </w:r>
      <w:r>
        <w:rPr>
          <w:rFonts w:hint="eastAsia" w:ascii="Times New Roman" w:hAnsi="Times New Roman" w:eastAsia="宋体" w:cs="Times New Roman"/>
          <w:spacing w:val="20"/>
          <w:sz w:val="21"/>
          <w:szCs w:val="21"/>
          <w:highlight w:val="none"/>
          <w:u w:val="single"/>
        </w:rPr>
        <w:t xml:space="preserve">   </w:t>
      </w:r>
      <w:r>
        <w:rPr>
          <w:rFonts w:hint="eastAsia" w:ascii="Times New Roman" w:hAnsi="Times New Roman" w:eastAsia="宋体" w:cs="Times New Roman"/>
          <w:spacing w:val="20"/>
          <w:sz w:val="21"/>
          <w:szCs w:val="21"/>
          <w:highlight w:val="none"/>
        </w:rPr>
        <w:t>日</w:t>
      </w:r>
    </w:p>
    <w:p w14:paraId="2CFCA0E1">
      <w:pPr>
        <w:snapToGrid w:val="0"/>
        <w:spacing w:line="360" w:lineRule="auto"/>
        <w:jc w:val="left"/>
        <w:rPr>
          <w:rFonts w:hint="eastAsia" w:ascii="Times New Roman" w:hAnsi="Times New Roman" w:cs="Times New Roman"/>
          <w:b/>
          <w:bCs/>
          <w:szCs w:val="21"/>
          <w:highlight w:val="none"/>
        </w:rPr>
      </w:pPr>
    </w:p>
    <w:p w14:paraId="522EBB53">
      <w:pPr>
        <w:snapToGrid w:val="0"/>
        <w:spacing w:line="360" w:lineRule="auto"/>
        <w:jc w:val="left"/>
        <w:rPr>
          <w:rFonts w:hint="eastAsia" w:ascii="Times New Roman" w:hAnsi="Times New Roman" w:cs="Times New Roman"/>
          <w:b/>
          <w:bCs/>
          <w:szCs w:val="21"/>
          <w:highlight w:val="none"/>
        </w:rPr>
      </w:pPr>
    </w:p>
    <w:p w14:paraId="054A9ECF">
      <w:pPr>
        <w:snapToGrid w:val="0"/>
        <w:spacing w:line="360" w:lineRule="auto"/>
        <w:jc w:val="left"/>
        <w:outlineLvl w:val="1"/>
        <w:rPr>
          <w:rFonts w:hint="eastAsia" w:ascii="Times New Roman" w:hAnsi="Times New Roman" w:cs="Times New Roman"/>
          <w:b/>
          <w:bCs/>
          <w:szCs w:val="21"/>
          <w:highlight w:val="none"/>
        </w:rPr>
      </w:pPr>
    </w:p>
    <w:p w14:paraId="477AAC07">
      <w:pPr>
        <w:snapToGrid w:val="0"/>
        <w:spacing w:line="360" w:lineRule="auto"/>
        <w:jc w:val="left"/>
        <w:outlineLvl w:val="1"/>
        <w:rPr>
          <w:rFonts w:hint="eastAsia" w:ascii="Times New Roman" w:hAnsi="Times New Roman" w:cs="Times New Roman"/>
          <w:b/>
          <w:bCs/>
          <w:szCs w:val="21"/>
          <w:highlight w:val="none"/>
        </w:rPr>
      </w:pPr>
    </w:p>
    <w:p w14:paraId="44D2D296">
      <w:pPr>
        <w:snapToGrid w:val="0"/>
        <w:spacing w:line="360" w:lineRule="auto"/>
        <w:jc w:val="left"/>
        <w:outlineLvl w:val="1"/>
        <w:rPr>
          <w:rFonts w:hint="eastAsia" w:ascii="Times New Roman" w:hAnsi="Times New Roman" w:cs="Times New Roman"/>
          <w:b/>
          <w:bCs/>
          <w:szCs w:val="21"/>
          <w:highlight w:val="none"/>
        </w:rPr>
      </w:pPr>
    </w:p>
    <w:p w14:paraId="2CE75E0F">
      <w:pPr>
        <w:snapToGrid w:val="0"/>
        <w:spacing w:line="360" w:lineRule="auto"/>
        <w:jc w:val="left"/>
        <w:outlineLvl w:val="1"/>
        <w:rPr>
          <w:rFonts w:hint="eastAsia" w:ascii="Times New Roman" w:hAnsi="Times New Roman" w:cs="Times New Roman"/>
          <w:b/>
          <w:bCs/>
          <w:szCs w:val="21"/>
          <w:highlight w:val="none"/>
        </w:rPr>
      </w:pPr>
    </w:p>
    <w:p w14:paraId="150226F9">
      <w:pPr>
        <w:snapToGrid w:val="0"/>
        <w:spacing w:line="360" w:lineRule="auto"/>
        <w:jc w:val="left"/>
        <w:outlineLvl w:val="1"/>
        <w:rPr>
          <w:rFonts w:hint="eastAsia" w:ascii="Times New Roman" w:hAnsi="Times New Roman" w:cs="Times New Roman"/>
          <w:b/>
          <w:bCs/>
          <w:szCs w:val="21"/>
          <w:highlight w:val="none"/>
        </w:rPr>
      </w:pPr>
    </w:p>
    <w:p w14:paraId="73657459">
      <w:pPr>
        <w:snapToGrid w:val="0"/>
        <w:spacing w:line="360" w:lineRule="auto"/>
        <w:jc w:val="left"/>
        <w:outlineLvl w:val="1"/>
        <w:rPr>
          <w:rFonts w:hint="eastAsia" w:ascii="Times New Roman" w:hAnsi="Times New Roman" w:cs="Times New Roman"/>
          <w:b/>
          <w:bCs/>
          <w:szCs w:val="21"/>
          <w:highlight w:val="none"/>
        </w:rPr>
      </w:pPr>
    </w:p>
    <w:p w14:paraId="4D4D4E2A">
      <w:pPr>
        <w:snapToGri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三、声明函格式：</w:t>
      </w:r>
    </w:p>
    <w:p w14:paraId="0FF174D4">
      <w:pPr>
        <w:snapToGrid w:val="0"/>
        <w:spacing w:before="156" w:beforeLines="50" w:after="50"/>
        <w:jc w:val="center"/>
        <w:rPr>
          <w:rFonts w:hint="eastAsia" w:ascii="Times New Roman" w:hAnsi="Times New Roman" w:cs="Times New Roman"/>
          <w:b/>
          <w:szCs w:val="21"/>
          <w:highlight w:val="none"/>
        </w:rPr>
      </w:pPr>
      <w:r>
        <w:rPr>
          <w:rFonts w:hint="eastAsia" w:ascii="Times New Roman" w:hAnsi="Times New Roman" w:cs="Times New Roman"/>
          <w:b/>
          <w:szCs w:val="21"/>
          <w:highlight w:val="none"/>
        </w:rPr>
        <w:t>声明函</w:t>
      </w:r>
    </w:p>
    <w:p w14:paraId="39D5EC17">
      <w:pPr>
        <w:snapToGrid w:val="0"/>
        <w:spacing w:before="156" w:beforeLines="50" w:after="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致：</w:t>
      </w:r>
      <w:r>
        <w:rPr>
          <w:rFonts w:hint="eastAsia" w:ascii="Times New Roman" w:hAnsi="Times New Roman" w:cs="Times New Roman"/>
          <w:szCs w:val="21"/>
          <w:highlight w:val="none"/>
          <w:u w:val="single"/>
        </w:rPr>
        <w:t xml:space="preserve"> （采购人）    </w:t>
      </w:r>
      <w:r>
        <w:rPr>
          <w:rFonts w:hint="eastAsia" w:ascii="Times New Roman" w:hAnsi="Times New Roman" w:cs="Times New Roman"/>
          <w:szCs w:val="21"/>
          <w:highlight w:val="none"/>
        </w:rPr>
        <w:t>：</w:t>
      </w:r>
    </w:p>
    <w:p w14:paraId="3A1C601D">
      <w:pPr>
        <w:pStyle w:val="11"/>
        <w:spacing w:line="360" w:lineRule="auto"/>
        <w:ind w:firstLine="48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我方</w:t>
      </w:r>
      <w:r>
        <w:rPr>
          <w:rFonts w:hint="eastAsia" w:ascii="Times New Roman" w:hAnsi="Times New Roman" w:cs="Times New Roman"/>
          <w:sz w:val="21"/>
          <w:szCs w:val="21"/>
          <w:highlight w:val="none"/>
          <w:u w:val="single"/>
        </w:rPr>
        <w:t xml:space="preserve">    （投标人）          </w:t>
      </w:r>
      <w:r>
        <w:rPr>
          <w:rFonts w:hint="eastAsia" w:ascii="Times New Roman" w:hAnsi="Times New Roman" w:cs="Times New Roman"/>
          <w:sz w:val="21"/>
          <w:szCs w:val="21"/>
          <w:highlight w:val="none"/>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0E5B545">
      <w:pPr>
        <w:pStyle w:val="11"/>
        <w:spacing w:line="360" w:lineRule="auto"/>
        <w:ind w:firstLine="48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特此声明！</w:t>
      </w:r>
    </w:p>
    <w:p w14:paraId="0FD0D5A5">
      <w:pPr>
        <w:pStyle w:val="11"/>
        <w:ind w:firstLine="480"/>
        <w:rPr>
          <w:rFonts w:hint="eastAsia" w:ascii="Times New Roman" w:hAnsi="Times New Roman" w:cs="Times New Roman"/>
          <w:sz w:val="21"/>
          <w:szCs w:val="21"/>
          <w:highlight w:val="none"/>
        </w:rPr>
      </w:pPr>
    </w:p>
    <w:p w14:paraId="29931710">
      <w:pPr>
        <w:snapToGrid w:val="0"/>
        <w:spacing w:before="156" w:beforeLines="50"/>
        <w:ind w:firstLine="200"/>
        <w:rPr>
          <w:rFonts w:hint="eastAsia" w:ascii="Times New Roman" w:hAnsi="Times New Roman" w:cs="Times New Roman"/>
          <w:szCs w:val="21"/>
          <w:highlight w:val="none"/>
        </w:rPr>
      </w:pPr>
    </w:p>
    <w:p w14:paraId="40D219D6">
      <w:pPr>
        <w:snapToGrid w:val="0"/>
        <w:spacing w:before="156" w:beforeLines="50"/>
        <w:ind w:firstLine="5460" w:firstLineChars="2600"/>
        <w:rPr>
          <w:rFonts w:hint="eastAsia" w:ascii="Times New Roman" w:hAnsi="Times New Roman" w:cs="Times New Roman"/>
          <w:szCs w:val="21"/>
          <w:highlight w:val="none"/>
          <w:u w:val="single"/>
        </w:rPr>
      </w:pPr>
      <w:r>
        <w:rPr>
          <w:rFonts w:hint="eastAsia" w:ascii="Times New Roman" w:hAnsi="Times New Roman" w:cs="Times New Roman"/>
          <w:szCs w:val="21"/>
          <w:highlight w:val="none"/>
        </w:rPr>
        <w:t>投标人公章：</w:t>
      </w:r>
      <w:r>
        <w:rPr>
          <w:rFonts w:hint="eastAsia" w:ascii="Times New Roman" w:hAnsi="Times New Roman" w:cs="Times New Roman"/>
          <w:szCs w:val="21"/>
          <w:highlight w:val="none"/>
          <w:u w:val="single"/>
        </w:rPr>
        <w:t xml:space="preserve">      </w:t>
      </w:r>
      <w:r>
        <w:rPr>
          <w:rFonts w:hint="eastAsia" w:ascii="Times New Roman" w:hAnsi="Times New Roman" w:cs="Times New Roman"/>
          <w:spacing w:val="-4"/>
          <w:szCs w:val="21"/>
          <w:highlight w:val="none"/>
        </w:rPr>
        <w:t>（加盖公章）</w:t>
      </w:r>
    </w:p>
    <w:p w14:paraId="6D1B4A44">
      <w:pPr>
        <w:snapToGrid w:val="0"/>
        <w:spacing w:before="156" w:beforeLines="50"/>
        <w:ind w:firstLine="200"/>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法定代表人（签字或盖章）：</w:t>
      </w:r>
    </w:p>
    <w:p w14:paraId="550FC076">
      <w:pPr>
        <w:pStyle w:val="111"/>
        <w:snapToGrid w:val="0"/>
        <w:spacing w:before="156" w:beforeLines="50"/>
        <w:ind w:firstLine="20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                                       年    月    日</w:t>
      </w:r>
    </w:p>
    <w:p w14:paraId="276E8F0F">
      <w:pPr>
        <w:snapToGrid w:val="0"/>
        <w:spacing w:before="156" w:beforeLines="50" w:after="50"/>
        <w:ind w:firstLine="422" w:firstLineChars="200"/>
        <w:jc w:val="left"/>
        <w:rPr>
          <w:rFonts w:hint="eastAsia" w:ascii="Times New Roman" w:hAnsi="Times New Roman" w:cs="Times New Roman"/>
          <w:b/>
          <w:bCs/>
          <w:szCs w:val="21"/>
          <w:highlight w:val="none"/>
        </w:rPr>
      </w:pPr>
    </w:p>
    <w:p w14:paraId="0CEB9C91">
      <w:pPr>
        <w:snapToGrid w:val="0"/>
        <w:spacing w:before="156" w:beforeLines="50" w:after="50"/>
        <w:ind w:firstLine="482" w:firstLineChars="200"/>
        <w:jc w:val="left"/>
        <w:rPr>
          <w:rFonts w:hint="eastAsia" w:ascii="Times New Roman" w:hAnsi="Times New Roman" w:cs="Times New Roman"/>
          <w:b/>
          <w:bCs/>
          <w:sz w:val="24"/>
          <w:highlight w:val="none"/>
        </w:rPr>
      </w:pPr>
    </w:p>
    <w:p w14:paraId="3A7F3AEC">
      <w:pPr>
        <w:pStyle w:val="11"/>
        <w:rPr>
          <w:rFonts w:hint="eastAsia" w:ascii="Times New Roman" w:hAnsi="Times New Roman" w:cs="Times New Roman"/>
          <w:highlight w:val="none"/>
        </w:rPr>
      </w:pPr>
    </w:p>
    <w:p w14:paraId="094C3545">
      <w:pPr>
        <w:pStyle w:val="11"/>
        <w:rPr>
          <w:rFonts w:hint="eastAsia" w:ascii="Times New Roman" w:hAnsi="Times New Roman" w:cs="Times New Roman"/>
          <w:highlight w:val="none"/>
        </w:rPr>
      </w:pPr>
    </w:p>
    <w:p w14:paraId="0AACBCBD">
      <w:pPr>
        <w:pStyle w:val="11"/>
        <w:rPr>
          <w:rFonts w:hint="eastAsia" w:ascii="Times New Roman" w:hAnsi="Times New Roman" w:cs="Times New Roman"/>
          <w:highlight w:val="none"/>
        </w:rPr>
      </w:pPr>
    </w:p>
    <w:p w14:paraId="55F4F825">
      <w:pPr>
        <w:pStyle w:val="11"/>
        <w:rPr>
          <w:rFonts w:hint="eastAsia" w:ascii="Times New Roman" w:hAnsi="Times New Roman" w:cs="Times New Roman"/>
          <w:highlight w:val="none"/>
        </w:rPr>
      </w:pPr>
    </w:p>
    <w:p w14:paraId="70EE0F84">
      <w:pPr>
        <w:pStyle w:val="12"/>
        <w:ind w:left="0" w:leftChars="0" w:firstLine="0" w:firstLineChars="0"/>
        <w:rPr>
          <w:rFonts w:ascii="Times New Roman" w:hAnsi="Times New Roman" w:cs="Times New Roman"/>
          <w:highlight w:val="none"/>
        </w:rPr>
      </w:pPr>
    </w:p>
    <w:p w14:paraId="4233B680">
      <w:pPr>
        <w:spacing w:line="360" w:lineRule="auto"/>
        <w:rPr>
          <w:rFonts w:hint="eastAsia" w:ascii="Times New Roman" w:hAnsi="Times New Roman" w:cs="Times New Roman"/>
          <w:b/>
          <w:bCs/>
          <w:szCs w:val="21"/>
          <w:highlight w:val="none"/>
        </w:rPr>
      </w:pPr>
    </w:p>
    <w:p w14:paraId="440CAC38">
      <w:pPr>
        <w:snapToGri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四、投标人法定代表人身份证扫描件</w:t>
      </w:r>
    </w:p>
    <w:p w14:paraId="14E1DBD1">
      <w:pPr>
        <w:spacing w:line="480" w:lineRule="auto"/>
        <w:ind w:firstLine="463" w:firstLineChars="192"/>
        <w:jc w:val="center"/>
        <w:rPr>
          <w:rFonts w:hint="eastAsia" w:ascii="Times New Roman" w:hAnsi="Times New Roman" w:cs="Times New Roman"/>
          <w:b/>
          <w:bCs/>
          <w:sz w:val="24"/>
          <w:highlight w:val="none"/>
        </w:rPr>
      </w:pPr>
    </w:p>
    <w:p w14:paraId="5C3EEB71">
      <w:pPr>
        <w:pStyle w:val="11"/>
        <w:rPr>
          <w:rFonts w:hint="eastAsia" w:ascii="Times New Roman" w:hAnsi="Times New Roman" w:cs="Times New Roman"/>
          <w:highlight w:val="none"/>
        </w:rPr>
      </w:pPr>
    </w:p>
    <w:p w14:paraId="75CD031E">
      <w:pPr>
        <w:widowControl/>
        <w:jc w:val="left"/>
        <w:rPr>
          <w:rFonts w:hint="eastAsia" w:ascii="Times New Roman" w:hAnsi="Times New Roman" w:cs="Times New Roman"/>
          <w:b/>
          <w:bCs/>
          <w:szCs w:val="21"/>
          <w:highlight w:val="none"/>
        </w:rPr>
      </w:pPr>
      <w:r>
        <w:rPr>
          <w:rFonts w:ascii="Times New Roman" w:hAnsi="Times New Roman" w:cs="Times New Roman"/>
          <w:b/>
          <w:bCs/>
          <w:szCs w:val="21"/>
          <w:highlight w:val="none"/>
        </w:rPr>
        <w:br w:type="page"/>
      </w:r>
    </w:p>
    <w:p w14:paraId="6D08B0B6">
      <w:pPr>
        <w:snapToGri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五、法定代表人授权委托书格式：</w:t>
      </w:r>
    </w:p>
    <w:p w14:paraId="44DDF555">
      <w:pPr>
        <w:pStyle w:val="159"/>
        <w:ind w:firstLine="0"/>
        <w:jc w:val="center"/>
        <w:rPr>
          <w:rFonts w:hint="eastAsia" w:ascii="Times New Roman" w:hAnsi="Times New Roman" w:cs="Times New Roman"/>
          <w:highlight w:val="none"/>
        </w:rPr>
      </w:pPr>
    </w:p>
    <w:p w14:paraId="63F79898">
      <w:pPr>
        <w:pStyle w:val="159"/>
        <w:ind w:firstLine="0"/>
        <w:jc w:val="center"/>
        <w:rPr>
          <w:rFonts w:hint="eastAsia"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法定代表人授权委托书</w:t>
      </w:r>
    </w:p>
    <w:p w14:paraId="29C0AE41">
      <w:pPr>
        <w:snapToGrid w:val="0"/>
        <w:spacing w:before="156" w:beforeLines="50" w:after="156" w:afterLines="50" w:line="360" w:lineRule="auto"/>
        <w:ind w:firstLine="630" w:firstLineChars="300"/>
        <w:rPr>
          <w:rFonts w:hint="eastAsia" w:ascii="Times New Roman" w:hAnsi="Times New Roman" w:cs="Times New Roman"/>
          <w:szCs w:val="21"/>
          <w:highlight w:val="none"/>
        </w:rPr>
      </w:pPr>
    </w:p>
    <w:p w14:paraId="3AC22E90">
      <w:pPr>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（招标采购人名称）：</w:t>
      </w:r>
    </w:p>
    <w:p w14:paraId="5C515B9F">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我 </w:t>
      </w:r>
      <w:r>
        <w:rPr>
          <w:rFonts w:hint="eastAsia" w:ascii="Times New Roman" w:hAnsi="Times New Roman" w:cs="Times New Roman"/>
          <w:b/>
          <w:bCs/>
          <w:szCs w:val="21"/>
          <w:highlight w:val="none"/>
          <w:u w:val="single"/>
        </w:rPr>
        <w:t xml:space="preserve">         </w:t>
      </w:r>
      <w:r>
        <w:rPr>
          <w:rFonts w:hint="eastAsia" w:ascii="Times New Roman" w:hAnsi="Times New Roman" w:cs="Times New Roman"/>
          <w:szCs w:val="21"/>
          <w:highlight w:val="none"/>
        </w:rPr>
        <w:t>（姓名）系</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（投标人名称）的法定代表人，现授权委托本单位在职职工</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（姓名）以我方的名义参加</w:t>
      </w:r>
      <w:r>
        <w:rPr>
          <w:rFonts w:hint="eastAsia" w:ascii="Times New Roman" w:hAnsi="Times New Roman" w:cs="Times New Roman"/>
          <w:i/>
          <w:iCs/>
          <w:szCs w:val="21"/>
          <w:highlight w:val="none"/>
          <w:u w:val="single"/>
        </w:rPr>
        <w:t xml:space="preserve">                    </w:t>
      </w:r>
      <w:r>
        <w:rPr>
          <w:rFonts w:hint="eastAsia" w:ascii="Times New Roman" w:hAnsi="Times New Roman" w:cs="Times New Roman"/>
          <w:szCs w:val="21"/>
          <w:highlight w:val="none"/>
        </w:rPr>
        <w:t>项目的投标活动，并代表我方全权办理针对上述项目的投标、开标、评标、签约等具体事务和签署相关文件。</w:t>
      </w:r>
    </w:p>
    <w:p w14:paraId="1AE5DFFA">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我方对被授权人的签名负全部责任。</w:t>
      </w:r>
    </w:p>
    <w:p w14:paraId="3F54C8FD">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在撤销授权的书面通知以前，本授权函一直有效。被授权人在授权函有效期内签署的所有文件不因授权的撤销而失效。</w:t>
      </w:r>
    </w:p>
    <w:p w14:paraId="38BA9B4C">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被授权人无转委托权，特此委托。</w:t>
      </w:r>
    </w:p>
    <w:p w14:paraId="6D6E519E">
      <w:pPr>
        <w:snapToGrid w:val="0"/>
        <w:spacing w:before="156" w:beforeLines="50"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被授权人（签字或盖章）：                法定代表人（签字或盖章）：</w:t>
      </w:r>
    </w:p>
    <w:p w14:paraId="60340DE6">
      <w:pPr>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投标人公章：</w:t>
      </w:r>
    </w:p>
    <w:p w14:paraId="4D77A8DE">
      <w:pPr>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年    月    日</w:t>
      </w:r>
    </w:p>
    <w:p w14:paraId="76AF974A">
      <w:pPr>
        <w:snapToGrid w:val="0"/>
        <w:spacing w:before="156" w:beforeLines="50" w:line="360" w:lineRule="auto"/>
        <w:rPr>
          <w:rFonts w:hint="eastAsia" w:ascii="Times New Roman" w:hAnsi="Times New Roman" w:cs="Times New Roman"/>
          <w:b/>
          <w:bCs/>
          <w:szCs w:val="21"/>
          <w:highlight w:val="none"/>
          <w:u w:val="single"/>
        </w:rPr>
      </w:pPr>
    </w:p>
    <w:p w14:paraId="398492F2">
      <w:pPr>
        <w:snapToGrid w:val="0"/>
        <w:spacing w:before="156" w:beforeLines="50" w:line="360" w:lineRule="auto"/>
        <w:rPr>
          <w:rFonts w:hint="eastAsia" w:ascii="Times New Roman" w:hAnsi="Times New Roman" w:cs="Times New Roman"/>
          <w:b/>
          <w:bCs/>
          <w:szCs w:val="21"/>
          <w:highlight w:val="none"/>
          <w:u w:val="single"/>
        </w:rPr>
      </w:pPr>
      <w:r>
        <w:rPr>
          <w:rFonts w:hint="eastAsia" w:ascii="Times New Roman" w:hAnsi="Times New Roman" w:cs="Times New Roman"/>
          <w:b/>
          <w:bCs/>
          <w:szCs w:val="21"/>
          <w:highlight w:val="none"/>
          <w:u w:val="single"/>
        </w:rPr>
        <w:t>注：授权委托书必须有法定代表人和投标人代表双方签字（或盖章），否则将导致投标无效。</w:t>
      </w:r>
    </w:p>
    <w:p w14:paraId="15070183">
      <w:pPr>
        <w:snapToGrid w:val="0"/>
        <w:spacing w:before="156" w:beforeLines="50" w:after="156" w:afterLines="50" w:line="360" w:lineRule="auto"/>
        <w:rPr>
          <w:rFonts w:hint="eastAsia" w:ascii="Times New Roman" w:hAnsi="Times New Roman" w:cs="Times New Roman"/>
          <w:b/>
          <w:bCs/>
          <w:szCs w:val="21"/>
          <w:highlight w:val="none"/>
          <w:u w:val="single"/>
        </w:rPr>
      </w:pPr>
      <w:r>
        <w:rPr>
          <w:rFonts w:hint="eastAsia" w:ascii="Times New Roman" w:hAnsi="Times New Roman" w:cs="Times New Roman"/>
          <w:b/>
          <w:bCs/>
          <w:szCs w:val="21"/>
          <w:highlight w:val="none"/>
          <w:u w:val="single"/>
        </w:rPr>
        <w:t>附：1、投标人代表和法定代表人身份证扫描件。</w:t>
      </w:r>
    </w:p>
    <w:p w14:paraId="7899E176">
      <w:pPr>
        <w:spacing w:before="156" w:beforeLines="50" w:after="156" w:afterLines="5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br w:type="page"/>
      </w:r>
    </w:p>
    <w:p w14:paraId="3F6DB329">
      <w:pPr>
        <w:snapToGrid w:val="0"/>
        <w:spacing w:line="360" w:lineRule="auto"/>
        <w:jc w:val="left"/>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六</w:t>
      </w:r>
      <w:r>
        <w:rPr>
          <w:rFonts w:hint="eastAsia" w:ascii="Times New Roman" w:hAnsi="Times New Roman" w:cs="Times New Roman"/>
          <w:b/>
          <w:bCs/>
          <w:szCs w:val="21"/>
          <w:highlight w:val="none"/>
        </w:rPr>
        <w:t>、中小企业声明函（服务）</w:t>
      </w:r>
    </w:p>
    <w:p w14:paraId="6FE7C162">
      <w:pPr>
        <w:pStyle w:val="13"/>
        <w:ind w:firstLine="0"/>
        <w:rPr>
          <w:rFonts w:ascii="Times New Roman" w:hAnsi="Times New Roman" w:cs="Times New Roman"/>
          <w:highlight w:val="none"/>
        </w:rPr>
      </w:pPr>
    </w:p>
    <w:p w14:paraId="072A334E">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本公司郑重声明，根据《政府采购促进中小企业发展管理办法》（财库﹝2020﹞46 号）的规定，本公司参加</w:t>
      </w:r>
      <w:r>
        <w:rPr>
          <w:rFonts w:hint="eastAsia" w:ascii="Times New Roman" w:hAnsi="Times New Roman" w:cs="Times New Roman"/>
          <w:kern w:val="0"/>
          <w:szCs w:val="21"/>
          <w:highlight w:val="none"/>
          <w:u w:val="single"/>
        </w:rPr>
        <w:t>（单位名称）</w:t>
      </w:r>
      <w:r>
        <w:rPr>
          <w:rFonts w:hint="eastAsia" w:ascii="Times New Roman" w:hAnsi="Times New Roman" w:cs="Times New Roman"/>
          <w:kern w:val="0"/>
          <w:szCs w:val="21"/>
          <w:highlight w:val="none"/>
        </w:rPr>
        <w:t>的</w:t>
      </w:r>
      <w:r>
        <w:rPr>
          <w:rFonts w:hint="eastAsia" w:ascii="Times New Roman" w:hAnsi="Times New Roman" w:cs="Times New Roman"/>
          <w:kern w:val="0"/>
          <w:szCs w:val="21"/>
          <w:highlight w:val="none"/>
          <w:u w:val="single"/>
        </w:rPr>
        <w:t>（项目名称）</w:t>
      </w:r>
      <w:r>
        <w:rPr>
          <w:rFonts w:hint="eastAsia" w:ascii="Times New Roman" w:hAnsi="Times New Roman" w:cs="Times New Roman"/>
          <w:kern w:val="0"/>
          <w:szCs w:val="21"/>
          <w:highlight w:val="none"/>
        </w:rPr>
        <w:t>采购活动，提供的货物全部由符合政策要求的中小企业制造。相关企业的具体情况如下：</w:t>
      </w:r>
    </w:p>
    <w:p w14:paraId="3D701569">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1.</w:t>
      </w:r>
      <w:r>
        <w:rPr>
          <w:rFonts w:hint="eastAsia" w:ascii="Times New Roman" w:hAnsi="Times New Roman" w:cs="Times New Roman"/>
          <w:kern w:val="0"/>
          <w:szCs w:val="21"/>
          <w:highlight w:val="none"/>
          <w:u w:val="single"/>
        </w:rPr>
        <w:t>（标的名称）</w:t>
      </w:r>
      <w:r>
        <w:rPr>
          <w:rFonts w:hint="eastAsia" w:ascii="Times New Roman" w:hAnsi="Times New Roman" w:cs="Times New Roman"/>
          <w:kern w:val="0"/>
          <w:szCs w:val="21"/>
          <w:highlight w:val="none"/>
        </w:rPr>
        <w:t>，属于</w:t>
      </w:r>
      <w:r>
        <w:rPr>
          <w:rFonts w:hint="eastAsia" w:ascii="Times New Roman" w:hAnsi="Times New Roman" w:cs="Times New Roman"/>
          <w:kern w:val="0"/>
          <w:szCs w:val="21"/>
          <w:highlight w:val="none"/>
          <w:u w:val="single"/>
        </w:rPr>
        <w:t>（采购文件中明确的所属行业）行业</w:t>
      </w:r>
      <w:r>
        <w:rPr>
          <w:rFonts w:hint="eastAsia" w:ascii="Times New Roman" w:hAnsi="Times New Roman" w:cs="Times New Roman"/>
          <w:kern w:val="0"/>
          <w:szCs w:val="21"/>
          <w:highlight w:val="none"/>
        </w:rPr>
        <w:t>；制造商为</w:t>
      </w:r>
      <w:r>
        <w:rPr>
          <w:rFonts w:hint="eastAsia" w:ascii="Times New Roman" w:hAnsi="Times New Roman" w:cs="Times New Roman"/>
          <w:kern w:val="0"/>
          <w:szCs w:val="21"/>
          <w:highlight w:val="none"/>
          <w:u w:val="single"/>
        </w:rPr>
        <w:t>（企业名称）</w:t>
      </w:r>
      <w:r>
        <w:rPr>
          <w:rFonts w:hint="eastAsia" w:ascii="Times New Roman" w:hAnsi="Times New Roman" w:cs="Times New Roman"/>
          <w:kern w:val="0"/>
          <w:szCs w:val="21"/>
          <w:highlight w:val="none"/>
        </w:rPr>
        <w:t>，从业人员人，营业收入为万元，资产总额为万元，属于</w:t>
      </w:r>
      <w:r>
        <w:rPr>
          <w:rFonts w:hint="eastAsia" w:ascii="Times New Roman" w:hAnsi="Times New Roman" w:cs="Times New Roman"/>
          <w:kern w:val="0"/>
          <w:szCs w:val="21"/>
          <w:highlight w:val="none"/>
          <w:u w:val="single"/>
        </w:rPr>
        <w:t>（中型企业、小型企业、微型企业）</w:t>
      </w:r>
      <w:r>
        <w:rPr>
          <w:rFonts w:hint="eastAsia" w:ascii="Times New Roman" w:hAnsi="Times New Roman" w:cs="Times New Roman"/>
          <w:kern w:val="0"/>
          <w:szCs w:val="21"/>
          <w:highlight w:val="none"/>
        </w:rPr>
        <w:t xml:space="preserve">； </w:t>
      </w:r>
    </w:p>
    <w:p w14:paraId="3A3D8B3E">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2.</w:t>
      </w:r>
      <w:r>
        <w:rPr>
          <w:rFonts w:hint="eastAsia" w:ascii="Times New Roman" w:hAnsi="Times New Roman" w:cs="Times New Roman"/>
          <w:kern w:val="0"/>
          <w:szCs w:val="21"/>
          <w:highlight w:val="none"/>
          <w:u w:val="single"/>
        </w:rPr>
        <w:t>（标的名称）</w:t>
      </w:r>
      <w:r>
        <w:rPr>
          <w:rFonts w:hint="eastAsia" w:ascii="Times New Roman" w:hAnsi="Times New Roman" w:cs="Times New Roman"/>
          <w:kern w:val="0"/>
          <w:szCs w:val="21"/>
          <w:highlight w:val="none"/>
        </w:rPr>
        <w:t>，属于</w:t>
      </w:r>
      <w:r>
        <w:rPr>
          <w:rFonts w:hint="eastAsia" w:ascii="Times New Roman" w:hAnsi="Times New Roman" w:cs="Times New Roman"/>
          <w:kern w:val="0"/>
          <w:szCs w:val="21"/>
          <w:highlight w:val="none"/>
          <w:u w:val="single"/>
        </w:rPr>
        <w:t>（采购文件中明确的所属行业）行业</w:t>
      </w:r>
      <w:r>
        <w:rPr>
          <w:rFonts w:hint="eastAsia" w:ascii="Times New Roman" w:hAnsi="Times New Roman" w:cs="Times New Roman"/>
          <w:kern w:val="0"/>
          <w:szCs w:val="21"/>
          <w:highlight w:val="none"/>
        </w:rPr>
        <w:t>；制造商为</w:t>
      </w:r>
      <w:r>
        <w:rPr>
          <w:rFonts w:hint="eastAsia" w:ascii="Times New Roman" w:hAnsi="Times New Roman" w:cs="Times New Roman"/>
          <w:kern w:val="0"/>
          <w:szCs w:val="21"/>
          <w:highlight w:val="none"/>
          <w:u w:val="single"/>
        </w:rPr>
        <w:t>（企业名称）</w:t>
      </w:r>
      <w:r>
        <w:rPr>
          <w:rFonts w:hint="eastAsia" w:ascii="Times New Roman" w:hAnsi="Times New Roman" w:cs="Times New Roman"/>
          <w:kern w:val="0"/>
          <w:szCs w:val="21"/>
          <w:highlight w:val="none"/>
        </w:rPr>
        <w:t>，从业人员人，营业收入为万元，资产总额为万元，属于</w:t>
      </w:r>
      <w:r>
        <w:rPr>
          <w:rFonts w:hint="eastAsia" w:ascii="Times New Roman" w:hAnsi="Times New Roman" w:cs="Times New Roman"/>
          <w:kern w:val="0"/>
          <w:szCs w:val="21"/>
          <w:highlight w:val="none"/>
          <w:u w:val="single"/>
        </w:rPr>
        <w:t>（中型企业、小型企业、微型企业）</w:t>
      </w:r>
      <w:r>
        <w:rPr>
          <w:rFonts w:hint="eastAsia" w:ascii="Times New Roman" w:hAnsi="Times New Roman" w:cs="Times New Roman"/>
          <w:kern w:val="0"/>
          <w:szCs w:val="21"/>
          <w:highlight w:val="none"/>
        </w:rPr>
        <w:t xml:space="preserve">； </w:t>
      </w:r>
    </w:p>
    <w:p w14:paraId="43A9EC8D">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w:t>
      </w:r>
    </w:p>
    <w:p w14:paraId="693D7054">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以上企业，不属于大企业的分支机构，不存在控股股东为大企业的情形，也不存在与大企业的负责人为同一人的情形。</w:t>
      </w:r>
    </w:p>
    <w:p w14:paraId="38AF3D2F">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本企业对上述声明内容的真实性负责。如有虚假，将依法承担相应责任。 </w:t>
      </w:r>
    </w:p>
    <w:p w14:paraId="6924FD45">
      <w:pPr>
        <w:widowControl/>
        <w:spacing w:line="480" w:lineRule="auto"/>
        <w:ind w:firstLine="2520" w:firstLineChars="1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企业名称（盖章）： </w:t>
      </w:r>
    </w:p>
    <w:p w14:paraId="0742A3A5">
      <w:pPr>
        <w:widowControl/>
        <w:spacing w:line="480" w:lineRule="auto"/>
        <w:ind w:firstLine="2520" w:firstLineChars="1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日 期： </w:t>
      </w:r>
    </w:p>
    <w:p w14:paraId="179F5529">
      <w:pPr>
        <w:spacing w:line="360" w:lineRule="auto"/>
        <w:rPr>
          <w:rFonts w:hint="eastAsia" w:ascii="Times New Roman" w:hAnsi="Times New Roman" w:cs="Times New Roman"/>
          <w:b/>
          <w:color w:val="000000"/>
          <w:spacing w:val="20"/>
          <w:szCs w:val="21"/>
          <w:highlight w:val="none"/>
        </w:rPr>
      </w:pPr>
      <w:r>
        <w:rPr>
          <w:rFonts w:hint="eastAsia" w:ascii="Times New Roman" w:hAnsi="Times New Roman" w:cs="Times New Roman"/>
          <w:b/>
          <w:color w:val="000000"/>
          <w:spacing w:val="20"/>
          <w:szCs w:val="21"/>
          <w:highlight w:val="none"/>
        </w:rPr>
        <w:t>注：1.从业人员、营业收入、资产总额填报上一年度数据，无上一年度数据的新成立企业可不填报。</w:t>
      </w:r>
    </w:p>
    <w:p w14:paraId="6D69800B">
      <w:pPr>
        <w:snapToGrid w:val="0"/>
        <w:spacing w:line="360" w:lineRule="auto"/>
        <w:ind w:firstLine="422" w:firstLineChars="200"/>
        <w:rPr>
          <w:rFonts w:hint="eastAsia" w:ascii="Times New Roman" w:hAnsi="Times New Roman" w:cs="Times New Roman"/>
          <w:b/>
          <w:color w:val="000000"/>
          <w:szCs w:val="21"/>
          <w:highlight w:val="none"/>
        </w:rPr>
      </w:pPr>
      <w:r>
        <w:rPr>
          <w:rFonts w:hint="eastAsia" w:ascii="Times New Roman" w:hAnsi="Times New Roman" w:cs="Times New Roman"/>
          <w:b/>
          <w:color w:val="000000"/>
          <w:szCs w:val="21"/>
          <w:highlight w:val="none"/>
        </w:rPr>
        <w:t>2.中标、成交供应商享受《政府采购促进中小企业发展管理办法》（财库[2020]46号）规定的中小企业扶持政策的，《中小企业声明函》随中标、成交结果公开。</w:t>
      </w:r>
    </w:p>
    <w:p w14:paraId="5FB8BDF3">
      <w:pPr>
        <w:snapToGrid w:val="0"/>
        <w:spacing w:line="360" w:lineRule="auto"/>
        <w:ind w:firstLine="422" w:firstLineChars="200"/>
        <w:rPr>
          <w:rFonts w:hint="eastAsia" w:ascii="Times New Roman" w:hAnsi="Times New Roman" w:cs="Times New Roman"/>
          <w:b/>
          <w:color w:val="000000"/>
          <w:szCs w:val="21"/>
          <w:highlight w:val="none"/>
        </w:rPr>
      </w:pPr>
      <w:r>
        <w:rPr>
          <w:rFonts w:hint="eastAsia" w:ascii="Times New Roman" w:hAnsi="Times New Roman" w:cs="Times New Roman"/>
          <w:b/>
          <w:color w:val="000000"/>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9DF972E">
      <w:pPr>
        <w:snapToGrid w:val="0"/>
        <w:spacing w:line="360" w:lineRule="auto"/>
        <w:ind w:firstLine="422" w:firstLineChars="200"/>
        <w:rPr>
          <w:rFonts w:hint="eastAsia" w:ascii="Times New Roman" w:hAnsi="Times New Roman" w:cs="Times New Roman"/>
          <w:b/>
          <w:color w:val="FF0000"/>
          <w:szCs w:val="21"/>
          <w:highlight w:val="none"/>
        </w:rPr>
      </w:pPr>
    </w:p>
    <w:p w14:paraId="314C5146">
      <w:pPr>
        <w:spacing w:line="360" w:lineRule="auto"/>
        <w:ind w:firstLine="422" w:firstLineChars="200"/>
        <w:rPr>
          <w:rFonts w:hint="eastAsia" w:ascii="Times New Roman" w:hAnsi="Times New Roman" w:cs="Times New Roman"/>
          <w:b/>
          <w:szCs w:val="21"/>
          <w:highlight w:val="none"/>
        </w:rPr>
      </w:pPr>
    </w:p>
    <w:p w14:paraId="2F6EB587">
      <w:pPr>
        <w:snapToGrid w:val="0"/>
        <w:spacing w:line="360" w:lineRule="auto"/>
        <w:ind w:right="-341" w:firstLine="420" w:firstLineChars="200"/>
        <w:jc w:val="left"/>
        <w:rPr>
          <w:rFonts w:hint="eastAsia" w:ascii="Times New Roman" w:hAnsi="Times New Roman" w:cs="Times New Roman" w:eastAsiaTheme="minorEastAsia"/>
          <w:szCs w:val="21"/>
          <w:highlight w:val="none"/>
        </w:rPr>
      </w:pPr>
    </w:p>
    <w:p w14:paraId="64E80456">
      <w:pPr>
        <w:pStyle w:val="11"/>
        <w:jc w:val="center"/>
        <w:rPr>
          <w:rFonts w:hint="eastAsia" w:ascii="Times New Roman" w:hAnsi="Times New Roman" w:cs="Times New Roman" w:eastAsiaTheme="minorEastAsia"/>
          <w:b/>
          <w:sz w:val="32"/>
          <w:highlight w:val="none"/>
        </w:rPr>
      </w:pPr>
    </w:p>
    <w:p w14:paraId="298FDDD1">
      <w:pPr>
        <w:pStyle w:val="12"/>
        <w:rPr>
          <w:rFonts w:hint="eastAsia" w:ascii="Times New Roman" w:hAnsi="Times New Roman" w:cs="Times New Roman"/>
          <w:highlight w:val="none"/>
        </w:rPr>
      </w:pPr>
    </w:p>
    <w:p w14:paraId="4743CF39">
      <w:pPr>
        <w:pStyle w:val="11"/>
        <w:jc w:val="center"/>
        <w:rPr>
          <w:rFonts w:hint="eastAsia" w:ascii="Times New Roman" w:hAnsi="Times New Roman" w:cs="Times New Roman" w:eastAsiaTheme="minorEastAsia"/>
          <w:b/>
          <w:sz w:val="32"/>
          <w:highlight w:val="none"/>
        </w:rPr>
      </w:pPr>
    </w:p>
    <w:p w14:paraId="696B31E6">
      <w:pPr>
        <w:pStyle w:val="11"/>
        <w:jc w:val="center"/>
        <w:rPr>
          <w:rFonts w:hint="eastAsia" w:ascii="Times New Roman" w:hAnsi="Times New Roman" w:cs="Times New Roman"/>
          <w:b/>
          <w:color w:val="000000" w:themeColor="text1"/>
          <w:sz w:val="21"/>
          <w:szCs w:val="21"/>
          <w:highlight w:val="none"/>
          <w14:textFill>
            <w14:solidFill>
              <w14:schemeClr w14:val="tx1"/>
            </w14:solidFill>
          </w14:textFill>
        </w:rPr>
      </w:pPr>
      <w:r>
        <w:rPr>
          <w:rFonts w:hint="eastAsia" w:ascii="Times New Roman" w:hAnsi="Times New Roman" w:cs="Times New Roman"/>
          <w:b/>
          <w:sz w:val="21"/>
          <w:szCs w:val="21"/>
          <w:highlight w:val="none"/>
        </w:rPr>
        <w:t>残疾人福利性单位声明</w:t>
      </w:r>
      <w:r>
        <w:rPr>
          <w:rFonts w:hint="eastAsia" w:ascii="Times New Roman" w:hAnsi="Times New Roman" w:cs="Times New Roman"/>
          <w:b/>
          <w:color w:val="000000" w:themeColor="text1"/>
          <w:sz w:val="21"/>
          <w:szCs w:val="21"/>
          <w:highlight w:val="none"/>
          <w14:textFill>
            <w14:solidFill>
              <w14:schemeClr w14:val="tx1"/>
            </w14:solidFill>
          </w14:textFill>
        </w:rPr>
        <w:t>函（服务）</w:t>
      </w:r>
    </w:p>
    <w:p w14:paraId="54BC495E">
      <w:pPr>
        <w:widowControl/>
        <w:spacing w:before="312" w:beforeLines="100" w:line="500" w:lineRule="exact"/>
        <w:ind w:firstLine="601"/>
        <w:rPr>
          <w:rFonts w:hint="eastAsia" w:ascii="Times New Roman" w:hAnsi="Times New Roman" w:cs="Times New Roman"/>
          <w:szCs w:val="21"/>
          <w:highlight w:val="none"/>
        </w:rPr>
      </w:pPr>
      <w:r>
        <w:rPr>
          <w:rFonts w:hint="eastAsia" w:ascii="Times New Roman" w:hAnsi="Times New Roman" w:cs="Times New Roman"/>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3FE1898">
      <w:pPr>
        <w:widowControl/>
        <w:spacing w:line="500" w:lineRule="exact"/>
        <w:ind w:firstLine="600"/>
        <w:rPr>
          <w:rFonts w:hint="eastAsia" w:ascii="Times New Roman" w:hAnsi="Times New Roman" w:cs="Times New Roman"/>
          <w:szCs w:val="21"/>
          <w:highlight w:val="none"/>
        </w:rPr>
      </w:pPr>
      <w:r>
        <w:rPr>
          <w:rFonts w:hint="eastAsia" w:ascii="Times New Roman" w:hAnsi="Times New Roman" w:cs="Times New Roman"/>
          <w:szCs w:val="21"/>
          <w:highlight w:val="none"/>
        </w:rPr>
        <w:t>本单位对上述声明的真实性负责。如有虚假，将依法承担相应责任。</w:t>
      </w:r>
    </w:p>
    <w:p w14:paraId="3457D898">
      <w:pPr>
        <w:widowControl/>
        <w:spacing w:line="500" w:lineRule="exact"/>
        <w:rPr>
          <w:rFonts w:hint="eastAsia" w:ascii="Times New Roman" w:hAnsi="Times New Roman" w:cs="Times New Roman"/>
          <w:spacing w:val="6"/>
          <w:kern w:val="0"/>
          <w:szCs w:val="21"/>
          <w:highlight w:val="none"/>
        </w:rPr>
      </w:pPr>
    </w:p>
    <w:p w14:paraId="79860D22">
      <w:pPr>
        <w:widowControl/>
        <w:spacing w:line="500" w:lineRule="exact"/>
        <w:ind w:right="1560" w:firstLine="600"/>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单位名称（盖章）：</w:t>
      </w:r>
    </w:p>
    <w:p w14:paraId="374C1C6F">
      <w:pPr>
        <w:widowControl/>
        <w:spacing w:line="500" w:lineRule="exact"/>
        <w:ind w:right="1560" w:firstLine="600"/>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日  期：</w:t>
      </w:r>
    </w:p>
    <w:p w14:paraId="1C9F32D5">
      <w:pPr>
        <w:spacing w:before="312" w:beforeLines="100" w:line="440" w:lineRule="atLeast"/>
        <w:ind w:firstLine="444" w:firstLineChars="200"/>
        <w:rPr>
          <w:rFonts w:hint="eastAsia" w:ascii="Times New Roman" w:hAnsi="Times New Roman" w:cs="Times New Roman"/>
          <w:spacing w:val="6"/>
          <w:szCs w:val="21"/>
          <w:highlight w:val="none"/>
        </w:rPr>
      </w:pPr>
    </w:p>
    <w:p w14:paraId="05976D25">
      <w:pPr>
        <w:spacing w:before="312" w:beforeLines="100" w:line="440" w:lineRule="atLeast"/>
        <w:ind w:firstLine="444" w:firstLineChars="200"/>
        <w:rPr>
          <w:rFonts w:hint="eastAsia" w:ascii="Times New Roman" w:hAnsi="Times New Roman" w:cs="Times New Roman"/>
          <w:spacing w:val="6"/>
          <w:szCs w:val="21"/>
          <w:highlight w:val="none"/>
        </w:rPr>
      </w:pPr>
    </w:p>
    <w:p w14:paraId="49B7FFE0">
      <w:pPr>
        <w:spacing w:line="360" w:lineRule="auto"/>
        <w:rPr>
          <w:rFonts w:hint="eastAsia" w:ascii="Times New Roman" w:hAnsi="Times New Roman" w:cs="Times New Roman"/>
          <w:b/>
          <w:spacing w:val="20"/>
          <w:szCs w:val="21"/>
          <w:highlight w:val="none"/>
        </w:rPr>
      </w:pPr>
      <w:r>
        <w:rPr>
          <w:rFonts w:hint="eastAsia" w:ascii="Times New Roman" w:hAnsi="Times New Roman" w:cs="Times New Roman"/>
          <w:b/>
          <w:spacing w:val="20"/>
          <w:szCs w:val="21"/>
          <w:highlight w:val="none"/>
        </w:rPr>
        <w:t>注：</w:t>
      </w:r>
    </w:p>
    <w:p w14:paraId="72C6D9F5">
      <w:pPr>
        <w:snapToGrid w:val="0"/>
        <w:spacing w:line="360" w:lineRule="auto"/>
        <w:ind w:firstLine="422" w:firstLineChars="200"/>
        <w:jc w:val="left"/>
        <w:rPr>
          <w:rFonts w:hint="eastAsia" w:ascii="Times New Roman" w:hAnsi="Times New Roman" w:cs="Times New Roman"/>
          <w:b/>
          <w:szCs w:val="21"/>
          <w:highlight w:val="none"/>
        </w:rPr>
      </w:pPr>
      <w:r>
        <w:rPr>
          <w:rFonts w:hint="eastAsia" w:ascii="Times New Roman" w:hAnsi="Times New Roman" w:cs="Times New Roman"/>
          <w:b/>
          <w:szCs w:val="21"/>
          <w:highlight w:val="none"/>
        </w:rPr>
        <w:t>1.中标、成交供应商为残疾人福利性单位的，《残疾人福利性单位声明函》随中标、成交结果同时公告，接受社会监督。</w:t>
      </w:r>
    </w:p>
    <w:p w14:paraId="33CD615C">
      <w:pPr>
        <w:snapToGrid w:val="0"/>
        <w:spacing w:line="360" w:lineRule="auto"/>
        <w:ind w:firstLine="422" w:firstLineChars="200"/>
        <w:jc w:val="left"/>
        <w:rPr>
          <w:rFonts w:hint="eastAsia" w:ascii="Times New Roman" w:hAnsi="Times New Roman" w:cs="Times New Roman"/>
          <w:b/>
          <w:sz w:val="32"/>
          <w:highlight w:val="none"/>
        </w:rPr>
      </w:pPr>
      <w:r>
        <w:rPr>
          <w:rFonts w:hint="eastAsia" w:ascii="Times New Roman" w:hAnsi="Times New Roman" w:cs="Times New Roman"/>
          <w:b/>
          <w:szCs w:val="21"/>
          <w:highlight w:val="none"/>
        </w:rPr>
        <w:t>2.供应商提供的《残疾人福利性单位声明函》与事实不符的，依照《政府采购法》第七十七条第一款的规定追究法律责任。</w:t>
      </w:r>
    </w:p>
    <w:p w14:paraId="4EF54CA2">
      <w:pPr>
        <w:widowControl/>
        <w:jc w:val="left"/>
        <w:rPr>
          <w:rFonts w:hint="eastAsia" w:ascii="Times New Roman" w:hAnsi="Times New Roman" w:cs="Times New Roman" w:eastAsiaTheme="minorEastAsia"/>
          <w:b/>
          <w:szCs w:val="21"/>
          <w:highlight w:val="none"/>
        </w:rPr>
      </w:pPr>
      <w:r>
        <w:rPr>
          <w:rFonts w:ascii="Times New Roman" w:hAnsi="Times New Roman" w:cs="Times New Roman" w:eastAsiaTheme="minorEastAsia"/>
          <w:b/>
          <w:szCs w:val="21"/>
          <w:highlight w:val="none"/>
        </w:rPr>
        <w:br w:type="page"/>
      </w:r>
    </w:p>
    <w:p w14:paraId="2CA8B326">
      <w:pPr>
        <w:pStyle w:val="11"/>
        <w:jc w:val="center"/>
        <w:rPr>
          <w:rFonts w:hint="eastAsia" w:ascii="Times New Roman" w:hAnsi="Times New Roman" w:cs="Times New Roman" w:eastAsiaTheme="minorEastAsia"/>
          <w:b/>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b/>
          <w:sz w:val="21"/>
          <w:szCs w:val="21"/>
          <w:highlight w:val="none"/>
        </w:rPr>
        <w:t>监狱企业声</w:t>
      </w:r>
      <w:r>
        <w:rPr>
          <w:rFonts w:hint="eastAsia" w:ascii="Times New Roman" w:hAnsi="Times New Roman" w:cs="Times New Roman" w:eastAsiaTheme="minorEastAsia"/>
          <w:b/>
          <w:color w:val="000000" w:themeColor="text1"/>
          <w:sz w:val="21"/>
          <w:szCs w:val="21"/>
          <w:highlight w:val="none"/>
          <w14:textFill>
            <w14:solidFill>
              <w14:schemeClr w14:val="tx1"/>
            </w14:solidFill>
          </w14:textFill>
        </w:rPr>
        <w:t>明函（服务）</w:t>
      </w:r>
    </w:p>
    <w:p w14:paraId="3145DB69">
      <w:pPr>
        <w:spacing w:line="360" w:lineRule="auto"/>
        <w:ind w:firstLine="2880" w:firstLineChars="1200"/>
        <w:rPr>
          <w:rFonts w:hint="eastAsia" w:ascii="Times New Roman" w:hAnsi="Times New Roman" w:cs="Times New Roman" w:eastAsiaTheme="minorEastAsia"/>
          <w:sz w:val="24"/>
          <w:highlight w:val="none"/>
        </w:rPr>
      </w:pPr>
      <w:r>
        <w:rPr>
          <w:rFonts w:hint="eastAsia" w:ascii="Times New Roman" w:hAnsi="Times New Roman" w:cs="Times New Roman" w:eastAsiaTheme="minorEastAsia"/>
          <w:sz w:val="24"/>
          <w:highlight w:val="none"/>
        </w:rPr>
        <w:t>【非监狱企业不用提供】</w:t>
      </w:r>
    </w:p>
    <w:p w14:paraId="4F7F32EA">
      <w:pPr>
        <w:spacing w:line="360" w:lineRule="auto"/>
        <w:ind w:firstLine="480"/>
        <w:rPr>
          <w:rFonts w:hint="eastAsia" w:ascii="Times New Roman" w:hAnsi="Times New Roman" w:cs="Times New Roman" w:eastAsiaTheme="minorEastAsia"/>
          <w:szCs w:val="21"/>
          <w:highlight w:val="none"/>
        </w:rPr>
      </w:pPr>
    </w:p>
    <w:p w14:paraId="242FEFC0">
      <w:pPr>
        <w:spacing w:line="360" w:lineRule="auto"/>
        <w:ind w:firstLine="525" w:firstLineChars="25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监狱企业参加政府采购活动时，应当提供由省级以上监狱管理本企业郑重声明，根据《关于政府采购支持监狱企业发展有关问题的通知》（财库[2014]68号）的规定，本企业为监狱企业。</w:t>
      </w:r>
    </w:p>
    <w:p w14:paraId="60264245">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根据上述标准，我企业属于监狱企业的理由为：。</w:t>
      </w:r>
    </w:p>
    <w:p w14:paraId="20E17C3A">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本企业为参加（项目名称： ）（项目编号： ）采购活动提供本企业的产品。</w:t>
      </w:r>
    </w:p>
    <w:p w14:paraId="0968E528">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本企业对上述声明的真实性负责。如有虚假，将依法承担相应责任。</w:t>
      </w:r>
    </w:p>
    <w:p w14:paraId="5777DF7D">
      <w:pPr>
        <w:spacing w:line="360" w:lineRule="auto"/>
        <w:ind w:firstLine="480"/>
        <w:rPr>
          <w:rFonts w:hint="eastAsia" w:ascii="Times New Roman" w:hAnsi="Times New Roman" w:cs="Times New Roman" w:eastAsiaTheme="minorEastAsia"/>
          <w:szCs w:val="21"/>
          <w:highlight w:val="none"/>
        </w:rPr>
      </w:pPr>
    </w:p>
    <w:p w14:paraId="16A67158">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投标人名称（盖章）：</w:t>
      </w:r>
    </w:p>
    <w:p w14:paraId="717033DC">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日期： 年 月 日</w:t>
      </w:r>
    </w:p>
    <w:p w14:paraId="06BBE407">
      <w:pPr>
        <w:spacing w:line="360" w:lineRule="auto"/>
        <w:ind w:firstLine="480"/>
        <w:rPr>
          <w:rFonts w:hint="eastAsia" w:ascii="Times New Roman" w:hAnsi="Times New Roman" w:cs="Times New Roman" w:eastAsiaTheme="minorEastAsia"/>
          <w:szCs w:val="21"/>
          <w:highlight w:val="none"/>
        </w:rPr>
      </w:pPr>
    </w:p>
    <w:p w14:paraId="6D144209">
      <w:pPr>
        <w:spacing w:line="360" w:lineRule="auto"/>
        <w:ind w:firstLine="480"/>
        <w:rPr>
          <w:rFonts w:hint="eastAsia" w:ascii="Times New Roman" w:hAnsi="Times New Roman" w:cs="Times New Roman" w:eastAsiaTheme="minorEastAsia"/>
          <w:szCs w:val="21"/>
          <w:highlight w:val="none"/>
        </w:rPr>
      </w:pPr>
    </w:p>
    <w:p w14:paraId="77D46308">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投标人为监狱企业的提供此函。</w:t>
      </w:r>
    </w:p>
    <w:p w14:paraId="0281B0B7">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局、戒毒管理局（含新疆生产建设兵团）出具的属于监狱企业的证明文件。</w:t>
      </w:r>
    </w:p>
    <w:p w14:paraId="6BF12119">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E7F02E">
      <w:pPr>
        <w:outlineLvl w:val="1"/>
        <w:rPr>
          <w:rFonts w:hint="eastAsia" w:ascii="Times New Roman" w:hAnsi="Times New Roman" w:cs="Times New Roman"/>
          <w:b/>
          <w:bCs/>
          <w:szCs w:val="21"/>
          <w:highlight w:val="none"/>
          <w:lang w:val="en-US" w:eastAsia="zh-CN"/>
        </w:rPr>
      </w:pPr>
    </w:p>
    <w:p w14:paraId="60ECC77D">
      <w:pPr>
        <w:outlineLvl w:val="1"/>
        <w:rPr>
          <w:rFonts w:hint="eastAsia" w:ascii="Times New Roman" w:hAnsi="Times New Roman" w:cs="Times New Roman"/>
          <w:b/>
          <w:bCs/>
          <w:szCs w:val="21"/>
          <w:highlight w:val="none"/>
          <w:lang w:val="en-US" w:eastAsia="zh-CN"/>
        </w:rPr>
      </w:pPr>
    </w:p>
    <w:p w14:paraId="427A5939">
      <w:pPr>
        <w:outlineLvl w:val="1"/>
        <w:rPr>
          <w:rFonts w:hint="eastAsia" w:ascii="Times New Roman" w:hAnsi="Times New Roman" w:cs="Times New Roman"/>
          <w:b/>
          <w:bCs/>
          <w:szCs w:val="21"/>
          <w:highlight w:val="none"/>
          <w:lang w:val="en-US" w:eastAsia="zh-CN"/>
        </w:rPr>
      </w:pPr>
    </w:p>
    <w:p w14:paraId="551A432A">
      <w:pPr>
        <w:outlineLvl w:val="1"/>
        <w:rPr>
          <w:rFonts w:hint="eastAsia" w:ascii="Times New Roman" w:hAnsi="Times New Roman" w:cs="Times New Roman"/>
          <w:b/>
          <w:bCs/>
          <w:szCs w:val="21"/>
          <w:highlight w:val="none"/>
          <w:lang w:val="en-US" w:eastAsia="zh-CN"/>
        </w:rPr>
      </w:pPr>
    </w:p>
    <w:p w14:paraId="197312CF">
      <w:pPr>
        <w:outlineLvl w:val="1"/>
        <w:rPr>
          <w:rFonts w:hint="eastAsia" w:ascii="Times New Roman" w:hAnsi="Times New Roman" w:cs="Times New Roman"/>
          <w:b/>
          <w:bCs/>
          <w:szCs w:val="21"/>
          <w:highlight w:val="none"/>
          <w:lang w:val="en-US" w:eastAsia="zh-CN"/>
        </w:rPr>
      </w:pPr>
    </w:p>
    <w:p w14:paraId="7479BA24">
      <w:pPr>
        <w:outlineLvl w:val="1"/>
        <w:rPr>
          <w:rFonts w:hint="eastAsia" w:ascii="Times New Roman" w:hAnsi="Times New Roman" w:cs="Times New Roman"/>
          <w:b/>
          <w:bCs/>
          <w:szCs w:val="21"/>
          <w:highlight w:val="none"/>
          <w:lang w:val="en-US" w:eastAsia="zh-CN"/>
        </w:rPr>
      </w:pPr>
    </w:p>
    <w:p w14:paraId="2E8D38B4">
      <w:pPr>
        <w:outlineLvl w:val="1"/>
        <w:rPr>
          <w:rFonts w:hint="eastAsia" w:ascii="Times New Roman" w:hAnsi="Times New Roman" w:cs="Times New Roman"/>
          <w:b/>
          <w:bCs/>
          <w:szCs w:val="21"/>
          <w:highlight w:val="none"/>
          <w:lang w:val="en-US" w:eastAsia="zh-CN"/>
        </w:rPr>
      </w:pPr>
    </w:p>
    <w:p w14:paraId="480E2031">
      <w:pPr>
        <w:outlineLvl w:val="1"/>
        <w:rPr>
          <w:rFonts w:hint="eastAsia" w:ascii="Times New Roman" w:hAnsi="Times New Roman" w:cs="Times New Roman"/>
          <w:b/>
          <w:bCs/>
          <w:szCs w:val="21"/>
          <w:highlight w:val="none"/>
          <w:lang w:val="en-US" w:eastAsia="zh-CN"/>
        </w:rPr>
      </w:pPr>
    </w:p>
    <w:p w14:paraId="7B7AEEFB">
      <w:pPr>
        <w:outlineLvl w:val="1"/>
        <w:rPr>
          <w:rFonts w:hint="eastAsia" w:ascii="Times New Roman" w:hAnsi="Times New Roman" w:cs="Times New Roman"/>
          <w:b/>
          <w:bCs/>
          <w:szCs w:val="21"/>
          <w:highlight w:val="none"/>
          <w:lang w:val="en-US" w:eastAsia="zh-CN"/>
        </w:rPr>
      </w:pPr>
    </w:p>
    <w:p w14:paraId="6ADF4C10">
      <w:pPr>
        <w:outlineLvl w:val="1"/>
        <w:rPr>
          <w:rFonts w:hint="eastAsia" w:ascii="Times New Roman" w:hAnsi="Times New Roman" w:cs="Times New Roman"/>
          <w:b/>
          <w:bCs/>
          <w:szCs w:val="21"/>
          <w:highlight w:val="none"/>
          <w:lang w:val="en-US" w:eastAsia="zh-CN"/>
        </w:rPr>
      </w:pPr>
    </w:p>
    <w:p w14:paraId="0B10B435">
      <w:pPr>
        <w:outlineLvl w:val="1"/>
        <w:rPr>
          <w:rFonts w:hint="eastAsia" w:ascii="Times New Roman" w:hAnsi="Times New Roman" w:cs="Times New Roman"/>
          <w:b/>
          <w:bCs/>
          <w:szCs w:val="21"/>
          <w:highlight w:val="none"/>
          <w:lang w:val="en-US" w:eastAsia="zh-CN"/>
        </w:rPr>
      </w:pPr>
    </w:p>
    <w:p w14:paraId="40DD145C">
      <w:pPr>
        <w:outlineLvl w:val="1"/>
        <w:rPr>
          <w:rFonts w:hint="eastAsia" w:ascii="Times New Roman" w:hAnsi="Times New Roman" w:cs="Times New Roman"/>
          <w:b/>
          <w:bCs/>
          <w:szCs w:val="21"/>
          <w:highlight w:val="none"/>
          <w:lang w:val="en-US" w:eastAsia="zh-CN"/>
        </w:rPr>
      </w:pPr>
    </w:p>
    <w:p w14:paraId="12BC019D">
      <w:pPr>
        <w:outlineLvl w:val="1"/>
        <w:rPr>
          <w:rFonts w:hint="eastAsia" w:ascii="Times New Roman" w:hAnsi="Times New Roman" w:cs="Times New Roman"/>
          <w:b/>
          <w:bCs/>
          <w:szCs w:val="21"/>
          <w:highlight w:val="none"/>
          <w:lang w:val="en-US" w:eastAsia="zh-CN"/>
        </w:rPr>
      </w:pPr>
    </w:p>
    <w:p w14:paraId="0FC59D13">
      <w:pPr>
        <w:outlineLvl w:val="1"/>
        <w:rPr>
          <w:rFonts w:hint="eastAsia" w:ascii="Times New Roman" w:hAnsi="Times New Roman" w:cs="Times New Roman"/>
          <w:b/>
          <w:bCs/>
          <w:szCs w:val="21"/>
          <w:highlight w:val="none"/>
          <w:lang w:val="en-US" w:eastAsia="zh-CN"/>
        </w:rPr>
      </w:pPr>
    </w:p>
    <w:p w14:paraId="16AA3D3C">
      <w:pPr>
        <w:outlineLvl w:val="1"/>
        <w:rPr>
          <w:rFonts w:hint="eastAsia" w:ascii="Times New Roman" w:hAnsi="Times New Roman" w:cs="Times New Roman"/>
          <w:b/>
          <w:bCs/>
          <w:szCs w:val="21"/>
          <w:highlight w:val="none"/>
          <w:lang w:val="en-US" w:eastAsia="zh-CN"/>
        </w:rPr>
      </w:pPr>
    </w:p>
    <w:p w14:paraId="51EAB1EE">
      <w:pPr>
        <w:outlineLvl w:val="1"/>
        <w:rPr>
          <w:rFonts w:hint="eastAsia" w:ascii="Times New Roman" w:hAnsi="Times New Roman" w:cs="Times New Roman"/>
          <w:b/>
          <w:bCs/>
          <w:szCs w:val="21"/>
          <w:highlight w:val="none"/>
          <w:lang w:val="en-US" w:eastAsia="zh-CN"/>
        </w:rPr>
      </w:pPr>
    </w:p>
    <w:p w14:paraId="16353B36">
      <w:pPr>
        <w:outlineLvl w:val="1"/>
        <w:rPr>
          <w:rFonts w:hint="eastAsia" w:ascii="Times New Roman" w:hAnsi="Times New Roman" w:cs="Times New Roman"/>
          <w:b/>
          <w:bCs/>
          <w:szCs w:val="21"/>
          <w:highlight w:val="none"/>
          <w:lang w:val="en-US" w:eastAsia="zh-CN"/>
        </w:rPr>
      </w:pPr>
    </w:p>
    <w:p w14:paraId="6B1B3C86">
      <w:pPr>
        <w:outlineLvl w:val="1"/>
        <w:rPr>
          <w:rFonts w:hint="eastAsia" w:ascii="Times New Roman" w:hAnsi="Times New Roman" w:cs="Times New Roman"/>
          <w:b/>
          <w:bCs/>
          <w:szCs w:val="21"/>
          <w:highlight w:val="none"/>
          <w:lang w:val="en-US" w:eastAsia="zh-CN"/>
        </w:rPr>
      </w:pPr>
    </w:p>
    <w:p w14:paraId="6AF76FEE">
      <w:pPr>
        <w:outlineLvl w:val="1"/>
        <w:rPr>
          <w:rFonts w:hint="eastAsia" w:ascii="Times New Roman" w:hAnsi="Times New Roman" w:cs="Times New Roman"/>
          <w:b/>
          <w:bCs/>
          <w:szCs w:val="21"/>
          <w:highlight w:val="none"/>
          <w:lang w:val="en-US" w:eastAsia="zh-CN"/>
        </w:rPr>
      </w:pPr>
    </w:p>
    <w:p w14:paraId="7642DD2E">
      <w:pPr>
        <w:outlineLvl w:val="1"/>
        <w:rPr>
          <w:rFonts w:hint="eastAsia" w:ascii="Times New Roman" w:hAnsi="Times New Roman" w:cs="Times New Roman"/>
          <w:b/>
          <w:bCs/>
          <w:szCs w:val="21"/>
          <w:highlight w:val="none"/>
          <w:lang w:val="en-US" w:eastAsia="zh-CN"/>
        </w:rPr>
      </w:pPr>
    </w:p>
    <w:p w14:paraId="03E28601">
      <w:pPr>
        <w:outlineLvl w:val="1"/>
        <w:rPr>
          <w:rFonts w:hint="eastAsia" w:ascii="Times New Roman" w:hAnsi="Times New Roman" w:cs="Times New Roman"/>
          <w:b/>
          <w:bCs/>
          <w:szCs w:val="21"/>
          <w:highlight w:val="none"/>
          <w:lang w:val="en-US" w:eastAsia="zh-CN"/>
        </w:rPr>
      </w:pPr>
    </w:p>
    <w:p w14:paraId="35D8DD17">
      <w:pPr>
        <w:outlineLvl w:val="1"/>
        <w:rPr>
          <w:rFonts w:hint="eastAsia" w:ascii="Times New Roman" w:hAnsi="Times New Roman" w:cs="Times New Roman"/>
          <w:b/>
          <w:bCs/>
          <w:szCs w:val="21"/>
          <w:highlight w:val="none"/>
          <w:lang w:val="en-US" w:eastAsia="zh-CN"/>
        </w:rPr>
      </w:pPr>
    </w:p>
    <w:p w14:paraId="76177578">
      <w:pPr>
        <w:outlineLvl w:val="1"/>
        <w:rPr>
          <w:rFonts w:hint="eastAsia" w:ascii="Times New Roman" w:hAnsi="Times New Roman" w:cs="Times New Roman"/>
          <w:b/>
          <w:bCs/>
          <w:szCs w:val="21"/>
          <w:highlight w:val="none"/>
          <w:lang w:val="en-US" w:eastAsia="zh-CN"/>
        </w:rPr>
      </w:pPr>
    </w:p>
    <w:p w14:paraId="56959006">
      <w:pPr>
        <w:outlineLvl w:val="1"/>
        <w:rPr>
          <w:rFonts w:hint="eastAsia" w:ascii="Times New Roman" w:hAnsi="Times New Roman" w:cs="Times New Roman"/>
          <w:b/>
          <w:bCs/>
          <w:szCs w:val="21"/>
          <w:highlight w:val="none"/>
          <w:lang w:val="en-US" w:eastAsia="zh-CN"/>
        </w:rPr>
      </w:pPr>
    </w:p>
    <w:p w14:paraId="7E762E68">
      <w:pPr>
        <w:outlineLvl w:val="1"/>
        <w:rPr>
          <w:rFonts w:hint="eastAsia" w:ascii="Times New Roman" w:hAnsi="Times New Roman" w:cs="Times New Roman"/>
          <w:b/>
          <w:bCs/>
          <w:szCs w:val="21"/>
          <w:highlight w:val="none"/>
          <w:lang w:val="en-US" w:eastAsia="zh-CN"/>
        </w:rPr>
      </w:pPr>
    </w:p>
    <w:p w14:paraId="758E2B96">
      <w:pPr>
        <w:outlineLvl w:val="1"/>
        <w:rPr>
          <w:rFonts w:hint="eastAsia" w:ascii="Times New Roman" w:hAnsi="Times New Roman" w:cs="Times New Roman"/>
          <w:szCs w:val="21"/>
          <w:highlight w:val="none"/>
        </w:rPr>
      </w:pPr>
      <w:r>
        <w:rPr>
          <w:rFonts w:hint="eastAsia" w:ascii="Times New Roman" w:hAnsi="Times New Roman" w:cs="Times New Roman"/>
          <w:b/>
          <w:bCs/>
          <w:szCs w:val="21"/>
          <w:highlight w:val="none"/>
          <w:lang w:val="en-US" w:eastAsia="zh-CN"/>
        </w:rPr>
        <w:t>七</w:t>
      </w:r>
      <w:r>
        <w:rPr>
          <w:rFonts w:hint="eastAsia" w:ascii="Times New Roman" w:hAnsi="Times New Roman" w:cs="Times New Roman"/>
          <w:b/>
          <w:bCs/>
          <w:szCs w:val="21"/>
          <w:highlight w:val="none"/>
        </w:rPr>
        <w:t>、投标人基本情况表</w:t>
      </w:r>
    </w:p>
    <w:p w14:paraId="446C7423">
      <w:pPr>
        <w:snapToGrid w:val="0"/>
        <w:spacing w:line="360" w:lineRule="auto"/>
        <w:jc w:val="center"/>
        <w:rPr>
          <w:rFonts w:hint="eastAsia" w:ascii="Times New Roman" w:hAnsi="Times New Roman" w:cs="Times New Roman"/>
          <w:b/>
          <w:szCs w:val="21"/>
          <w:highlight w:val="none"/>
        </w:rPr>
      </w:pPr>
      <w:r>
        <w:rPr>
          <w:rFonts w:hint="eastAsia" w:ascii="Times New Roman" w:hAnsi="Times New Roman" w:cs="Times New Roman"/>
          <w:b/>
          <w:szCs w:val="21"/>
          <w:highlight w:val="none"/>
        </w:rPr>
        <w:t>投标人基本情况表</w:t>
      </w:r>
    </w:p>
    <w:tbl>
      <w:tblPr>
        <w:tblStyle w:val="3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6F3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8057D74">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企业名称</w:t>
            </w:r>
          </w:p>
        </w:tc>
        <w:tc>
          <w:tcPr>
            <w:tcW w:w="4820" w:type="dxa"/>
            <w:gridSpan w:val="6"/>
            <w:vAlign w:val="center"/>
          </w:tcPr>
          <w:p w14:paraId="0B1936E8">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034A5CB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法人代表</w:t>
            </w:r>
          </w:p>
        </w:tc>
        <w:tc>
          <w:tcPr>
            <w:tcW w:w="2551" w:type="dxa"/>
            <w:gridSpan w:val="4"/>
            <w:vAlign w:val="center"/>
          </w:tcPr>
          <w:p w14:paraId="64EFE65B">
            <w:pPr>
              <w:spacing w:line="440" w:lineRule="exact"/>
              <w:jc w:val="center"/>
              <w:rPr>
                <w:rFonts w:hint="eastAsia" w:ascii="Times New Roman" w:hAnsi="Times New Roman" w:cs="Times New Roman"/>
                <w:color w:val="000000"/>
                <w:szCs w:val="21"/>
                <w:highlight w:val="none"/>
              </w:rPr>
            </w:pPr>
          </w:p>
        </w:tc>
      </w:tr>
      <w:tr w14:paraId="0C05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F6BEAF1">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地址</w:t>
            </w:r>
          </w:p>
        </w:tc>
        <w:tc>
          <w:tcPr>
            <w:tcW w:w="4820" w:type="dxa"/>
            <w:gridSpan w:val="6"/>
            <w:vAlign w:val="center"/>
          </w:tcPr>
          <w:p w14:paraId="38E322EB">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6AFF4E06">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企业性质</w:t>
            </w:r>
          </w:p>
        </w:tc>
        <w:tc>
          <w:tcPr>
            <w:tcW w:w="2551" w:type="dxa"/>
            <w:gridSpan w:val="4"/>
            <w:vAlign w:val="center"/>
          </w:tcPr>
          <w:p w14:paraId="20C4D7EE">
            <w:pPr>
              <w:spacing w:line="440" w:lineRule="exact"/>
              <w:jc w:val="center"/>
              <w:rPr>
                <w:rFonts w:hint="eastAsia" w:ascii="Times New Roman" w:hAnsi="Times New Roman" w:cs="Times New Roman"/>
                <w:color w:val="000000"/>
                <w:szCs w:val="21"/>
                <w:highlight w:val="none"/>
              </w:rPr>
            </w:pPr>
          </w:p>
        </w:tc>
      </w:tr>
      <w:tr w14:paraId="7C9C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A52E80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股东姓名</w:t>
            </w:r>
          </w:p>
        </w:tc>
        <w:tc>
          <w:tcPr>
            <w:tcW w:w="992" w:type="dxa"/>
            <w:vAlign w:val="center"/>
          </w:tcPr>
          <w:p w14:paraId="70CFAEE0">
            <w:pPr>
              <w:spacing w:line="440" w:lineRule="exact"/>
              <w:jc w:val="center"/>
              <w:rPr>
                <w:rFonts w:hint="eastAsia" w:ascii="Times New Roman" w:hAnsi="Times New Roman" w:cs="Times New Roman"/>
                <w:color w:val="000000"/>
                <w:szCs w:val="21"/>
                <w:highlight w:val="none"/>
              </w:rPr>
            </w:pPr>
          </w:p>
        </w:tc>
        <w:tc>
          <w:tcPr>
            <w:tcW w:w="1418" w:type="dxa"/>
            <w:vAlign w:val="center"/>
          </w:tcPr>
          <w:p w14:paraId="76C265C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股权结构（%）</w:t>
            </w:r>
          </w:p>
        </w:tc>
        <w:tc>
          <w:tcPr>
            <w:tcW w:w="2410" w:type="dxa"/>
            <w:gridSpan w:val="4"/>
            <w:vAlign w:val="center"/>
          </w:tcPr>
          <w:p w14:paraId="64B1E593">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46FD6EA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股东关系</w:t>
            </w:r>
          </w:p>
        </w:tc>
        <w:tc>
          <w:tcPr>
            <w:tcW w:w="2551" w:type="dxa"/>
            <w:gridSpan w:val="4"/>
            <w:vAlign w:val="center"/>
          </w:tcPr>
          <w:p w14:paraId="20F480CE">
            <w:pPr>
              <w:spacing w:line="440" w:lineRule="exact"/>
              <w:jc w:val="center"/>
              <w:rPr>
                <w:rFonts w:hint="eastAsia" w:ascii="Times New Roman" w:hAnsi="Times New Roman" w:cs="Times New Roman"/>
                <w:color w:val="000000"/>
                <w:szCs w:val="21"/>
                <w:highlight w:val="none"/>
              </w:rPr>
            </w:pPr>
          </w:p>
        </w:tc>
      </w:tr>
      <w:tr w14:paraId="4FF6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0BEBDC58">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联系人姓名</w:t>
            </w:r>
          </w:p>
        </w:tc>
        <w:tc>
          <w:tcPr>
            <w:tcW w:w="992" w:type="dxa"/>
            <w:vMerge w:val="restart"/>
            <w:vAlign w:val="center"/>
          </w:tcPr>
          <w:p w14:paraId="508AF167">
            <w:pPr>
              <w:spacing w:line="440" w:lineRule="exact"/>
              <w:jc w:val="center"/>
              <w:rPr>
                <w:rFonts w:hint="eastAsia" w:ascii="Times New Roman" w:hAnsi="Times New Roman" w:cs="Times New Roman"/>
                <w:color w:val="000000"/>
                <w:szCs w:val="21"/>
                <w:highlight w:val="none"/>
              </w:rPr>
            </w:pPr>
          </w:p>
        </w:tc>
        <w:tc>
          <w:tcPr>
            <w:tcW w:w="1418" w:type="dxa"/>
            <w:vAlign w:val="center"/>
          </w:tcPr>
          <w:p w14:paraId="3639176C">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固定电话</w:t>
            </w:r>
          </w:p>
        </w:tc>
        <w:tc>
          <w:tcPr>
            <w:tcW w:w="2410" w:type="dxa"/>
            <w:gridSpan w:val="4"/>
            <w:vAlign w:val="center"/>
          </w:tcPr>
          <w:p w14:paraId="1DB3B9A5">
            <w:pPr>
              <w:spacing w:line="440" w:lineRule="exact"/>
              <w:jc w:val="center"/>
              <w:rPr>
                <w:rFonts w:hint="eastAsia" w:ascii="Times New Roman" w:hAnsi="Times New Roman" w:cs="Times New Roman"/>
                <w:color w:val="000000"/>
                <w:szCs w:val="21"/>
                <w:highlight w:val="none"/>
              </w:rPr>
            </w:pPr>
          </w:p>
        </w:tc>
        <w:tc>
          <w:tcPr>
            <w:tcW w:w="1701" w:type="dxa"/>
            <w:gridSpan w:val="2"/>
            <w:vMerge w:val="restart"/>
            <w:vAlign w:val="center"/>
          </w:tcPr>
          <w:p w14:paraId="757A1A41">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传真</w:t>
            </w:r>
          </w:p>
        </w:tc>
        <w:tc>
          <w:tcPr>
            <w:tcW w:w="2551" w:type="dxa"/>
            <w:gridSpan w:val="4"/>
            <w:vMerge w:val="restart"/>
            <w:vAlign w:val="center"/>
          </w:tcPr>
          <w:p w14:paraId="7EA99AF6">
            <w:pPr>
              <w:spacing w:line="440" w:lineRule="exact"/>
              <w:jc w:val="center"/>
              <w:rPr>
                <w:rFonts w:hint="eastAsia" w:ascii="Times New Roman" w:hAnsi="Times New Roman" w:cs="Times New Roman"/>
                <w:color w:val="000000"/>
                <w:szCs w:val="21"/>
                <w:highlight w:val="none"/>
              </w:rPr>
            </w:pPr>
          </w:p>
        </w:tc>
      </w:tr>
      <w:tr w14:paraId="1E8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5813BDB7">
            <w:pPr>
              <w:spacing w:line="440" w:lineRule="exact"/>
              <w:jc w:val="center"/>
              <w:rPr>
                <w:rFonts w:hint="eastAsia" w:ascii="Times New Roman" w:hAnsi="Times New Roman" w:cs="Times New Roman"/>
                <w:color w:val="000000"/>
                <w:szCs w:val="21"/>
                <w:highlight w:val="none"/>
              </w:rPr>
            </w:pPr>
          </w:p>
        </w:tc>
        <w:tc>
          <w:tcPr>
            <w:tcW w:w="992" w:type="dxa"/>
            <w:vMerge w:val="continue"/>
            <w:vAlign w:val="center"/>
          </w:tcPr>
          <w:p w14:paraId="75D9EFCA">
            <w:pPr>
              <w:spacing w:line="440" w:lineRule="exact"/>
              <w:jc w:val="center"/>
              <w:rPr>
                <w:rFonts w:hint="eastAsia" w:ascii="Times New Roman" w:hAnsi="Times New Roman" w:cs="Times New Roman"/>
                <w:color w:val="000000"/>
                <w:szCs w:val="21"/>
                <w:highlight w:val="none"/>
              </w:rPr>
            </w:pPr>
          </w:p>
        </w:tc>
        <w:tc>
          <w:tcPr>
            <w:tcW w:w="1418" w:type="dxa"/>
            <w:vAlign w:val="center"/>
          </w:tcPr>
          <w:p w14:paraId="5862A14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手 机</w:t>
            </w:r>
          </w:p>
        </w:tc>
        <w:tc>
          <w:tcPr>
            <w:tcW w:w="2410" w:type="dxa"/>
            <w:gridSpan w:val="4"/>
            <w:vAlign w:val="center"/>
          </w:tcPr>
          <w:p w14:paraId="1863BD74">
            <w:pPr>
              <w:spacing w:line="440" w:lineRule="exact"/>
              <w:jc w:val="center"/>
              <w:rPr>
                <w:rFonts w:hint="eastAsia" w:ascii="Times New Roman" w:hAnsi="Times New Roman" w:cs="Times New Roman"/>
                <w:color w:val="000000"/>
                <w:szCs w:val="21"/>
                <w:highlight w:val="none"/>
              </w:rPr>
            </w:pPr>
          </w:p>
        </w:tc>
        <w:tc>
          <w:tcPr>
            <w:tcW w:w="1701" w:type="dxa"/>
            <w:gridSpan w:val="2"/>
            <w:vMerge w:val="continue"/>
            <w:vAlign w:val="center"/>
          </w:tcPr>
          <w:p w14:paraId="69A50B24">
            <w:pPr>
              <w:spacing w:line="440" w:lineRule="exact"/>
              <w:jc w:val="center"/>
              <w:rPr>
                <w:rFonts w:hint="eastAsia" w:ascii="Times New Roman" w:hAnsi="Times New Roman" w:cs="Times New Roman"/>
                <w:color w:val="000000"/>
                <w:szCs w:val="21"/>
                <w:highlight w:val="none"/>
              </w:rPr>
            </w:pPr>
          </w:p>
        </w:tc>
        <w:tc>
          <w:tcPr>
            <w:tcW w:w="2551" w:type="dxa"/>
            <w:gridSpan w:val="4"/>
            <w:vMerge w:val="continue"/>
            <w:vAlign w:val="center"/>
          </w:tcPr>
          <w:p w14:paraId="1DD8F465">
            <w:pPr>
              <w:spacing w:line="440" w:lineRule="exact"/>
              <w:jc w:val="center"/>
              <w:rPr>
                <w:rFonts w:hint="eastAsia" w:ascii="Times New Roman" w:hAnsi="Times New Roman" w:cs="Times New Roman"/>
                <w:color w:val="000000"/>
                <w:szCs w:val="21"/>
                <w:highlight w:val="none"/>
              </w:rPr>
            </w:pPr>
          </w:p>
        </w:tc>
      </w:tr>
      <w:tr w14:paraId="1417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2EAC522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1.企业概况</w:t>
            </w:r>
          </w:p>
        </w:tc>
        <w:tc>
          <w:tcPr>
            <w:tcW w:w="992" w:type="dxa"/>
            <w:vAlign w:val="center"/>
          </w:tcPr>
          <w:p w14:paraId="36A824F1">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职工</w:t>
            </w:r>
          </w:p>
          <w:p w14:paraId="077A67F6">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人数</w:t>
            </w:r>
          </w:p>
        </w:tc>
        <w:tc>
          <w:tcPr>
            <w:tcW w:w="1418" w:type="dxa"/>
            <w:vAlign w:val="center"/>
          </w:tcPr>
          <w:p w14:paraId="74C1D14F">
            <w:pPr>
              <w:spacing w:line="440" w:lineRule="exact"/>
              <w:jc w:val="center"/>
              <w:rPr>
                <w:rFonts w:hint="eastAsia" w:ascii="Times New Roman" w:hAnsi="Times New Roman" w:cs="Times New Roman"/>
                <w:color w:val="000000"/>
                <w:szCs w:val="21"/>
                <w:highlight w:val="none"/>
              </w:rPr>
            </w:pPr>
          </w:p>
        </w:tc>
        <w:tc>
          <w:tcPr>
            <w:tcW w:w="1276" w:type="dxa"/>
            <w:gridSpan w:val="2"/>
            <w:vAlign w:val="center"/>
          </w:tcPr>
          <w:p w14:paraId="29C3E1AB">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具备大专以上学历人数</w:t>
            </w:r>
          </w:p>
        </w:tc>
        <w:tc>
          <w:tcPr>
            <w:tcW w:w="1134" w:type="dxa"/>
            <w:gridSpan w:val="2"/>
            <w:vAlign w:val="center"/>
          </w:tcPr>
          <w:p w14:paraId="114439D5">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03315DA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国家授予技术职称人数</w:t>
            </w:r>
          </w:p>
        </w:tc>
        <w:tc>
          <w:tcPr>
            <w:tcW w:w="2551" w:type="dxa"/>
            <w:gridSpan w:val="4"/>
            <w:vAlign w:val="center"/>
          </w:tcPr>
          <w:p w14:paraId="4708B77F">
            <w:pPr>
              <w:spacing w:line="440" w:lineRule="exact"/>
              <w:jc w:val="center"/>
              <w:rPr>
                <w:rFonts w:hint="eastAsia" w:ascii="Times New Roman" w:hAnsi="Times New Roman" w:cs="Times New Roman"/>
                <w:color w:val="000000"/>
                <w:szCs w:val="21"/>
                <w:highlight w:val="none"/>
              </w:rPr>
            </w:pPr>
          </w:p>
        </w:tc>
      </w:tr>
      <w:tr w14:paraId="611F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F06608E">
            <w:pPr>
              <w:spacing w:line="440" w:lineRule="exact"/>
              <w:jc w:val="center"/>
              <w:rPr>
                <w:rFonts w:hint="eastAsia" w:ascii="Times New Roman" w:hAnsi="Times New Roman" w:cs="Times New Roman"/>
                <w:color w:val="000000"/>
                <w:szCs w:val="21"/>
                <w:highlight w:val="none"/>
              </w:rPr>
            </w:pPr>
          </w:p>
        </w:tc>
        <w:tc>
          <w:tcPr>
            <w:tcW w:w="992" w:type="dxa"/>
            <w:vAlign w:val="center"/>
          </w:tcPr>
          <w:p w14:paraId="3AB4837D">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占地</w:t>
            </w:r>
          </w:p>
          <w:p w14:paraId="09F4D02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面积</w:t>
            </w:r>
          </w:p>
        </w:tc>
        <w:tc>
          <w:tcPr>
            <w:tcW w:w="1418" w:type="dxa"/>
            <w:vAlign w:val="center"/>
          </w:tcPr>
          <w:p w14:paraId="0FEE6080">
            <w:pPr>
              <w:spacing w:line="440" w:lineRule="exact"/>
              <w:jc w:val="center"/>
              <w:rPr>
                <w:rFonts w:hint="eastAsia" w:ascii="Times New Roman" w:hAnsi="Times New Roman" w:cs="Times New Roman"/>
                <w:color w:val="000000"/>
                <w:szCs w:val="21"/>
                <w:highlight w:val="none"/>
              </w:rPr>
            </w:pPr>
          </w:p>
        </w:tc>
        <w:tc>
          <w:tcPr>
            <w:tcW w:w="1276" w:type="dxa"/>
            <w:gridSpan w:val="2"/>
            <w:vAlign w:val="center"/>
          </w:tcPr>
          <w:p w14:paraId="4C58166A">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建筑面积</w:t>
            </w:r>
          </w:p>
        </w:tc>
        <w:tc>
          <w:tcPr>
            <w:tcW w:w="1134" w:type="dxa"/>
            <w:gridSpan w:val="2"/>
            <w:vAlign w:val="center"/>
          </w:tcPr>
          <w:p w14:paraId="403BBC1D">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平方米 □自有 □租赁</w:t>
            </w:r>
          </w:p>
        </w:tc>
        <w:tc>
          <w:tcPr>
            <w:tcW w:w="1701" w:type="dxa"/>
            <w:gridSpan w:val="2"/>
            <w:vAlign w:val="center"/>
          </w:tcPr>
          <w:p w14:paraId="23926C1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生产经营场所及场所的设施与设备</w:t>
            </w:r>
          </w:p>
        </w:tc>
        <w:tc>
          <w:tcPr>
            <w:tcW w:w="2551" w:type="dxa"/>
            <w:gridSpan w:val="4"/>
            <w:vAlign w:val="center"/>
          </w:tcPr>
          <w:p w14:paraId="089C157F">
            <w:pPr>
              <w:spacing w:line="440" w:lineRule="exact"/>
              <w:jc w:val="center"/>
              <w:rPr>
                <w:rFonts w:hint="eastAsia" w:ascii="Times New Roman" w:hAnsi="Times New Roman" w:cs="Times New Roman"/>
                <w:color w:val="000000"/>
                <w:szCs w:val="21"/>
                <w:highlight w:val="none"/>
              </w:rPr>
            </w:pPr>
          </w:p>
        </w:tc>
      </w:tr>
      <w:tr w14:paraId="6133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F3789E8">
            <w:pPr>
              <w:spacing w:line="440" w:lineRule="exact"/>
              <w:jc w:val="center"/>
              <w:rPr>
                <w:rFonts w:hint="eastAsia" w:ascii="Times New Roman" w:hAnsi="Times New Roman" w:cs="Times New Roman"/>
                <w:color w:val="000000"/>
                <w:szCs w:val="21"/>
                <w:highlight w:val="none"/>
              </w:rPr>
            </w:pPr>
          </w:p>
        </w:tc>
        <w:tc>
          <w:tcPr>
            <w:tcW w:w="992" w:type="dxa"/>
            <w:vAlign w:val="center"/>
          </w:tcPr>
          <w:p w14:paraId="5B6D24B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注册</w:t>
            </w:r>
          </w:p>
          <w:p w14:paraId="58A1CD85">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资金</w:t>
            </w:r>
          </w:p>
        </w:tc>
        <w:tc>
          <w:tcPr>
            <w:tcW w:w="1418" w:type="dxa"/>
            <w:vAlign w:val="center"/>
          </w:tcPr>
          <w:p w14:paraId="33910129">
            <w:pPr>
              <w:spacing w:line="440" w:lineRule="exact"/>
              <w:jc w:val="center"/>
              <w:rPr>
                <w:rFonts w:hint="eastAsia" w:ascii="Times New Roman" w:hAnsi="Times New Roman" w:cs="Times New Roman"/>
                <w:color w:val="000000"/>
                <w:szCs w:val="21"/>
                <w:highlight w:val="none"/>
              </w:rPr>
            </w:pPr>
          </w:p>
        </w:tc>
        <w:tc>
          <w:tcPr>
            <w:tcW w:w="1276" w:type="dxa"/>
            <w:gridSpan w:val="2"/>
            <w:vAlign w:val="center"/>
          </w:tcPr>
          <w:p w14:paraId="7EC15AB6">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注册发证机 关</w:t>
            </w:r>
          </w:p>
        </w:tc>
        <w:tc>
          <w:tcPr>
            <w:tcW w:w="2835" w:type="dxa"/>
            <w:gridSpan w:val="4"/>
            <w:vAlign w:val="center"/>
          </w:tcPr>
          <w:p w14:paraId="45EC4AB3">
            <w:pPr>
              <w:spacing w:line="440" w:lineRule="exact"/>
              <w:jc w:val="center"/>
              <w:rPr>
                <w:rFonts w:hint="eastAsia" w:ascii="Times New Roman" w:hAnsi="Times New Roman" w:cs="Times New Roman"/>
                <w:color w:val="000000"/>
                <w:szCs w:val="21"/>
                <w:highlight w:val="none"/>
              </w:rPr>
            </w:pPr>
          </w:p>
        </w:tc>
        <w:tc>
          <w:tcPr>
            <w:tcW w:w="992" w:type="dxa"/>
            <w:gridSpan w:val="2"/>
            <w:vAlign w:val="center"/>
          </w:tcPr>
          <w:p w14:paraId="09A8DA0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公司成立时间</w:t>
            </w:r>
          </w:p>
        </w:tc>
        <w:tc>
          <w:tcPr>
            <w:tcW w:w="1559" w:type="dxa"/>
            <w:gridSpan w:val="2"/>
            <w:vAlign w:val="center"/>
          </w:tcPr>
          <w:p w14:paraId="16D8E96D">
            <w:pPr>
              <w:spacing w:line="440" w:lineRule="exact"/>
              <w:jc w:val="center"/>
              <w:rPr>
                <w:rFonts w:hint="eastAsia" w:ascii="Times New Roman" w:hAnsi="Times New Roman" w:cs="Times New Roman"/>
                <w:color w:val="000000"/>
                <w:szCs w:val="21"/>
                <w:highlight w:val="none"/>
              </w:rPr>
            </w:pPr>
          </w:p>
        </w:tc>
      </w:tr>
      <w:tr w14:paraId="795E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E2A7F2E">
            <w:pPr>
              <w:spacing w:line="440" w:lineRule="exact"/>
              <w:jc w:val="center"/>
              <w:rPr>
                <w:rFonts w:hint="eastAsia" w:ascii="Times New Roman" w:hAnsi="Times New Roman" w:cs="Times New Roman"/>
                <w:color w:val="000000"/>
                <w:szCs w:val="21"/>
                <w:highlight w:val="none"/>
              </w:rPr>
            </w:pPr>
          </w:p>
        </w:tc>
        <w:tc>
          <w:tcPr>
            <w:tcW w:w="992" w:type="dxa"/>
            <w:vAlign w:val="center"/>
          </w:tcPr>
          <w:p w14:paraId="01ABE70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核准经营范围</w:t>
            </w:r>
          </w:p>
        </w:tc>
        <w:tc>
          <w:tcPr>
            <w:tcW w:w="8080" w:type="dxa"/>
            <w:gridSpan w:val="11"/>
            <w:vAlign w:val="center"/>
          </w:tcPr>
          <w:p w14:paraId="75668B37">
            <w:pPr>
              <w:spacing w:line="440" w:lineRule="exact"/>
              <w:jc w:val="center"/>
              <w:rPr>
                <w:rFonts w:hint="eastAsia" w:ascii="Times New Roman" w:hAnsi="Times New Roman" w:cs="Times New Roman"/>
                <w:color w:val="000000"/>
                <w:szCs w:val="21"/>
                <w:highlight w:val="none"/>
              </w:rPr>
            </w:pPr>
          </w:p>
        </w:tc>
      </w:tr>
      <w:tr w14:paraId="7CAD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BA2304F">
            <w:pPr>
              <w:spacing w:line="440" w:lineRule="exact"/>
              <w:jc w:val="center"/>
              <w:rPr>
                <w:rFonts w:hint="eastAsia" w:ascii="Times New Roman" w:hAnsi="Times New Roman" w:cs="Times New Roman"/>
                <w:color w:val="000000"/>
                <w:szCs w:val="21"/>
                <w:highlight w:val="none"/>
              </w:rPr>
            </w:pPr>
          </w:p>
        </w:tc>
        <w:tc>
          <w:tcPr>
            <w:tcW w:w="9072" w:type="dxa"/>
            <w:gridSpan w:val="12"/>
            <w:vAlign w:val="center"/>
          </w:tcPr>
          <w:p w14:paraId="1C0B7198">
            <w:pPr>
              <w:spacing w:line="440" w:lineRule="exact"/>
              <w:jc w:val="left"/>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发展历程及主要荣誉：</w:t>
            </w:r>
          </w:p>
        </w:tc>
      </w:tr>
      <w:tr w14:paraId="5752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78184BE5">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2.企业有关资质获证情况</w:t>
            </w:r>
          </w:p>
        </w:tc>
        <w:tc>
          <w:tcPr>
            <w:tcW w:w="2590" w:type="dxa"/>
            <w:gridSpan w:val="3"/>
            <w:vMerge w:val="restart"/>
            <w:vAlign w:val="center"/>
          </w:tcPr>
          <w:p w14:paraId="2B92EBB9">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产品生产许可证情况（对需获得生产许可证的产品要填写此栏）</w:t>
            </w:r>
          </w:p>
        </w:tc>
        <w:tc>
          <w:tcPr>
            <w:tcW w:w="1663" w:type="dxa"/>
            <w:gridSpan w:val="2"/>
            <w:vAlign w:val="center"/>
          </w:tcPr>
          <w:p w14:paraId="4F4B8342">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产品名称</w:t>
            </w:r>
          </w:p>
        </w:tc>
        <w:tc>
          <w:tcPr>
            <w:tcW w:w="1417" w:type="dxa"/>
            <w:gridSpan w:val="2"/>
            <w:vAlign w:val="center"/>
          </w:tcPr>
          <w:p w14:paraId="16A34C19">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发证机关</w:t>
            </w:r>
          </w:p>
        </w:tc>
        <w:tc>
          <w:tcPr>
            <w:tcW w:w="1181" w:type="dxa"/>
            <w:gridSpan w:val="2"/>
            <w:vAlign w:val="center"/>
          </w:tcPr>
          <w:p w14:paraId="70D379E5">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编 号</w:t>
            </w:r>
          </w:p>
        </w:tc>
        <w:tc>
          <w:tcPr>
            <w:tcW w:w="804" w:type="dxa"/>
            <w:gridSpan w:val="2"/>
            <w:vAlign w:val="center"/>
          </w:tcPr>
          <w:p w14:paraId="19619014">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发证时间</w:t>
            </w:r>
          </w:p>
        </w:tc>
        <w:tc>
          <w:tcPr>
            <w:tcW w:w="1417" w:type="dxa"/>
            <w:vAlign w:val="center"/>
          </w:tcPr>
          <w:p w14:paraId="6BF9FC3C">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期 限</w:t>
            </w:r>
          </w:p>
        </w:tc>
      </w:tr>
      <w:tr w14:paraId="26F4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D1DB167">
            <w:pPr>
              <w:spacing w:line="440" w:lineRule="exact"/>
              <w:jc w:val="center"/>
              <w:rPr>
                <w:rFonts w:hint="eastAsia" w:ascii="Times New Roman" w:hAnsi="Times New Roman" w:cs="Times New Roman"/>
                <w:color w:val="000000"/>
                <w:szCs w:val="21"/>
                <w:highlight w:val="none"/>
              </w:rPr>
            </w:pPr>
          </w:p>
        </w:tc>
        <w:tc>
          <w:tcPr>
            <w:tcW w:w="2590" w:type="dxa"/>
            <w:gridSpan w:val="3"/>
            <w:vMerge w:val="continue"/>
            <w:vAlign w:val="center"/>
          </w:tcPr>
          <w:p w14:paraId="0AD2A0A4">
            <w:pPr>
              <w:spacing w:line="440" w:lineRule="exact"/>
              <w:jc w:val="center"/>
              <w:rPr>
                <w:rFonts w:hint="eastAsia" w:ascii="Times New Roman" w:hAnsi="Times New Roman" w:cs="Times New Roman"/>
                <w:color w:val="000000"/>
                <w:szCs w:val="21"/>
                <w:highlight w:val="none"/>
              </w:rPr>
            </w:pPr>
          </w:p>
        </w:tc>
        <w:tc>
          <w:tcPr>
            <w:tcW w:w="1663" w:type="dxa"/>
            <w:gridSpan w:val="2"/>
            <w:vAlign w:val="center"/>
          </w:tcPr>
          <w:p w14:paraId="408654AA">
            <w:pPr>
              <w:spacing w:line="440" w:lineRule="exact"/>
              <w:jc w:val="center"/>
              <w:rPr>
                <w:rFonts w:hint="eastAsia" w:ascii="Times New Roman" w:hAnsi="Times New Roman" w:cs="Times New Roman"/>
                <w:color w:val="000000"/>
                <w:szCs w:val="21"/>
                <w:highlight w:val="none"/>
              </w:rPr>
            </w:pPr>
          </w:p>
        </w:tc>
        <w:tc>
          <w:tcPr>
            <w:tcW w:w="1417" w:type="dxa"/>
            <w:gridSpan w:val="2"/>
            <w:vAlign w:val="center"/>
          </w:tcPr>
          <w:p w14:paraId="4FC2C0CE">
            <w:pPr>
              <w:spacing w:line="440" w:lineRule="exact"/>
              <w:jc w:val="center"/>
              <w:rPr>
                <w:rFonts w:hint="eastAsia" w:ascii="Times New Roman" w:hAnsi="Times New Roman" w:cs="Times New Roman"/>
                <w:color w:val="000000"/>
                <w:szCs w:val="21"/>
                <w:highlight w:val="none"/>
              </w:rPr>
            </w:pPr>
          </w:p>
        </w:tc>
        <w:tc>
          <w:tcPr>
            <w:tcW w:w="1181" w:type="dxa"/>
            <w:gridSpan w:val="2"/>
            <w:vAlign w:val="center"/>
          </w:tcPr>
          <w:p w14:paraId="5DF87020">
            <w:pPr>
              <w:spacing w:line="440" w:lineRule="exact"/>
              <w:jc w:val="center"/>
              <w:rPr>
                <w:rFonts w:hint="eastAsia" w:ascii="Times New Roman" w:hAnsi="Times New Roman" w:cs="Times New Roman"/>
                <w:color w:val="000000"/>
                <w:szCs w:val="21"/>
                <w:highlight w:val="none"/>
              </w:rPr>
            </w:pPr>
          </w:p>
        </w:tc>
        <w:tc>
          <w:tcPr>
            <w:tcW w:w="2221" w:type="dxa"/>
            <w:gridSpan w:val="3"/>
            <w:vAlign w:val="center"/>
          </w:tcPr>
          <w:p w14:paraId="2A61632F">
            <w:pPr>
              <w:spacing w:line="440" w:lineRule="exact"/>
              <w:jc w:val="center"/>
              <w:rPr>
                <w:rFonts w:hint="eastAsia" w:ascii="Times New Roman" w:hAnsi="Times New Roman" w:cs="Times New Roman"/>
                <w:color w:val="000000"/>
                <w:szCs w:val="21"/>
                <w:highlight w:val="none"/>
              </w:rPr>
            </w:pPr>
          </w:p>
        </w:tc>
      </w:tr>
      <w:tr w14:paraId="5692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6F22963">
            <w:pPr>
              <w:spacing w:line="440" w:lineRule="exact"/>
              <w:jc w:val="center"/>
              <w:rPr>
                <w:rFonts w:hint="eastAsia" w:ascii="Times New Roman" w:hAnsi="Times New Roman" w:cs="Times New Roman"/>
                <w:color w:val="000000"/>
                <w:szCs w:val="21"/>
                <w:highlight w:val="none"/>
              </w:rPr>
            </w:pPr>
          </w:p>
        </w:tc>
        <w:tc>
          <w:tcPr>
            <w:tcW w:w="2590" w:type="dxa"/>
            <w:gridSpan w:val="3"/>
            <w:vAlign w:val="center"/>
          </w:tcPr>
          <w:p w14:paraId="4D01FC39">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企业通过质量体 系、环保体系、计量等认证情况</w:t>
            </w:r>
          </w:p>
        </w:tc>
        <w:tc>
          <w:tcPr>
            <w:tcW w:w="6482" w:type="dxa"/>
            <w:gridSpan w:val="9"/>
            <w:vAlign w:val="center"/>
          </w:tcPr>
          <w:p w14:paraId="79C9F0E1">
            <w:pPr>
              <w:spacing w:line="440" w:lineRule="exact"/>
              <w:jc w:val="center"/>
              <w:rPr>
                <w:rFonts w:hint="eastAsia" w:ascii="Times New Roman" w:hAnsi="Times New Roman" w:cs="Times New Roman"/>
                <w:color w:val="000000"/>
                <w:szCs w:val="21"/>
                <w:highlight w:val="none"/>
              </w:rPr>
            </w:pPr>
          </w:p>
        </w:tc>
      </w:tr>
      <w:tr w14:paraId="4C62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E6EBCCD">
            <w:pPr>
              <w:spacing w:line="440" w:lineRule="exact"/>
              <w:jc w:val="center"/>
              <w:rPr>
                <w:rFonts w:hint="eastAsia" w:ascii="Times New Roman" w:hAnsi="Times New Roman" w:cs="Times New Roman"/>
                <w:color w:val="000000"/>
                <w:szCs w:val="21"/>
                <w:highlight w:val="none"/>
              </w:rPr>
            </w:pPr>
          </w:p>
        </w:tc>
        <w:tc>
          <w:tcPr>
            <w:tcW w:w="2590" w:type="dxa"/>
            <w:gridSpan w:val="3"/>
            <w:vAlign w:val="center"/>
          </w:tcPr>
          <w:p w14:paraId="05A7AA5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企业获得专利情况</w:t>
            </w:r>
          </w:p>
        </w:tc>
        <w:tc>
          <w:tcPr>
            <w:tcW w:w="6482" w:type="dxa"/>
            <w:gridSpan w:val="9"/>
            <w:vAlign w:val="center"/>
          </w:tcPr>
          <w:p w14:paraId="1E8564A5">
            <w:pPr>
              <w:spacing w:line="440" w:lineRule="exact"/>
              <w:jc w:val="center"/>
              <w:rPr>
                <w:rFonts w:hint="eastAsia" w:ascii="Times New Roman" w:hAnsi="Times New Roman" w:cs="Times New Roman"/>
                <w:color w:val="000000"/>
                <w:szCs w:val="21"/>
                <w:highlight w:val="none"/>
              </w:rPr>
            </w:pPr>
          </w:p>
        </w:tc>
      </w:tr>
    </w:tbl>
    <w:p w14:paraId="05317B19">
      <w:pPr>
        <w:spacing w:line="360" w:lineRule="auto"/>
        <w:rPr>
          <w:rFonts w:hint="eastAsia" w:ascii="Times New Roman" w:hAnsi="Times New Roman" w:cs="Times New Roman"/>
          <w:b/>
          <w:spacing w:val="20"/>
          <w:szCs w:val="21"/>
          <w:highlight w:val="none"/>
        </w:rPr>
      </w:pPr>
      <w:r>
        <w:rPr>
          <w:rFonts w:hint="eastAsia" w:ascii="Times New Roman" w:hAnsi="Times New Roman" w:cs="Times New Roman"/>
          <w:b/>
          <w:spacing w:val="20"/>
          <w:szCs w:val="21"/>
          <w:highlight w:val="none"/>
        </w:rPr>
        <w:t>注：姓名栏必须将所有股东都统计在内，若非股份公司此行（第三行）无需填写。</w:t>
      </w:r>
    </w:p>
    <w:p w14:paraId="772C0AA1">
      <w:pPr>
        <w:spacing w:line="360" w:lineRule="auto"/>
        <w:rPr>
          <w:rFonts w:hint="eastAsia" w:ascii="Times New Roman" w:hAnsi="Times New Roman" w:cs="Times New Roman"/>
          <w:szCs w:val="21"/>
          <w:highlight w:val="none"/>
        </w:rPr>
      </w:pPr>
    </w:p>
    <w:p w14:paraId="2D2E6BE1">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投标人名称：</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（加盖公章）</w:t>
      </w:r>
    </w:p>
    <w:p w14:paraId="605EA7C6">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法定代表人或投标人代表：</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 xml:space="preserve">（签字或盖章）                                             </w:t>
      </w:r>
    </w:p>
    <w:p w14:paraId="4116DEEC">
      <w:pPr>
        <w:snapToGrid w:val="0"/>
        <w:spacing w:before="50" w:after="50" w:line="480" w:lineRule="auto"/>
        <w:ind w:left="-21" w:leftChars="-72" w:right="-817" w:rightChars="-389" w:hanging="130" w:hangingChars="62"/>
        <w:rPr>
          <w:rFonts w:hint="eastAsia" w:ascii="Times New Roman" w:hAnsi="Times New Roman" w:cs="Times New Roman"/>
          <w:b/>
          <w:szCs w:val="21"/>
          <w:highlight w:val="none"/>
        </w:rPr>
      </w:pPr>
      <w:r>
        <w:rPr>
          <w:rFonts w:hint="eastAsia" w:ascii="Times New Roman" w:hAnsi="Times New Roman" w:cs="Times New Roman"/>
          <w:szCs w:val="21"/>
          <w:highlight w:val="none"/>
        </w:rPr>
        <w:t xml:space="preserve">  日期：</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月</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日</w:t>
      </w:r>
      <w:r>
        <w:rPr>
          <w:rFonts w:hint="eastAsia" w:ascii="Times New Roman" w:hAnsi="Times New Roman" w:cs="Times New Roman"/>
          <w:b/>
          <w:bCs/>
          <w:szCs w:val="21"/>
          <w:highlight w:val="none"/>
        </w:rPr>
        <w:br w:type="page"/>
      </w:r>
      <w:r>
        <w:rPr>
          <w:rFonts w:hint="eastAsia" w:ascii="Times New Roman" w:hAnsi="Times New Roman" w:cs="Times New Roman"/>
          <w:b/>
          <w:bCs/>
          <w:szCs w:val="21"/>
          <w:highlight w:val="none"/>
          <w:lang w:val="en-US" w:eastAsia="zh-CN"/>
        </w:rPr>
        <w:t>八</w:t>
      </w:r>
      <w:r>
        <w:rPr>
          <w:rFonts w:hint="eastAsia" w:ascii="Times New Roman" w:hAnsi="Times New Roman" w:cs="Times New Roman"/>
          <w:b/>
          <w:bCs/>
          <w:szCs w:val="21"/>
          <w:highlight w:val="none"/>
        </w:rPr>
        <w:t>、类似项目业绩格式：</w:t>
      </w:r>
    </w:p>
    <w:p w14:paraId="7F918B41">
      <w:pPr>
        <w:pStyle w:val="160"/>
        <w:spacing w:line="360" w:lineRule="auto"/>
        <w:ind w:firstLine="0"/>
        <w:jc w:val="center"/>
        <w:rPr>
          <w:rFonts w:hint="eastAsia" w:ascii="Times New Roman" w:hAnsi="Times New Roman" w:cs="Times New Roman"/>
          <w:b/>
          <w:spacing w:val="0"/>
          <w:sz w:val="21"/>
          <w:szCs w:val="21"/>
          <w:highlight w:val="none"/>
        </w:rPr>
      </w:pPr>
      <w:r>
        <w:rPr>
          <w:rFonts w:hint="eastAsia" w:ascii="Times New Roman" w:hAnsi="Times New Roman" w:cs="Times New Roman"/>
          <w:b/>
          <w:spacing w:val="0"/>
          <w:sz w:val="21"/>
          <w:szCs w:val="21"/>
          <w:highlight w:val="none"/>
        </w:rPr>
        <w:t>类似项目业绩表</w:t>
      </w:r>
    </w:p>
    <w:tbl>
      <w:tblPr>
        <w:tblStyle w:val="3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4DBDB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0FEC64C3">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序号</w:t>
            </w:r>
          </w:p>
        </w:tc>
        <w:tc>
          <w:tcPr>
            <w:tcW w:w="1419" w:type="dxa"/>
            <w:vAlign w:val="center"/>
          </w:tcPr>
          <w:p w14:paraId="1D969430">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招标人名称</w:t>
            </w:r>
          </w:p>
        </w:tc>
        <w:tc>
          <w:tcPr>
            <w:tcW w:w="1861" w:type="dxa"/>
            <w:vAlign w:val="center"/>
          </w:tcPr>
          <w:p w14:paraId="3581C277">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项目名称</w:t>
            </w:r>
          </w:p>
        </w:tc>
        <w:tc>
          <w:tcPr>
            <w:tcW w:w="1620" w:type="dxa"/>
            <w:vAlign w:val="center"/>
          </w:tcPr>
          <w:p w14:paraId="65BEFE1E">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合同内容简介及签订时间</w:t>
            </w:r>
          </w:p>
        </w:tc>
        <w:tc>
          <w:tcPr>
            <w:tcW w:w="1312" w:type="dxa"/>
            <w:vAlign w:val="center"/>
          </w:tcPr>
          <w:p w14:paraId="062736B4">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合同价格（元）</w:t>
            </w:r>
          </w:p>
        </w:tc>
        <w:tc>
          <w:tcPr>
            <w:tcW w:w="1501" w:type="dxa"/>
            <w:vAlign w:val="center"/>
          </w:tcPr>
          <w:p w14:paraId="4ADF6008">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招标人</w:t>
            </w:r>
          </w:p>
          <w:p w14:paraId="115C917C">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联系人/电话</w:t>
            </w:r>
          </w:p>
        </w:tc>
      </w:tr>
      <w:tr w14:paraId="5EBD2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0106FA0">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w:t>
            </w:r>
          </w:p>
        </w:tc>
        <w:tc>
          <w:tcPr>
            <w:tcW w:w="1419" w:type="dxa"/>
            <w:vAlign w:val="center"/>
          </w:tcPr>
          <w:p w14:paraId="02D63325">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6D370A64">
            <w:pPr>
              <w:pStyle w:val="160"/>
              <w:spacing w:line="400" w:lineRule="exact"/>
              <w:ind w:firstLine="482"/>
              <w:jc w:val="center"/>
              <w:rPr>
                <w:rFonts w:hint="eastAsia" w:ascii="Times New Roman" w:hAnsi="Times New Roman" w:cs="Times New Roman"/>
                <w:b/>
                <w:sz w:val="21"/>
                <w:szCs w:val="21"/>
                <w:highlight w:val="none"/>
              </w:rPr>
            </w:pPr>
          </w:p>
        </w:tc>
        <w:tc>
          <w:tcPr>
            <w:tcW w:w="1620" w:type="dxa"/>
            <w:vAlign w:val="center"/>
          </w:tcPr>
          <w:p w14:paraId="3505BF6F">
            <w:pPr>
              <w:pStyle w:val="160"/>
              <w:spacing w:line="400" w:lineRule="exact"/>
              <w:ind w:firstLine="482"/>
              <w:jc w:val="center"/>
              <w:rPr>
                <w:rFonts w:hint="eastAsia" w:ascii="Times New Roman" w:hAnsi="Times New Roman" w:cs="Times New Roman"/>
                <w:b/>
                <w:sz w:val="21"/>
                <w:szCs w:val="21"/>
                <w:highlight w:val="none"/>
              </w:rPr>
            </w:pPr>
          </w:p>
        </w:tc>
        <w:tc>
          <w:tcPr>
            <w:tcW w:w="1312" w:type="dxa"/>
            <w:vAlign w:val="center"/>
          </w:tcPr>
          <w:p w14:paraId="5A1F2468">
            <w:pPr>
              <w:pStyle w:val="160"/>
              <w:spacing w:line="400" w:lineRule="exact"/>
              <w:ind w:firstLine="482"/>
              <w:jc w:val="center"/>
              <w:rPr>
                <w:rFonts w:hint="eastAsia" w:ascii="Times New Roman" w:hAnsi="Times New Roman" w:cs="Times New Roman"/>
                <w:b/>
                <w:sz w:val="21"/>
                <w:szCs w:val="21"/>
                <w:highlight w:val="none"/>
              </w:rPr>
            </w:pPr>
          </w:p>
        </w:tc>
        <w:tc>
          <w:tcPr>
            <w:tcW w:w="1501" w:type="dxa"/>
            <w:vAlign w:val="center"/>
          </w:tcPr>
          <w:p w14:paraId="2705C6AA">
            <w:pPr>
              <w:pStyle w:val="160"/>
              <w:spacing w:line="400" w:lineRule="exact"/>
              <w:ind w:firstLine="482"/>
              <w:jc w:val="center"/>
              <w:rPr>
                <w:rFonts w:hint="eastAsia" w:ascii="Times New Roman" w:hAnsi="Times New Roman" w:cs="Times New Roman"/>
                <w:b/>
                <w:sz w:val="21"/>
                <w:szCs w:val="21"/>
                <w:highlight w:val="none"/>
              </w:rPr>
            </w:pPr>
          </w:p>
        </w:tc>
      </w:tr>
      <w:tr w14:paraId="66DAA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A2EE4CB">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w:t>
            </w:r>
          </w:p>
        </w:tc>
        <w:tc>
          <w:tcPr>
            <w:tcW w:w="1419" w:type="dxa"/>
            <w:vAlign w:val="center"/>
          </w:tcPr>
          <w:p w14:paraId="04799AD0">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7C0FD7CD">
            <w:pPr>
              <w:pStyle w:val="160"/>
              <w:spacing w:line="400" w:lineRule="exact"/>
              <w:ind w:firstLine="482"/>
              <w:jc w:val="center"/>
              <w:rPr>
                <w:rFonts w:hint="eastAsia" w:ascii="Times New Roman" w:hAnsi="Times New Roman" w:cs="Times New Roman"/>
                <w:b/>
                <w:sz w:val="21"/>
                <w:szCs w:val="21"/>
                <w:highlight w:val="none"/>
              </w:rPr>
            </w:pPr>
          </w:p>
        </w:tc>
        <w:tc>
          <w:tcPr>
            <w:tcW w:w="1620" w:type="dxa"/>
            <w:vAlign w:val="center"/>
          </w:tcPr>
          <w:p w14:paraId="6F33AF86">
            <w:pPr>
              <w:pStyle w:val="160"/>
              <w:spacing w:line="400" w:lineRule="exact"/>
              <w:ind w:firstLine="482"/>
              <w:jc w:val="center"/>
              <w:rPr>
                <w:rFonts w:hint="eastAsia" w:ascii="Times New Roman" w:hAnsi="Times New Roman" w:cs="Times New Roman"/>
                <w:b/>
                <w:sz w:val="21"/>
                <w:szCs w:val="21"/>
                <w:highlight w:val="none"/>
              </w:rPr>
            </w:pPr>
          </w:p>
        </w:tc>
        <w:tc>
          <w:tcPr>
            <w:tcW w:w="1312" w:type="dxa"/>
            <w:vAlign w:val="center"/>
          </w:tcPr>
          <w:p w14:paraId="66831DC0">
            <w:pPr>
              <w:pStyle w:val="160"/>
              <w:spacing w:line="400" w:lineRule="exact"/>
              <w:ind w:firstLine="482"/>
              <w:jc w:val="center"/>
              <w:rPr>
                <w:rFonts w:hint="eastAsia" w:ascii="Times New Roman" w:hAnsi="Times New Roman" w:cs="Times New Roman"/>
                <w:b/>
                <w:sz w:val="21"/>
                <w:szCs w:val="21"/>
                <w:highlight w:val="none"/>
              </w:rPr>
            </w:pPr>
          </w:p>
        </w:tc>
        <w:tc>
          <w:tcPr>
            <w:tcW w:w="1501" w:type="dxa"/>
            <w:vAlign w:val="center"/>
          </w:tcPr>
          <w:p w14:paraId="2D9B6A35">
            <w:pPr>
              <w:pStyle w:val="160"/>
              <w:spacing w:line="400" w:lineRule="exact"/>
              <w:ind w:firstLine="482"/>
              <w:jc w:val="center"/>
              <w:rPr>
                <w:rFonts w:hint="eastAsia" w:ascii="Times New Roman" w:hAnsi="Times New Roman" w:cs="Times New Roman"/>
                <w:b/>
                <w:sz w:val="21"/>
                <w:szCs w:val="21"/>
                <w:highlight w:val="none"/>
              </w:rPr>
            </w:pPr>
          </w:p>
        </w:tc>
      </w:tr>
      <w:tr w14:paraId="054D1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F3EAAFE">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3</w:t>
            </w:r>
          </w:p>
        </w:tc>
        <w:tc>
          <w:tcPr>
            <w:tcW w:w="1419" w:type="dxa"/>
            <w:vAlign w:val="center"/>
          </w:tcPr>
          <w:p w14:paraId="6377F556">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1AC8D131">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70D635BB">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4BA41D03">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67598672">
            <w:pPr>
              <w:pStyle w:val="160"/>
              <w:spacing w:line="400" w:lineRule="exact"/>
              <w:ind w:firstLine="480"/>
              <w:jc w:val="center"/>
              <w:rPr>
                <w:rFonts w:hint="eastAsia" w:ascii="Times New Roman" w:hAnsi="Times New Roman" w:cs="Times New Roman"/>
                <w:sz w:val="21"/>
                <w:szCs w:val="21"/>
                <w:highlight w:val="none"/>
              </w:rPr>
            </w:pPr>
          </w:p>
        </w:tc>
      </w:tr>
      <w:tr w14:paraId="325F4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3C0D2F2">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4</w:t>
            </w:r>
          </w:p>
        </w:tc>
        <w:tc>
          <w:tcPr>
            <w:tcW w:w="1419" w:type="dxa"/>
            <w:vAlign w:val="center"/>
          </w:tcPr>
          <w:p w14:paraId="4E695FA9">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465E4927">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5330E72C">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5C784A4D">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7120A57A">
            <w:pPr>
              <w:pStyle w:val="160"/>
              <w:spacing w:line="400" w:lineRule="exact"/>
              <w:ind w:firstLine="480"/>
              <w:jc w:val="center"/>
              <w:rPr>
                <w:rFonts w:hint="eastAsia" w:ascii="Times New Roman" w:hAnsi="Times New Roman" w:cs="Times New Roman"/>
                <w:sz w:val="21"/>
                <w:szCs w:val="21"/>
                <w:highlight w:val="none"/>
              </w:rPr>
            </w:pPr>
          </w:p>
        </w:tc>
      </w:tr>
      <w:tr w14:paraId="4129F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1DE879A">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w:t>
            </w:r>
          </w:p>
        </w:tc>
        <w:tc>
          <w:tcPr>
            <w:tcW w:w="1419" w:type="dxa"/>
            <w:vAlign w:val="center"/>
          </w:tcPr>
          <w:p w14:paraId="13F3865B">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495410AF">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3A8C7658">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49D3D6E5">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7588BDAD">
            <w:pPr>
              <w:pStyle w:val="160"/>
              <w:spacing w:line="400" w:lineRule="exact"/>
              <w:ind w:firstLine="480"/>
              <w:jc w:val="center"/>
              <w:rPr>
                <w:rFonts w:hint="eastAsia" w:ascii="Times New Roman" w:hAnsi="Times New Roman" w:cs="Times New Roman"/>
                <w:sz w:val="21"/>
                <w:szCs w:val="21"/>
                <w:highlight w:val="none"/>
              </w:rPr>
            </w:pPr>
          </w:p>
        </w:tc>
      </w:tr>
      <w:tr w14:paraId="71BD5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3892AAF">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1419" w:type="dxa"/>
            <w:vAlign w:val="center"/>
          </w:tcPr>
          <w:p w14:paraId="24F69FA4">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38F11960">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6036D420">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1D4F48F9">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321B3D09">
            <w:pPr>
              <w:pStyle w:val="160"/>
              <w:spacing w:line="400" w:lineRule="exact"/>
              <w:ind w:firstLine="480"/>
              <w:jc w:val="center"/>
              <w:rPr>
                <w:rFonts w:hint="eastAsia" w:ascii="Times New Roman" w:hAnsi="Times New Roman" w:cs="Times New Roman"/>
                <w:sz w:val="21"/>
                <w:szCs w:val="21"/>
                <w:highlight w:val="none"/>
              </w:rPr>
            </w:pPr>
          </w:p>
        </w:tc>
      </w:tr>
      <w:tr w14:paraId="5873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E3A7990">
            <w:pPr>
              <w:pStyle w:val="160"/>
              <w:spacing w:line="400" w:lineRule="exact"/>
              <w:jc w:val="center"/>
              <w:rPr>
                <w:rFonts w:hint="eastAsia" w:ascii="Times New Roman" w:hAnsi="Times New Roman" w:cs="Times New Roman"/>
                <w:sz w:val="21"/>
                <w:szCs w:val="21"/>
                <w:highlight w:val="none"/>
              </w:rPr>
            </w:pPr>
          </w:p>
        </w:tc>
        <w:tc>
          <w:tcPr>
            <w:tcW w:w="1419" w:type="dxa"/>
            <w:vAlign w:val="center"/>
          </w:tcPr>
          <w:p w14:paraId="07417B74">
            <w:pPr>
              <w:pStyle w:val="160"/>
              <w:spacing w:line="400" w:lineRule="exact"/>
              <w:jc w:val="center"/>
              <w:rPr>
                <w:rFonts w:hint="eastAsia" w:ascii="Times New Roman" w:hAnsi="Times New Roman" w:cs="Times New Roman"/>
                <w:sz w:val="21"/>
                <w:szCs w:val="21"/>
                <w:highlight w:val="none"/>
              </w:rPr>
            </w:pPr>
          </w:p>
        </w:tc>
        <w:tc>
          <w:tcPr>
            <w:tcW w:w="1861" w:type="dxa"/>
            <w:vAlign w:val="center"/>
          </w:tcPr>
          <w:p w14:paraId="59A6061E">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409B1372">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1398052B">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56A6D595">
            <w:pPr>
              <w:pStyle w:val="160"/>
              <w:spacing w:line="400" w:lineRule="exact"/>
              <w:ind w:firstLine="480"/>
              <w:jc w:val="center"/>
              <w:rPr>
                <w:rFonts w:hint="eastAsia" w:ascii="Times New Roman" w:hAnsi="Times New Roman" w:cs="Times New Roman"/>
                <w:sz w:val="21"/>
                <w:szCs w:val="21"/>
                <w:highlight w:val="none"/>
              </w:rPr>
            </w:pPr>
          </w:p>
        </w:tc>
      </w:tr>
      <w:tr w14:paraId="5C998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1900AE57">
            <w:pPr>
              <w:pStyle w:val="160"/>
              <w:spacing w:line="400" w:lineRule="exact"/>
              <w:jc w:val="center"/>
              <w:rPr>
                <w:rFonts w:hint="eastAsia" w:ascii="Times New Roman" w:hAnsi="Times New Roman" w:cs="Times New Roman"/>
                <w:sz w:val="21"/>
                <w:szCs w:val="21"/>
                <w:highlight w:val="none"/>
              </w:rPr>
            </w:pPr>
          </w:p>
        </w:tc>
        <w:tc>
          <w:tcPr>
            <w:tcW w:w="1419" w:type="dxa"/>
            <w:vAlign w:val="center"/>
          </w:tcPr>
          <w:p w14:paraId="3ADF2B93">
            <w:pPr>
              <w:pStyle w:val="160"/>
              <w:spacing w:line="400" w:lineRule="exact"/>
              <w:jc w:val="center"/>
              <w:rPr>
                <w:rFonts w:hint="eastAsia" w:ascii="Times New Roman" w:hAnsi="Times New Roman" w:cs="Times New Roman"/>
                <w:sz w:val="21"/>
                <w:szCs w:val="21"/>
                <w:highlight w:val="none"/>
              </w:rPr>
            </w:pPr>
          </w:p>
        </w:tc>
        <w:tc>
          <w:tcPr>
            <w:tcW w:w="1861" w:type="dxa"/>
            <w:vAlign w:val="center"/>
          </w:tcPr>
          <w:p w14:paraId="79A0CDED">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62495531">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7295BCDF">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214E6049">
            <w:pPr>
              <w:pStyle w:val="160"/>
              <w:spacing w:line="400" w:lineRule="exact"/>
              <w:ind w:firstLine="480"/>
              <w:jc w:val="center"/>
              <w:rPr>
                <w:rFonts w:hint="eastAsia" w:ascii="Times New Roman" w:hAnsi="Times New Roman" w:cs="Times New Roman"/>
                <w:sz w:val="21"/>
                <w:szCs w:val="21"/>
                <w:highlight w:val="none"/>
              </w:rPr>
            </w:pPr>
          </w:p>
        </w:tc>
      </w:tr>
    </w:tbl>
    <w:p w14:paraId="284EA394">
      <w:pPr>
        <w:ind w:firstLine="210" w:firstLineChars="100"/>
        <w:rPr>
          <w:rFonts w:hint="eastAsia" w:ascii="Times New Roman" w:hAnsi="Times New Roman" w:cs="Times New Roman"/>
          <w:szCs w:val="21"/>
          <w:highlight w:val="none"/>
        </w:rPr>
      </w:pPr>
    </w:p>
    <w:p w14:paraId="76E75A99">
      <w:pPr>
        <w:ind w:firstLine="210" w:firstLineChars="100"/>
        <w:rPr>
          <w:rFonts w:hint="eastAsia" w:ascii="Times New Roman" w:hAnsi="Times New Roman" w:cs="Times New Roman"/>
          <w:szCs w:val="21"/>
          <w:highlight w:val="none"/>
        </w:rPr>
      </w:pPr>
      <w:r>
        <w:rPr>
          <w:rFonts w:hint="eastAsia" w:ascii="Times New Roman" w:hAnsi="Times New Roman" w:cs="Times New Roman"/>
          <w:szCs w:val="21"/>
          <w:highlight w:val="none"/>
        </w:rPr>
        <w:t>注：提供相应业绩材料等评分细则所要求的相关材料</w:t>
      </w:r>
      <w:r>
        <w:rPr>
          <w:rFonts w:hint="eastAsia" w:ascii="Times New Roman" w:hAnsi="Times New Roman" w:cs="Times New Roman"/>
          <w:color w:val="000000"/>
          <w:szCs w:val="21"/>
          <w:highlight w:val="none"/>
        </w:rPr>
        <w:t>（加盖投标人公章）</w:t>
      </w:r>
      <w:r>
        <w:rPr>
          <w:rFonts w:hint="eastAsia" w:ascii="Times New Roman" w:hAnsi="Times New Roman" w:cs="Times New Roman"/>
          <w:szCs w:val="21"/>
          <w:highlight w:val="none"/>
        </w:rPr>
        <w:t>。</w:t>
      </w:r>
    </w:p>
    <w:p w14:paraId="28B58F30">
      <w:pPr>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w:t>
      </w:r>
    </w:p>
    <w:p w14:paraId="02F9E7C7">
      <w:pPr>
        <w:jc w:val="left"/>
        <w:rPr>
          <w:rFonts w:hint="eastAsia" w:ascii="Times New Roman" w:hAnsi="Times New Roman" w:cs="Times New Roman"/>
          <w:szCs w:val="21"/>
          <w:highlight w:val="none"/>
        </w:rPr>
      </w:pPr>
    </w:p>
    <w:p w14:paraId="313A33D9">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投标人名称：</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（加盖公章）</w:t>
      </w:r>
    </w:p>
    <w:p w14:paraId="71DF2BBB">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法定代表人或投标人代表：</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 xml:space="preserve">（签字或盖章）                                             </w:t>
      </w:r>
    </w:p>
    <w:p w14:paraId="3914C2A3">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sectPr>
          <w:pgSz w:w="11905" w:h="16838"/>
          <w:pgMar w:top="1304" w:right="1531" w:bottom="833" w:left="1531" w:header="1304" w:footer="1304" w:gutter="0"/>
          <w:pgNumType w:fmt="decimal"/>
          <w:cols w:space="0" w:num="1"/>
          <w:rtlGutter w:val="0"/>
          <w:docGrid w:linePitch="312" w:charSpace="0"/>
        </w:sectPr>
      </w:pPr>
      <w:r>
        <w:rPr>
          <w:rFonts w:hint="eastAsia" w:ascii="Times New Roman" w:hAnsi="Times New Roman" w:cs="Times New Roman"/>
          <w:szCs w:val="21"/>
          <w:highlight w:val="none"/>
        </w:rPr>
        <w:t xml:space="preserve">  日期：</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月</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日</w:t>
      </w:r>
    </w:p>
    <w:p w14:paraId="1BDD31FA">
      <w:pPr>
        <w:pStyle w:val="12"/>
        <w:ind w:firstLine="0" w:firstLineChars="0"/>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九</w:t>
      </w:r>
      <w:r>
        <w:rPr>
          <w:rFonts w:hint="eastAsia" w:ascii="Times New Roman" w:hAnsi="Times New Roman" w:cs="Times New Roman"/>
          <w:b/>
          <w:bCs/>
          <w:szCs w:val="21"/>
          <w:highlight w:val="none"/>
        </w:rPr>
        <w:t>、商务条款响应表格式：</w:t>
      </w:r>
    </w:p>
    <w:p w14:paraId="2922ED9B">
      <w:pPr>
        <w:pStyle w:val="12"/>
        <w:ind w:firstLine="210"/>
        <w:jc w:val="center"/>
        <w:rPr>
          <w:rFonts w:hint="eastAsia" w:ascii="Times New Roman" w:hAnsi="Times New Roman" w:cs="Times New Roman"/>
          <w:szCs w:val="21"/>
          <w:highlight w:val="none"/>
        </w:rPr>
      </w:pPr>
      <w:r>
        <w:rPr>
          <w:rFonts w:hint="eastAsia" w:ascii="Times New Roman" w:hAnsi="Times New Roman" w:cs="Times New Roman"/>
          <w:b/>
          <w:bCs/>
          <w:szCs w:val="21"/>
          <w:highlight w:val="none"/>
        </w:rPr>
        <w:t>商务条款响应表</w:t>
      </w:r>
    </w:p>
    <w:tbl>
      <w:tblPr>
        <w:tblStyle w:val="3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18AD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01498E39">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序号</w:t>
            </w:r>
          </w:p>
        </w:tc>
        <w:tc>
          <w:tcPr>
            <w:tcW w:w="6185" w:type="dxa"/>
            <w:shd w:val="clear" w:color="auto" w:fill="F3F3F3"/>
            <w:noWrap w:val="0"/>
            <w:vAlign w:val="center"/>
          </w:tcPr>
          <w:p w14:paraId="15421A6D">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一般商务条款要求</w:t>
            </w:r>
          </w:p>
        </w:tc>
        <w:tc>
          <w:tcPr>
            <w:tcW w:w="1299" w:type="dxa"/>
            <w:shd w:val="clear" w:color="auto" w:fill="F3F3F3"/>
            <w:noWrap w:val="0"/>
            <w:vAlign w:val="center"/>
          </w:tcPr>
          <w:p w14:paraId="4FD46098">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是否响应</w:t>
            </w:r>
          </w:p>
        </w:tc>
        <w:tc>
          <w:tcPr>
            <w:tcW w:w="1646" w:type="dxa"/>
            <w:shd w:val="clear" w:color="auto" w:fill="F3F3F3"/>
            <w:noWrap w:val="0"/>
            <w:vAlign w:val="center"/>
          </w:tcPr>
          <w:p w14:paraId="7B77E071">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偏离说明</w:t>
            </w:r>
          </w:p>
        </w:tc>
      </w:tr>
      <w:tr w14:paraId="3D9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D70D050">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1</w:t>
            </w:r>
          </w:p>
        </w:tc>
        <w:tc>
          <w:tcPr>
            <w:tcW w:w="6185" w:type="dxa"/>
            <w:noWrap w:val="0"/>
            <w:vAlign w:val="center"/>
          </w:tcPr>
          <w:p w14:paraId="048DA7B2">
            <w:pPr>
              <w:rPr>
                <w:rFonts w:hint="eastAsia" w:ascii="Times New Roman" w:hAnsi="Times New Roman" w:cs="Times New Roman"/>
                <w:szCs w:val="21"/>
                <w:highlight w:val="none"/>
              </w:rPr>
            </w:pPr>
            <w:r>
              <w:rPr>
                <w:rFonts w:hint="eastAsia" w:ascii="Times New Roman" w:hAnsi="Times New Roman" w:cs="Times New Roman"/>
                <w:szCs w:val="21"/>
                <w:highlight w:val="none"/>
              </w:rPr>
              <w:t>完全理解并接受合同条款要求</w:t>
            </w:r>
          </w:p>
        </w:tc>
        <w:tc>
          <w:tcPr>
            <w:tcW w:w="1299" w:type="dxa"/>
            <w:noWrap w:val="0"/>
            <w:vAlign w:val="center"/>
          </w:tcPr>
          <w:p w14:paraId="5E063C3A">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c>
          <w:tcPr>
            <w:tcW w:w="1646" w:type="dxa"/>
            <w:noWrap w:val="0"/>
            <w:vAlign w:val="center"/>
          </w:tcPr>
          <w:p w14:paraId="6D42D915">
            <w:pPr>
              <w:jc w:val="center"/>
              <w:rPr>
                <w:rFonts w:hint="eastAsia" w:ascii="Times New Roman" w:hAnsi="Times New Roman" w:cs="Times New Roman"/>
                <w:szCs w:val="21"/>
                <w:highlight w:val="none"/>
              </w:rPr>
            </w:pPr>
          </w:p>
        </w:tc>
      </w:tr>
      <w:tr w14:paraId="21D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B033557">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2</w:t>
            </w:r>
          </w:p>
        </w:tc>
        <w:tc>
          <w:tcPr>
            <w:tcW w:w="6185" w:type="dxa"/>
            <w:noWrap w:val="0"/>
            <w:vAlign w:val="center"/>
          </w:tcPr>
          <w:p w14:paraId="6FA8D770">
            <w:pPr>
              <w:rPr>
                <w:rFonts w:hint="eastAsia" w:ascii="Times New Roman" w:hAnsi="Times New Roman" w:cs="Times New Roman"/>
                <w:szCs w:val="21"/>
                <w:highlight w:val="none"/>
              </w:rPr>
            </w:pPr>
            <w:r>
              <w:rPr>
                <w:rFonts w:hint="eastAsia" w:ascii="Times New Roman" w:hAnsi="Times New Roman" w:cs="Times New Roman"/>
                <w:szCs w:val="21"/>
                <w:highlight w:val="none"/>
              </w:rPr>
              <w:t>完全理解并接受对合格投标人、合格的货物、工程和服务要求</w:t>
            </w:r>
          </w:p>
        </w:tc>
        <w:tc>
          <w:tcPr>
            <w:tcW w:w="1299" w:type="dxa"/>
            <w:noWrap w:val="0"/>
            <w:vAlign w:val="center"/>
          </w:tcPr>
          <w:p w14:paraId="23F93038">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c>
          <w:tcPr>
            <w:tcW w:w="1646" w:type="dxa"/>
            <w:noWrap w:val="0"/>
            <w:vAlign w:val="center"/>
          </w:tcPr>
          <w:p w14:paraId="0001477E">
            <w:pPr>
              <w:jc w:val="center"/>
              <w:rPr>
                <w:rFonts w:hint="eastAsia" w:ascii="Times New Roman" w:hAnsi="Times New Roman" w:cs="Times New Roman"/>
                <w:szCs w:val="21"/>
                <w:highlight w:val="none"/>
              </w:rPr>
            </w:pPr>
          </w:p>
        </w:tc>
      </w:tr>
      <w:tr w14:paraId="2BC1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8FF1A0C">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3</w:t>
            </w:r>
          </w:p>
        </w:tc>
        <w:tc>
          <w:tcPr>
            <w:tcW w:w="6185" w:type="dxa"/>
            <w:noWrap w:val="0"/>
            <w:vAlign w:val="center"/>
          </w:tcPr>
          <w:p w14:paraId="580B4C08">
            <w:pPr>
              <w:rPr>
                <w:rFonts w:hint="eastAsia" w:ascii="Times New Roman" w:hAnsi="Times New Roman" w:cs="Times New Roman"/>
                <w:szCs w:val="21"/>
                <w:highlight w:val="none"/>
              </w:rPr>
            </w:pPr>
            <w:r>
              <w:rPr>
                <w:rFonts w:hint="eastAsia" w:ascii="Times New Roman" w:hAnsi="Times New Roman" w:cs="Times New Roman"/>
                <w:szCs w:val="21"/>
                <w:highlight w:val="none"/>
              </w:rPr>
              <w:t>完全理解并接受对投标人的各项须知、规约要求和责任义务</w:t>
            </w:r>
          </w:p>
        </w:tc>
        <w:tc>
          <w:tcPr>
            <w:tcW w:w="1299" w:type="dxa"/>
            <w:noWrap w:val="0"/>
            <w:vAlign w:val="center"/>
          </w:tcPr>
          <w:p w14:paraId="0AD268A0">
            <w:pPr>
              <w:jc w:val="center"/>
              <w:rPr>
                <w:rFonts w:hint="eastAsia" w:ascii="Times New Roman" w:hAnsi="Times New Roman" w:cs="Times New Roman"/>
                <w:szCs w:val="21"/>
                <w:highlight w:val="none"/>
              </w:rPr>
            </w:pPr>
          </w:p>
        </w:tc>
        <w:tc>
          <w:tcPr>
            <w:tcW w:w="1646" w:type="dxa"/>
            <w:noWrap w:val="0"/>
            <w:vAlign w:val="center"/>
          </w:tcPr>
          <w:p w14:paraId="09CAB166">
            <w:pPr>
              <w:ind w:right="-35"/>
              <w:jc w:val="center"/>
              <w:rPr>
                <w:rFonts w:hint="eastAsia" w:ascii="Times New Roman" w:hAnsi="Times New Roman" w:cs="Times New Roman"/>
                <w:szCs w:val="21"/>
                <w:highlight w:val="none"/>
              </w:rPr>
            </w:pPr>
          </w:p>
        </w:tc>
      </w:tr>
      <w:tr w14:paraId="135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256EAD0">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4</w:t>
            </w:r>
          </w:p>
        </w:tc>
        <w:tc>
          <w:tcPr>
            <w:tcW w:w="6185" w:type="dxa"/>
            <w:noWrap w:val="0"/>
            <w:vAlign w:val="center"/>
          </w:tcPr>
          <w:p w14:paraId="37CEAD88">
            <w:pPr>
              <w:rPr>
                <w:rFonts w:hint="eastAsia" w:ascii="Times New Roman" w:hAnsi="Times New Roman" w:cs="Times New Roman"/>
                <w:iCs/>
                <w:szCs w:val="21"/>
                <w:highlight w:val="none"/>
              </w:rPr>
            </w:pPr>
            <w:r>
              <w:rPr>
                <w:rFonts w:hint="eastAsia" w:ascii="Times New Roman" w:hAnsi="Times New Roman" w:cs="Times New Roman"/>
                <w:szCs w:val="21"/>
                <w:highlight w:val="none"/>
              </w:rPr>
              <w:t>投标有效期：投标有效期为自递交投标响应文件起至确定正式中标人止不少于</w:t>
            </w:r>
            <w:r>
              <w:rPr>
                <w:rFonts w:hint="eastAsia" w:ascii="Times New Roman" w:hAnsi="Times New Roman" w:cs="Times New Roman"/>
                <w:szCs w:val="21"/>
                <w:highlight w:val="none"/>
                <w:u w:val="single"/>
              </w:rPr>
              <w:t xml:space="preserve"> 90 </w:t>
            </w:r>
            <w:r>
              <w:rPr>
                <w:rFonts w:hint="eastAsia" w:ascii="Times New Roman" w:hAnsi="Times New Roman" w:cs="Times New Roman"/>
                <w:szCs w:val="21"/>
                <w:highlight w:val="none"/>
              </w:rPr>
              <w:t>天，有效期将延至本项目《政府采购合同》执行期满日为止。</w:t>
            </w:r>
          </w:p>
        </w:tc>
        <w:tc>
          <w:tcPr>
            <w:tcW w:w="1299" w:type="dxa"/>
            <w:noWrap w:val="0"/>
            <w:vAlign w:val="center"/>
          </w:tcPr>
          <w:p w14:paraId="59ACAB89">
            <w:pPr>
              <w:jc w:val="center"/>
              <w:rPr>
                <w:rFonts w:hint="eastAsia" w:ascii="Times New Roman" w:hAnsi="Times New Roman" w:cs="Times New Roman"/>
                <w:szCs w:val="21"/>
                <w:highlight w:val="none"/>
              </w:rPr>
            </w:pPr>
          </w:p>
        </w:tc>
        <w:tc>
          <w:tcPr>
            <w:tcW w:w="1646" w:type="dxa"/>
            <w:noWrap w:val="0"/>
            <w:vAlign w:val="center"/>
          </w:tcPr>
          <w:p w14:paraId="4783C047">
            <w:pPr>
              <w:ind w:right="-35"/>
              <w:jc w:val="center"/>
              <w:rPr>
                <w:rFonts w:hint="eastAsia" w:ascii="Times New Roman" w:hAnsi="Times New Roman" w:cs="Times New Roman"/>
                <w:szCs w:val="21"/>
                <w:highlight w:val="none"/>
              </w:rPr>
            </w:pPr>
          </w:p>
        </w:tc>
      </w:tr>
      <w:tr w14:paraId="269D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2ED3F41D">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5</w:t>
            </w:r>
          </w:p>
        </w:tc>
        <w:tc>
          <w:tcPr>
            <w:tcW w:w="6185" w:type="dxa"/>
            <w:noWrap w:val="0"/>
            <w:vAlign w:val="center"/>
          </w:tcPr>
          <w:p w14:paraId="66F13AF7">
            <w:pPr>
              <w:rPr>
                <w:rFonts w:hint="eastAsia" w:ascii="Times New Roman" w:hAnsi="Times New Roman" w:cs="Times New Roman"/>
                <w:szCs w:val="21"/>
                <w:highlight w:val="none"/>
              </w:rPr>
            </w:pPr>
            <w:r>
              <w:rPr>
                <w:rFonts w:hint="eastAsia" w:ascii="Times New Roman" w:hAnsi="Times New Roman" w:cs="Times New Roman"/>
                <w:szCs w:val="21"/>
                <w:highlight w:val="none"/>
              </w:rPr>
              <w:t>报价内容均涵盖报价要求之一切费用和伴随服务。</w:t>
            </w:r>
          </w:p>
        </w:tc>
        <w:tc>
          <w:tcPr>
            <w:tcW w:w="1299" w:type="dxa"/>
            <w:noWrap w:val="0"/>
            <w:vAlign w:val="center"/>
          </w:tcPr>
          <w:p w14:paraId="425C5B3D">
            <w:pPr>
              <w:jc w:val="center"/>
              <w:rPr>
                <w:rFonts w:hint="eastAsia" w:ascii="Times New Roman" w:hAnsi="Times New Roman" w:cs="Times New Roman"/>
                <w:szCs w:val="21"/>
                <w:highlight w:val="none"/>
              </w:rPr>
            </w:pPr>
          </w:p>
        </w:tc>
        <w:tc>
          <w:tcPr>
            <w:tcW w:w="1646" w:type="dxa"/>
            <w:noWrap w:val="0"/>
            <w:vAlign w:val="center"/>
          </w:tcPr>
          <w:p w14:paraId="7D7C6AE9">
            <w:pPr>
              <w:ind w:right="-35"/>
              <w:jc w:val="center"/>
              <w:rPr>
                <w:rFonts w:hint="eastAsia" w:ascii="Times New Roman" w:hAnsi="Times New Roman" w:cs="Times New Roman"/>
                <w:szCs w:val="21"/>
                <w:highlight w:val="none"/>
              </w:rPr>
            </w:pPr>
          </w:p>
        </w:tc>
      </w:tr>
      <w:tr w14:paraId="544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589BEAA9">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6</w:t>
            </w:r>
          </w:p>
        </w:tc>
        <w:tc>
          <w:tcPr>
            <w:tcW w:w="6185" w:type="dxa"/>
            <w:noWrap w:val="0"/>
            <w:vAlign w:val="center"/>
          </w:tcPr>
          <w:p w14:paraId="2689C1B4">
            <w:pPr>
              <w:rPr>
                <w:rFonts w:hint="default" w:ascii="Times New Roman" w:hAnsi="Times New Roman" w:eastAsia="宋体" w:cs="Times New Roman"/>
                <w:szCs w:val="21"/>
                <w:highlight w:val="none"/>
                <w:lang w:val="en-US" w:eastAsia="zh-CN"/>
              </w:rPr>
            </w:pPr>
            <w:r>
              <w:rPr>
                <w:rFonts w:hint="eastAsia" w:ascii="Times New Roman" w:hAnsi="Times New Roman" w:cs="Times New Roman"/>
                <w:color w:val="auto"/>
                <w:szCs w:val="21"/>
                <w:highlight w:val="none"/>
              </w:rPr>
              <w:t>项目服务期要求：</w:t>
            </w:r>
            <w:r>
              <w:rPr>
                <w:rFonts w:hint="eastAsia" w:ascii="Times New Roman" w:hAnsi="Times New Roman" w:cs="Times New Roman"/>
                <w:color w:val="auto"/>
                <w:szCs w:val="21"/>
                <w:highlight w:val="none"/>
                <w:lang w:val="en-US" w:eastAsia="zh-CN"/>
              </w:rPr>
              <w:t xml:space="preserve">     。</w:t>
            </w:r>
          </w:p>
        </w:tc>
        <w:tc>
          <w:tcPr>
            <w:tcW w:w="1299" w:type="dxa"/>
            <w:noWrap w:val="0"/>
            <w:vAlign w:val="center"/>
          </w:tcPr>
          <w:p w14:paraId="7B4385E7">
            <w:pPr>
              <w:jc w:val="center"/>
              <w:rPr>
                <w:rFonts w:hint="eastAsia" w:ascii="Times New Roman" w:hAnsi="Times New Roman" w:cs="Times New Roman"/>
                <w:szCs w:val="21"/>
                <w:highlight w:val="none"/>
              </w:rPr>
            </w:pPr>
          </w:p>
        </w:tc>
        <w:tc>
          <w:tcPr>
            <w:tcW w:w="1646" w:type="dxa"/>
            <w:noWrap w:val="0"/>
            <w:vAlign w:val="center"/>
          </w:tcPr>
          <w:p w14:paraId="32493333">
            <w:pPr>
              <w:jc w:val="center"/>
              <w:rPr>
                <w:rFonts w:hint="eastAsia" w:ascii="Times New Roman" w:hAnsi="Times New Roman" w:cs="Times New Roman"/>
                <w:szCs w:val="21"/>
                <w:highlight w:val="none"/>
              </w:rPr>
            </w:pPr>
          </w:p>
        </w:tc>
      </w:tr>
      <w:tr w14:paraId="403F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7ED0F7BA">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7</w:t>
            </w:r>
          </w:p>
        </w:tc>
        <w:tc>
          <w:tcPr>
            <w:tcW w:w="6185" w:type="dxa"/>
            <w:noWrap w:val="0"/>
            <w:vAlign w:val="center"/>
          </w:tcPr>
          <w:p w14:paraId="2F0CEB7B">
            <w:pPr>
              <w:rPr>
                <w:rFonts w:hint="eastAsia" w:ascii="Times New Roman" w:hAnsi="Times New Roman" w:cs="Times New Roman"/>
                <w:szCs w:val="21"/>
                <w:highlight w:val="none"/>
              </w:rPr>
            </w:pPr>
            <w:r>
              <w:rPr>
                <w:rFonts w:hint="eastAsia" w:ascii="Times New Roman" w:hAnsi="Times New Roman" w:cs="Times New Roman"/>
                <w:szCs w:val="21"/>
                <w:highlight w:val="none"/>
                <w:lang w:val="en-GB"/>
              </w:rPr>
              <w:t>同意接受合同范本所列述的各项条款。</w:t>
            </w:r>
          </w:p>
        </w:tc>
        <w:tc>
          <w:tcPr>
            <w:tcW w:w="1299" w:type="dxa"/>
            <w:noWrap w:val="0"/>
            <w:vAlign w:val="center"/>
          </w:tcPr>
          <w:p w14:paraId="4C55B921">
            <w:pPr>
              <w:jc w:val="center"/>
              <w:rPr>
                <w:rFonts w:hint="eastAsia" w:ascii="Times New Roman" w:hAnsi="Times New Roman" w:cs="Times New Roman"/>
                <w:szCs w:val="21"/>
                <w:highlight w:val="none"/>
              </w:rPr>
            </w:pPr>
          </w:p>
        </w:tc>
        <w:tc>
          <w:tcPr>
            <w:tcW w:w="1646" w:type="dxa"/>
            <w:noWrap w:val="0"/>
            <w:vAlign w:val="center"/>
          </w:tcPr>
          <w:p w14:paraId="2980C952">
            <w:pPr>
              <w:jc w:val="center"/>
              <w:rPr>
                <w:rFonts w:hint="eastAsia" w:ascii="Times New Roman" w:hAnsi="Times New Roman" w:cs="Times New Roman"/>
                <w:szCs w:val="21"/>
                <w:highlight w:val="none"/>
              </w:rPr>
            </w:pPr>
          </w:p>
        </w:tc>
      </w:tr>
      <w:tr w14:paraId="61BA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01CEB95C">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8</w:t>
            </w:r>
          </w:p>
        </w:tc>
        <w:tc>
          <w:tcPr>
            <w:tcW w:w="6185" w:type="dxa"/>
            <w:noWrap w:val="0"/>
            <w:vAlign w:val="center"/>
          </w:tcPr>
          <w:p w14:paraId="3406EBA9">
            <w:pPr>
              <w:ind w:left="-4" w:leftChars="-2"/>
              <w:rPr>
                <w:rFonts w:hint="eastAsia" w:ascii="Times New Roman" w:hAnsi="Times New Roman" w:cs="Times New Roman"/>
                <w:szCs w:val="21"/>
                <w:highlight w:val="none"/>
                <w:lang w:val="zh-CN"/>
              </w:rPr>
            </w:pPr>
            <w:r>
              <w:rPr>
                <w:rFonts w:hint="eastAsia" w:ascii="Times New Roman" w:hAnsi="Times New Roman" w:cs="Times New Roman"/>
                <w:szCs w:val="21"/>
                <w:highlight w:val="none"/>
              </w:rPr>
              <w:t>同意按本项目要求缴付相关款项。</w:t>
            </w:r>
          </w:p>
        </w:tc>
        <w:tc>
          <w:tcPr>
            <w:tcW w:w="1299" w:type="dxa"/>
            <w:noWrap w:val="0"/>
            <w:vAlign w:val="center"/>
          </w:tcPr>
          <w:p w14:paraId="0DEC6DF4">
            <w:pPr>
              <w:jc w:val="center"/>
              <w:rPr>
                <w:rFonts w:hint="eastAsia" w:ascii="Times New Roman" w:hAnsi="Times New Roman" w:cs="Times New Roman"/>
                <w:szCs w:val="21"/>
                <w:highlight w:val="none"/>
                <w:lang w:val="en-GB"/>
              </w:rPr>
            </w:pPr>
          </w:p>
        </w:tc>
        <w:tc>
          <w:tcPr>
            <w:tcW w:w="1646" w:type="dxa"/>
            <w:noWrap w:val="0"/>
            <w:vAlign w:val="center"/>
          </w:tcPr>
          <w:p w14:paraId="2BE5AA87">
            <w:pPr>
              <w:jc w:val="center"/>
              <w:rPr>
                <w:rFonts w:hint="eastAsia" w:ascii="Times New Roman" w:hAnsi="Times New Roman" w:cs="Times New Roman"/>
                <w:szCs w:val="21"/>
                <w:highlight w:val="none"/>
              </w:rPr>
            </w:pPr>
          </w:p>
        </w:tc>
      </w:tr>
      <w:tr w14:paraId="50C9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9E54F52">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9</w:t>
            </w:r>
          </w:p>
        </w:tc>
        <w:tc>
          <w:tcPr>
            <w:tcW w:w="6185" w:type="dxa"/>
            <w:noWrap w:val="0"/>
            <w:vAlign w:val="center"/>
          </w:tcPr>
          <w:p w14:paraId="0283F3A3">
            <w:pPr>
              <w:rPr>
                <w:rFonts w:hint="eastAsia" w:ascii="Times New Roman" w:hAnsi="Times New Roman" w:cs="Times New Roman"/>
                <w:szCs w:val="21"/>
                <w:highlight w:val="none"/>
              </w:rPr>
            </w:pPr>
            <w:r>
              <w:rPr>
                <w:rFonts w:hint="eastAsia" w:ascii="Times New Roman" w:hAnsi="Times New Roman" w:cs="Times New Roman"/>
                <w:szCs w:val="21"/>
                <w:highlight w:val="none"/>
                <w:lang w:val="en-GB"/>
              </w:rPr>
              <w:t>同意采购方以任何形式对我方投标响应文件内容的真实性和有效性进行审查、验证。</w:t>
            </w:r>
          </w:p>
        </w:tc>
        <w:tc>
          <w:tcPr>
            <w:tcW w:w="1299" w:type="dxa"/>
            <w:noWrap w:val="0"/>
            <w:vAlign w:val="center"/>
          </w:tcPr>
          <w:p w14:paraId="2D6758F5">
            <w:pPr>
              <w:jc w:val="center"/>
              <w:rPr>
                <w:rFonts w:hint="eastAsia" w:ascii="Times New Roman" w:hAnsi="Times New Roman" w:cs="Times New Roman"/>
                <w:szCs w:val="21"/>
                <w:highlight w:val="none"/>
              </w:rPr>
            </w:pPr>
          </w:p>
        </w:tc>
        <w:tc>
          <w:tcPr>
            <w:tcW w:w="1646" w:type="dxa"/>
            <w:noWrap w:val="0"/>
            <w:vAlign w:val="center"/>
          </w:tcPr>
          <w:p w14:paraId="4D921544">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r>
      <w:tr w14:paraId="19A4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D5DE1E6">
            <w:pPr>
              <w:ind w:left="170"/>
              <w:rPr>
                <w:rFonts w:hint="eastAsia" w:ascii="Times New Roman" w:hAnsi="Times New Roman" w:cs="Times New Roman"/>
                <w:szCs w:val="21"/>
                <w:highlight w:val="none"/>
              </w:rPr>
            </w:pPr>
            <w:r>
              <w:rPr>
                <w:rFonts w:hint="eastAsia" w:ascii="Times New Roman" w:hAnsi="Times New Roman" w:cs="Times New Roman"/>
                <w:szCs w:val="21"/>
                <w:highlight w:val="none"/>
              </w:rPr>
              <w:t>10</w:t>
            </w:r>
          </w:p>
        </w:tc>
        <w:tc>
          <w:tcPr>
            <w:tcW w:w="6185" w:type="dxa"/>
            <w:noWrap w:val="0"/>
            <w:vAlign w:val="center"/>
          </w:tcPr>
          <w:p w14:paraId="53FE7C76">
            <w:pPr>
              <w:rPr>
                <w:rFonts w:hint="eastAsia" w:ascii="Times New Roman" w:hAnsi="Times New Roman" w:cs="Times New Roman"/>
                <w:szCs w:val="21"/>
                <w:highlight w:val="none"/>
              </w:rPr>
            </w:pPr>
            <w:r>
              <w:rPr>
                <w:rFonts w:hint="eastAsia" w:ascii="Times New Roman" w:hAnsi="Times New Roman" w:cs="Times New Roman"/>
                <w:szCs w:val="21"/>
                <w:highlight w:val="none"/>
              </w:rPr>
              <w:t>其它商务条款偏离说明：无</w:t>
            </w:r>
          </w:p>
        </w:tc>
        <w:tc>
          <w:tcPr>
            <w:tcW w:w="1299" w:type="dxa"/>
            <w:noWrap w:val="0"/>
            <w:vAlign w:val="top"/>
          </w:tcPr>
          <w:p w14:paraId="4B78430B">
            <w:pPr>
              <w:jc w:val="center"/>
              <w:rPr>
                <w:rFonts w:hint="eastAsia" w:ascii="Times New Roman" w:hAnsi="Times New Roman" w:cs="Times New Roman"/>
                <w:szCs w:val="21"/>
                <w:highlight w:val="none"/>
              </w:rPr>
            </w:pPr>
          </w:p>
        </w:tc>
        <w:tc>
          <w:tcPr>
            <w:tcW w:w="1646" w:type="dxa"/>
            <w:noWrap w:val="0"/>
            <w:vAlign w:val="center"/>
          </w:tcPr>
          <w:p w14:paraId="1E34F84C">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r>
    </w:tbl>
    <w:p w14:paraId="1CE15043">
      <w:pPr>
        <w:ind w:left="735" w:hanging="735" w:hangingChars="350"/>
        <w:rPr>
          <w:rFonts w:hint="eastAsia" w:ascii="Times New Roman" w:hAnsi="Times New Roman" w:cs="Times New Roman"/>
          <w:szCs w:val="21"/>
          <w:highlight w:val="none"/>
          <w:lang w:val="en-GB"/>
        </w:rPr>
      </w:pPr>
      <w:r>
        <w:rPr>
          <w:rFonts w:hint="eastAsia" w:ascii="Times New Roman" w:hAnsi="Times New Roman" w:cs="Times New Roman"/>
          <w:szCs w:val="21"/>
          <w:highlight w:val="none"/>
          <w:lang w:val="en-GB"/>
        </w:rPr>
        <w:t>注： 1.</w:t>
      </w:r>
      <w:r>
        <w:rPr>
          <w:rFonts w:hint="eastAsia" w:ascii="Times New Roman" w:hAnsi="Times New Roman" w:cs="Times New Roman"/>
          <w:szCs w:val="21"/>
          <w:highlight w:val="none"/>
        </w:rPr>
        <w:t>对</w:t>
      </w:r>
      <w:r>
        <w:rPr>
          <w:rFonts w:hint="eastAsia" w:ascii="Times New Roman" w:hAnsi="Times New Roman" w:cs="Times New Roman"/>
          <w:szCs w:val="21"/>
          <w:highlight w:val="none"/>
          <w:lang w:val="en-GB"/>
        </w:rPr>
        <w:t>于上述要求，如投标人完全响应，则请在“是否响应”栏内打“√”，对空白或打“×”视为偏离，请在“偏离说明”栏内扼要说明偏离情况。</w:t>
      </w:r>
    </w:p>
    <w:p w14:paraId="44CDB994">
      <w:pPr>
        <w:ind w:firstLine="420"/>
        <w:rPr>
          <w:rFonts w:hint="eastAsia" w:ascii="Times New Roman" w:hAnsi="Times New Roman" w:cs="Times New Roman"/>
          <w:szCs w:val="21"/>
          <w:highlight w:val="none"/>
          <w:lang w:val="en-GB"/>
        </w:rPr>
      </w:pPr>
      <w:r>
        <w:rPr>
          <w:rFonts w:hint="eastAsia" w:ascii="Times New Roman" w:hAnsi="Times New Roman" w:cs="Times New Roman"/>
          <w:szCs w:val="21"/>
          <w:highlight w:val="none"/>
          <w:lang w:val="en-GB"/>
        </w:rPr>
        <w:t xml:space="preserve"> 2.本表内容不得擅自修改。</w:t>
      </w:r>
    </w:p>
    <w:p w14:paraId="75AE8727">
      <w:pPr>
        <w:spacing w:line="360" w:lineRule="auto"/>
        <w:rPr>
          <w:rFonts w:hint="eastAsia" w:ascii="Times New Roman" w:hAnsi="Times New Roman" w:cs="Times New Roman"/>
          <w:szCs w:val="21"/>
          <w:highlight w:val="none"/>
          <w:u w:val="single"/>
        </w:rPr>
      </w:pPr>
      <w:r>
        <w:rPr>
          <w:rFonts w:hint="eastAsia" w:ascii="Times New Roman" w:hAnsi="Times New Roman" w:cs="Times New Roman"/>
          <w:szCs w:val="21"/>
          <w:highlight w:val="none"/>
        </w:rPr>
        <w:t>投标人名称：</w:t>
      </w:r>
      <w:r>
        <w:rPr>
          <w:rFonts w:hint="eastAsia" w:ascii="Times New Roman" w:hAnsi="Times New Roman" w:cs="Times New Roman"/>
          <w:b/>
          <w:spacing w:val="20"/>
          <w:szCs w:val="21"/>
          <w:highlight w:val="none"/>
          <w:u w:val="single"/>
        </w:rPr>
        <w:t xml:space="preserve">                </w:t>
      </w:r>
      <w:r>
        <w:rPr>
          <w:rFonts w:hint="eastAsia" w:ascii="Times New Roman" w:hAnsi="Times New Roman" w:cs="Times New Roman"/>
          <w:szCs w:val="21"/>
          <w:highlight w:val="none"/>
        </w:rPr>
        <w:t xml:space="preserve">（加盖公章）  </w:t>
      </w:r>
    </w:p>
    <w:p w14:paraId="0078F159">
      <w:pPr>
        <w:spacing w:line="360" w:lineRule="auto"/>
        <w:rPr>
          <w:rFonts w:hint="eastAsia" w:ascii="Times New Roman" w:hAnsi="Times New Roman" w:cs="Times New Roman"/>
          <w:szCs w:val="21"/>
          <w:highlight w:val="none"/>
        </w:rPr>
      </w:pPr>
      <w:r>
        <w:rPr>
          <w:rFonts w:hint="eastAsia" w:ascii="Times New Roman" w:hAnsi="Times New Roman" w:cs="Times New Roman"/>
          <w:spacing w:val="-4"/>
          <w:szCs w:val="21"/>
          <w:highlight w:val="none"/>
        </w:rPr>
        <w:t>法定代表人或投标人代表</w:t>
      </w:r>
      <w:r>
        <w:rPr>
          <w:rFonts w:hint="eastAsia" w:ascii="Times New Roman" w:hAnsi="Times New Roman" w:cs="Times New Roman"/>
          <w:szCs w:val="21"/>
          <w:highlight w:val="none"/>
        </w:rPr>
        <w:t>：</w:t>
      </w:r>
      <w:r>
        <w:rPr>
          <w:rFonts w:hint="eastAsia" w:ascii="Times New Roman" w:hAnsi="Times New Roman" w:cs="Times New Roman"/>
          <w:b/>
          <w:spacing w:val="20"/>
          <w:szCs w:val="21"/>
          <w:highlight w:val="none"/>
          <w:u w:val="single"/>
        </w:rPr>
        <w:t xml:space="preserve">           </w:t>
      </w:r>
      <w:r>
        <w:rPr>
          <w:rFonts w:hint="eastAsia" w:ascii="Times New Roman" w:hAnsi="Times New Roman" w:cs="Times New Roman"/>
          <w:szCs w:val="21"/>
          <w:highlight w:val="none"/>
        </w:rPr>
        <w:t>（签字或盖章）</w:t>
      </w:r>
    </w:p>
    <w:p w14:paraId="021016CE">
      <w:pPr>
        <w:spacing w:line="360" w:lineRule="auto"/>
        <w:rPr>
          <w:rFonts w:hint="eastAsia" w:ascii="Times New Roman" w:hAnsi="Times New Roman" w:cs="Times New Roman"/>
          <w:spacing w:val="20"/>
          <w:szCs w:val="21"/>
          <w:highlight w:val="none"/>
        </w:rPr>
      </w:pPr>
      <w:r>
        <w:rPr>
          <w:rFonts w:hint="eastAsia" w:ascii="Times New Roman" w:hAnsi="Times New Roman" w:cs="Times New Roman"/>
          <w:spacing w:val="20"/>
          <w:szCs w:val="21"/>
          <w:highlight w:val="none"/>
        </w:rPr>
        <w:t>日期：</w:t>
      </w:r>
      <w:r>
        <w:rPr>
          <w:rFonts w:hint="eastAsia" w:ascii="Times New Roman" w:hAnsi="Times New Roman" w:cs="Times New Roman"/>
          <w:spacing w:val="20"/>
          <w:szCs w:val="21"/>
          <w:highlight w:val="none"/>
          <w:u w:val="single"/>
        </w:rPr>
        <w:t xml:space="preserve">    </w:t>
      </w:r>
      <w:r>
        <w:rPr>
          <w:rFonts w:hint="eastAsia" w:ascii="Times New Roman" w:hAnsi="Times New Roman" w:cs="Times New Roman"/>
          <w:spacing w:val="20"/>
          <w:szCs w:val="21"/>
          <w:highlight w:val="none"/>
        </w:rPr>
        <w:t>年</w:t>
      </w:r>
      <w:r>
        <w:rPr>
          <w:rFonts w:hint="eastAsia" w:ascii="Times New Roman" w:hAnsi="Times New Roman" w:cs="Times New Roman"/>
          <w:spacing w:val="20"/>
          <w:szCs w:val="21"/>
          <w:highlight w:val="none"/>
          <w:u w:val="single"/>
        </w:rPr>
        <w:t xml:space="preserve">   </w:t>
      </w:r>
      <w:r>
        <w:rPr>
          <w:rFonts w:hint="eastAsia" w:ascii="Times New Roman" w:hAnsi="Times New Roman" w:cs="Times New Roman"/>
          <w:spacing w:val="20"/>
          <w:szCs w:val="21"/>
          <w:highlight w:val="none"/>
        </w:rPr>
        <w:t>月</w:t>
      </w:r>
      <w:r>
        <w:rPr>
          <w:rFonts w:hint="eastAsia" w:ascii="Times New Roman" w:hAnsi="Times New Roman" w:cs="Times New Roman"/>
          <w:spacing w:val="20"/>
          <w:szCs w:val="21"/>
          <w:highlight w:val="none"/>
          <w:u w:val="single"/>
        </w:rPr>
        <w:t xml:space="preserve">   </w:t>
      </w:r>
      <w:r>
        <w:rPr>
          <w:rFonts w:hint="eastAsia" w:ascii="Times New Roman" w:hAnsi="Times New Roman" w:cs="Times New Roman"/>
          <w:spacing w:val="20"/>
          <w:szCs w:val="21"/>
          <w:highlight w:val="none"/>
        </w:rPr>
        <w:t>日</w:t>
      </w:r>
    </w:p>
    <w:p w14:paraId="1863D5BF">
      <w:pPr>
        <w:pStyle w:val="12"/>
        <w:ind w:firstLine="0" w:firstLineChars="0"/>
        <w:rPr>
          <w:rFonts w:ascii="Times New Roman" w:hAnsi="Times New Roman" w:cs="Times New Roman"/>
          <w:highlight w:val="none"/>
        </w:rPr>
      </w:pPr>
    </w:p>
    <w:p w14:paraId="2B5D8AA9">
      <w:pPr>
        <w:outlineLvl w:val="1"/>
        <w:rPr>
          <w:rFonts w:hint="eastAsia" w:ascii="Times New Roman" w:hAnsi="Times New Roman" w:cs="Times New Roman"/>
          <w:b/>
          <w:bCs/>
          <w:szCs w:val="21"/>
          <w:highlight w:val="none"/>
        </w:rPr>
      </w:pPr>
    </w:p>
    <w:p w14:paraId="7024764A">
      <w:pPr>
        <w:outlineLvl w:val="1"/>
        <w:rPr>
          <w:rFonts w:hint="eastAsia" w:ascii="Times New Roman" w:hAnsi="Times New Roman" w:cs="Times New Roman"/>
          <w:b/>
          <w:bCs/>
          <w:szCs w:val="21"/>
          <w:highlight w:val="none"/>
        </w:rPr>
      </w:pPr>
    </w:p>
    <w:p w14:paraId="75D09B40">
      <w:pPr>
        <w:outlineLvl w:val="1"/>
        <w:rPr>
          <w:rFonts w:hint="eastAsia" w:ascii="Times New Roman" w:hAnsi="Times New Roman" w:cs="Times New Roman"/>
          <w:b/>
          <w:bCs/>
          <w:szCs w:val="21"/>
          <w:highlight w:val="none"/>
        </w:rPr>
      </w:pPr>
    </w:p>
    <w:p w14:paraId="03BD2DB6">
      <w:pPr>
        <w:outlineLvl w:val="1"/>
        <w:rPr>
          <w:rFonts w:hint="eastAsia" w:ascii="Times New Roman" w:hAnsi="Times New Roman" w:cs="Times New Roman"/>
          <w:b/>
          <w:bCs/>
          <w:szCs w:val="21"/>
          <w:highlight w:val="none"/>
        </w:rPr>
      </w:pPr>
    </w:p>
    <w:p w14:paraId="625A9F16">
      <w:pPr>
        <w:outlineLvl w:val="1"/>
        <w:rPr>
          <w:rFonts w:hint="eastAsia" w:ascii="Times New Roman" w:hAnsi="Times New Roman" w:cs="Times New Roman"/>
          <w:b/>
          <w:bCs/>
          <w:szCs w:val="21"/>
          <w:highlight w:val="none"/>
        </w:rPr>
      </w:pPr>
    </w:p>
    <w:p w14:paraId="06249C1A">
      <w:pPr>
        <w:outlineLvl w:val="1"/>
        <w:rPr>
          <w:rFonts w:hint="eastAsia" w:ascii="Times New Roman" w:hAnsi="Times New Roman" w:cs="Times New Roman"/>
          <w:b/>
          <w:bCs/>
          <w:szCs w:val="21"/>
          <w:highlight w:val="none"/>
        </w:rPr>
      </w:pPr>
    </w:p>
    <w:p w14:paraId="2D114066">
      <w:pPr>
        <w:outlineLvl w:val="1"/>
        <w:rPr>
          <w:rFonts w:hint="eastAsia" w:ascii="Times New Roman" w:hAnsi="Times New Roman" w:cs="Times New Roman"/>
          <w:b/>
          <w:bCs/>
          <w:szCs w:val="21"/>
          <w:highlight w:val="none"/>
        </w:rPr>
      </w:pPr>
    </w:p>
    <w:p w14:paraId="065A58BA">
      <w:pPr>
        <w:outlineLvl w:val="1"/>
        <w:rPr>
          <w:rFonts w:hint="eastAsia" w:ascii="Times New Roman" w:hAnsi="Times New Roman" w:cs="Times New Roman"/>
          <w:b/>
          <w:bCs/>
          <w:szCs w:val="21"/>
          <w:highlight w:val="none"/>
        </w:rPr>
      </w:pPr>
    </w:p>
    <w:p w14:paraId="7B81B947">
      <w:pPr>
        <w:outlineLvl w:val="1"/>
        <w:rPr>
          <w:rFonts w:hint="eastAsia" w:ascii="Times New Roman" w:hAnsi="Times New Roman" w:cs="Times New Roman"/>
          <w:b/>
          <w:bCs/>
          <w:szCs w:val="21"/>
          <w:highlight w:val="none"/>
        </w:rPr>
      </w:pPr>
    </w:p>
    <w:p w14:paraId="1CC09A88">
      <w:pPr>
        <w:outlineLvl w:val="1"/>
        <w:rPr>
          <w:rFonts w:hint="eastAsia" w:ascii="Times New Roman" w:hAnsi="Times New Roman" w:cs="Times New Roman"/>
          <w:b/>
          <w:bCs/>
          <w:szCs w:val="21"/>
          <w:highlight w:val="none"/>
        </w:rPr>
      </w:pPr>
    </w:p>
    <w:p w14:paraId="36801B80">
      <w:pPr>
        <w:outlineLvl w:val="1"/>
        <w:rPr>
          <w:rFonts w:hint="eastAsia" w:ascii="Times New Roman" w:hAnsi="Times New Roman" w:cs="Times New Roman"/>
          <w:b/>
          <w:bCs/>
          <w:szCs w:val="21"/>
          <w:highlight w:val="none"/>
        </w:rPr>
      </w:pPr>
    </w:p>
    <w:p w14:paraId="1194B2FF">
      <w:pPr>
        <w:outlineLvl w:val="1"/>
        <w:rPr>
          <w:rFonts w:hint="eastAsia" w:ascii="Times New Roman" w:hAnsi="Times New Roman" w:cs="Times New Roman"/>
          <w:b/>
          <w:bCs/>
          <w:szCs w:val="21"/>
          <w:highlight w:val="none"/>
        </w:rPr>
      </w:pPr>
    </w:p>
    <w:p w14:paraId="289DAB35">
      <w:pPr>
        <w:outlineLvl w:val="1"/>
        <w:rPr>
          <w:rFonts w:hint="eastAsia" w:ascii="Times New Roman" w:hAnsi="Times New Roman" w:cs="Times New Roman"/>
          <w:b/>
          <w:bCs/>
          <w:szCs w:val="21"/>
          <w:highlight w:val="none"/>
        </w:rPr>
      </w:pPr>
    </w:p>
    <w:p w14:paraId="4661916F">
      <w:pPr>
        <w:outlineLvl w:val="1"/>
        <w:rPr>
          <w:rFonts w:hint="eastAsia" w:ascii="Times New Roman" w:hAnsi="Times New Roman" w:cs="Times New Roman"/>
          <w:b/>
          <w:bCs/>
          <w:szCs w:val="21"/>
          <w:highlight w:val="none"/>
        </w:rPr>
      </w:pPr>
    </w:p>
    <w:p w14:paraId="54B2AF0F">
      <w:pPr>
        <w:outlineLvl w:val="1"/>
        <w:rPr>
          <w:rFonts w:hint="eastAsia" w:ascii="Times New Roman" w:hAnsi="Times New Roman" w:cs="Times New Roman"/>
          <w:b/>
          <w:bCs/>
          <w:szCs w:val="21"/>
          <w:highlight w:val="none"/>
        </w:rPr>
      </w:pPr>
    </w:p>
    <w:p w14:paraId="12209C57">
      <w:pPr>
        <w:outlineLvl w:val="1"/>
        <w:rPr>
          <w:rFonts w:hint="eastAsia" w:ascii="Times New Roman" w:hAnsi="Times New Roman" w:cs="Times New Roman"/>
          <w:b/>
          <w:bCs/>
          <w:szCs w:val="21"/>
          <w:highlight w:val="none"/>
        </w:rPr>
      </w:pPr>
    </w:p>
    <w:p w14:paraId="73D9C09B">
      <w:pPr>
        <w:outlineLvl w:val="1"/>
        <w:rPr>
          <w:rFonts w:hint="eastAsia" w:ascii="Times New Roman" w:hAnsi="Times New Roman" w:cs="Times New Roman"/>
          <w:b/>
          <w:bCs/>
          <w:szCs w:val="21"/>
          <w:highlight w:val="none"/>
        </w:rPr>
      </w:pPr>
    </w:p>
    <w:p w14:paraId="65855431">
      <w:pPr>
        <w:outlineLvl w:val="1"/>
        <w:rPr>
          <w:rFonts w:hint="eastAsia" w:ascii="Times New Roman" w:hAnsi="Times New Roman" w:cs="Times New Roman"/>
          <w:b/>
          <w:bCs/>
          <w:szCs w:val="21"/>
          <w:highlight w:val="none"/>
        </w:rPr>
      </w:pPr>
    </w:p>
    <w:p w14:paraId="0620BAEC">
      <w:pPr>
        <w:outlineLvl w:val="1"/>
        <w:rPr>
          <w:rFonts w:hint="eastAsia" w:ascii="Times New Roman" w:hAnsi="Times New Roman" w:cs="Times New Roman"/>
          <w:b/>
          <w:bCs/>
          <w:szCs w:val="21"/>
          <w:highlight w:val="none"/>
        </w:rPr>
      </w:pPr>
    </w:p>
    <w:p w14:paraId="7DBFEAC8">
      <w:pPr>
        <w:outlineLvl w:val="1"/>
        <w:rPr>
          <w:rFonts w:hint="eastAsia" w:ascii="Times New Roman" w:hAnsi="Times New Roman" w:cs="Times New Roman"/>
          <w:b/>
          <w:bCs/>
          <w:szCs w:val="21"/>
          <w:highlight w:val="none"/>
        </w:rPr>
      </w:pPr>
    </w:p>
    <w:p w14:paraId="400D700E">
      <w:pPr>
        <w:outlineLvl w:val="1"/>
        <w:rPr>
          <w:rFonts w:hint="eastAsia" w:ascii="Times New Roman" w:hAnsi="Times New Roman" w:cs="Times New Roman"/>
          <w:b/>
          <w:bCs/>
          <w:szCs w:val="21"/>
          <w:highlight w:val="none"/>
        </w:rPr>
      </w:pPr>
    </w:p>
    <w:p w14:paraId="7048A9D8">
      <w:pPr>
        <w:outlineLvl w:val="1"/>
        <w:rPr>
          <w:rFonts w:hint="eastAsia" w:ascii="Times New Roman" w:hAnsi="Times New Roman" w:cs="Times New Roman"/>
          <w:b/>
          <w:bCs/>
          <w:szCs w:val="21"/>
          <w:highlight w:val="none"/>
        </w:rPr>
      </w:pPr>
    </w:p>
    <w:p w14:paraId="100D31EA">
      <w:pPr>
        <w:outlineLvl w:val="1"/>
        <w:rPr>
          <w:rFonts w:hint="eastAsia" w:ascii="Times New Roman" w:hAnsi="Times New Roman" w:cs="Times New Roman"/>
          <w:b/>
          <w:bCs/>
          <w:szCs w:val="21"/>
          <w:highlight w:val="none"/>
        </w:rPr>
      </w:pPr>
    </w:p>
    <w:p w14:paraId="08A23215">
      <w:pPr>
        <w:outlineLvl w:val="1"/>
        <w:rPr>
          <w:rFonts w:hint="eastAsia" w:ascii="Times New Roman" w:hAnsi="Times New Roman" w:cs="Times New Roman"/>
          <w:b/>
          <w:bCs/>
          <w:szCs w:val="21"/>
          <w:highlight w:val="none"/>
        </w:rPr>
      </w:pPr>
    </w:p>
    <w:p w14:paraId="3173E3EB">
      <w:pPr>
        <w:outlineLvl w:val="1"/>
        <w:rPr>
          <w:rFonts w:hint="eastAsia" w:ascii="Times New Roman" w:hAnsi="Times New Roman" w:cs="Times New Roman"/>
          <w:b/>
          <w:bCs/>
          <w:szCs w:val="21"/>
          <w:highlight w:val="none"/>
        </w:rPr>
      </w:pPr>
    </w:p>
    <w:p w14:paraId="271B28D1">
      <w:pPr>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十</w:t>
      </w:r>
      <w:r>
        <w:rPr>
          <w:rFonts w:hint="eastAsia" w:ascii="Times New Roman" w:hAnsi="Times New Roman" w:cs="Times New Roman"/>
          <w:b/>
          <w:bCs/>
          <w:szCs w:val="21"/>
          <w:highlight w:val="none"/>
        </w:rPr>
        <w:t>、项目组成人员情况表格式：</w:t>
      </w:r>
    </w:p>
    <w:p w14:paraId="11B78EF3">
      <w:pPr>
        <w:pStyle w:val="161"/>
        <w:adjustRightInd w:val="0"/>
        <w:spacing w:before="120" w:after="120" w:line="360" w:lineRule="auto"/>
        <w:jc w:val="center"/>
        <w:textAlignment w:val="baseline"/>
        <w:rPr>
          <w:rFonts w:hint="eastAsia"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项目组成人员情况表</w:t>
      </w:r>
    </w:p>
    <w:tbl>
      <w:tblPr>
        <w:tblStyle w:val="30"/>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267BC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7575670">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29125C8D">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281691C3">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277768C">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7B40B029">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6ED1F220">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5E3FD483">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44EB4E16">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5FADFC6C">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备注</w:t>
            </w:r>
          </w:p>
        </w:tc>
      </w:tr>
      <w:tr w14:paraId="29F94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9FA0091">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w:t>
            </w:r>
          </w:p>
        </w:tc>
        <w:tc>
          <w:tcPr>
            <w:tcW w:w="1352" w:type="dxa"/>
            <w:tcBorders>
              <w:top w:val="single" w:color="auto" w:sz="4" w:space="0"/>
              <w:left w:val="single" w:color="auto" w:sz="4" w:space="0"/>
              <w:bottom w:val="single" w:color="auto" w:sz="4" w:space="0"/>
              <w:right w:val="single" w:color="auto" w:sz="4" w:space="0"/>
            </w:tcBorders>
            <w:vAlign w:val="center"/>
          </w:tcPr>
          <w:p w14:paraId="51EE5530">
            <w:pPr>
              <w:pStyle w:val="162"/>
              <w:jc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b/>
                <w:bCs/>
                <w:color w:val="000000"/>
                <w:kern w:val="0"/>
                <w:sz w:val="21"/>
                <w:szCs w:val="21"/>
                <w:highlight w:val="none"/>
                <w:lang w:bidi="ar"/>
              </w:rPr>
              <w:t>项目</w:t>
            </w:r>
            <w:r>
              <w:rPr>
                <w:rFonts w:hint="eastAsia" w:ascii="Times New Roman" w:hAnsi="Times New Roman" w:cs="Times New Roman"/>
                <w:b/>
                <w:bCs/>
                <w:color w:val="000000"/>
                <w:kern w:val="0"/>
                <w:sz w:val="21"/>
                <w:szCs w:val="21"/>
                <w:highlight w:val="none"/>
                <w:lang w:val="en-US" w:eastAsia="zh-CN" w:bidi="ar"/>
              </w:rPr>
              <w:t>负责人</w:t>
            </w:r>
          </w:p>
        </w:tc>
        <w:tc>
          <w:tcPr>
            <w:tcW w:w="865" w:type="dxa"/>
            <w:tcBorders>
              <w:top w:val="single" w:color="auto" w:sz="4" w:space="0"/>
              <w:left w:val="single" w:color="auto" w:sz="4" w:space="0"/>
              <w:bottom w:val="single" w:color="auto" w:sz="4" w:space="0"/>
              <w:right w:val="single" w:color="auto" w:sz="4" w:space="0"/>
            </w:tcBorders>
            <w:vAlign w:val="center"/>
          </w:tcPr>
          <w:p w14:paraId="6D3DD1A7">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7D431C4C">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3EDFD1F4">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0483435">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516B2F1">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2FD9B6">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415957FE">
            <w:pPr>
              <w:pStyle w:val="162"/>
              <w:jc w:val="center"/>
              <w:rPr>
                <w:rFonts w:hint="eastAsia" w:ascii="Times New Roman" w:hAnsi="Times New Roman" w:cs="Times New Roman"/>
                <w:sz w:val="21"/>
                <w:szCs w:val="21"/>
                <w:highlight w:val="none"/>
              </w:rPr>
            </w:pPr>
          </w:p>
        </w:tc>
      </w:tr>
      <w:tr w14:paraId="33DEC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ECB865E">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w:t>
            </w:r>
          </w:p>
        </w:tc>
        <w:tc>
          <w:tcPr>
            <w:tcW w:w="1352" w:type="dxa"/>
            <w:tcBorders>
              <w:top w:val="single" w:color="auto" w:sz="4" w:space="0"/>
              <w:left w:val="single" w:color="auto" w:sz="4" w:space="0"/>
              <w:bottom w:val="single" w:color="auto" w:sz="4" w:space="0"/>
              <w:right w:val="single" w:color="auto" w:sz="4" w:space="0"/>
            </w:tcBorders>
            <w:vAlign w:val="center"/>
          </w:tcPr>
          <w:p w14:paraId="532F81AA">
            <w:pPr>
              <w:pStyle w:val="162"/>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技术负责人</w:t>
            </w:r>
          </w:p>
        </w:tc>
        <w:tc>
          <w:tcPr>
            <w:tcW w:w="865" w:type="dxa"/>
            <w:tcBorders>
              <w:top w:val="single" w:color="auto" w:sz="4" w:space="0"/>
              <w:left w:val="single" w:color="auto" w:sz="4" w:space="0"/>
              <w:bottom w:val="single" w:color="auto" w:sz="4" w:space="0"/>
              <w:right w:val="single" w:color="auto" w:sz="4" w:space="0"/>
            </w:tcBorders>
            <w:vAlign w:val="center"/>
          </w:tcPr>
          <w:p w14:paraId="01C0463A">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45E9B41">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525F2094">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ED169B2">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A662BEE">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95B2A7">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0221E39C">
            <w:pPr>
              <w:pStyle w:val="162"/>
              <w:jc w:val="center"/>
              <w:rPr>
                <w:rFonts w:hint="eastAsia" w:ascii="Times New Roman" w:hAnsi="Times New Roman" w:cs="Times New Roman"/>
                <w:sz w:val="21"/>
                <w:szCs w:val="21"/>
                <w:highlight w:val="none"/>
              </w:rPr>
            </w:pPr>
          </w:p>
        </w:tc>
      </w:tr>
      <w:tr w14:paraId="24924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D148D51">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3</w:t>
            </w:r>
          </w:p>
        </w:tc>
        <w:tc>
          <w:tcPr>
            <w:tcW w:w="1352" w:type="dxa"/>
            <w:tcBorders>
              <w:top w:val="single" w:color="auto" w:sz="4" w:space="0"/>
              <w:left w:val="single" w:color="auto" w:sz="4" w:space="0"/>
              <w:bottom w:val="single" w:color="auto" w:sz="4" w:space="0"/>
              <w:right w:val="single" w:color="auto" w:sz="4" w:space="0"/>
            </w:tcBorders>
            <w:vAlign w:val="center"/>
          </w:tcPr>
          <w:p w14:paraId="0C087ED0">
            <w:pPr>
              <w:pStyle w:val="162"/>
              <w:jc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施工员</w:t>
            </w:r>
          </w:p>
        </w:tc>
        <w:tc>
          <w:tcPr>
            <w:tcW w:w="865" w:type="dxa"/>
            <w:tcBorders>
              <w:top w:val="single" w:color="auto" w:sz="4" w:space="0"/>
              <w:left w:val="single" w:color="auto" w:sz="4" w:space="0"/>
              <w:bottom w:val="single" w:color="auto" w:sz="4" w:space="0"/>
              <w:right w:val="single" w:color="auto" w:sz="4" w:space="0"/>
            </w:tcBorders>
            <w:vAlign w:val="center"/>
          </w:tcPr>
          <w:p w14:paraId="6274BBF3">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66FC292">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2B7F32AE">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1D9A574">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015DBAF">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17F7DF">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6F8455DB">
            <w:pPr>
              <w:pStyle w:val="162"/>
              <w:jc w:val="center"/>
              <w:rPr>
                <w:rFonts w:hint="eastAsia" w:ascii="Times New Roman" w:hAnsi="Times New Roman" w:cs="Times New Roman"/>
                <w:sz w:val="21"/>
                <w:szCs w:val="21"/>
                <w:highlight w:val="none"/>
              </w:rPr>
            </w:pPr>
          </w:p>
        </w:tc>
      </w:tr>
      <w:tr w14:paraId="30DA5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0C024FC">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4</w:t>
            </w:r>
          </w:p>
        </w:tc>
        <w:tc>
          <w:tcPr>
            <w:tcW w:w="1352" w:type="dxa"/>
            <w:tcBorders>
              <w:top w:val="single" w:color="auto" w:sz="4" w:space="0"/>
              <w:left w:val="single" w:color="auto" w:sz="4" w:space="0"/>
              <w:bottom w:val="single" w:color="auto" w:sz="4" w:space="0"/>
              <w:right w:val="single" w:color="auto" w:sz="4" w:space="0"/>
            </w:tcBorders>
            <w:vAlign w:val="center"/>
          </w:tcPr>
          <w:p w14:paraId="6672BE91">
            <w:pPr>
              <w:pStyle w:val="162"/>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安全员</w:t>
            </w:r>
          </w:p>
        </w:tc>
        <w:tc>
          <w:tcPr>
            <w:tcW w:w="865" w:type="dxa"/>
            <w:tcBorders>
              <w:top w:val="single" w:color="auto" w:sz="4" w:space="0"/>
              <w:left w:val="single" w:color="auto" w:sz="4" w:space="0"/>
              <w:bottom w:val="single" w:color="auto" w:sz="4" w:space="0"/>
              <w:right w:val="single" w:color="auto" w:sz="4" w:space="0"/>
            </w:tcBorders>
            <w:vAlign w:val="center"/>
          </w:tcPr>
          <w:p w14:paraId="66A83CBE">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3B00722">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3EB57503">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6775861">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174A90BE">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EBD2A9">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14314411">
            <w:pPr>
              <w:pStyle w:val="162"/>
              <w:jc w:val="center"/>
              <w:rPr>
                <w:rFonts w:hint="eastAsia" w:ascii="Times New Roman" w:hAnsi="Times New Roman" w:cs="Times New Roman"/>
                <w:sz w:val="21"/>
                <w:szCs w:val="21"/>
                <w:highlight w:val="none"/>
              </w:rPr>
            </w:pPr>
          </w:p>
        </w:tc>
      </w:tr>
      <w:tr w14:paraId="35DD2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5F59656">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5</w:t>
            </w:r>
          </w:p>
        </w:tc>
        <w:tc>
          <w:tcPr>
            <w:tcW w:w="1352" w:type="dxa"/>
            <w:tcBorders>
              <w:top w:val="single" w:color="auto" w:sz="4" w:space="0"/>
              <w:left w:val="single" w:color="auto" w:sz="4" w:space="0"/>
              <w:bottom w:val="single" w:color="auto" w:sz="4" w:space="0"/>
              <w:right w:val="single" w:color="auto" w:sz="4" w:space="0"/>
            </w:tcBorders>
            <w:vAlign w:val="center"/>
          </w:tcPr>
          <w:p w14:paraId="1790F942">
            <w:pPr>
              <w:ind w:firstLine="420" w:firstLineChars="200"/>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质检员</w:t>
            </w:r>
          </w:p>
        </w:tc>
        <w:tc>
          <w:tcPr>
            <w:tcW w:w="865" w:type="dxa"/>
            <w:tcBorders>
              <w:top w:val="single" w:color="auto" w:sz="4" w:space="0"/>
              <w:left w:val="single" w:color="auto" w:sz="4" w:space="0"/>
              <w:bottom w:val="single" w:color="auto" w:sz="4" w:space="0"/>
              <w:right w:val="single" w:color="auto" w:sz="4" w:space="0"/>
            </w:tcBorders>
            <w:vAlign w:val="center"/>
          </w:tcPr>
          <w:p w14:paraId="6C84ED79">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1A0DDBE">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14C8C107">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A613144">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742D8606">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AC7BD68">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1A176449">
            <w:pPr>
              <w:rPr>
                <w:rFonts w:hint="eastAsia" w:ascii="Times New Roman" w:hAnsi="Times New Roman" w:cs="Times New Roman"/>
                <w:szCs w:val="21"/>
                <w:highlight w:val="none"/>
              </w:rPr>
            </w:pPr>
          </w:p>
        </w:tc>
      </w:tr>
      <w:tr w14:paraId="7499B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B388E76">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6</w:t>
            </w:r>
          </w:p>
        </w:tc>
        <w:tc>
          <w:tcPr>
            <w:tcW w:w="1352" w:type="dxa"/>
            <w:tcBorders>
              <w:top w:val="single" w:color="auto" w:sz="4" w:space="0"/>
              <w:left w:val="single" w:color="auto" w:sz="4" w:space="0"/>
              <w:bottom w:val="single" w:color="auto" w:sz="4" w:space="0"/>
              <w:right w:val="single" w:color="auto" w:sz="4" w:space="0"/>
            </w:tcBorders>
            <w:vAlign w:val="center"/>
          </w:tcPr>
          <w:p w14:paraId="22DAF2B1">
            <w:pPr>
              <w:rPr>
                <w:rFonts w:hint="eastAsia" w:ascii="Times New Roman" w:hAnsi="Times New Roman" w:cs="Times New Roman"/>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1A72ABA">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3A6CBDFF">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0D1320BB">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3942F79">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91CA854">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F3BB1E">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256186CA">
            <w:pPr>
              <w:rPr>
                <w:rFonts w:hint="eastAsia" w:ascii="Times New Roman" w:hAnsi="Times New Roman" w:cs="Times New Roman"/>
                <w:szCs w:val="21"/>
                <w:highlight w:val="none"/>
              </w:rPr>
            </w:pPr>
          </w:p>
        </w:tc>
      </w:tr>
      <w:tr w14:paraId="697B7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1649925">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w:t>
            </w:r>
          </w:p>
        </w:tc>
        <w:tc>
          <w:tcPr>
            <w:tcW w:w="1352" w:type="dxa"/>
            <w:tcBorders>
              <w:top w:val="single" w:color="auto" w:sz="4" w:space="0"/>
              <w:left w:val="single" w:color="auto" w:sz="4" w:space="0"/>
              <w:bottom w:val="single" w:color="auto" w:sz="4" w:space="0"/>
              <w:right w:val="single" w:color="auto" w:sz="4" w:space="0"/>
            </w:tcBorders>
            <w:vAlign w:val="center"/>
          </w:tcPr>
          <w:p w14:paraId="43DC9315">
            <w:pPr>
              <w:rPr>
                <w:rFonts w:hint="eastAsia" w:ascii="Times New Roman" w:hAnsi="Times New Roman" w:cs="Times New Roman"/>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59976A0">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18D416C2">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0FC162CF">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D0CE7BC">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8E05626">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2AB60C">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E3F285C">
            <w:pPr>
              <w:rPr>
                <w:rFonts w:hint="eastAsia" w:ascii="Times New Roman" w:hAnsi="Times New Roman" w:cs="Times New Roman"/>
                <w:szCs w:val="21"/>
                <w:highlight w:val="none"/>
              </w:rPr>
            </w:pPr>
          </w:p>
        </w:tc>
      </w:tr>
      <w:tr w14:paraId="5B4CF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A4AD8A5">
            <w:pPr>
              <w:jc w:val="center"/>
              <w:rPr>
                <w:rFonts w:hint="eastAsia" w:ascii="Times New Roman" w:hAnsi="Times New Roman" w:cs="Times New Roman"/>
                <w:szCs w:val="21"/>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4355008">
            <w:pPr>
              <w:rPr>
                <w:rFonts w:hint="eastAsia" w:ascii="Times New Roman" w:hAnsi="Times New Roman" w:cs="Times New Roman"/>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1F47017">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8E3A3A8">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0ABA88F9">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3D929A5">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C4C357F">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273D85">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5E94CFC1">
            <w:pPr>
              <w:rPr>
                <w:rFonts w:hint="eastAsia" w:ascii="Times New Roman" w:hAnsi="Times New Roman" w:cs="Times New Roman"/>
                <w:szCs w:val="21"/>
                <w:highlight w:val="none"/>
              </w:rPr>
            </w:pPr>
          </w:p>
        </w:tc>
      </w:tr>
    </w:tbl>
    <w:p w14:paraId="52B15528">
      <w:pPr>
        <w:ind w:firstLine="630" w:firstLineChars="300"/>
        <w:rPr>
          <w:rFonts w:hint="eastAsia" w:ascii="Times New Roman" w:hAnsi="Times New Roman" w:cs="Times New Roman"/>
          <w:szCs w:val="21"/>
          <w:highlight w:val="none"/>
        </w:rPr>
      </w:pPr>
    </w:p>
    <w:p w14:paraId="48409BFA">
      <w:pPr>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注：1、提供上述人员相关证书及</w:t>
      </w:r>
      <w:r>
        <w:rPr>
          <w:rFonts w:hint="eastAsia" w:ascii="Times New Roman" w:hAnsi="Times New Roman" w:cs="Times New Roman"/>
          <w:szCs w:val="21"/>
          <w:highlight w:val="none"/>
          <w:lang w:eastAsia="zh-CN"/>
        </w:rPr>
        <w:t>社保</w:t>
      </w:r>
      <w:r>
        <w:rPr>
          <w:rFonts w:hint="eastAsia" w:ascii="Times New Roman" w:hAnsi="Times New Roman" w:cs="Times New Roman"/>
          <w:szCs w:val="21"/>
          <w:highlight w:val="none"/>
        </w:rPr>
        <w:t>证明材料等评分细则要求提供的相应材料复印件（加盖投标人公章）。</w:t>
      </w:r>
    </w:p>
    <w:p w14:paraId="488BEFE1">
      <w:pPr>
        <w:rPr>
          <w:rFonts w:hint="eastAsia" w:ascii="Times New Roman" w:hAnsi="Times New Roman" w:cs="Times New Roman"/>
          <w:szCs w:val="21"/>
          <w:highlight w:val="none"/>
        </w:rPr>
      </w:pPr>
    </w:p>
    <w:p w14:paraId="76D8CA71">
      <w:pPr>
        <w:pStyle w:val="12"/>
        <w:ind w:firstLine="210"/>
        <w:rPr>
          <w:rFonts w:ascii="Times New Roman" w:hAnsi="Times New Roman" w:cs="Times New Roman"/>
          <w:highlight w:val="none"/>
        </w:rPr>
      </w:pPr>
    </w:p>
    <w:p w14:paraId="1FB98247">
      <w:pPr>
        <w:jc w:val="right"/>
        <w:rPr>
          <w:rFonts w:hint="eastAsia" w:ascii="Times New Roman" w:hAnsi="Times New Roman" w:cs="Times New Roman"/>
          <w:szCs w:val="21"/>
          <w:highlight w:val="none"/>
        </w:rPr>
      </w:pPr>
    </w:p>
    <w:p w14:paraId="0118486D">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投标人名称：</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（加盖公章）</w:t>
      </w:r>
    </w:p>
    <w:p w14:paraId="1C95B8F0">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法定代表人或投标人代表：</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 xml:space="preserve">（签字或盖章）                                             </w:t>
      </w:r>
    </w:p>
    <w:p w14:paraId="5FCCDEE7">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sectPr>
          <w:pgSz w:w="11905" w:h="16838"/>
          <w:pgMar w:top="1304" w:right="1531" w:bottom="833" w:left="1531" w:header="1304" w:footer="1304" w:gutter="0"/>
          <w:pgNumType w:fmt="decimal"/>
          <w:cols w:space="0" w:num="1"/>
          <w:rtlGutter w:val="0"/>
          <w:docGrid w:linePitch="312" w:charSpace="0"/>
        </w:sectPr>
      </w:pPr>
      <w:r>
        <w:rPr>
          <w:rFonts w:hint="eastAsia" w:ascii="Times New Roman" w:hAnsi="Times New Roman" w:cs="Times New Roman"/>
          <w:szCs w:val="21"/>
          <w:highlight w:val="none"/>
        </w:rPr>
        <w:t xml:space="preserve">  日期：</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月</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日</w:t>
      </w:r>
    </w:p>
    <w:p w14:paraId="215130D4">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p>
    <w:p w14:paraId="32BA3F9B">
      <w:pPr>
        <w:autoSpaceDE w:val="0"/>
        <w:autoSpaceDN w:val="0"/>
        <w:adjustRightIn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十</w:t>
      </w:r>
      <w:r>
        <w:rPr>
          <w:rFonts w:hint="eastAsia" w:ascii="Times New Roman" w:hAnsi="Times New Roman" w:cs="Times New Roman"/>
          <w:b/>
          <w:bCs/>
          <w:szCs w:val="21"/>
          <w:highlight w:val="none"/>
          <w:lang w:val="en-US" w:eastAsia="zh-CN"/>
        </w:rPr>
        <w:t>一</w:t>
      </w:r>
      <w:r>
        <w:rPr>
          <w:rFonts w:hint="eastAsia" w:ascii="Times New Roman" w:hAnsi="Times New Roman" w:cs="Times New Roman"/>
          <w:b/>
          <w:bCs/>
          <w:szCs w:val="21"/>
          <w:highlight w:val="none"/>
        </w:rPr>
        <w:t>、投标报价一览表格式：</w:t>
      </w:r>
    </w:p>
    <w:p w14:paraId="745B1541">
      <w:pPr>
        <w:pStyle w:val="163"/>
        <w:jc w:val="center"/>
        <w:rPr>
          <w:rFonts w:hint="eastAsia" w:ascii="Times New Roman" w:hAnsi="Times New Roman" w:eastAsia="宋体" w:cs="Times New Roman"/>
          <w:b/>
          <w:sz w:val="24"/>
          <w:szCs w:val="24"/>
          <w:highlight w:val="none"/>
        </w:rPr>
      </w:pPr>
    </w:p>
    <w:p w14:paraId="05B87CC4">
      <w:pPr>
        <w:autoSpaceDE w:val="0"/>
        <w:autoSpaceDN w:val="0"/>
        <w:adjustRightInd w:val="0"/>
        <w:spacing w:line="360" w:lineRule="auto"/>
        <w:jc w:val="center"/>
        <w:rPr>
          <w:rFonts w:ascii="Times New Roman" w:hAnsi="Times New Roman" w:cs="Times New Roman"/>
          <w:b/>
          <w:bCs/>
          <w:szCs w:val="21"/>
          <w:highlight w:val="none"/>
        </w:rPr>
      </w:pPr>
      <w:r>
        <w:rPr>
          <w:rFonts w:hint="eastAsia" w:ascii="Times New Roman" w:hAnsi="Times New Roman" w:cs="Times New Roman"/>
          <w:b/>
          <w:bCs/>
          <w:szCs w:val="21"/>
          <w:highlight w:val="none"/>
        </w:rPr>
        <w:t>投标报价一</w:t>
      </w:r>
      <w:r>
        <w:rPr>
          <w:rFonts w:ascii="Times New Roman" w:hAnsi="Times New Roman" w:cs="Times New Roman"/>
          <w:b/>
          <w:bCs/>
          <w:szCs w:val="21"/>
          <w:highlight w:val="none"/>
        </w:rPr>
        <w:t>览表</w:t>
      </w:r>
    </w:p>
    <w:p w14:paraId="5E085F18">
      <w:pPr>
        <w:snapToGrid w:val="0"/>
        <w:spacing w:before="50" w:after="50"/>
        <w:ind w:right="480" w:firstLine="1680" w:firstLineChars="800"/>
        <w:rPr>
          <w:rFonts w:ascii="Times New Roman" w:hAnsi="Times New Roman" w:cs="Times New Roman"/>
          <w:highlight w:val="none"/>
        </w:rPr>
      </w:pPr>
      <w:r>
        <w:rPr>
          <w:rFonts w:hint="eastAsia" w:ascii="Times New Roman" w:hAnsi="Times New Roman" w:cs="Times New Roman"/>
          <w:szCs w:val="21"/>
          <w:highlight w:val="none"/>
        </w:rPr>
        <w:t xml:space="preserve">                         </w:t>
      </w:r>
      <w:r>
        <w:rPr>
          <w:rFonts w:hint="eastAsia" w:ascii="Times New Roman" w:hAnsi="Times New Roman" w:cs="Times New Roman"/>
          <w:szCs w:val="21"/>
          <w:highlight w:val="none"/>
          <w:lang w:val="en-US" w:eastAsia="zh-CN"/>
        </w:rPr>
        <w:t xml:space="preserve">              </w:t>
      </w:r>
      <w:r>
        <w:rPr>
          <w:rFonts w:hint="eastAsia" w:ascii="Times New Roman" w:hAnsi="Times New Roman" w:cs="Times New Roman"/>
          <w:szCs w:val="21"/>
          <w:highlight w:val="none"/>
        </w:rPr>
        <w:t>金额单位：人民币（元）</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508A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0B9B98A6">
            <w:pPr>
              <w:jc w:val="center"/>
              <w:rPr>
                <w:rFonts w:hint="eastAsia" w:ascii="Times New Roman" w:hAnsi="Times New Roman" w:cs="Times New Roman"/>
                <w:bCs/>
                <w:szCs w:val="21"/>
                <w:highlight w:val="none"/>
              </w:rPr>
            </w:pPr>
            <w:r>
              <w:rPr>
                <w:rFonts w:hint="eastAsia" w:ascii="Times New Roman" w:hAnsi="Times New Roman" w:cs="Times New Roman"/>
                <w:szCs w:val="21"/>
                <w:highlight w:val="none"/>
              </w:rPr>
              <w:t>项目名称</w:t>
            </w:r>
          </w:p>
        </w:tc>
        <w:tc>
          <w:tcPr>
            <w:tcW w:w="6996" w:type="dxa"/>
            <w:noWrap w:val="0"/>
            <w:vAlign w:val="center"/>
          </w:tcPr>
          <w:p w14:paraId="1CE60DEF">
            <w:pPr>
              <w:jc w:val="center"/>
              <w:rPr>
                <w:rFonts w:hint="eastAsia" w:ascii="Times New Roman" w:hAnsi="Times New Roman" w:cs="Times New Roman"/>
                <w:bCs/>
                <w:szCs w:val="21"/>
                <w:highlight w:val="none"/>
              </w:rPr>
            </w:pPr>
            <w:r>
              <w:rPr>
                <w:rFonts w:hint="eastAsia" w:ascii="Times New Roman" w:hAnsi="Times New Roman" w:cs="Times New Roman"/>
                <w:bCs/>
                <w:szCs w:val="21"/>
                <w:highlight w:val="none"/>
              </w:rPr>
              <w:t xml:space="preserve"> </w:t>
            </w:r>
          </w:p>
        </w:tc>
      </w:tr>
      <w:tr w14:paraId="7370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0F75B463">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项目编号</w:t>
            </w:r>
          </w:p>
        </w:tc>
        <w:tc>
          <w:tcPr>
            <w:tcW w:w="6996" w:type="dxa"/>
            <w:noWrap w:val="0"/>
            <w:vAlign w:val="center"/>
          </w:tcPr>
          <w:p w14:paraId="4894D1C6">
            <w:pPr>
              <w:jc w:val="center"/>
              <w:rPr>
                <w:rFonts w:hint="eastAsia" w:ascii="Times New Roman" w:hAnsi="Times New Roman" w:cs="Times New Roman"/>
                <w:bCs/>
                <w:szCs w:val="21"/>
                <w:highlight w:val="none"/>
              </w:rPr>
            </w:pPr>
          </w:p>
        </w:tc>
      </w:tr>
      <w:tr w14:paraId="3469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1D536A0E">
            <w:pPr>
              <w:jc w:val="center"/>
              <w:rPr>
                <w:rFonts w:hint="eastAsia" w:ascii="Times New Roman" w:hAnsi="Times New Roman" w:eastAsia="宋体" w:cs="Times New Roman"/>
                <w:szCs w:val="21"/>
                <w:highlight w:val="none"/>
                <w:lang w:eastAsia="zh-CN"/>
              </w:rPr>
            </w:pPr>
            <w:r>
              <w:rPr>
                <w:rFonts w:hint="eastAsia" w:ascii="Times New Roman" w:hAnsi="Times New Roman" w:cs="Times New Roman"/>
                <w:szCs w:val="21"/>
                <w:highlight w:val="none"/>
              </w:rPr>
              <w:t>投标报价</w:t>
            </w:r>
            <w:r>
              <w:rPr>
                <w:rFonts w:hint="eastAsia" w:cs="Times New Roman"/>
                <w:szCs w:val="21"/>
                <w:highlight w:val="none"/>
                <w:lang w:eastAsia="zh-CN"/>
              </w:rPr>
              <w:t>（</w:t>
            </w:r>
            <w:r>
              <w:rPr>
                <w:rFonts w:hint="eastAsia" w:cs="Times New Roman"/>
                <w:szCs w:val="21"/>
                <w:highlight w:val="none"/>
                <w:lang w:val="en-US" w:eastAsia="zh-CN"/>
              </w:rPr>
              <w:t>元</w:t>
            </w:r>
            <w:r>
              <w:rPr>
                <w:rFonts w:hint="eastAsia" w:cs="Times New Roman"/>
                <w:szCs w:val="21"/>
                <w:highlight w:val="none"/>
                <w:lang w:eastAsia="zh-CN"/>
              </w:rPr>
              <w:t>）</w:t>
            </w:r>
          </w:p>
        </w:tc>
        <w:tc>
          <w:tcPr>
            <w:tcW w:w="6996" w:type="dxa"/>
            <w:noWrap w:val="0"/>
            <w:vAlign w:val="center"/>
          </w:tcPr>
          <w:p w14:paraId="7FB8C32E">
            <w:pPr>
              <w:spacing w:line="360" w:lineRule="auto"/>
              <w:rPr>
                <w:rFonts w:hint="eastAsia" w:cs="Times New Roman"/>
                <w:bCs/>
                <w:szCs w:val="21"/>
                <w:highlight w:val="none"/>
                <w:lang w:val="en-US" w:eastAsia="zh-CN"/>
              </w:rPr>
            </w:pPr>
            <w:r>
              <w:rPr>
                <w:rFonts w:hint="eastAsia" w:cs="Times New Roman"/>
                <w:bCs/>
                <w:szCs w:val="21"/>
                <w:highlight w:val="none"/>
                <w:lang w:val="en-US" w:eastAsia="zh-CN"/>
              </w:rPr>
              <w:t xml:space="preserve"> 大写      元</w:t>
            </w:r>
          </w:p>
          <w:p w14:paraId="1B8185F2">
            <w:pPr>
              <w:spacing w:line="360" w:lineRule="auto"/>
              <w:ind w:firstLine="210" w:firstLineChars="100"/>
              <w:rPr>
                <w:rFonts w:hint="default" w:cs="Times New Roman"/>
                <w:bCs/>
                <w:szCs w:val="21"/>
                <w:highlight w:val="none"/>
                <w:lang w:val="en-US" w:eastAsia="zh-CN"/>
              </w:rPr>
            </w:pPr>
            <w:r>
              <w:rPr>
                <w:rFonts w:hint="eastAsia" w:cs="Times New Roman"/>
                <w:bCs/>
                <w:szCs w:val="21"/>
                <w:highlight w:val="none"/>
                <w:lang w:val="en-US" w:eastAsia="zh-CN"/>
              </w:rPr>
              <w:t>小写     元</w:t>
            </w:r>
          </w:p>
        </w:tc>
      </w:tr>
      <w:tr w14:paraId="1FA8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13B9381F">
            <w:pPr>
              <w:pStyle w:val="163"/>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备注：</w:t>
            </w:r>
          </w:p>
        </w:tc>
      </w:tr>
    </w:tbl>
    <w:p w14:paraId="5C5C2E76">
      <w:pPr>
        <w:snapToGrid w:val="0"/>
        <w:spacing w:before="50" w:after="50"/>
        <w:jc w:val="left"/>
        <w:rPr>
          <w:rFonts w:hint="eastAsia" w:ascii="Times New Roman" w:hAnsi="Times New Roman" w:cs="Times New Roman"/>
          <w:b/>
          <w:szCs w:val="21"/>
          <w:highlight w:val="none"/>
        </w:rPr>
      </w:pPr>
    </w:p>
    <w:p w14:paraId="424B12FC">
      <w:pPr>
        <w:snapToGrid w:val="0"/>
        <w:spacing w:before="50" w:after="50"/>
        <w:jc w:val="left"/>
        <w:rPr>
          <w:rFonts w:hint="eastAsia" w:ascii="Times New Roman" w:hAnsi="Times New Roman" w:cs="Times New Roman"/>
          <w:b/>
          <w:szCs w:val="21"/>
          <w:highlight w:val="none"/>
        </w:rPr>
      </w:pPr>
    </w:p>
    <w:p w14:paraId="359F2FFA">
      <w:pPr>
        <w:snapToGrid w:val="0"/>
        <w:spacing w:before="50" w:after="50"/>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注: 1、报价一经涂改，应在涂改处加盖单位公章或者由法定代表人或授权委托人签字或盖章，否则其投标作无效标处理。</w:t>
      </w:r>
    </w:p>
    <w:p w14:paraId="17BB3AED">
      <w:pPr>
        <w:snapToGrid w:val="0"/>
        <w:spacing w:before="50" w:after="50"/>
        <w:ind w:firstLine="420" w:firstLineChars="200"/>
        <w:jc w:val="left"/>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2</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本报价</w:t>
      </w:r>
      <w:r>
        <w:rPr>
          <w:rFonts w:hint="eastAsia" w:ascii="Times New Roman" w:hAnsi="Times New Roman" w:cs="Times New Roman"/>
          <w:color w:val="auto"/>
          <w:szCs w:val="21"/>
          <w:highlight w:val="none"/>
        </w:rPr>
        <w:t>应包括完成本项目所需的一切费用如有漏项，视为已包含在总价中。</w:t>
      </w:r>
    </w:p>
    <w:p w14:paraId="76BC5FF4">
      <w:pPr>
        <w:snapToGrid w:val="0"/>
        <w:spacing w:before="50" w:after="50"/>
        <w:ind w:left="-23" w:leftChars="-11" w:right="-817" w:rightChars="-389"/>
        <w:jc w:val="right"/>
        <w:rPr>
          <w:rFonts w:hint="eastAsia" w:ascii="Times New Roman" w:hAnsi="Times New Roman" w:cs="Times New Roman"/>
          <w:szCs w:val="21"/>
          <w:highlight w:val="none"/>
        </w:rPr>
      </w:pPr>
    </w:p>
    <w:p w14:paraId="40FD366B">
      <w:pPr>
        <w:snapToGrid w:val="0"/>
        <w:spacing w:before="50" w:after="50"/>
        <w:ind w:left="-23" w:leftChars="-11" w:right="-817" w:rightChars="-389"/>
        <w:jc w:val="center"/>
        <w:rPr>
          <w:rFonts w:hint="eastAsia" w:ascii="Times New Roman" w:hAnsi="Times New Roman" w:cs="Times New Roman"/>
          <w:szCs w:val="21"/>
          <w:highlight w:val="none"/>
        </w:rPr>
      </w:pPr>
    </w:p>
    <w:p w14:paraId="103A62A5">
      <w:pPr>
        <w:snapToGrid w:val="0"/>
        <w:spacing w:before="50" w:after="50"/>
        <w:ind w:left="-23" w:leftChars="-11" w:right="-817" w:rightChars="-389"/>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法定代表人或授权代表（签字</w:t>
      </w:r>
      <w:r>
        <w:rPr>
          <w:rFonts w:ascii="Times New Roman" w:hAnsi="Times New Roman" w:cs="Times New Roman"/>
          <w:szCs w:val="21"/>
          <w:highlight w:val="none"/>
        </w:rPr>
        <w:t>或盖章</w:t>
      </w:r>
      <w:r>
        <w:rPr>
          <w:rFonts w:hint="eastAsia" w:ascii="Times New Roman" w:hAnsi="Times New Roman" w:cs="Times New Roman"/>
          <w:szCs w:val="21"/>
          <w:highlight w:val="none"/>
        </w:rPr>
        <w:t>）：</w:t>
      </w:r>
    </w:p>
    <w:p w14:paraId="2BF3247D">
      <w:pPr>
        <w:snapToGrid w:val="0"/>
        <w:spacing w:before="50" w:after="50"/>
        <w:ind w:left="-23" w:leftChars="-11" w:right="-817" w:rightChars="-389"/>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投标人（盖章）：</w:t>
      </w:r>
    </w:p>
    <w:p w14:paraId="0D5BECAB">
      <w:pPr>
        <w:snapToGrid w:val="0"/>
        <w:spacing w:before="50" w:after="50"/>
        <w:ind w:left="-23" w:leftChars="-11" w:right="-817" w:rightChars="-389"/>
        <w:jc w:val="center"/>
        <w:rPr>
          <w:rFonts w:hint="eastAsia" w:ascii="Times New Roman" w:hAnsi="Times New Roman" w:cs="Times New Roman"/>
          <w:szCs w:val="21"/>
          <w:highlight w:val="none"/>
        </w:rPr>
      </w:pPr>
    </w:p>
    <w:p w14:paraId="084E9378">
      <w:pPr>
        <w:snapToGrid w:val="0"/>
        <w:spacing w:before="50" w:after="50"/>
        <w:jc w:val="center"/>
        <w:rPr>
          <w:rFonts w:hint="eastAsia" w:ascii="Times New Roman" w:hAnsi="Times New Roman" w:cs="Times New Roman"/>
          <w:b/>
          <w:szCs w:val="21"/>
          <w:highlight w:val="none"/>
        </w:rPr>
      </w:pPr>
      <w:r>
        <w:rPr>
          <w:rFonts w:hint="eastAsia" w:ascii="Times New Roman" w:hAnsi="Times New Roman" w:cs="Times New Roman"/>
          <w:szCs w:val="21"/>
          <w:highlight w:val="none"/>
        </w:rPr>
        <w:t xml:space="preserve">             日期： 年 月 日</w:t>
      </w:r>
    </w:p>
    <w:p w14:paraId="61E63984">
      <w:pPr>
        <w:spacing w:line="360" w:lineRule="auto"/>
        <w:rPr>
          <w:rFonts w:ascii="Times New Roman" w:hAnsi="Times New Roman" w:cs="Times New Roman"/>
          <w:highlight w:val="none"/>
        </w:rPr>
        <w:sectPr>
          <w:pgSz w:w="11906" w:h="16838"/>
          <w:pgMar w:top="1440" w:right="1803" w:bottom="1440" w:left="1803" w:header="851" w:footer="992" w:gutter="0"/>
          <w:pgNumType w:fmt="decimal"/>
          <w:cols w:space="720" w:num="1"/>
          <w:docGrid w:type="lines" w:linePitch="319" w:charSpace="0"/>
        </w:sectPr>
      </w:pPr>
    </w:p>
    <w:p w14:paraId="3DE0C365">
      <w:pPr>
        <w:rPr>
          <w:rFonts w:hint="eastAsia" w:ascii="Times New Roman" w:hAnsi="Times New Roman" w:cs="Times New Roman"/>
          <w:highlight w:val="none"/>
        </w:rPr>
      </w:pPr>
    </w:p>
    <w:p w14:paraId="52AFCE89">
      <w:pPr>
        <w:rPr>
          <w:rFonts w:hint="eastAsia" w:ascii="Times New Roman" w:hAnsi="Times New Roman" w:cs="Times New Roman"/>
          <w:highlight w:val="none"/>
        </w:rPr>
      </w:pPr>
    </w:p>
    <w:p w14:paraId="4092D1A8">
      <w:pPr>
        <w:rPr>
          <w:rFonts w:hint="eastAsia" w:ascii="Times New Roman" w:hAnsi="Times New Roman" w:cs="Times New Roman"/>
          <w:highlight w:val="none"/>
        </w:rPr>
      </w:pPr>
    </w:p>
    <w:p w14:paraId="4D39AA51">
      <w:pPr>
        <w:rPr>
          <w:rFonts w:hint="eastAsia" w:ascii="Times New Roman" w:hAnsi="Times New Roman" w:cs="Times New Roman"/>
          <w:highlight w:val="none"/>
        </w:rPr>
      </w:pPr>
    </w:p>
    <w:p w14:paraId="09283C69">
      <w:pPr>
        <w:rPr>
          <w:rFonts w:hint="eastAsia" w:ascii="Times New Roman" w:hAnsi="Times New Roman" w:cs="Times New Roman"/>
          <w:highlight w:val="none"/>
        </w:rPr>
      </w:pPr>
    </w:p>
    <w:p w14:paraId="26A401DC">
      <w:pPr>
        <w:rPr>
          <w:rFonts w:hint="eastAsia" w:ascii="Times New Roman" w:hAnsi="Times New Roman" w:cs="Times New Roman"/>
          <w:highlight w:val="none"/>
        </w:rPr>
      </w:pPr>
    </w:p>
    <w:p w14:paraId="58EC8C79">
      <w:pPr>
        <w:rPr>
          <w:rFonts w:hint="eastAsia" w:ascii="Times New Roman" w:hAnsi="Times New Roman" w:cs="Times New Roman"/>
          <w:highlight w:val="none"/>
        </w:rPr>
      </w:pPr>
    </w:p>
    <w:p w14:paraId="189F57AF">
      <w:pPr>
        <w:rPr>
          <w:rFonts w:hint="eastAsia" w:ascii="Times New Roman" w:hAnsi="Times New Roman" w:cs="Times New Roman"/>
          <w:highlight w:val="none"/>
        </w:rPr>
      </w:pPr>
    </w:p>
    <w:p w14:paraId="463C93A1">
      <w:pPr>
        <w:rPr>
          <w:rFonts w:hint="eastAsia" w:ascii="Times New Roman" w:hAnsi="Times New Roman" w:cs="Times New Roman"/>
          <w:highlight w:val="none"/>
        </w:rPr>
      </w:pPr>
    </w:p>
    <w:p w14:paraId="24D0D8C4">
      <w:pPr>
        <w:rPr>
          <w:rFonts w:hint="eastAsia" w:ascii="Times New Roman" w:hAnsi="Times New Roman" w:cs="Times New Roman"/>
          <w:highlight w:val="none"/>
        </w:rPr>
      </w:pPr>
    </w:p>
    <w:p w14:paraId="0FE32869">
      <w:pPr>
        <w:rPr>
          <w:rFonts w:hint="eastAsia" w:ascii="Times New Roman" w:hAnsi="Times New Roman" w:cs="Times New Roman"/>
          <w:highlight w:val="none"/>
        </w:rPr>
      </w:pPr>
    </w:p>
    <w:p w14:paraId="5C0B0053">
      <w:pPr>
        <w:rPr>
          <w:rFonts w:hint="eastAsia" w:ascii="Times New Roman" w:hAnsi="Times New Roman" w:cs="Times New Roman"/>
          <w:highlight w:val="none"/>
        </w:rPr>
      </w:pPr>
    </w:p>
    <w:p w14:paraId="6336F5CE">
      <w:pPr>
        <w:rPr>
          <w:rFonts w:hint="eastAsia" w:ascii="Times New Roman" w:hAnsi="Times New Roman" w:cs="Times New Roman"/>
          <w:highlight w:val="none"/>
        </w:rPr>
      </w:pPr>
    </w:p>
    <w:p w14:paraId="5245F4DD">
      <w:pPr>
        <w:rPr>
          <w:rFonts w:hint="eastAsia" w:ascii="Times New Roman" w:hAnsi="Times New Roman" w:cs="Times New Roman"/>
          <w:highlight w:val="none"/>
        </w:rPr>
      </w:pPr>
    </w:p>
    <w:p w14:paraId="2BBEB56A">
      <w:pPr>
        <w:rPr>
          <w:rFonts w:hint="eastAsia" w:ascii="Times New Roman" w:hAnsi="Times New Roman" w:cs="Times New Roman"/>
          <w:highlight w:val="none"/>
        </w:rPr>
      </w:pPr>
    </w:p>
    <w:p w14:paraId="6169EEBC">
      <w:pPr>
        <w:widowControl/>
        <w:jc w:val="left"/>
        <w:outlineLvl w:val="9"/>
        <w:rPr>
          <w:rFonts w:hint="eastAsia" w:ascii="Times New Roman" w:hAnsi="Times New Roman" w:cs="Times New Roman"/>
          <w:b/>
          <w:bCs/>
          <w:spacing w:val="-4"/>
          <w:szCs w:val="21"/>
          <w:highlight w:val="none"/>
        </w:rPr>
      </w:pPr>
      <w:bookmarkStart w:id="354" w:name="OLE_LINK7"/>
      <w:bookmarkStart w:id="355" w:name="OLE_LINK6"/>
    </w:p>
    <w:p w14:paraId="1683B2E6">
      <w:pPr>
        <w:jc w:val="left"/>
        <w:outlineLvl w:val="1"/>
        <w:rPr>
          <w:rFonts w:hint="eastAsia" w:ascii="Times New Roman" w:hAnsi="Times New Roman" w:cs="Times New Roman"/>
          <w:szCs w:val="21"/>
          <w:highlight w:val="none"/>
        </w:rPr>
      </w:pPr>
      <w:r>
        <w:rPr>
          <w:rFonts w:hint="eastAsia" w:ascii="Times New Roman" w:hAnsi="Times New Roman" w:cs="Times New Roman"/>
          <w:b/>
          <w:bCs/>
          <w:spacing w:val="-4"/>
          <w:szCs w:val="21"/>
          <w:highlight w:val="none"/>
        </w:rPr>
        <w:t>十</w:t>
      </w:r>
      <w:r>
        <w:rPr>
          <w:rFonts w:hint="eastAsia" w:cs="Times New Roman"/>
          <w:b/>
          <w:bCs/>
          <w:spacing w:val="-4"/>
          <w:szCs w:val="21"/>
          <w:highlight w:val="none"/>
          <w:lang w:val="en-US" w:eastAsia="zh-CN"/>
        </w:rPr>
        <w:t>二</w:t>
      </w:r>
      <w:r>
        <w:rPr>
          <w:rFonts w:hint="eastAsia" w:ascii="Times New Roman" w:hAnsi="Times New Roman" w:cs="Times New Roman"/>
          <w:b/>
          <w:bCs/>
          <w:spacing w:val="-4"/>
          <w:szCs w:val="21"/>
          <w:highlight w:val="none"/>
        </w:rPr>
        <w:t>、</w:t>
      </w:r>
      <w:bookmarkEnd w:id="354"/>
      <w:bookmarkEnd w:id="355"/>
      <w:r>
        <w:rPr>
          <w:rFonts w:hint="eastAsia" w:ascii="Times New Roman" w:hAnsi="Times New Roman" w:cs="Times New Roman"/>
          <w:b/>
          <w:bCs/>
          <w:spacing w:val="-4"/>
          <w:szCs w:val="21"/>
          <w:highlight w:val="none"/>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5A8BD845">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3FEF054E">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22FEA4CF">
                    <w:tblPrEx>
                      <w:tblCellMar>
                        <w:top w:w="0" w:type="dxa"/>
                        <w:left w:w="0" w:type="dxa"/>
                        <w:bottom w:w="0" w:type="dxa"/>
                        <w:right w:w="0" w:type="dxa"/>
                      </w:tblCellMar>
                    </w:tblPrEx>
                    <w:trPr>
                      <w:tblCellSpacing w:w="0" w:type="dxa"/>
                      <w:jc w:val="center"/>
                    </w:trPr>
                    <w:tc>
                      <w:tcPr>
                        <w:tcW w:w="7904" w:type="dxa"/>
                        <w:vAlign w:val="center"/>
                      </w:tcPr>
                      <w:p w14:paraId="2AFCD216">
                        <w:pPr>
                          <w:widowControl/>
                          <w:spacing w:beforeAutospacing="1" w:afterAutospacing="1"/>
                          <w:ind w:firstLine="422"/>
                          <w:jc w:val="center"/>
                          <w:rPr>
                            <w:rFonts w:hint="eastAsia" w:ascii="Times New Roman" w:hAnsi="Times New Roman" w:cs="Times New Roman"/>
                            <w:szCs w:val="21"/>
                            <w:highlight w:val="none"/>
                          </w:rPr>
                        </w:pPr>
                        <w:r>
                          <w:rPr>
                            <w:rFonts w:hint="eastAsia" w:ascii="Times New Roman" w:hAnsi="Times New Roman" w:cs="Times New Roman"/>
                            <w:b/>
                            <w:kern w:val="0"/>
                            <w:szCs w:val="21"/>
                            <w:highlight w:val="none"/>
                          </w:rPr>
                          <w:t>质疑函范本</w:t>
                        </w:r>
                      </w:p>
                      <w:p w14:paraId="7EDF3EEF">
                        <w:pPr>
                          <w:widowControl/>
                          <w:adjustRightInd w:val="0"/>
                          <w:snapToGrid w:val="0"/>
                          <w:spacing w:before="312" w:beforeLines="100"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一、质疑投标人基本信息</w:t>
                        </w:r>
                      </w:p>
                      <w:p w14:paraId="76E6230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质疑投标人：</w:t>
                        </w:r>
                      </w:p>
                      <w:p w14:paraId="6A2D4834">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地址：邮编：</w:t>
                        </w:r>
                      </w:p>
                      <w:p w14:paraId="7C1FBA48">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联系人：联系电话：</w:t>
                        </w:r>
                      </w:p>
                      <w:p w14:paraId="40DEA5F5">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授权代表：联系电话：</w:t>
                        </w:r>
                      </w:p>
                      <w:p w14:paraId="007011F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地址： 邮编：</w:t>
                        </w:r>
                      </w:p>
                      <w:p w14:paraId="72139E0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二、质疑项目基本情况</w:t>
                        </w:r>
                      </w:p>
                      <w:p w14:paraId="2E209B8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质疑项目的名称：</w:t>
                        </w:r>
                      </w:p>
                      <w:p w14:paraId="3FC12FA0">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质疑项目的编号：包号：</w:t>
                        </w:r>
                      </w:p>
                      <w:p w14:paraId="4FE49B76">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采购人名称：</w:t>
                        </w:r>
                      </w:p>
                      <w:p w14:paraId="7632FD12">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采购文件获取日期：</w:t>
                        </w:r>
                      </w:p>
                      <w:p w14:paraId="64C72FBD">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三、质疑事项具体内容</w:t>
                        </w:r>
                      </w:p>
                      <w:p w14:paraId="2E9DFAC6">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质疑事项1：</w:t>
                        </w:r>
                      </w:p>
                      <w:p w14:paraId="7A98105D">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事实依据：</w:t>
                        </w:r>
                      </w:p>
                      <w:p w14:paraId="62B154DD">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法律依据：</w:t>
                        </w:r>
                      </w:p>
                      <w:p w14:paraId="2D6CB854">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质疑事项2</w:t>
                        </w:r>
                      </w:p>
                      <w:p w14:paraId="4106FD10">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w:t>
                        </w:r>
                      </w:p>
                      <w:p w14:paraId="0017CAEE">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四、与质疑事项相关的质疑请求</w:t>
                        </w:r>
                      </w:p>
                      <w:p w14:paraId="0813A8DC">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请求：</w:t>
                        </w:r>
                      </w:p>
                      <w:p w14:paraId="6CA131CB">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签字(签章)：                   公章：                      </w:t>
                        </w:r>
                      </w:p>
                      <w:p w14:paraId="60CD37D9">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日期：   </w:t>
                        </w:r>
                      </w:p>
                      <w:p w14:paraId="1B1913E4">
                        <w:pPr>
                          <w:widowControl/>
                          <w:spacing w:beforeAutospacing="1" w:afterAutospacing="1"/>
                          <w:ind w:firstLine="422"/>
                          <w:jc w:val="left"/>
                          <w:rPr>
                            <w:rFonts w:hint="eastAsia" w:ascii="Times New Roman" w:hAnsi="Times New Roman" w:cs="Times New Roman"/>
                            <w:b/>
                            <w:kern w:val="0"/>
                            <w:szCs w:val="21"/>
                            <w:highlight w:val="none"/>
                          </w:rPr>
                        </w:pPr>
                      </w:p>
                      <w:p w14:paraId="47D8BDC9">
                        <w:pPr>
                          <w:widowControl/>
                          <w:spacing w:beforeAutospacing="1" w:afterAutospacing="1"/>
                          <w:ind w:firstLine="422"/>
                          <w:jc w:val="left"/>
                          <w:rPr>
                            <w:rFonts w:hint="eastAsia" w:ascii="Times New Roman" w:hAnsi="Times New Roman" w:cs="Times New Roman"/>
                            <w:b/>
                            <w:kern w:val="0"/>
                            <w:szCs w:val="21"/>
                            <w:highlight w:val="none"/>
                          </w:rPr>
                        </w:pPr>
                      </w:p>
                      <w:p w14:paraId="7A4AC19E">
                        <w:pPr>
                          <w:widowControl/>
                          <w:spacing w:beforeAutospacing="1" w:afterAutospacing="1"/>
                          <w:ind w:firstLine="422"/>
                          <w:jc w:val="left"/>
                          <w:rPr>
                            <w:rFonts w:hint="eastAsia" w:ascii="Times New Roman" w:hAnsi="Times New Roman" w:cs="Times New Roman"/>
                            <w:szCs w:val="21"/>
                            <w:highlight w:val="none"/>
                          </w:rPr>
                        </w:pPr>
                        <w:r>
                          <w:rPr>
                            <w:rFonts w:hint="eastAsia" w:ascii="Times New Roman" w:hAnsi="Times New Roman" w:cs="Times New Roman"/>
                            <w:b/>
                            <w:kern w:val="0"/>
                            <w:szCs w:val="21"/>
                            <w:highlight w:val="none"/>
                          </w:rPr>
                          <w:t>质疑函制作说明：</w:t>
                        </w:r>
                      </w:p>
                      <w:p w14:paraId="7222BAB3">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1.投标人提出质疑时，应提交质疑函和必要的证明材料。</w:t>
                        </w:r>
                      </w:p>
                      <w:p w14:paraId="0A605641">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0570629C">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3.质疑投标人若对项目的某一分包进行质疑，质疑函中应列明具体分包号。</w:t>
                        </w:r>
                      </w:p>
                      <w:p w14:paraId="6D23B942">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4.质疑函的质疑事项应具体、明确，并有必要的事实依据和法律依据。</w:t>
                        </w:r>
                      </w:p>
                      <w:p w14:paraId="73D4C4DC">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5.质疑函的质疑请求应与质疑事项相关。</w:t>
                        </w:r>
                      </w:p>
                      <w:p w14:paraId="63387FAD">
                        <w:pPr>
                          <w:widowControl/>
                          <w:spacing w:before="100" w:beforeAutospacing="1" w:after="100"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6.质疑投标人为自然人的，质疑函应由本人签字；质疑投标人为法人或者其他组织的，质疑函应由法定代表人、主要负责人，或者其授权代表签字或者盖章，并加盖公章。</w:t>
                        </w:r>
                      </w:p>
                    </w:tc>
                  </w:tr>
                </w:tbl>
                <w:p w14:paraId="4F8F98CC">
                  <w:pPr>
                    <w:ind w:firstLine="360"/>
                    <w:jc w:val="center"/>
                    <w:rPr>
                      <w:rFonts w:hint="eastAsia" w:ascii="Times New Roman" w:hAnsi="Times New Roman" w:cs="Times New Roman"/>
                      <w:szCs w:val="21"/>
                      <w:highlight w:val="none"/>
                    </w:rPr>
                  </w:pPr>
                </w:p>
              </w:tc>
            </w:tr>
          </w:tbl>
          <w:p w14:paraId="37EA228D">
            <w:pPr>
              <w:spacing w:line="432" w:lineRule="auto"/>
              <w:ind w:firstLine="360"/>
              <w:jc w:val="center"/>
              <w:rPr>
                <w:rFonts w:hint="eastAsia" w:ascii="Times New Roman" w:hAnsi="Times New Roman" w:cs="Times New Roman"/>
                <w:szCs w:val="21"/>
                <w:highlight w:val="none"/>
              </w:rPr>
            </w:pPr>
          </w:p>
        </w:tc>
      </w:tr>
    </w:tbl>
    <w:p w14:paraId="5001AF2B">
      <w:pPr>
        <w:pStyle w:val="11"/>
        <w:spacing w:line="360" w:lineRule="auto"/>
        <w:rPr>
          <w:rFonts w:hint="eastAsia" w:ascii="Times New Roman" w:hAnsi="Times New Roman" w:cs="Times New Roman"/>
          <w:sz w:val="21"/>
          <w:szCs w:val="21"/>
          <w:highlight w:val="none"/>
        </w:rPr>
      </w:pPr>
    </w:p>
    <w:p w14:paraId="1540A7D0">
      <w:pPr>
        <w:spacing w:before="120" w:line="360" w:lineRule="auto"/>
        <w:jc w:val="center"/>
        <w:rPr>
          <w:rFonts w:hint="eastAsia" w:ascii="Times New Roman" w:hAnsi="Times New Roman" w:cs="Times New Roman"/>
          <w:b/>
          <w:bCs/>
          <w:szCs w:val="21"/>
          <w:highlight w:val="none"/>
        </w:rPr>
      </w:pPr>
    </w:p>
    <w:p w14:paraId="5AA16723">
      <w:pPr>
        <w:pStyle w:val="11"/>
        <w:rPr>
          <w:rFonts w:hint="eastAsia" w:ascii="Times New Roman" w:hAnsi="Times New Roman" w:cs="Times New Roman"/>
          <w:sz w:val="21"/>
          <w:szCs w:val="21"/>
          <w:highlight w:val="none"/>
        </w:rPr>
      </w:pPr>
    </w:p>
    <w:p w14:paraId="624CECB2">
      <w:pPr>
        <w:rPr>
          <w:rFonts w:hint="eastAsia" w:ascii="Times New Roman" w:hAnsi="Times New Roman" w:cs="Times New Roman"/>
          <w:szCs w:val="21"/>
          <w:highlight w:val="none"/>
        </w:rPr>
      </w:pPr>
    </w:p>
    <w:p w14:paraId="4AD63524">
      <w:pPr>
        <w:pStyle w:val="11"/>
        <w:rPr>
          <w:rFonts w:hint="eastAsia" w:ascii="Times New Roman" w:hAnsi="Times New Roman" w:cs="Times New Roman"/>
          <w:sz w:val="21"/>
          <w:szCs w:val="21"/>
          <w:highlight w:val="none"/>
        </w:rPr>
      </w:pPr>
    </w:p>
    <w:p w14:paraId="697E61EF">
      <w:pPr>
        <w:pStyle w:val="11"/>
        <w:rPr>
          <w:rFonts w:hint="eastAsia" w:ascii="Times New Roman" w:hAnsi="Times New Roman" w:cs="Times New Roman"/>
          <w:sz w:val="21"/>
          <w:szCs w:val="21"/>
          <w:highlight w:val="none"/>
        </w:rPr>
      </w:pPr>
    </w:p>
    <w:p w14:paraId="7CF8E7CC">
      <w:pPr>
        <w:pStyle w:val="9"/>
        <w:jc w:val="left"/>
        <w:rPr>
          <w:rFonts w:hint="eastAsia" w:ascii="Times New Roman" w:hAnsi="Times New Roman" w:cs="Times New Roman"/>
          <w:szCs w:val="21"/>
          <w:highlight w:val="none"/>
        </w:rPr>
      </w:pPr>
    </w:p>
    <w:p w14:paraId="6D1F0AB9">
      <w:pPr>
        <w:rPr>
          <w:rFonts w:hint="eastAsia" w:ascii="Times New Roman" w:hAnsi="Times New Roman" w:cs="Times New Roman"/>
          <w:szCs w:val="21"/>
          <w:highlight w:val="none"/>
        </w:rPr>
      </w:pPr>
    </w:p>
    <w:p w14:paraId="3788C13B">
      <w:pPr>
        <w:rPr>
          <w:rFonts w:hint="eastAsia" w:ascii="Times New Roman" w:hAnsi="Times New Roman" w:cs="Times New Roman"/>
          <w:szCs w:val="21"/>
          <w:highlight w:val="none"/>
        </w:rPr>
      </w:pPr>
    </w:p>
    <w:p w14:paraId="107D6B57">
      <w:pPr>
        <w:rPr>
          <w:rFonts w:hint="eastAsia" w:ascii="Times New Roman" w:hAnsi="Times New Roman" w:cs="Times New Roman"/>
          <w:szCs w:val="21"/>
          <w:highlight w:val="none"/>
        </w:rPr>
      </w:pPr>
    </w:p>
    <w:p w14:paraId="2EC119EE">
      <w:pPr>
        <w:rPr>
          <w:rFonts w:hint="eastAsia" w:ascii="Times New Roman" w:hAnsi="Times New Roman" w:cs="Times New Roman"/>
          <w:szCs w:val="21"/>
          <w:highlight w:val="none"/>
        </w:rPr>
      </w:pPr>
    </w:p>
    <w:p w14:paraId="2735306D">
      <w:pPr>
        <w:rPr>
          <w:rFonts w:hint="eastAsia" w:ascii="Times New Roman" w:hAnsi="Times New Roman" w:cs="Times New Roman"/>
          <w:szCs w:val="21"/>
          <w:highlight w:val="none"/>
        </w:rPr>
      </w:pPr>
    </w:p>
    <w:p w14:paraId="78ED2031">
      <w:pPr>
        <w:rPr>
          <w:rFonts w:hint="eastAsia" w:ascii="Times New Roman" w:hAnsi="Times New Roman" w:cs="Times New Roman"/>
          <w:szCs w:val="21"/>
          <w:highlight w:val="none"/>
        </w:rPr>
      </w:pPr>
    </w:p>
    <w:p w14:paraId="01894AAB">
      <w:pPr>
        <w:rPr>
          <w:rFonts w:hint="eastAsia" w:ascii="Times New Roman" w:hAnsi="Times New Roman" w:cs="Times New Roman"/>
          <w:szCs w:val="21"/>
          <w:highlight w:val="none"/>
        </w:rPr>
      </w:pPr>
    </w:p>
    <w:p w14:paraId="7B47E8CF">
      <w:pPr>
        <w:rPr>
          <w:rFonts w:hint="eastAsia" w:ascii="Times New Roman" w:hAnsi="Times New Roman" w:cs="Times New Roman"/>
          <w:szCs w:val="21"/>
          <w:highlight w:val="none"/>
        </w:rPr>
      </w:pPr>
    </w:p>
    <w:p w14:paraId="79B98F26">
      <w:pPr>
        <w:rPr>
          <w:rFonts w:hint="eastAsia" w:ascii="Times New Roman" w:hAnsi="Times New Roman" w:cs="Times New Roman"/>
          <w:szCs w:val="21"/>
          <w:highlight w:val="none"/>
        </w:rPr>
      </w:pPr>
    </w:p>
    <w:p w14:paraId="722DFCF8">
      <w:pPr>
        <w:rPr>
          <w:rFonts w:hint="eastAsia" w:ascii="Times New Roman" w:hAnsi="Times New Roman" w:cs="Times New Roman"/>
          <w:szCs w:val="21"/>
          <w:highlight w:val="none"/>
        </w:rPr>
      </w:pPr>
    </w:p>
    <w:p w14:paraId="6A32DC4E">
      <w:pPr>
        <w:rPr>
          <w:rFonts w:hint="eastAsia" w:ascii="Times New Roman" w:hAnsi="Times New Roman" w:cs="Times New Roman"/>
          <w:szCs w:val="21"/>
          <w:highlight w:val="none"/>
        </w:rPr>
      </w:pPr>
    </w:p>
    <w:p w14:paraId="0E69BA26">
      <w:pPr>
        <w:rPr>
          <w:rFonts w:hint="eastAsia" w:ascii="Times New Roman" w:hAnsi="Times New Roman" w:cs="Times New Roman"/>
          <w:szCs w:val="21"/>
          <w:highlight w:val="none"/>
        </w:rPr>
      </w:pPr>
    </w:p>
    <w:p w14:paraId="3C0B0CA3">
      <w:pPr>
        <w:rPr>
          <w:rFonts w:hint="eastAsia" w:ascii="Times New Roman" w:hAnsi="Times New Roman" w:cs="Times New Roman"/>
          <w:szCs w:val="21"/>
          <w:highlight w:val="none"/>
        </w:rPr>
      </w:pPr>
    </w:p>
    <w:p w14:paraId="13924C23">
      <w:pPr>
        <w:rPr>
          <w:rFonts w:hint="eastAsia" w:ascii="Times New Roman" w:hAnsi="Times New Roman" w:cs="Times New Roman"/>
          <w:szCs w:val="21"/>
          <w:highlight w:val="none"/>
        </w:rPr>
      </w:pPr>
    </w:p>
    <w:p w14:paraId="25BC53EA">
      <w:pPr>
        <w:rPr>
          <w:rFonts w:hint="eastAsia" w:ascii="Times New Roman" w:hAnsi="Times New Roman" w:cs="Times New Roman"/>
          <w:szCs w:val="21"/>
          <w:highlight w:val="none"/>
        </w:rPr>
      </w:pPr>
    </w:p>
    <w:p w14:paraId="7C81803A">
      <w:pPr>
        <w:rPr>
          <w:rFonts w:hint="eastAsia" w:ascii="Times New Roman" w:hAnsi="Times New Roman" w:cs="Times New Roman"/>
          <w:szCs w:val="21"/>
          <w:highlight w:val="none"/>
        </w:rPr>
      </w:pPr>
    </w:p>
    <w:p w14:paraId="4865B3F8">
      <w:pPr>
        <w:rPr>
          <w:rFonts w:hint="eastAsia" w:ascii="Times New Roman" w:hAnsi="Times New Roman" w:cs="Times New Roman"/>
          <w:szCs w:val="21"/>
          <w:highlight w:val="none"/>
        </w:rPr>
      </w:pPr>
    </w:p>
    <w:p w14:paraId="1BEF18B6">
      <w:pPr>
        <w:widowControl/>
        <w:jc w:val="left"/>
        <w:rPr>
          <w:rFonts w:ascii="Times New Roman" w:hAnsi="Times New Roman" w:cs="Times New Roman"/>
          <w:color w:val="000000" w:themeColor="text1"/>
          <w:highlight w:val="none"/>
          <w14:textFill>
            <w14:solidFill>
              <w14:schemeClr w14:val="tx1"/>
            </w14:solidFill>
          </w14:textFill>
        </w:rPr>
      </w:pPr>
    </w:p>
    <w:sectPr>
      <w:headerReference r:id="rId8" w:type="default"/>
      <w:footerReference r:id="rId9" w:type="default"/>
      <w:type w:val="continuous"/>
      <w:pgSz w:w="11906" w:h="16838"/>
      <w:pgMar w:top="1134" w:right="1274" w:bottom="1134" w:left="1276" w:header="851" w:footer="25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5A1E">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A47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ACA47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F2DD">
    <w:pPr>
      <w:pStyle w:val="20"/>
      <w:jc w:val="cente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372D4">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14:paraId="3E6372D4">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5014F84B">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1705">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3AEE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C93AEE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A44A">
    <w:pPr>
      <w:pStyle w:val="20"/>
      <w:ind w:firstLine="36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FCCD8">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0FCCD8">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3684F">
                          <w:pPr>
                            <w:pStyle w:val="20"/>
                            <w:ind w:firstLine="361"/>
                            <w:jc w:val="center"/>
                          </w:pPr>
                        </w:p>
                        <w:p w14:paraId="379EEA1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B3684F">
                    <w:pPr>
                      <w:pStyle w:val="20"/>
                      <w:ind w:firstLine="361"/>
                      <w:jc w:val="center"/>
                    </w:pPr>
                  </w:p>
                  <w:p w14:paraId="379EEA10"/>
                </w:txbxContent>
              </v:textbox>
            </v:shape>
          </w:pict>
        </mc:Fallback>
      </mc:AlternateContent>
    </w:r>
  </w:p>
  <w:p w14:paraId="347E955E">
    <w:pPr>
      <w:pStyle w:val="20"/>
      <w:ind w:firstLine="361"/>
      <w:rPr>
        <w:kern w:val="0"/>
        <w:szCs w:val="21"/>
      </w:rPr>
    </w:pPr>
  </w:p>
  <w:p w14:paraId="1476C6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F5AD">
    <w:pPr>
      <w:pStyle w:val="2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8C19">
    <w:pPr>
      <w:pStyle w:val="2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F793">
    <w:pPr>
      <w:pStyle w:val="21"/>
      <w:pBdr>
        <w:bottom w:val="none" w:color="auto" w:sz="0" w:space="0"/>
      </w:pBdr>
      <w:ind w:firstLine="361"/>
    </w:pPr>
  </w:p>
  <w:p w14:paraId="6093D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14C15"/>
    <w:multiLevelType w:val="singleLevel"/>
    <w:tmpl w:val="DCE14C15"/>
    <w:lvl w:ilvl="0" w:tentative="0">
      <w:start w:val="3"/>
      <w:numFmt w:val="chineseCounting"/>
      <w:suff w:val="nothing"/>
      <w:lvlText w:val="%1、"/>
      <w:lvlJc w:val="left"/>
      <w:rPr>
        <w:rFonts w:hint="eastAsia"/>
      </w:rPr>
    </w:lvl>
  </w:abstractNum>
  <w:abstractNum w:abstractNumId="1">
    <w:nsid w:val="FCDC5A4D"/>
    <w:multiLevelType w:val="singleLevel"/>
    <w:tmpl w:val="FCDC5A4D"/>
    <w:lvl w:ilvl="0" w:tentative="0">
      <w:start w:val="3"/>
      <w:numFmt w:val="decimal"/>
      <w:suff w:val="nothing"/>
      <w:lvlText w:val="%1、"/>
      <w:lvlJc w:val="left"/>
    </w:lvl>
  </w:abstractNum>
  <w:abstractNum w:abstractNumId="2">
    <w:nsid w:val="FFFFFF7D"/>
    <w:multiLevelType w:val="singleLevel"/>
    <w:tmpl w:val="FFFFFF7D"/>
    <w:lvl w:ilvl="0" w:tentative="0">
      <w:start w:val="1"/>
      <w:numFmt w:val="decimal"/>
      <w:pStyle w:val="16"/>
      <w:lvlText w:val="%1."/>
      <w:lvlJc w:val="left"/>
      <w:pPr>
        <w:tabs>
          <w:tab w:val="left" w:pos="1620"/>
        </w:tabs>
        <w:ind w:left="1620" w:leftChars="600" w:hanging="360" w:hangingChars="200"/>
      </w:p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1E998286"/>
    <w:multiLevelType w:val="multilevel"/>
    <w:tmpl w:val="1E998286"/>
    <w:lvl w:ilvl="0" w:tentative="0">
      <w:start w:val="1"/>
      <w:numFmt w:val="chineseCounting"/>
      <w:suff w:val="nothing"/>
      <w:lvlText w:val="%1、"/>
      <w:lvlJc w:val="left"/>
      <w:pPr>
        <w:ind w:left="20" w:firstLine="400"/>
      </w:pPr>
      <w:rPr>
        <w:rFonts w:hint="eastAsia"/>
        <w:b/>
        <w:bCs/>
        <w:highlight w:val="none"/>
      </w:rPr>
    </w:lvl>
    <w:lvl w:ilvl="1" w:tentative="0">
      <w:start w:val="1"/>
      <w:numFmt w:val="decimal"/>
      <w:suff w:val="nothing"/>
      <w:lvlText w:val="%2．"/>
      <w:lvlJc w:val="left"/>
      <w:pPr>
        <w:ind w:left="20" w:firstLine="400"/>
      </w:pPr>
      <w:rPr>
        <w:rFonts w:hint="default"/>
        <w:b/>
        <w:bCs/>
        <w:highlight w:val="none"/>
      </w:rPr>
    </w:lvl>
    <w:lvl w:ilvl="2" w:tentative="0">
      <w:start w:val="1"/>
      <w:numFmt w:val="decimal"/>
      <w:suff w:val="nothing"/>
      <w:lvlText w:val="（%3）"/>
      <w:lvlJc w:val="left"/>
      <w:pPr>
        <w:ind w:left="20" w:firstLine="402"/>
      </w:pPr>
      <w:rPr>
        <w:rFonts w:hint="eastAsia"/>
      </w:rPr>
    </w:lvl>
    <w:lvl w:ilvl="3" w:tentative="0">
      <w:start w:val="1"/>
      <w:numFmt w:val="decimalEnclosedCircleChinese"/>
      <w:suff w:val="nothing"/>
      <w:lvlText w:val="%4 "/>
      <w:lvlJc w:val="left"/>
      <w:pPr>
        <w:ind w:left="20" w:firstLine="402"/>
      </w:pPr>
      <w:rPr>
        <w:rFonts w:hint="eastAsia"/>
      </w:rPr>
    </w:lvl>
    <w:lvl w:ilvl="4" w:tentative="0">
      <w:start w:val="1"/>
      <w:numFmt w:val="decimal"/>
      <w:suff w:val="nothing"/>
      <w:lvlText w:val="%5）"/>
      <w:lvlJc w:val="left"/>
      <w:pPr>
        <w:ind w:left="20" w:firstLine="402"/>
      </w:pPr>
      <w:rPr>
        <w:rFonts w:hint="eastAsia"/>
      </w:rPr>
    </w:lvl>
    <w:lvl w:ilvl="5" w:tentative="0">
      <w:start w:val="1"/>
      <w:numFmt w:val="lowerLetter"/>
      <w:suff w:val="nothing"/>
      <w:lvlText w:val="%6．"/>
      <w:lvlJc w:val="left"/>
      <w:pPr>
        <w:ind w:left="20" w:firstLine="402"/>
      </w:pPr>
      <w:rPr>
        <w:rFonts w:hint="eastAsia"/>
      </w:rPr>
    </w:lvl>
    <w:lvl w:ilvl="6" w:tentative="0">
      <w:start w:val="1"/>
      <w:numFmt w:val="lowerLetter"/>
      <w:suff w:val="nothing"/>
      <w:lvlText w:val="%7）"/>
      <w:lvlJc w:val="left"/>
      <w:pPr>
        <w:ind w:left="20" w:firstLine="402"/>
      </w:pPr>
      <w:rPr>
        <w:rFonts w:hint="eastAsia"/>
      </w:rPr>
    </w:lvl>
    <w:lvl w:ilvl="7" w:tentative="0">
      <w:start w:val="1"/>
      <w:numFmt w:val="lowerRoman"/>
      <w:suff w:val="nothing"/>
      <w:lvlText w:val="%8. "/>
      <w:lvlJc w:val="left"/>
      <w:pPr>
        <w:ind w:left="20" w:firstLine="402"/>
      </w:pPr>
      <w:rPr>
        <w:rFonts w:hint="eastAsia"/>
      </w:rPr>
    </w:lvl>
    <w:lvl w:ilvl="8" w:tentative="0">
      <w:start w:val="1"/>
      <w:numFmt w:val="lowerRoman"/>
      <w:suff w:val="nothing"/>
      <w:lvlText w:val="%9）"/>
      <w:lvlJc w:val="left"/>
      <w:pPr>
        <w:ind w:left="20" w:firstLine="402"/>
      </w:pPr>
      <w:rPr>
        <w:rFonts w:hint="eastAsia"/>
      </w:rPr>
    </w:lvl>
  </w:abstractNum>
  <w:abstractNum w:abstractNumId="5">
    <w:nsid w:val="5FA2FE04"/>
    <w:multiLevelType w:val="singleLevel"/>
    <w:tmpl w:val="5FA2FE04"/>
    <w:lvl w:ilvl="0" w:tentative="0">
      <w:start w:val="1"/>
      <w:numFmt w:val="decimal"/>
      <w:suff w:val="nothing"/>
      <w:lvlText w:val="%1、"/>
      <w:lvlJc w:val="left"/>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gxOTQyYWI5ZjYwNGYwMjFkNjI0NmQxN2MxNDIifQ=="/>
  </w:docVars>
  <w:rsids>
    <w:rsidRoot w:val="00BC0A06"/>
    <w:rsid w:val="00000139"/>
    <w:rsid w:val="0000107B"/>
    <w:rsid w:val="00001351"/>
    <w:rsid w:val="00001616"/>
    <w:rsid w:val="00001857"/>
    <w:rsid w:val="0000190C"/>
    <w:rsid w:val="000036AE"/>
    <w:rsid w:val="000045C2"/>
    <w:rsid w:val="00004EC3"/>
    <w:rsid w:val="000053D9"/>
    <w:rsid w:val="000053DD"/>
    <w:rsid w:val="00006308"/>
    <w:rsid w:val="000067D2"/>
    <w:rsid w:val="00010099"/>
    <w:rsid w:val="00010723"/>
    <w:rsid w:val="0001082C"/>
    <w:rsid w:val="00011540"/>
    <w:rsid w:val="00011FAA"/>
    <w:rsid w:val="00012FC0"/>
    <w:rsid w:val="00013165"/>
    <w:rsid w:val="000131FB"/>
    <w:rsid w:val="00013217"/>
    <w:rsid w:val="0001372D"/>
    <w:rsid w:val="00013F7B"/>
    <w:rsid w:val="000150F2"/>
    <w:rsid w:val="00015267"/>
    <w:rsid w:val="000176E2"/>
    <w:rsid w:val="00017C39"/>
    <w:rsid w:val="00020487"/>
    <w:rsid w:val="000209C3"/>
    <w:rsid w:val="00021A4D"/>
    <w:rsid w:val="00021CDE"/>
    <w:rsid w:val="00021CF2"/>
    <w:rsid w:val="0002235A"/>
    <w:rsid w:val="000225BC"/>
    <w:rsid w:val="00022F32"/>
    <w:rsid w:val="00023C49"/>
    <w:rsid w:val="00023E4C"/>
    <w:rsid w:val="0002452C"/>
    <w:rsid w:val="00025333"/>
    <w:rsid w:val="000260AD"/>
    <w:rsid w:val="00026B1D"/>
    <w:rsid w:val="00026CC2"/>
    <w:rsid w:val="000273C7"/>
    <w:rsid w:val="00027A49"/>
    <w:rsid w:val="00027CC8"/>
    <w:rsid w:val="00027CEC"/>
    <w:rsid w:val="00027D38"/>
    <w:rsid w:val="00027E5E"/>
    <w:rsid w:val="00030AD8"/>
    <w:rsid w:val="00030CED"/>
    <w:rsid w:val="000317CA"/>
    <w:rsid w:val="00032134"/>
    <w:rsid w:val="00032BBB"/>
    <w:rsid w:val="0003307A"/>
    <w:rsid w:val="0003343E"/>
    <w:rsid w:val="00033555"/>
    <w:rsid w:val="00033641"/>
    <w:rsid w:val="0003486B"/>
    <w:rsid w:val="00034D19"/>
    <w:rsid w:val="00034E70"/>
    <w:rsid w:val="00034EE8"/>
    <w:rsid w:val="00035E03"/>
    <w:rsid w:val="000367AA"/>
    <w:rsid w:val="000369D2"/>
    <w:rsid w:val="00037ABE"/>
    <w:rsid w:val="000407B3"/>
    <w:rsid w:val="0004094E"/>
    <w:rsid w:val="00040A25"/>
    <w:rsid w:val="0004111B"/>
    <w:rsid w:val="000415B1"/>
    <w:rsid w:val="00041BE4"/>
    <w:rsid w:val="0004279E"/>
    <w:rsid w:val="0004335D"/>
    <w:rsid w:val="00043AC8"/>
    <w:rsid w:val="00043B5F"/>
    <w:rsid w:val="000447F2"/>
    <w:rsid w:val="00044B3F"/>
    <w:rsid w:val="000450E4"/>
    <w:rsid w:val="00045883"/>
    <w:rsid w:val="00045A3C"/>
    <w:rsid w:val="00046374"/>
    <w:rsid w:val="00046C41"/>
    <w:rsid w:val="000470BC"/>
    <w:rsid w:val="00047114"/>
    <w:rsid w:val="0005095B"/>
    <w:rsid w:val="00050D64"/>
    <w:rsid w:val="00050DEE"/>
    <w:rsid w:val="00050E9E"/>
    <w:rsid w:val="00051B80"/>
    <w:rsid w:val="00052F70"/>
    <w:rsid w:val="00053F58"/>
    <w:rsid w:val="0005415C"/>
    <w:rsid w:val="000550AC"/>
    <w:rsid w:val="00055835"/>
    <w:rsid w:val="00055B9A"/>
    <w:rsid w:val="00055C01"/>
    <w:rsid w:val="00055F72"/>
    <w:rsid w:val="000566FC"/>
    <w:rsid w:val="0005769A"/>
    <w:rsid w:val="00057A16"/>
    <w:rsid w:val="0006014D"/>
    <w:rsid w:val="000601BC"/>
    <w:rsid w:val="00060954"/>
    <w:rsid w:val="00060E2E"/>
    <w:rsid w:val="00060FF6"/>
    <w:rsid w:val="0006107F"/>
    <w:rsid w:val="00061AE1"/>
    <w:rsid w:val="00061B2C"/>
    <w:rsid w:val="00063583"/>
    <w:rsid w:val="00064447"/>
    <w:rsid w:val="00065C18"/>
    <w:rsid w:val="000668F7"/>
    <w:rsid w:val="00066E95"/>
    <w:rsid w:val="00067BAD"/>
    <w:rsid w:val="00067FB7"/>
    <w:rsid w:val="000702F9"/>
    <w:rsid w:val="0007071F"/>
    <w:rsid w:val="0007087F"/>
    <w:rsid w:val="00070E4F"/>
    <w:rsid w:val="00071492"/>
    <w:rsid w:val="00071E30"/>
    <w:rsid w:val="0007335F"/>
    <w:rsid w:val="000733CB"/>
    <w:rsid w:val="000735C6"/>
    <w:rsid w:val="000749EA"/>
    <w:rsid w:val="00074E62"/>
    <w:rsid w:val="0007669B"/>
    <w:rsid w:val="00077441"/>
    <w:rsid w:val="000779FD"/>
    <w:rsid w:val="00077C97"/>
    <w:rsid w:val="0008040C"/>
    <w:rsid w:val="00080E9A"/>
    <w:rsid w:val="00081307"/>
    <w:rsid w:val="00081811"/>
    <w:rsid w:val="00081A6F"/>
    <w:rsid w:val="00083162"/>
    <w:rsid w:val="000839AD"/>
    <w:rsid w:val="000849E1"/>
    <w:rsid w:val="00085105"/>
    <w:rsid w:val="00086CA9"/>
    <w:rsid w:val="00087727"/>
    <w:rsid w:val="00087AAD"/>
    <w:rsid w:val="00087E11"/>
    <w:rsid w:val="00090553"/>
    <w:rsid w:val="00090784"/>
    <w:rsid w:val="00091498"/>
    <w:rsid w:val="00091A59"/>
    <w:rsid w:val="00091AB0"/>
    <w:rsid w:val="0009261A"/>
    <w:rsid w:val="00092D91"/>
    <w:rsid w:val="00094603"/>
    <w:rsid w:val="000951EF"/>
    <w:rsid w:val="0009524E"/>
    <w:rsid w:val="00095920"/>
    <w:rsid w:val="00095E9A"/>
    <w:rsid w:val="00096C32"/>
    <w:rsid w:val="00096F0A"/>
    <w:rsid w:val="00097B9D"/>
    <w:rsid w:val="00097D22"/>
    <w:rsid w:val="00097D7E"/>
    <w:rsid w:val="000A0103"/>
    <w:rsid w:val="000A0331"/>
    <w:rsid w:val="000A0956"/>
    <w:rsid w:val="000A0D2D"/>
    <w:rsid w:val="000A0DDE"/>
    <w:rsid w:val="000A147D"/>
    <w:rsid w:val="000A33D8"/>
    <w:rsid w:val="000A3ADA"/>
    <w:rsid w:val="000A4221"/>
    <w:rsid w:val="000A4912"/>
    <w:rsid w:val="000A4C96"/>
    <w:rsid w:val="000A637E"/>
    <w:rsid w:val="000A6D99"/>
    <w:rsid w:val="000A756D"/>
    <w:rsid w:val="000B1196"/>
    <w:rsid w:val="000B162E"/>
    <w:rsid w:val="000B16A7"/>
    <w:rsid w:val="000B1E87"/>
    <w:rsid w:val="000B208E"/>
    <w:rsid w:val="000B28DB"/>
    <w:rsid w:val="000B2A5F"/>
    <w:rsid w:val="000B2EA7"/>
    <w:rsid w:val="000B318B"/>
    <w:rsid w:val="000B332C"/>
    <w:rsid w:val="000B3DC5"/>
    <w:rsid w:val="000B44C6"/>
    <w:rsid w:val="000B46A2"/>
    <w:rsid w:val="000B4C39"/>
    <w:rsid w:val="000B56F1"/>
    <w:rsid w:val="000B590F"/>
    <w:rsid w:val="000B6583"/>
    <w:rsid w:val="000B7447"/>
    <w:rsid w:val="000B75CD"/>
    <w:rsid w:val="000B7AA8"/>
    <w:rsid w:val="000C021F"/>
    <w:rsid w:val="000C0C00"/>
    <w:rsid w:val="000C1DC6"/>
    <w:rsid w:val="000C34F2"/>
    <w:rsid w:val="000C48DE"/>
    <w:rsid w:val="000C4B01"/>
    <w:rsid w:val="000C5A51"/>
    <w:rsid w:val="000C6525"/>
    <w:rsid w:val="000C69B4"/>
    <w:rsid w:val="000C77F6"/>
    <w:rsid w:val="000C7C49"/>
    <w:rsid w:val="000C7D28"/>
    <w:rsid w:val="000D0040"/>
    <w:rsid w:val="000D0336"/>
    <w:rsid w:val="000D130E"/>
    <w:rsid w:val="000D153D"/>
    <w:rsid w:val="000D1936"/>
    <w:rsid w:val="000D1AA4"/>
    <w:rsid w:val="000D1DF0"/>
    <w:rsid w:val="000D24C2"/>
    <w:rsid w:val="000D278E"/>
    <w:rsid w:val="000D291A"/>
    <w:rsid w:val="000D2A21"/>
    <w:rsid w:val="000D2A35"/>
    <w:rsid w:val="000D2B33"/>
    <w:rsid w:val="000D32EC"/>
    <w:rsid w:val="000D33F2"/>
    <w:rsid w:val="000D3A03"/>
    <w:rsid w:val="000D4CFD"/>
    <w:rsid w:val="000D6C97"/>
    <w:rsid w:val="000D6DDF"/>
    <w:rsid w:val="000D7508"/>
    <w:rsid w:val="000D75BD"/>
    <w:rsid w:val="000D79EB"/>
    <w:rsid w:val="000D7AF8"/>
    <w:rsid w:val="000D7E24"/>
    <w:rsid w:val="000E028B"/>
    <w:rsid w:val="000E1949"/>
    <w:rsid w:val="000E2164"/>
    <w:rsid w:val="000E2837"/>
    <w:rsid w:val="000E2B01"/>
    <w:rsid w:val="000E2E55"/>
    <w:rsid w:val="000E3EEF"/>
    <w:rsid w:val="000E416C"/>
    <w:rsid w:val="000E454D"/>
    <w:rsid w:val="000E515F"/>
    <w:rsid w:val="000E56DE"/>
    <w:rsid w:val="000E575B"/>
    <w:rsid w:val="000E706B"/>
    <w:rsid w:val="000E70F6"/>
    <w:rsid w:val="000F01C0"/>
    <w:rsid w:val="000F02E6"/>
    <w:rsid w:val="000F1074"/>
    <w:rsid w:val="000F13AF"/>
    <w:rsid w:val="000F1C1B"/>
    <w:rsid w:val="000F2A94"/>
    <w:rsid w:val="000F2E5E"/>
    <w:rsid w:val="000F323A"/>
    <w:rsid w:val="000F3B6C"/>
    <w:rsid w:val="000F421C"/>
    <w:rsid w:val="000F4C37"/>
    <w:rsid w:val="000F55ED"/>
    <w:rsid w:val="000F5680"/>
    <w:rsid w:val="000F5897"/>
    <w:rsid w:val="000F5D86"/>
    <w:rsid w:val="000F6027"/>
    <w:rsid w:val="000F6AD6"/>
    <w:rsid w:val="000F6B56"/>
    <w:rsid w:val="000F6E50"/>
    <w:rsid w:val="001007C1"/>
    <w:rsid w:val="00101417"/>
    <w:rsid w:val="001022F2"/>
    <w:rsid w:val="001032D2"/>
    <w:rsid w:val="00103FBC"/>
    <w:rsid w:val="00105664"/>
    <w:rsid w:val="00105C54"/>
    <w:rsid w:val="001062C4"/>
    <w:rsid w:val="00106DD0"/>
    <w:rsid w:val="00107E23"/>
    <w:rsid w:val="00111062"/>
    <w:rsid w:val="001111C6"/>
    <w:rsid w:val="001113A5"/>
    <w:rsid w:val="00112791"/>
    <w:rsid w:val="00112993"/>
    <w:rsid w:val="0011355D"/>
    <w:rsid w:val="0011384C"/>
    <w:rsid w:val="0011396E"/>
    <w:rsid w:val="00113FC6"/>
    <w:rsid w:val="0011495F"/>
    <w:rsid w:val="00114F22"/>
    <w:rsid w:val="00115E32"/>
    <w:rsid w:val="00116541"/>
    <w:rsid w:val="00116EB5"/>
    <w:rsid w:val="001172A3"/>
    <w:rsid w:val="00117A86"/>
    <w:rsid w:val="001204FF"/>
    <w:rsid w:val="00120CB6"/>
    <w:rsid w:val="00121115"/>
    <w:rsid w:val="00121412"/>
    <w:rsid w:val="001222DD"/>
    <w:rsid w:val="001223F9"/>
    <w:rsid w:val="00122D30"/>
    <w:rsid w:val="00122D3E"/>
    <w:rsid w:val="00123169"/>
    <w:rsid w:val="001236D5"/>
    <w:rsid w:val="0012439F"/>
    <w:rsid w:val="00124AFE"/>
    <w:rsid w:val="00124D7A"/>
    <w:rsid w:val="00124EDB"/>
    <w:rsid w:val="0012509E"/>
    <w:rsid w:val="00126051"/>
    <w:rsid w:val="0012620A"/>
    <w:rsid w:val="0012621D"/>
    <w:rsid w:val="00127FAF"/>
    <w:rsid w:val="00130AB2"/>
    <w:rsid w:val="00131683"/>
    <w:rsid w:val="00131B3F"/>
    <w:rsid w:val="00131F48"/>
    <w:rsid w:val="00132636"/>
    <w:rsid w:val="00132E4D"/>
    <w:rsid w:val="00133BA3"/>
    <w:rsid w:val="00133CBD"/>
    <w:rsid w:val="00133D3A"/>
    <w:rsid w:val="00133F40"/>
    <w:rsid w:val="00134E37"/>
    <w:rsid w:val="00136020"/>
    <w:rsid w:val="001360FC"/>
    <w:rsid w:val="001363C1"/>
    <w:rsid w:val="00136F2C"/>
    <w:rsid w:val="001373C7"/>
    <w:rsid w:val="001375A8"/>
    <w:rsid w:val="001375E4"/>
    <w:rsid w:val="001407C7"/>
    <w:rsid w:val="0014100A"/>
    <w:rsid w:val="00143696"/>
    <w:rsid w:val="00143787"/>
    <w:rsid w:val="00143FF7"/>
    <w:rsid w:val="00144B9A"/>
    <w:rsid w:val="001458B5"/>
    <w:rsid w:val="0014653F"/>
    <w:rsid w:val="00146B1C"/>
    <w:rsid w:val="00146D3C"/>
    <w:rsid w:val="00147531"/>
    <w:rsid w:val="00147A6E"/>
    <w:rsid w:val="00150017"/>
    <w:rsid w:val="001504B3"/>
    <w:rsid w:val="00150F5B"/>
    <w:rsid w:val="00150FD2"/>
    <w:rsid w:val="001517FA"/>
    <w:rsid w:val="00151AF1"/>
    <w:rsid w:val="00151F9D"/>
    <w:rsid w:val="0015311C"/>
    <w:rsid w:val="00153203"/>
    <w:rsid w:val="00153ACA"/>
    <w:rsid w:val="00153CFC"/>
    <w:rsid w:val="00154CD8"/>
    <w:rsid w:val="0015506F"/>
    <w:rsid w:val="0015597C"/>
    <w:rsid w:val="0015624B"/>
    <w:rsid w:val="001564A4"/>
    <w:rsid w:val="00156900"/>
    <w:rsid w:val="00156A6A"/>
    <w:rsid w:val="00156CB6"/>
    <w:rsid w:val="00157978"/>
    <w:rsid w:val="0016025E"/>
    <w:rsid w:val="00160802"/>
    <w:rsid w:val="00161178"/>
    <w:rsid w:val="0016143D"/>
    <w:rsid w:val="0016170E"/>
    <w:rsid w:val="00161AEE"/>
    <w:rsid w:val="00163495"/>
    <w:rsid w:val="00163779"/>
    <w:rsid w:val="001639C0"/>
    <w:rsid w:val="00165846"/>
    <w:rsid w:val="00166238"/>
    <w:rsid w:val="00167C19"/>
    <w:rsid w:val="00170CE3"/>
    <w:rsid w:val="00170FBD"/>
    <w:rsid w:val="00170FEB"/>
    <w:rsid w:val="001716ED"/>
    <w:rsid w:val="0017193F"/>
    <w:rsid w:val="00171C55"/>
    <w:rsid w:val="00171E68"/>
    <w:rsid w:val="00172246"/>
    <w:rsid w:val="00172AB0"/>
    <w:rsid w:val="00172EC3"/>
    <w:rsid w:val="00174733"/>
    <w:rsid w:val="00174BF0"/>
    <w:rsid w:val="00176088"/>
    <w:rsid w:val="0017679A"/>
    <w:rsid w:val="00176D5C"/>
    <w:rsid w:val="00176E91"/>
    <w:rsid w:val="001777BF"/>
    <w:rsid w:val="0018014D"/>
    <w:rsid w:val="00180A60"/>
    <w:rsid w:val="001811B0"/>
    <w:rsid w:val="00181604"/>
    <w:rsid w:val="00181950"/>
    <w:rsid w:val="00181D07"/>
    <w:rsid w:val="00181D5D"/>
    <w:rsid w:val="001822EE"/>
    <w:rsid w:val="00182669"/>
    <w:rsid w:val="00183845"/>
    <w:rsid w:val="001839A5"/>
    <w:rsid w:val="00183A1C"/>
    <w:rsid w:val="00184B1A"/>
    <w:rsid w:val="00185BAD"/>
    <w:rsid w:val="00185D10"/>
    <w:rsid w:val="00185E52"/>
    <w:rsid w:val="00186E75"/>
    <w:rsid w:val="00186E86"/>
    <w:rsid w:val="00187049"/>
    <w:rsid w:val="00191A11"/>
    <w:rsid w:val="00191BAF"/>
    <w:rsid w:val="00191BBD"/>
    <w:rsid w:val="00192EDF"/>
    <w:rsid w:val="001943C2"/>
    <w:rsid w:val="001956F6"/>
    <w:rsid w:val="0019586F"/>
    <w:rsid w:val="001961E5"/>
    <w:rsid w:val="0019686E"/>
    <w:rsid w:val="00196991"/>
    <w:rsid w:val="00196D89"/>
    <w:rsid w:val="00196E1C"/>
    <w:rsid w:val="00197723"/>
    <w:rsid w:val="001A06DA"/>
    <w:rsid w:val="001A0C0B"/>
    <w:rsid w:val="001A0C59"/>
    <w:rsid w:val="001A0CC2"/>
    <w:rsid w:val="001A0D8E"/>
    <w:rsid w:val="001A12B0"/>
    <w:rsid w:val="001A174D"/>
    <w:rsid w:val="001A1A69"/>
    <w:rsid w:val="001A1B18"/>
    <w:rsid w:val="001A26B9"/>
    <w:rsid w:val="001A2735"/>
    <w:rsid w:val="001A3695"/>
    <w:rsid w:val="001A3784"/>
    <w:rsid w:val="001A3B7F"/>
    <w:rsid w:val="001A3DC7"/>
    <w:rsid w:val="001A43EB"/>
    <w:rsid w:val="001A55C6"/>
    <w:rsid w:val="001A5A17"/>
    <w:rsid w:val="001A5D09"/>
    <w:rsid w:val="001A6087"/>
    <w:rsid w:val="001A60CD"/>
    <w:rsid w:val="001A6EE2"/>
    <w:rsid w:val="001A7817"/>
    <w:rsid w:val="001B2D02"/>
    <w:rsid w:val="001B3018"/>
    <w:rsid w:val="001B37FC"/>
    <w:rsid w:val="001B3C2A"/>
    <w:rsid w:val="001B3E80"/>
    <w:rsid w:val="001B4EE8"/>
    <w:rsid w:val="001B5DD2"/>
    <w:rsid w:val="001B6068"/>
    <w:rsid w:val="001B700B"/>
    <w:rsid w:val="001C0AE0"/>
    <w:rsid w:val="001C0F0E"/>
    <w:rsid w:val="001C1A4D"/>
    <w:rsid w:val="001C2753"/>
    <w:rsid w:val="001C2B5F"/>
    <w:rsid w:val="001C2C2A"/>
    <w:rsid w:val="001C2E15"/>
    <w:rsid w:val="001C31B2"/>
    <w:rsid w:val="001C38DD"/>
    <w:rsid w:val="001C4002"/>
    <w:rsid w:val="001C46EA"/>
    <w:rsid w:val="001C57FE"/>
    <w:rsid w:val="001C62BD"/>
    <w:rsid w:val="001C682C"/>
    <w:rsid w:val="001C6CAA"/>
    <w:rsid w:val="001C7542"/>
    <w:rsid w:val="001C7CDF"/>
    <w:rsid w:val="001D03DA"/>
    <w:rsid w:val="001D063F"/>
    <w:rsid w:val="001D099A"/>
    <w:rsid w:val="001D1B9F"/>
    <w:rsid w:val="001D1C72"/>
    <w:rsid w:val="001D2D6D"/>
    <w:rsid w:val="001D308A"/>
    <w:rsid w:val="001D350B"/>
    <w:rsid w:val="001D39A1"/>
    <w:rsid w:val="001D5538"/>
    <w:rsid w:val="001D5AA4"/>
    <w:rsid w:val="001D6BF5"/>
    <w:rsid w:val="001D6CC5"/>
    <w:rsid w:val="001D6E4F"/>
    <w:rsid w:val="001D7BAA"/>
    <w:rsid w:val="001D7BB5"/>
    <w:rsid w:val="001E046D"/>
    <w:rsid w:val="001E0975"/>
    <w:rsid w:val="001E0BA7"/>
    <w:rsid w:val="001E14E9"/>
    <w:rsid w:val="001E1A83"/>
    <w:rsid w:val="001E1E4B"/>
    <w:rsid w:val="001E28D3"/>
    <w:rsid w:val="001E2D22"/>
    <w:rsid w:val="001E3F1A"/>
    <w:rsid w:val="001E4836"/>
    <w:rsid w:val="001E4B3B"/>
    <w:rsid w:val="001E5C00"/>
    <w:rsid w:val="001E6A8B"/>
    <w:rsid w:val="001E6C80"/>
    <w:rsid w:val="001E6F65"/>
    <w:rsid w:val="001E72E4"/>
    <w:rsid w:val="001E77DC"/>
    <w:rsid w:val="001F1468"/>
    <w:rsid w:val="001F2335"/>
    <w:rsid w:val="001F2C36"/>
    <w:rsid w:val="001F30A5"/>
    <w:rsid w:val="001F32E1"/>
    <w:rsid w:val="001F3D30"/>
    <w:rsid w:val="001F5049"/>
    <w:rsid w:val="001F57E8"/>
    <w:rsid w:val="001F5872"/>
    <w:rsid w:val="001F658A"/>
    <w:rsid w:val="001F6FBE"/>
    <w:rsid w:val="0020042E"/>
    <w:rsid w:val="00201B76"/>
    <w:rsid w:val="00201F65"/>
    <w:rsid w:val="0020203B"/>
    <w:rsid w:val="00202BAD"/>
    <w:rsid w:val="002030D7"/>
    <w:rsid w:val="002033B0"/>
    <w:rsid w:val="00203813"/>
    <w:rsid w:val="00203CBD"/>
    <w:rsid w:val="00203EB7"/>
    <w:rsid w:val="00204173"/>
    <w:rsid w:val="00204E0B"/>
    <w:rsid w:val="002055AA"/>
    <w:rsid w:val="0020572E"/>
    <w:rsid w:val="002067BE"/>
    <w:rsid w:val="0020749D"/>
    <w:rsid w:val="002074C7"/>
    <w:rsid w:val="002076B2"/>
    <w:rsid w:val="002077D4"/>
    <w:rsid w:val="00207FDF"/>
    <w:rsid w:val="00210A22"/>
    <w:rsid w:val="00210A2F"/>
    <w:rsid w:val="00210C93"/>
    <w:rsid w:val="00210FF5"/>
    <w:rsid w:val="00211D1E"/>
    <w:rsid w:val="00211ED8"/>
    <w:rsid w:val="00211F2E"/>
    <w:rsid w:val="002121FB"/>
    <w:rsid w:val="002132F3"/>
    <w:rsid w:val="00213539"/>
    <w:rsid w:val="0021389D"/>
    <w:rsid w:val="00215256"/>
    <w:rsid w:val="002153EE"/>
    <w:rsid w:val="0021546A"/>
    <w:rsid w:val="00215532"/>
    <w:rsid w:val="00215C31"/>
    <w:rsid w:val="00216140"/>
    <w:rsid w:val="0021681E"/>
    <w:rsid w:val="00216DD0"/>
    <w:rsid w:val="00217077"/>
    <w:rsid w:val="00220121"/>
    <w:rsid w:val="00220417"/>
    <w:rsid w:val="0022082E"/>
    <w:rsid w:val="00220DD3"/>
    <w:rsid w:val="002214F8"/>
    <w:rsid w:val="00221E2B"/>
    <w:rsid w:val="00222143"/>
    <w:rsid w:val="00222549"/>
    <w:rsid w:val="0022331B"/>
    <w:rsid w:val="002234D2"/>
    <w:rsid w:val="00223CD4"/>
    <w:rsid w:val="002245E7"/>
    <w:rsid w:val="0022507E"/>
    <w:rsid w:val="00225B0C"/>
    <w:rsid w:val="00225E87"/>
    <w:rsid w:val="002264AE"/>
    <w:rsid w:val="00226C76"/>
    <w:rsid w:val="0023264C"/>
    <w:rsid w:val="0023411F"/>
    <w:rsid w:val="0023434B"/>
    <w:rsid w:val="0023487B"/>
    <w:rsid w:val="00234DDF"/>
    <w:rsid w:val="00235302"/>
    <w:rsid w:val="002353CC"/>
    <w:rsid w:val="0023545C"/>
    <w:rsid w:val="0023575F"/>
    <w:rsid w:val="00235E4D"/>
    <w:rsid w:val="002367A2"/>
    <w:rsid w:val="00237206"/>
    <w:rsid w:val="00237FF3"/>
    <w:rsid w:val="00240388"/>
    <w:rsid w:val="0024050C"/>
    <w:rsid w:val="00240D95"/>
    <w:rsid w:val="00240FEC"/>
    <w:rsid w:val="002416B2"/>
    <w:rsid w:val="00242A57"/>
    <w:rsid w:val="00242EA2"/>
    <w:rsid w:val="002458CA"/>
    <w:rsid w:val="00245F3C"/>
    <w:rsid w:val="00245FF9"/>
    <w:rsid w:val="002470CB"/>
    <w:rsid w:val="0024728E"/>
    <w:rsid w:val="0024774E"/>
    <w:rsid w:val="00247A3F"/>
    <w:rsid w:val="00247CD9"/>
    <w:rsid w:val="002507AA"/>
    <w:rsid w:val="00253993"/>
    <w:rsid w:val="002549ED"/>
    <w:rsid w:val="00254A27"/>
    <w:rsid w:val="00255BF9"/>
    <w:rsid w:val="00255FCF"/>
    <w:rsid w:val="00256489"/>
    <w:rsid w:val="0025677D"/>
    <w:rsid w:val="00256852"/>
    <w:rsid w:val="00257583"/>
    <w:rsid w:val="00257C06"/>
    <w:rsid w:val="002600B8"/>
    <w:rsid w:val="00260567"/>
    <w:rsid w:val="00260A07"/>
    <w:rsid w:val="002613F0"/>
    <w:rsid w:val="0026184C"/>
    <w:rsid w:val="00262B33"/>
    <w:rsid w:val="00263AB5"/>
    <w:rsid w:val="00263D21"/>
    <w:rsid w:val="00263D2F"/>
    <w:rsid w:val="0026546B"/>
    <w:rsid w:val="00265BF6"/>
    <w:rsid w:val="00265D74"/>
    <w:rsid w:val="002662FA"/>
    <w:rsid w:val="002666A8"/>
    <w:rsid w:val="0026732B"/>
    <w:rsid w:val="00267627"/>
    <w:rsid w:val="00267758"/>
    <w:rsid w:val="00267917"/>
    <w:rsid w:val="00270ABA"/>
    <w:rsid w:val="00270BEF"/>
    <w:rsid w:val="00272DBA"/>
    <w:rsid w:val="0027319A"/>
    <w:rsid w:val="00273262"/>
    <w:rsid w:val="00273D91"/>
    <w:rsid w:val="00275730"/>
    <w:rsid w:val="00276E78"/>
    <w:rsid w:val="0027710E"/>
    <w:rsid w:val="00277869"/>
    <w:rsid w:val="002805E4"/>
    <w:rsid w:val="00280E3D"/>
    <w:rsid w:val="0028136B"/>
    <w:rsid w:val="00282D58"/>
    <w:rsid w:val="002839B4"/>
    <w:rsid w:val="00283B0C"/>
    <w:rsid w:val="00283D5C"/>
    <w:rsid w:val="002840EE"/>
    <w:rsid w:val="00284B14"/>
    <w:rsid w:val="00285BBA"/>
    <w:rsid w:val="002865E2"/>
    <w:rsid w:val="00286BCF"/>
    <w:rsid w:val="00287327"/>
    <w:rsid w:val="00287CC0"/>
    <w:rsid w:val="0029021B"/>
    <w:rsid w:val="00290767"/>
    <w:rsid w:val="0029085E"/>
    <w:rsid w:val="002909AB"/>
    <w:rsid w:val="002911D5"/>
    <w:rsid w:val="00291CC5"/>
    <w:rsid w:val="00291F0C"/>
    <w:rsid w:val="00292041"/>
    <w:rsid w:val="002929D7"/>
    <w:rsid w:val="00293E2F"/>
    <w:rsid w:val="00294734"/>
    <w:rsid w:val="00294C4F"/>
    <w:rsid w:val="00295C67"/>
    <w:rsid w:val="00296F21"/>
    <w:rsid w:val="002A02A4"/>
    <w:rsid w:val="002A0601"/>
    <w:rsid w:val="002A13BB"/>
    <w:rsid w:val="002A143F"/>
    <w:rsid w:val="002A1BB0"/>
    <w:rsid w:val="002A23F6"/>
    <w:rsid w:val="002A337D"/>
    <w:rsid w:val="002A33CA"/>
    <w:rsid w:val="002A3923"/>
    <w:rsid w:val="002A40F4"/>
    <w:rsid w:val="002A46B3"/>
    <w:rsid w:val="002A5014"/>
    <w:rsid w:val="002A51F8"/>
    <w:rsid w:val="002A51FA"/>
    <w:rsid w:val="002A56B4"/>
    <w:rsid w:val="002A787A"/>
    <w:rsid w:val="002B0084"/>
    <w:rsid w:val="002B08AA"/>
    <w:rsid w:val="002B0932"/>
    <w:rsid w:val="002B0A91"/>
    <w:rsid w:val="002B0EFE"/>
    <w:rsid w:val="002B12DD"/>
    <w:rsid w:val="002B1AA7"/>
    <w:rsid w:val="002B1D02"/>
    <w:rsid w:val="002B342D"/>
    <w:rsid w:val="002B418B"/>
    <w:rsid w:val="002B44A7"/>
    <w:rsid w:val="002B6782"/>
    <w:rsid w:val="002B6A7C"/>
    <w:rsid w:val="002C01E9"/>
    <w:rsid w:val="002C14DC"/>
    <w:rsid w:val="002C18FB"/>
    <w:rsid w:val="002C1F63"/>
    <w:rsid w:val="002C2273"/>
    <w:rsid w:val="002C2E90"/>
    <w:rsid w:val="002C3058"/>
    <w:rsid w:val="002C3655"/>
    <w:rsid w:val="002C49B8"/>
    <w:rsid w:val="002C4CBD"/>
    <w:rsid w:val="002C595B"/>
    <w:rsid w:val="002D033A"/>
    <w:rsid w:val="002D04B3"/>
    <w:rsid w:val="002D0ED8"/>
    <w:rsid w:val="002D0FFF"/>
    <w:rsid w:val="002D1672"/>
    <w:rsid w:val="002D1763"/>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674"/>
    <w:rsid w:val="002D68BE"/>
    <w:rsid w:val="002D759B"/>
    <w:rsid w:val="002D7D28"/>
    <w:rsid w:val="002E003C"/>
    <w:rsid w:val="002E12A6"/>
    <w:rsid w:val="002E207D"/>
    <w:rsid w:val="002E2385"/>
    <w:rsid w:val="002E378A"/>
    <w:rsid w:val="002E390F"/>
    <w:rsid w:val="002E3A85"/>
    <w:rsid w:val="002E5893"/>
    <w:rsid w:val="002E5AC9"/>
    <w:rsid w:val="002E5AE6"/>
    <w:rsid w:val="002E5B85"/>
    <w:rsid w:val="002E5D77"/>
    <w:rsid w:val="002E5EFB"/>
    <w:rsid w:val="002E6A09"/>
    <w:rsid w:val="002E6BA0"/>
    <w:rsid w:val="002F01AD"/>
    <w:rsid w:val="002F04D3"/>
    <w:rsid w:val="002F0A35"/>
    <w:rsid w:val="002F0DC9"/>
    <w:rsid w:val="002F142C"/>
    <w:rsid w:val="002F1C69"/>
    <w:rsid w:val="002F1FD6"/>
    <w:rsid w:val="002F21B8"/>
    <w:rsid w:val="002F27E5"/>
    <w:rsid w:val="002F2931"/>
    <w:rsid w:val="002F3808"/>
    <w:rsid w:val="002F39BA"/>
    <w:rsid w:val="002F47BB"/>
    <w:rsid w:val="002F5279"/>
    <w:rsid w:val="002F55C4"/>
    <w:rsid w:val="002F6266"/>
    <w:rsid w:val="002F6AC7"/>
    <w:rsid w:val="002F6F34"/>
    <w:rsid w:val="002F74AC"/>
    <w:rsid w:val="002F7C47"/>
    <w:rsid w:val="002F7CB2"/>
    <w:rsid w:val="0030006D"/>
    <w:rsid w:val="003004C0"/>
    <w:rsid w:val="00300BF0"/>
    <w:rsid w:val="003011A4"/>
    <w:rsid w:val="00301410"/>
    <w:rsid w:val="003016A8"/>
    <w:rsid w:val="0030176F"/>
    <w:rsid w:val="00301866"/>
    <w:rsid w:val="00301895"/>
    <w:rsid w:val="00302485"/>
    <w:rsid w:val="00302DCD"/>
    <w:rsid w:val="0030369D"/>
    <w:rsid w:val="00303D1E"/>
    <w:rsid w:val="003052B5"/>
    <w:rsid w:val="003057CB"/>
    <w:rsid w:val="003062C0"/>
    <w:rsid w:val="00307176"/>
    <w:rsid w:val="00307C2B"/>
    <w:rsid w:val="00310DCB"/>
    <w:rsid w:val="0031128C"/>
    <w:rsid w:val="00311354"/>
    <w:rsid w:val="00311CF0"/>
    <w:rsid w:val="0031207F"/>
    <w:rsid w:val="00312A64"/>
    <w:rsid w:val="00312C56"/>
    <w:rsid w:val="00312C5E"/>
    <w:rsid w:val="00312FCE"/>
    <w:rsid w:val="003132A5"/>
    <w:rsid w:val="003135AD"/>
    <w:rsid w:val="00313656"/>
    <w:rsid w:val="00314245"/>
    <w:rsid w:val="00314629"/>
    <w:rsid w:val="003151D6"/>
    <w:rsid w:val="003156AE"/>
    <w:rsid w:val="00315782"/>
    <w:rsid w:val="00315C81"/>
    <w:rsid w:val="00315E8C"/>
    <w:rsid w:val="00317500"/>
    <w:rsid w:val="00317701"/>
    <w:rsid w:val="00320063"/>
    <w:rsid w:val="0032014A"/>
    <w:rsid w:val="00320BB5"/>
    <w:rsid w:val="003214F9"/>
    <w:rsid w:val="003216E1"/>
    <w:rsid w:val="00322AC5"/>
    <w:rsid w:val="00322B7A"/>
    <w:rsid w:val="00322EB5"/>
    <w:rsid w:val="00322FEE"/>
    <w:rsid w:val="003230A4"/>
    <w:rsid w:val="00323826"/>
    <w:rsid w:val="00323C9E"/>
    <w:rsid w:val="0032419F"/>
    <w:rsid w:val="00325465"/>
    <w:rsid w:val="00325502"/>
    <w:rsid w:val="00325837"/>
    <w:rsid w:val="00325D44"/>
    <w:rsid w:val="00325DA0"/>
    <w:rsid w:val="00326083"/>
    <w:rsid w:val="0032642C"/>
    <w:rsid w:val="00326634"/>
    <w:rsid w:val="00327877"/>
    <w:rsid w:val="00330AE5"/>
    <w:rsid w:val="003317A2"/>
    <w:rsid w:val="00332221"/>
    <w:rsid w:val="00332314"/>
    <w:rsid w:val="003327BC"/>
    <w:rsid w:val="00332FD6"/>
    <w:rsid w:val="00333482"/>
    <w:rsid w:val="00333FCA"/>
    <w:rsid w:val="003349B0"/>
    <w:rsid w:val="00334A9A"/>
    <w:rsid w:val="00335037"/>
    <w:rsid w:val="003352A1"/>
    <w:rsid w:val="0033541A"/>
    <w:rsid w:val="00335E50"/>
    <w:rsid w:val="00336D4E"/>
    <w:rsid w:val="00337523"/>
    <w:rsid w:val="00337DC7"/>
    <w:rsid w:val="003401F3"/>
    <w:rsid w:val="00340407"/>
    <w:rsid w:val="00340FEB"/>
    <w:rsid w:val="0034131D"/>
    <w:rsid w:val="00341441"/>
    <w:rsid w:val="00341A4A"/>
    <w:rsid w:val="00341AF8"/>
    <w:rsid w:val="00342E67"/>
    <w:rsid w:val="0034329A"/>
    <w:rsid w:val="003432C7"/>
    <w:rsid w:val="00343AE0"/>
    <w:rsid w:val="003445A6"/>
    <w:rsid w:val="00345641"/>
    <w:rsid w:val="00345DF5"/>
    <w:rsid w:val="00345FC9"/>
    <w:rsid w:val="0034683C"/>
    <w:rsid w:val="003471E8"/>
    <w:rsid w:val="003478E0"/>
    <w:rsid w:val="00347D99"/>
    <w:rsid w:val="00351058"/>
    <w:rsid w:val="003513B9"/>
    <w:rsid w:val="00351611"/>
    <w:rsid w:val="003516BA"/>
    <w:rsid w:val="0035196A"/>
    <w:rsid w:val="00351CE1"/>
    <w:rsid w:val="00352288"/>
    <w:rsid w:val="00352B37"/>
    <w:rsid w:val="00353221"/>
    <w:rsid w:val="0035411A"/>
    <w:rsid w:val="0035413A"/>
    <w:rsid w:val="00354656"/>
    <w:rsid w:val="0035478C"/>
    <w:rsid w:val="003553E5"/>
    <w:rsid w:val="0035550A"/>
    <w:rsid w:val="00355FEF"/>
    <w:rsid w:val="003564AB"/>
    <w:rsid w:val="00356676"/>
    <w:rsid w:val="00356E84"/>
    <w:rsid w:val="0035767B"/>
    <w:rsid w:val="0035779B"/>
    <w:rsid w:val="00357928"/>
    <w:rsid w:val="00360699"/>
    <w:rsid w:val="00360913"/>
    <w:rsid w:val="00360D67"/>
    <w:rsid w:val="0036126C"/>
    <w:rsid w:val="00361CAE"/>
    <w:rsid w:val="00362401"/>
    <w:rsid w:val="00363715"/>
    <w:rsid w:val="003638A9"/>
    <w:rsid w:val="00363BBA"/>
    <w:rsid w:val="003648B6"/>
    <w:rsid w:val="003652A9"/>
    <w:rsid w:val="00365EE9"/>
    <w:rsid w:val="00366ED4"/>
    <w:rsid w:val="00367079"/>
    <w:rsid w:val="0036790D"/>
    <w:rsid w:val="00367DE3"/>
    <w:rsid w:val="00370FB7"/>
    <w:rsid w:val="003711A1"/>
    <w:rsid w:val="00371AC2"/>
    <w:rsid w:val="00371E7B"/>
    <w:rsid w:val="003721C7"/>
    <w:rsid w:val="003729D4"/>
    <w:rsid w:val="00373488"/>
    <w:rsid w:val="00373B32"/>
    <w:rsid w:val="00373B73"/>
    <w:rsid w:val="003740C9"/>
    <w:rsid w:val="003745F0"/>
    <w:rsid w:val="00374BA1"/>
    <w:rsid w:val="00374E2E"/>
    <w:rsid w:val="00375369"/>
    <w:rsid w:val="00375BBA"/>
    <w:rsid w:val="00376B55"/>
    <w:rsid w:val="00376C94"/>
    <w:rsid w:val="00376F5F"/>
    <w:rsid w:val="00377A80"/>
    <w:rsid w:val="00377AD2"/>
    <w:rsid w:val="0038009B"/>
    <w:rsid w:val="00380907"/>
    <w:rsid w:val="00380A86"/>
    <w:rsid w:val="003818F2"/>
    <w:rsid w:val="00382058"/>
    <w:rsid w:val="00382856"/>
    <w:rsid w:val="003828CC"/>
    <w:rsid w:val="00382AA2"/>
    <w:rsid w:val="00382BE9"/>
    <w:rsid w:val="00383DD6"/>
    <w:rsid w:val="003847DC"/>
    <w:rsid w:val="00386134"/>
    <w:rsid w:val="0039083A"/>
    <w:rsid w:val="00390A14"/>
    <w:rsid w:val="003916DE"/>
    <w:rsid w:val="00391B33"/>
    <w:rsid w:val="0039215F"/>
    <w:rsid w:val="00393C13"/>
    <w:rsid w:val="003947B1"/>
    <w:rsid w:val="00395317"/>
    <w:rsid w:val="003957D0"/>
    <w:rsid w:val="003A018D"/>
    <w:rsid w:val="003A060E"/>
    <w:rsid w:val="003A15E4"/>
    <w:rsid w:val="003A19B2"/>
    <w:rsid w:val="003A19DF"/>
    <w:rsid w:val="003A1A79"/>
    <w:rsid w:val="003A1FD2"/>
    <w:rsid w:val="003A2C91"/>
    <w:rsid w:val="003A2E74"/>
    <w:rsid w:val="003A394E"/>
    <w:rsid w:val="003A3B63"/>
    <w:rsid w:val="003A3DC8"/>
    <w:rsid w:val="003A4726"/>
    <w:rsid w:val="003A47A8"/>
    <w:rsid w:val="003A4E6E"/>
    <w:rsid w:val="003A50D4"/>
    <w:rsid w:val="003A5854"/>
    <w:rsid w:val="003A5FCF"/>
    <w:rsid w:val="003A7FFD"/>
    <w:rsid w:val="003B02D7"/>
    <w:rsid w:val="003B06D3"/>
    <w:rsid w:val="003B1E64"/>
    <w:rsid w:val="003B2DD8"/>
    <w:rsid w:val="003B483E"/>
    <w:rsid w:val="003B5149"/>
    <w:rsid w:val="003B6E5F"/>
    <w:rsid w:val="003C04C3"/>
    <w:rsid w:val="003C0893"/>
    <w:rsid w:val="003C15BE"/>
    <w:rsid w:val="003C1722"/>
    <w:rsid w:val="003C174A"/>
    <w:rsid w:val="003C1AFA"/>
    <w:rsid w:val="003C249B"/>
    <w:rsid w:val="003C2746"/>
    <w:rsid w:val="003C31EF"/>
    <w:rsid w:val="003C3482"/>
    <w:rsid w:val="003C4557"/>
    <w:rsid w:val="003C47E0"/>
    <w:rsid w:val="003C5C00"/>
    <w:rsid w:val="003C5FCB"/>
    <w:rsid w:val="003C608D"/>
    <w:rsid w:val="003C7AC7"/>
    <w:rsid w:val="003C7AD3"/>
    <w:rsid w:val="003C7FF6"/>
    <w:rsid w:val="003D0389"/>
    <w:rsid w:val="003D073E"/>
    <w:rsid w:val="003D0B4C"/>
    <w:rsid w:val="003D1AB8"/>
    <w:rsid w:val="003D1CA3"/>
    <w:rsid w:val="003D2180"/>
    <w:rsid w:val="003D236F"/>
    <w:rsid w:val="003D23B1"/>
    <w:rsid w:val="003D371F"/>
    <w:rsid w:val="003D4BB7"/>
    <w:rsid w:val="003D5C1F"/>
    <w:rsid w:val="003D66E6"/>
    <w:rsid w:val="003D6EA3"/>
    <w:rsid w:val="003E020A"/>
    <w:rsid w:val="003E078F"/>
    <w:rsid w:val="003E0FF3"/>
    <w:rsid w:val="003E1569"/>
    <w:rsid w:val="003E19B3"/>
    <w:rsid w:val="003E31B4"/>
    <w:rsid w:val="003E3937"/>
    <w:rsid w:val="003E3B68"/>
    <w:rsid w:val="003E40DF"/>
    <w:rsid w:val="003E461C"/>
    <w:rsid w:val="003E5F11"/>
    <w:rsid w:val="003E6152"/>
    <w:rsid w:val="003E646C"/>
    <w:rsid w:val="003E7D84"/>
    <w:rsid w:val="003E7FAF"/>
    <w:rsid w:val="003F06A1"/>
    <w:rsid w:val="003F0CA2"/>
    <w:rsid w:val="003F0D00"/>
    <w:rsid w:val="003F1A58"/>
    <w:rsid w:val="003F287E"/>
    <w:rsid w:val="003F40C3"/>
    <w:rsid w:val="003F498F"/>
    <w:rsid w:val="003F4B88"/>
    <w:rsid w:val="003F54CB"/>
    <w:rsid w:val="003F6191"/>
    <w:rsid w:val="003F6578"/>
    <w:rsid w:val="003F65BC"/>
    <w:rsid w:val="003F6710"/>
    <w:rsid w:val="003F6C58"/>
    <w:rsid w:val="003F771B"/>
    <w:rsid w:val="003F7815"/>
    <w:rsid w:val="004000E0"/>
    <w:rsid w:val="004006B3"/>
    <w:rsid w:val="00400784"/>
    <w:rsid w:val="00400CA4"/>
    <w:rsid w:val="00400FD2"/>
    <w:rsid w:val="00401676"/>
    <w:rsid w:val="00402AEA"/>
    <w:rsid w:val="00402E22"/>
    <w:rsid w:val="00403135"/>
    <w:rsid w:val="004040F2"/>
    <w:rsid w:val="0040455D"/>
    <w:rsid w:val="00404FFE"/>
    <w:rsid w:val="00406167"/>
    <w:rsid w:val="004068F0"/>
    <w:rsid w:val="00406DF0"/>
    <w:rsid w:val="0040717F"/>
    <w:rsid w:val="004074B8"/>
    <w:rsid w:val="00410519"/>
    <w:rsid w:val="004107B7"/>
    <w:rsid w:val="004107F8"/>
    <w:rsid w:val="004112BE"/>
    <w:rsid w:val="0041166D"/>
    <w:rsid w:val="00411BD4"/>
    <w:rsid w:val="004122A8"/>
    <w:rsid w:val="00413CD3"/>
    <w:rsid w:val="00413DDA"/>
    <w:rsid w:val="00414E41"/>
    <w:rsid w:val="004155A9"/>
    <w:rsid w:val="004156DD"/>
    <w:rsid w:val="004156FF"/>
    <w:rsid w:val="00415936"/>
    <w:rsid w:val="00415A34"/>
    <w:rsid w:val="00415B66"/>
    <w:rsid w:val="00415F2A"/>
    <w:rsid w:val="00416DAC"/>
    <w:rsid w:val="00417F17"/>
    <w:rsid w:val="00420792"/>
    <w:rsid w:val="0042094D"/>
    <w:rsid w:val="00421108"/>
    <w:rsid w:val="00421C1F"/>
    <w:rsid w:val="004222D1"/>
    <w:rsid w:val="004228CF"/>
    <w:rsid w:val="004233F5"/>
    <w:rsid w:val="00423638"/>
    <w:rsid w:val="00423853"/>
    <w:rsid w:val="00423920"/>
    <w:rsid w:val="00423E04"/>
    <w:rsid w:val="0042490A"/>
    <w:rsid w:val="004253BD"/>
    <w:rsid w:val="004260C1"/>
    <w:rsid w:val="00426879"/>
    <w:rsid w:val="004268E4"/>
    <w:rsid w:val="00426A9C"/>
    <w:rsid w:val="00430005"/>
    <w:rsid w:val="004300E4"/>
    <w:rsid w:val="004308D7"/>
    <w:rsid w:val="0043100F"/>
    <w:rsid w:val="004317E9"/>
    <w:rsid w:val="00431C92"/>
    <w:rsid w:val="00433CC9"/>
    <w:rsid w:val="00434036"/>
    <w:rsid w:val="00434814"/>
    <w:rsid w:val="00434E86"/>
    <w:rsid w:val="00435132"/>
    <w:rsid w:val="00435A7C"/>
    <w:rsid w:val="00435DAB"/>
    <w:rsid w:val="00435DFB"/>
    <w:rsid w:val="00435FB9"/>
    <w:rsid w:val="00441796"/>
    <w:rsid w:val="004430DA"/>
    <w:rsid w:val="00444670"/>
    <w:rsid w:val="00444922"/>
    <w:rsid w:val="00444BB2"/>
    <w:rsid w:val="00444C91"/>
    <w:rsid w:val="00446AAA"/>
    <w:rsid w:val="004479B6"/>
    <w:rsid w:val="0045089C"/>
    <w:rsid w:val="00450D77"/>
    <w:rsid w:val="004513EC"/>
    <w:rsid w:val="00451F76"/>
    <w:rsid w:val="0045200D"/>
    <w:rsid w:val="004529E8"/>
    <w:rsid w:val="00452A57"/>
    <w:rsid w:val="00452B2D"/>
    <w:rsid w:val="004536C8"/>
    <w:rsid w:val="00453ED0"/>
    <w:rsid w:val="004543EA"/>
    <w:rsid w:val="00454595"/>
    <w:rsid w:val="00454D8F"/>
    <w:rsid w:val="0045532A"/>
    <w:rsid w:val="00455660"/>
    <w:rsid w:val="004559F0"/>
    <w:rsid w:val="00457476"/>
    <w:rsid w:val="00457A68"/>
    <w:rsid w:val="00457B20"/>
    <w:rsid w:val="00457DA6"/>
    <w:rsid w:val="00460832"/>
    <w:rsid w:val="00460A7F"/>
    <w:rsid w:val="00460F02"/>
    <w:rsid w:val="00461C65"/>
    <w:rsid w:val="00463360"/>
    <w:rsid w:val="00463831"/>
    <w:rsid w:val="00463CD7"/>
    <w:rsid w:val="00463D89"/>
    <w:rsid w:val="00463E3D"/>
    <w:rsid w:val="00464A12"/>
    <w:rsid w:val="00465688"/>
    <w:rsid w:val="00466269"/>
    <w:rsid w:val="004669BE"/>
    <w:rsid w:val="004702EA"/>
    <w:rsid w:val="004706C4"/>
    <w:rsid w:val="00470E8C"/>
    <w:rsid w:val="0047107E"/>
    <w:rsid w:val="00471A96"/>
    <w:rsid w:val="00472B1E"/>
    <w:rsid w:val="00472B4F"/>
    <w:rsid w:val="00472E81"/>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1B82"/>
    <w:rsid w:val="004823BC"/>
    <w:rsid w:val="00483A8C"/>
    <w:rsid w:val="00483C3E"/>
    <w:rsid w:val="00484DA3"/>
    <w:rsid w:val="0048502E"/>
    <w:rsid w:val="0048523B"/>
    <w:rsid w:val="004860EB"/>
    <w:rsid w:val="00486565"/>
    <w:rsid w:val="0048664D"/>
    <w:rsid w:val="004879F6"/>
    <w:rsid w:val="00487B00"/>
    <w:rsid w:val="00487EE5"/>
    <w:rsid w:val="00490645"/>
    <w:rsid w:val="004907BA"/>
    <w:rsid w:val="0049084B"/>
    <w:rsid w:val="00491662"/>
    <w:rsid w:val="0049203C"/>
    <w:rsid w:val="00492474"/>
    <w:rsid w:val="0049250A"/>
    <w:rsid w:val="00492A81"/>
    <w:rsid w:val="004938BD"/>
    <w:rsid w:val="00493BA4"/>
    <w:rsid w:val="00494FCF"/>
    <w:rsid w:val="004951C5"/>
    <w:rsid w:val="00495F13"/>
    <w:rsid w:val="004961B6"/>
    <w:rsid w:val="004963AD"/>
    <w:rsid w:val="0049649B"/>
    <w:rsid w:val="00496949"/>
    <w:rsid w:val="0049717B"/>
    <w:rsid w:val="00497437"/>
    <w:rsid w:val="004A0B83"/>
    <w:rsid w:val="004A0C13"/>
    <w:rsid w:val="004A10B5"/>
    <w:rsid w:val="004A147E"/>
    <w:rsid w:val="004A1495"/>
    <w:rsid w:val="004A22C0"/>
    <w:rsid w:val="004A29AD"/>
    <w:rsid w:val="004A33D3"/>
    <w:rsid w:val="004A3805"/>
    <w:rsid w:val="004A385D"/>
    <w:rsid w:val="004A46D4"/>
    <w:rsid w:val="004A5077"/>
    <w:rsid w:val="004A5A8E"/>
    <w:rsid w:val="004A6038"/>
    <w:rsid w:val="004A6150"/>
    <w:rsid w:val="004A646E"/>
    <w:rsid w:val="004A66FA"/>
    <w:rsid w:val="004A7050"/>
    <w:rsid w:val="004A74E8"/>
    <w:rsid w:val="004A7971"/>
    <w:rsid w:val="004A7B81"/>
    <w:rsid w:val="004B0BEA"/>
    <w:rsid w:val="004B13EE"/>
    <w:rsid w:val="004B21C0"/>
    <w:rsid w:val="004B28E8"/>
    <w:rsid w:val="004B2F0E"/>
    <w:rsid w:val="004B3151"/>
    <w:rsid w:val="004B3501"/>
    <w:rsid w:val="004B3E6A"/>
    <w:rsid w:val="004B4272"/>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1F5C"/>
    <w:rsid w:val="004C2111"/>
    <w:rsid w:val="004C3C93"/>
    <w:rsid w:val="004C4283"/>
    <w:rsid w:val="004C517F"/>
    <w:rsid w:val="004C51B9"/>
    <w:rsid w:val="004C5293"/>
    <w:rsid w:val="004C5F58"/>
    <w:rsid w:val="004C5FF1"/>
    <w:rsid w:val="004C692D"/>
    <w:rsid w:val="004C6BC5"/>
    <w:rsid w:val="004C73FD"/>
    <w:rsid w:val="004D0668"/>
    <w:rsid w:val="004D10FC"/>
    <w:rsid w:val="004D2C53"/>
    <w:rsid w:val="004D2CED"/>
    <w:rsid w:val="004D2D38"/>
    <w:rsid w:val="004D356D"/>
    <w:rsid w:val="004D35E5"/>
    <w:rsid w:val="004D3EAC"/>
    <w:rsid w:val="004D3FAF"/>
    <w:rsid w:val="004D4263"/>
    <w:rsid w:val="004D47EA"/>
    <w:rsid w:val="004D4CE9"/>
    <w:rsid w:val="004D5F77"/>
    <w:rsid w:val="004D5F79"/>
    <w:rsid w:val="004D743C"/>
    <w:rsid w:val="004D77F4"/>
    <w:rsid w:val="004D781C"/>
    <w:rsid w:val="004D7974"/>
    <w:rsid w:val="004E0022"/>
    <w:rsid w:val="004E15D5"/>
    <w:rsid w:val="004E1768"/>
    <w:rsid w:val="004E1C28"/>
    <w:rsid w:val="004E295D"/>
    <w:rsid w:val="004E33C3"/>
    <w:rsid w:val="004E353B"/>
    <w:rsid w:val="004E3772"/>
    <w:rsid w:val="004E4054"/>
    <w:rsid w:val="004E49E6"/>
    <w:rsid w:val="004E608B"/>
    <w:rsid w:val="004E64D9"/>
    <w:rsid w:val="004E650A"/>
    <w:rsid w:val="004E6FCF"/>
    <w:rsid w:val="004E79C8"/>
    <w:rsid w:val="004E7D7B"/>
    <w:rsid w:val="004E7F41"/>
    <w:rsid w:val="004F094C"/>
    <w:rsid w:val="004F0BC9"/>
    <w:rsid w:val="004F1DCD"/>
    <w:rsid w:val="004F2C39"/>
    <w:rsid w:val="004F34A8"/>
    <w:rsid w:val="004F361E"/>
    <w:rsid w:val="004F38E6"/>
    <w:rsid w:val="004F3B51"/>
    <w:rsid w:val="004F3C21"/>
    <w:rsid w:val="004F50B7"/>
    <w:rsid w:val="004F51DE"/>
    <w:rsid w:val="004F59CA"/>
    <w:rsid w:val="004F61A2"/>
    <w:rsid w:val="004F6217"/>
    <w:rsid w:val="004F6E63"/>
    <w:rsid w:val="004F775B"/>
    <w:rsid w:val="00500405"/>
    <w:rsid w:val="005006C9"/>
    <w:rsid w:val="005014E8"/>
    <w:rsid w:val="005015CE"/>
    <w:rsid w:val="005025E7"/>
    <w:rsid w:val="00502B6A"/>
    <w:rsid w:val="00502BB9"/>
    <w:rsid w:val="005036EB"/>
    <w:rsid w:val="005046E1"/>
    <w:rsid w:val="00504893"/>
    <w:rsid w:val="005050E1"/>
    <w:rsid w:val="005057FF"/>
    <w:rsid w:val="005058D2"/>
    <w:rsid w:val="00505997"/>
    <w:rsid w:val="00505CBF"/>
    <w:rsid w:val="0050617F"/>
    <w:rsid w:val="005064BC"/>
    <w:rsid w:val="005073EF"/>
    <w:rsid w:val="00510049"/>
    <w:rsid w:val="00510645"/>
    <w:rsid w:val="00510E1E"/>
    <w:rsid w:val="00511D55"/>
    <w:rsid w:val="005120B7"/>
    <w:rsid w:val="0051306F"/>
    <w:rsid w:val="00513FBD"/>
    <w:rsid w:val="005144CD"/>
    <w:rsid w:val="00514C2A"/>
    <w:rsid w:val="00515A0E"/>
    <w:rsid w:val="00516030"/>
    <w:rsid w:val="00516B72"/>
    <w:rsid w:val="005200FB"/>
    <w:rsid w:val="00520452"/>
    <w:rsid w:val="00520459"/>
    <w:rsid w:val="005207F6"/>
    <w:rsid w:val="00520FB2"/>
    <w:rsid w:val="00520FE2"/>
    <w:rsid w:val="00521563"/>
    <w:rsid w:val="00521926"/>
    <w:rsid w:val="00521BED"/>
    <w:rsid w:val="00521D58"/>
    <w:rsid w:val="00522737"/>
    <w:rsid w:val="00522E00"/>
    <w:rsid w:val="00523332"/>
    <w:rsid w:val="00523B9C"/>
    <w:rsid w:val="00523D80"/>
    <w:rsid w:val="00523FEE"/>
    <w:rsid w:val="00524565"/>
    <w:rsid w:val="00524CA9"/>
    <w:rsid w:val="00525A86"/>
    <w:rsid w:val="0052613D"/>
    <w:rsid w:val="005264F8"/>
    <w:rsid w:val="0052710A"/>
    <w:rsid w:val="00527415"/>
    <w:rsid w:val="00530EC7"/>
    <w:rsid w:val="00531573"/>
    <w:rsid w:val="00531885"/>
    <w:rsid w:val="00531E06"/>
    <w:rsid w:val="0053240B"/>
    <w:rsid w:val="0053253B"/>
    <w:rsid w:val="0053256A"/>
    <w:rsid w:val="00532C0A"/>
    <w:rsid w:val="00532CBF"/>
    <w:rsid w:val="00533416"/>
    <w:rsid w:val="0053392A"/>
    <w:rsid w:val="00533F3C"/>
    <w:rsid w:val="0053434A"/>
    <w:rsid w:val="0053467A"/>
    <w:rsid w:val="0053501C"/>
    <w:rsid w:val="00535474"/>
    <w:rsid w:val="00535BAA"/>
    <w:rsid w:val="0053665E"/>
    <w:rsid w:val="0053705F"/>
    <w:rsid w:val="00537373"/>
    <w:rsid w:val="0054015D"/>
    <w:rsid w:val="00540D3B"/>
    <w:rsid w:val="005412EE"/>
    <w:rsid w:val="00541D23"/>
    <w:rsid w:val="005421FD"/>
    <w:rsid w:val="00542D6D"/>
    <w:rsid w:val="00543021"/>
    <w:rsid w:val="00543258"/>
    <w:rsid w:val="005437F4"/>
    <w:rsid w:val="00543935"/>
    <w:rsid w:val="00543D14"/>
    <w:rsid w:val="005444CA"/>
    <w:rsid w:val="00544F85"/>
    <w:rsid w:val="00545565"/>
    <w:rsid w:val="00545F55"/>
    <w:rsid w:val="00546310"/>
    <w:rsid w:val="00546343"/>
    <w:rsid w:val="00546927"/>
    <w:rsid w:val="005477FA"/>
    <w:rsid w:val="00547A44"/>
    <w:rsid w:val="00547C05"/>
    <w:rsid w:val="0055092B"/>
    <w:rsid w:val="0055166F"/>
    <w:rsid w:val="005518FA"/>
    <w:rsid w:val="00551952"/>
    <w:rsid w:val="00552A19"/>
    <w:rsid w:val="00552DCE"/>
    <w:rsid w:val="0055312B"/>
    <w:rsid w:val="00553D3E"/>
    <w:rsid w:val="00553D47"/>
    <w:rsid w:val="0055443C"/>
    <w:rsid w:val="00554990"/>
    <w:rsid w:val="00554B44"/>
    <w:rsid w:val="00555789"/>
    <w:rsid w:val="005558D1"/>
    <w:rsid w:val="00556800"/>
    <w:rsid w:val="005569DC"/>
    <w:rsid w:val="00556D10"/>
    <w:rsid w:val="00556D8C"/>
    <w:rsid w:val="00556DDB"/>
    <w:rsid w:val="00556F64"/>
    <w:rsid w:val="0055787B"/>
    <w:rsid w:val="00557B62"/>
    <w:rsid w:val="0056126A"/>
    <w:rsid w:val="00562046"/>
    <w:rsid w:val="005622D7"/>
    <w:rsid w:val="00563060"/>
    <w:rsid w:val="005632AA"/>
    <w:rsid w:val="005639C3"/>
    <w:rsid w:val="0056553B"/>
    <w:rsid w:val="00565B91"/>
    <w:rsid w:val="00565E66"/>
    <w:rsid w:val="00566434"/>
    <w:rsid w:val="00566479"/>
    <w:rsid w:val="00566E53"/>
    <w:rsid w:val="00567329"/>
    <w:rsid w:val="0056741A"/>
    <w:rsid w:val="00567F9E"/>
    <w:rsid w:val="00567FE4"/>
    <w:rsid w:val="005715B6"/>
    <w:rsid w:val="00571A63"/>
    <w:rsid w:val="00571D7C"/>
    <w:rsid w:val="00571FD2"/>
    <w:rsid w:val="005733AF"/>
    <w:rsid w:val="00574C58"/>
    <w:rsid w:val="005752A9"/>
    <w:rsid w:val="005754AC"/>
    <w:rsid w:val="00575782"/>
    <w:rsid w:val="00576111"/>
    <w:rsid w:val="005769B4"/>
    <w:rsid w:val="00576D68"/>
    <w:rsid w:val="005810FE"/>
    <w:rsid w:val="00581120"/>
    <w:rsid w:val="00581C05"/>
    <w:rsid w:val="00581F07"/>
    <w:rsid w:val="005826A4"/>
    <w:rsid w:val="00582773"/>
    <w:rsid w:val="00582B6E"/>
    <w:rsid w:val="00582B7B"/>
    <w:rsid w:val="00582F81"/>
    <w:rsid w:val="00583199"/>
    <w:rsid w:val="005836AF"/>
    <w:rsid w:val="0058425E"/>
    <w:rsid w:val="00584270"/>
    <w:rsid w:val="00584691"/>
    <w:rsid w:val="005847BC"/>
    <w:rsid w:val="00584C94"/>
    <w:rsid w:val="00584D21"/>
    <w:rsid w:val="0058504F"/>
    <w:rsid w:val="005856A7"/>
    <w:rsid w:val="00585A86"/>
    <w:rsid w:val="00585EC2"/>
    <w:rsid w:val="005861FA"/>
    <w:rsid w:val="005862D4"/>
    <w:rsid w:val="00586435"/>
    <w:rsid w:val="0058658C"/>
    <w:rsid w:val="0058677C"/>
    <w:rsid w:val="00586997"/>
    <w:rsid w:val="00587EC3"/>
    <w:rsid w:val="00587F5C"/>
    <w:rsid w:val="00590288"/>
    <w:rsid w:val="00591316"/>
    <w:rsid w:val="00591F70"/>
    <w:rsid w:val="00592724"/>
    <w:rsid w:val="00592FAD"/>
    <w:rsid w:val="005965AA"/>
    <w:rsid w:val="00596EDA"/>
    <w:rsid w:val="00596F4B"/>
    <w:rsid w:val="00596F5B"/>
    <w:rsid w:val="005977CE"/>
    <w:rsid w:val="005979F2"/>
    <w:rsid w:val="005A00BC"/>
    <w:rsid w:val="005A0418"/>
    <w:rsid w:val="005A053C"/>
    <w:rsid w:val="005A0D81"/>
    <w:rsid w:val="005A0E99"/>
    <w:rsid w:val="005A12F3"/>
    <w:rsid w:val="005A153A"/>
    <w:rsid w:val="005A17C1"/>
    <w:rsid w:val="005A1FD7"/>
    <w:rsid w:val="005A2843"/>
    <w:rsid w:val="005A32A6"/>
    <w:rsid w:val="005A42B3"/>
    <w:rsid w:val="005A42E5"/>
    <w:rsid w:val="005A453B"/>
    <w:rsid w:val="005A485D"/>
    <w:rsid w:val="005A5317"/>
    <w:rsid w:val="005A5AD0"/>
    <w:rsid w:val="005A63D2"/>
    <w:rsid w:val="005A7B38"/>
    <w:rsid w:val="005B0E97"/>
    <w:rsid w:val="005B1512"/>
    <w:rsid w:val="005B203F"/>
    <w:rsid w:val="005B224A"/>
    <w:rsid w:val="005B24DC"/>
    <w:rsid w:val="005B2691"/>
    <w:rsid w:val="005B328A"/>
    <w:rsid w:val="005B47E2"/>
    <w:rsid w:val="005B49B7"/>
    <w:rsid w:val="005B5061"/>
    <w:rsid w:val="005B5189"/>
    <w:rsid w:val="005B58E8"/>
    <w:rsid w:val="005B6066"/>
    <w:rsid w:val="005B6345"/>
    <w:rsid w:val="005B6700"/>
    <w:rsid w:val="005B6DD2"/>
    <w:rsid w:val="005B6F56"/>
    <w:rsid w:val="005B709A"/>
    <w:rsid w:val="005B70DF"/>
    <w:rsid w:val="005B7B2A"/>
    <w:rsid w:val="005C01C6"/>
    <w:rsid w:val="005C0BDA"/>
    <w:rsid w:val="005C0FAB"/>
    <w:rsid w:val="005C1E44"/>
    <w:rsid w:val="005C32B7"/>
    <w:rsid w:val="005C3632"/>
    <w:rsid w:val="005C3BDA"/>
    <w:rsid w:val="005C4125"/>
    <w:rsid w:val="005C442E"/>
    <w:rsid w:val="005C4587"/>
    <w:rsid w:val="005C5BAB"/>
    <w:rsid w:val="005D1799"/>
    <w:rsid w:val="005D1E11"/>
    <w:rsid w:val="005D1E58"/>
    <w:rsid w:val="005D1FBF"/>
    <w:rsid w:val="005D23E8"/>
    <w:rsid w:val="005D282C"/>
    <w:rsid w:val="005D28DF"/>
    <w:rsid w:val="005D2FB0"/>
    <w:rsid w:val="005D3D65"/>
    <w:rsid w:val="005D454A"/>
    <w:rsid w:val="005D4821"/>
    <w:rsid w:val="005D4A58"/>
    <w:rsid w:val="005D4CA4"/>
    <w:rsid w:val="005D4DDD"/>
    <w:rsid w:val="005D5518"/>
    <w:rsid w:val="005D672F"/>
    <w:rsid w:val="005D750A"/>
    <w:rsid w:val="005D7AC9"/>
    <w:rsid w:val="005E0079"/>
    <w:rsid w:val="005E033A"/>
    <w:rsid w:val="005E05DB"/>
    <w:rsid w:val="005E0831"/>
    <w:rsid w:val="005E09C7"/>
    <w:rsid w:val="005E1A5B"/>
    <w:rsid w:val="005E231B"/>
    <w:rsid w:val="005E2725"/>
    <w:rsid w:val="005E2DD9"/>
    <w:rsid w:val="005E2E1B"/>
    <w:rsid w:val="005E2F5B"/>
    <w:rsid w:val="005E3A58"/>
    <w:rsid w:val="005E5038"/>
    <w:rsid w:val="005E5CCC"/>
    <w:rsid w:val="005E61C3"/>
    <w:rsid w:val="005E647A"/>
    <w:rsid w:val="005E67C7"/>
    <w:rsid w:val="005E6A86"/>
    <w:rsid w:val="005E6E78"/>
    <w:rsid w:val="005E708C"/>
    <w:rsid w:val="005E77CD"/>
    <w:rsid w:val="005E79F5"/>
    <w:rsid w:val="005E7B2F"/>
    <w:rsid w:val="005E7BF7"/>
    <w:rsid w:val="005E7D01"/>
    <w:rsid w:val="005F0B8E"/>
    <w:rsid w:val="005F0E5C"/>
    <w:rsid w:val="005F0F13"/>
    <w:rsid w:val="005F1919"/>
    <w:rsid w:val="005F279C"/>
    <w:rsid w:val="005F321F"/>
    <w:rsid w:val="005F4116"/>
    <w:rsid w:val="005F530B"/>
    <w:rsid w:val="005F590F"/>
    <w:rsid w:val="005F616A"/>
    <w:rsid w:val="005F623C"/>
    <w:rsid w:val="005F6525"/>
    <w:rsid w:val="005F6591"/>
    <w:rsid w:val="005F70EA"/>
    <w:rsid w:val="005F7BC5"/>
    <w:rsid w:val="006003D7"/>
    <w:rsid w:val="00600B5F"/>
    <w:rsid w:val="00600BB5"/>
    <w:rsid w:val="0060108A"/>
    <w:rsid w:val="00601C81"/>
    <w:rsid w:val="00602307"/>
    <w:rsid w:val="006042FA"/>
    <w:rsid w:val="006049A2"/>
    <w:rsid w:val="0060635D"/>
    <w:rsid w:val="00606365"/>
    <w:rsid w:val="00606ACA"/>
    <w:rsid w:val="00610BA9"/>
    <w:rsid w:val="0061127E"/>
    <w:rsid w:val="0061188C"/>
    <w:rsid w:val="00611CCA"/>
    <w:rsid w:val="006121E6"/>
    <w:rsid w:val="006127F7"/>
    <w:rsid w:val="00614912"/>
    <w:rsid w:val="00614A1D"/>
    <w:rsid w:val="00614CD6"/>
    <w:rsid w:val="00615A26"/>
    <w:rsid w:val="00615A2E"/>
    <w:rsid w:val="00615B68"/>
    <w:rsid w:val="00617316"/>
    <w:rsid w:val="00617E47"/>
    <w:rsid w:val="00620EE4"/>
    <w:rsid w:val="006212C5"/>
    <w:rsid w:val="00621F2F"/>
    <w:rsid w:val="00623BBB"/>
    <w:rsid w:val="00623CA6"/>
    <w:rsid w:val="0062428C"/>
    <w:rsid w:val="0062429B"/>
    <w:rsid w:val="00624335"/>
    <w:rsid w:val="00624805"/>
    <w:rsid w:val="00624ABB"/>
    <w:rsid w:val="0062567C"/>
    <w:rsid w:val="00625A02"/>
    <w:rsid w:val="006267DC"/>
    <w:rsid w:val="006269D8"/>
    <w:rsid w:val="00630C11"/>
    <w:rsid w:val="00630E47"/>
    <w:rsid w:val="006316EF"/>
    <w:rsid w:val="00631DDC"/>
    <w:rsid w:val="00631E5F"/>
    <w:rsid w:val="006328DB"/>
    <w:rsid w:val="00633139"/>
    <w:rsid w:val="0063358D"/>
    <w:rsid w:val="00633645"/>
    <w:rsid w:val="00633CA2"/>
    <w:rsid w:val="00634245"/>
    <w:rsid w:val="006345CE"/>
    <w:rsid w:val="006354F8"/>
    <w:rsid w:val="0063723B"/>
    <w:rsid w:val="00637C2D"/>
    <w:rsid w:val="00637EBF"/>
    <w:rsid w:val="0064054E"/>
    <w:rsid w:val="006405B6"/>
    <w:rsid w:val="006416A0"/>
    <w:rsid w:val="00641B82"/>
    <w:rsid w:val="00642CC9"/>
    <w:rsid w:val="00643917"/>
    <w:rsid w:val="006439F2"/>
    <w:rsid w:val="00643A63"/>
    <w:rsid w:val="00644124"/>
    <w:rsid w:val="0064422E"/>
    <w:rsid w:val="00644768"/>
    <w:rsid w:val="00645926"/>
    <w:rsid w:val="00645A68"/>
    <w:rsid w:val="0064678A"/>
    <w:rsid w:val="006469D1"/>
    <w:rsid w:val="00646E28"/>
    <w:rsid w:val="006501FB"/>
    <w:rsid w:val="00650E1E"/>
    <w:rsid w:val="0065115C"/>
    <w:rsid w:val="0065199F"/>
    <w:rsid w:val="006521B2"/>
    <w:rsid w:val="00652406"/>
    <w:rsid w:val="00652BE4"/>
    <w:rsid w:val="006532B4"/>
    <w:rsid w:val="00653319"/>
    <w:rsid w:val="0065351F"/>
    <w:rsid w:val="00653D11"/>
    <w:rsid w:val="00653DAD"/>
    <w:rsid w:val="00654073"/>
    <w:rsid w:val="006542A2"/>
    <w:rsid w:val="0065441B"/>
    <w:rsid w:val="00655401"/>
    <w:rsid w:val="00656339"/>
    <w:rsid w:val="0065675E"/>
    <w:rsid w:val="00657982"/>
    <w:rsid w:val="00657FA2"/>
    <w:rsid w:val="006608F1"/>
    <w:rsid w:val="0066293E"/>
    <w:rsid w:val="00662C01"/>
    <w:rsid w:val="00663B24"/>
    <w:rsid w:val="00664167"/>
    <w:rsid w:val="006641F7"/>
    <w:rsid w:val="00664EE4"/>
    <w:rsid w:val="00665C01"/>
    <w:rsid w:val="00665D6C"/>
    <w:rsid w:val="00666256"/>
    <w:rsid w:val="0066697F"/>
    <w:rsid w:val="00666BE2"/>
    <w:rsid w:val="006674C5"/>
    <w:rsid w:val="006674C8"/>
    <w:rsid w:val="006675A7"/>
    <w:rsid w:val="0066780C"/>
    <w:rsid w:val="00667A9C"/>
    <w:rsid w:val="00670AEB"/>
    <w:rsid w:val="00670BB2"/>
    <w:rsid w:val="00670D99"/>
    <w:rsid w:val="006717E2"/>
    <w:rsid w:val="00672851"/>
    <w:rsid w:val="00672D7C"/>
    <w:rsid w:val="0067321F"/>
    <w:rsid w:val="00673AF8"/>
    <w:rsid w:val="00673B28"/>
    <w:rsid w:val="006741D7"/>
    <w:rsid w:val="006746D7"/>
    <w:rsid w:val="00674F70"/>
    <w:rsid w:val="00675836"/>
    <w:rsid w:val="00675F43"/>
    <w:rsid w:val="0067642E"/>
    <w:rsid w:val="00676B6F"/>
    <w:rsid w:val="00676EAF"/>
    <w:rsid w:val="00677315"/>
    <w:rsid w:val="00677720"/>
    <w:rsid w:val="00677C34"/>
    <w:rsid w:val="00680304"/>
    <w:rsid w:val="0068124D"/>
    <w:rsid w:val="00681804"/>
    <w:rsid w:val="00681E06"/>
    <w:rsid w:val="00681F3E"/>
    <w:rsid w:val="00683A3A"/>
    <w:rsid w:val="00683DF4"/>
    <w:rsid w:val="00683F6B"/>
    <w:rsid w:val="0068448D"/>
    <w:rsid w:val="00684801"/>
    <w:rsid w:val="00684B65"/>
    <w:rsid w:val="006851B1"/>
    <w:rsid w:val="00685D6D"/>
    <w:rsid w:val="0068614C"/>
    <w:rsid w:val="006863DE"/>
    <w:rsid w:val="00686729"/>
    <w:rsid w:val="0068698A"/>
    <w:rsid w:val="006879C6"/>
    <w:rsid w:val="00687C33"/>
    <w:rsid w:val="00687DE4"/>
    <w:rsid w:val="00690CF8"/>
    <w:rsid w:val="00690D71"/>
    <w:rsid w:val="00690D97"/>
    <w:rsid w:val="00691AA6"/>
    <w:rsid w:val="00691EC2"/>
    <w:rsid w:val="006936A2"/>
    <w:rsid w:val="00693969"/>
    <w:rsid w:val="00694F01"/>
    <w:rsid w:val="006950B5"/>
    <w:rsid w:val="0069520A"/>
    <w:rsid w:val="006960E4"/>
    <w:rsid w:val="00696202"/>
    <w:rsid w:val="0069720C"/>
    <w:rsid w:val="0069745E"/>
    <w:rsid w:val="006974A5"/>
    <w:rsid w:val="00697815"/>
    <w:rsid w:val="00697E55"/>
    <w:rsid w:val="00697F65"/>
    <w:rsid w:val="006A01AD"/>
    <w:rsid w:val="006A0EC1"/>
    <w:rsid w:val="006A1358"/>
    <w:rsid w:val="006A1957"/>
    <w:rsid w:val="006A29F4"/>
    <w:rsid w:val="006A2CB0"/>
    <w:rsid w:val="006A35D9"/>
    <w:rsid w:val="006A3782"/>
    <w:rsid w:val="006A409E"/>
    <w:rsid w:val="006A42E4"/>
    <w:rsid w:val="006A4710"/>
    <w:rsid w:val="006A48A0"/>
    <w:rsid w:val="006A4C36"/>
    <w:rsid w:val="006A4E0B"/>
    <w:rsid w:val="006A4FFA"/>
    <w:rsid w:val="006A5B89"/>
    <w:rsid w:val="006A5BDE"/>
    <w:rsid w:val="006A6CFB"/>
    <w:rsid w:val="006A72DB"/>
    <w:rsid w:val="006A75AB"/>
    <w:rsid w:val="006A7F4D"/>
    <w:rsid w:val="006B0C53"/>
    <w:rsid w:val="006B0FE9"/>
    <w:rsid w:val="006B140F"/>
    <w:rsid w:val="006B2597"/>
    <w:rsid w:val="006B25FF"/>
    <w:rsid w:val="006B29BF"/>
    <w:rsid w:val="006B3155"/>
    <w:rsid w:val="006B33B9"/>
    <w:rsid w:val="006B3A47"/>
    <w:rsid w:val="006B4A48"/>
    <w:rsid w:val="006B4AA1"/>
    <w:rsid w:val="006B5229"/>
    <w:rsid w:val="006B5C7B"/>
    <w:rsid w:val="006B5E89"/>
    <w:rsid w:val="006B670E"/>
    <w:rsid w:val="006B703C"/>
    <w:rsid w:val="006B7D34"/>
    <w:rsid w:val="006B7F0A"/>
    <w:rsid w:val="006C095F"/>
    <w:rsid w:val="006C26D6"/>
    <w:rsid w:val="006C2879"/>
    <w:rsid w:val="006C3F91"/>
    <w:rsid w:val="006C3FCA"/>
    <w:rsid w:val="006C477F"/>
    <w:rsid w:val="006C553A"/>
    <w:rsid w:val="006C5D54"/>
    <w:rsid w:val="006C62C2"/>
    <w:rsid w:val="006C6AB9"/>
    <w:rsid w:val="006C7EC5"/>
    <w:rsid w:val="006D0C61"/>
    <w:rsid w:val="006D0EA1"/>
    <w:rsid w:val="006D1CB7"/>
    <w:rsid w:val="006D247B"/>
    <w:rsid w:val="006D2641"/>
    <w:rsid w:val="006D2B6C"/>
    <w:rsid w:val="006D3321"/>
    <w:rsid w:val="006D3954"/>
    <w:rsid w:val="006D3A34"/>
    <w:rsid w:val="006D47E5"/>
    <w:rsid w:val="006D4BEA"/>
    <w:rsid w:val="006D5035"/>
    <w:rsid w:val="006D5520"/>
    <w:rsid w:val="006D5AA9"/>
    <w:rsid w:val="006D5CC1"/>
    <w:rsid w:val="006D6404"/>
    <w:rsid w:val="006D64BD"/>
    <w:rsid w:val="006D670E"/>
    <w:rsid w:val="006D677C"/>
    <w:rsid w:val="006D6D62"/>
    <w:rsid w:val="006D749F"/>
    <w:rsid w:val="006D7E3B"/>
    <w:rsid w:val="006E075F"/>
    <w:rsid w:val="006E0F7E"/>
    <w:rsid w:val="006E1721"/>
    <w:rsid w:val="006E2563"/>
    <w:rsid w:val="006E2C5D"/>
    <w:rsid w:val="006E2E3D"/>
    <w:rsid w:val="006E30F9"/>
    <w:rsid w:val="006E37D9"/>
    <w:rsid w:val="006E3AB7"/>
    <w:rsid w:val="006E573E"/>
    <w:rsid w:val="006E63D6"/>
    <w:rsid w:val="006F0D24"/>
    <w:rsid w:val="006F135C"/>
    <w:rsid w:val="006F1862"/>
    <w:rsid w:val="006F1AFC"/>
    <w:rsid w:val="006F1DEE"/>
    <w:rsid w:val="006F2037"/>
    <w:rsid w:val="006F2BB7"/>
    <w:rsid w:val="006F2BC8"/>
    <w:rsid w:val="006F2C92"/>
    <w:rsid w:val="006F3688"/>
    <w:rsid w:val="006F38D9"/>
    <w:rsid w:val="006F4186"/>
    <w:rsid w:val="006F4D4B"/>
    <w:rsid w:val="006F60DD"/>
    <w:rsid w:val="006F6337"/>
    <w:rsid w:val="006F66AF"/>
    <w:rsid w:val="006F6F59"/>
    <w:rsid w:val="006F75D7"/>
    <w:rsid w:val="006F7B4D"/>
    <w:rsid w:val="006F7CF5"/>
    <w:rsid w:val="0070179E"/>
    <w:rsid w:val="00701C5C"/>
    <w:rsid w:val="00702475"/>
    <w:rsid w:val="00702886"/>
    <w:rsid w:val="00702F29"/>
    <w:rsid w:val="0070369F"/>
    <w:rsid w:val="00703BE5"/>
    <w:rsid w:val="0070413A"/>
    <w:rsid w:val="007049A7"/>
    <w:rsid w:val="00704DDE"/>
    <w:rsid w:val="0070541F"/>
    <w:rsid w:val="007057DA"/>
    <w:rsid w:val="00706BF8"/>
    <w:rsid w:val="0070793E"/>
    <w:rsid w:val="007104C6"/>
    <w:rsid w:val="007105B5"/>
    <w:rsid w:val="00710D82"/>
    <w:rsid w:val="0071140D"/>
    <w:rsid w:val="00712136"/>
    <w:rsid w:val="00713786"/>
    <w:rsid w:val="00713FB5"/>
    <w:rsid w:val="00714375"/>
    <w:rsid w:val="00714950"/>
    <w:rsid w:val="007150E0"/>
    <w:rsid w:val="0071570C"/>
    <w:rsid w:val="00715BA6"/>
    <w:rsid w:val="0071600B"/>
    <w:rsid w:val="00716231"/>
    <w:rsid w:val="00716581"/>
    <w:rsid w:val="0071668F"/>
    <w:rsid w:val="0071788B"/>
    <w:rsid w:val="00720741"/>
    <w:rsid w:val="00720D50"/>
    <w:rsid w:val="00720EBE"/>
    <w:rsid w:val="00723630"/>
    <w:rsid w:val="0072397A"/>
    <w:rsid w:val="00723F5C"/>
    <w:rsid w:val="00724043"/>
    <w:rsid w:val="007242D0"/>
    <w:rsid w:val="007248A2"/>
    <w:rsid w:val="0072585D"/>
    <w:rsid w:val="00725BD0"/>
    <w:rsid w:val="00726117"/>
    <w:rsid w:val="00726990"/>
    <w:rsid w:val="00726C7F"/>
    <w:rsid w:val="00726E05"/>
    <w:rsid w:val="00726F7C"/>
    <w:rsid w:val="00727591"/>
    <w:rsid w:val="007300B0"/>
    <w:rsid w:val="00730C03"/>
    <w:rsid w:val="00730FF9"/>
    <w:rsid w:val="00731E29"/>
    <w:rsid w:val="00731FF9"/>
    <w:rsid w:val="00732C61"/>
    <w:rsid w:val="0073344D"/>
    <w:rsid w:val="0073379B"/>
    <w:rsid w:val="007341BF"/>
    <w:rsid w:val="00734B0A"/>
    <w:rsid w:val="00735043"/>
    <w:rsid w:val="0073551E"/>
    <w:rsid w:val="00735F6D"/>
    <w:rsid w:val="00736247"/>
    <w:rsid w:val="007367F3"/>
    <w:rsid w:val="00736BF7"/>
    <w:rsid w:val="007370B3"/>
    <w:rsid w:val="0073783F"/>
    <w:rsid w:val="0074005B"/>
    <w:rsid w:val="0074038A"/>
    <w:rsid w:val="007417EF"/>
    <w:rsid w:val="0074192F"/>
    <w:rsid w:val="00741C93"/>
    <w:rsid w:val="00741EFF"/>
    <w:rsid w:val="0074224F"/>
    <w:rsid w:val="00743096"/>
    <w:rsid w:val="007432EA"/>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1F77"/>
    <w:rsid w:val="00752886"/>
    <w:rsid w:val="00754DB2"/>
    <w:rsid w:val="00754F83"/>
    <w:rsid w:val="00755956"/>
    <w:rsid w:val="00756074"/>
    <w:rsid w:val="0075675B"/>
    <w:rsid w:val="00756BFE"/>
    <w:rsid w:val="00756F56"/>
    <w:rsid w:val="0075773C"/>
    <w:rsid w:val="00757B35"/>
    <w:rsid w:val="00757C04"/>
    <w:rsid w:val="0076105C"/>
    <w:rsid w:val="0076179F"/>
    <w:rsid w:val="00761866"/>
    <w:rsid w:val="0076201A"/>
    <w:rsid w:val="007626BD"/>
    <w:rsid w:val="00762BF8"/>
    <w:rsid w:val="0076348A"/>
    <w:rsid w:val="007639E6"/>
    <w:rsid w:val="007657DA"/>
    <w:rsid w:val="00766053"/>
    <w:rsid w:val="007662E0"/>
    <w:rsid w:val="007663C7"/>
    <w:rsid w:val="00766FA8"/>
    <w:rsid w:val="007673D9"/>
    <w:rsid w:val="00767CA6"/>
    <w:rsid w:val="007703FE"/>
    <w:rsid w:val="00770B14"/>
    <w:rsid w:val="00771928"/>
    <w:rsid w:val="00771A69"/>
    <w:rsid w:val="00771B62"/>
    <w:rsid w:val="00771CE6"/>
    <w:rsid w:val="00773AFA"/>
    <w:rsid w:val="0077445D"/>
    <w:rsid w:val="00774A2E"/>
    <w:rsid w:val="00775151"/>
    <w:rsid w:val="0077642D"/>
    <w:rsid w:val="007772A6"/>
    <w:rsid w:val="007773CB"/>
    <w:rsid w:val="00782EED"/>
    <w:rsid w:val="007832E8"/>
    <w:rsid w:val="00783AA6"/>
    <w:rsid w:val="00783BE7"/>
    <w:rsid w:val="007856F9"/>
    <w:rsid w:val="00785D24"/>
    <w:rsid w:val="0078625A"/>
    <w:rsid w:val="007865C4"/>
    <w:rsid w:val="00787358"/>
    <w:rsid w:val="00787650"/>
    <w:rsid w:val="007878E6"/>
    <w:rsid w:val="00787B67"/>
    <w:rsid w:val="00787C1D"/>
    <w:rsid w:val="00790169"/>
    <w:rsid w:val="0079055D"/>
    <w:rsid w:val="00790730"/>
    <w:rsid w:val="007910E4"/>
    <w:rsid w:val="007913AE"/>
    <w:rsid w:val="0079172F"/>
    <w:rsid w:val="00791D6D"/>
    <w:rsid w:val="00792C46"/>
    <w:rsid w:val="00792F9C"/>
    <w:rsid w:val="00793252"/>
    <w:rsid w:val="00793A0F"/>
    <w:rsid w:val="00795CCF"/>
    <w:rsid w:val="00796E2A"/>
    <w:rsid w:val="00797DA4"/>
    <w:rsid w:val="007A05E0"/>
    <w:rsid w:val="007A0C45"/>
    <w:rsid w:val="007A1061"/>
    <w:rsid w:val="007A2386"/>
    <w:rsid w:val="007A24A8"/>
    <w:rsid w:val="007A3F71"/>
    <w:rsid w:val="007A4712"/>
    <w:rsid w:val="007A4E0F"/>
    <w:rsid w:val="007A703C"/>
    <w:rsid w:val="007A70ED"/>
    <w:rsid w:val="007A72CC"/>
    <w:rsid w:val="007A7608"/>
    <w:rsid w:val="007A7B9C"/>
    <w:rsid w:val="007B02FF"/>
    <w:rsid w:val="007B05F4"/>
    <w:rsid w:val="007B0ECE"/>
    <w:rsid w:val="007B1EC1"/>
    <w:rsid w:val="007B2245"/>
    <w:rsid w:val="007B38B2"/>
    <w:rsid w:val="007B3A08"/>
    <w:rsid w:val="007B439E"/>
    <w:rsid w:val="007B4552"/>
    <w:rsid w:val="007B53A4"/>
    <w:rsid w:val="007B554A"/>
    <w:rsid w:val="007B55E8"/>
    <w:rsid w:val="007B62E4"/>
    <w:rsid w:val="007B6CE6"/>
    <w:rsid w:val="007B7428"/>
    <w:rsid w:val="007B7EA9"/>
    <w:rsid w:val="007C0C22"/>
    <w:rsid w:val="007C0FC9"/>
    <w:rsid w:val="007C2EFE"/>
    <w:rsid w:val="007C31F6"/>
    <w:rsid w:val="007C3510"/>
    <w:rsid w:val="007C3A0A"/>
    <w:rsid w:val="007C3D21"/>
    <w:rsid w:val="007C4906"/>
    <w:rsid w:val="007C4AA7"/>
    <w:rsid w:val="007C4CD5"/>
    <w:rsid w:val="007C505A"/>
    <w:rsid w:val="007C5632"/>
    <w:rsid w:val="007C5D27"/>
    <w:rsid w:val="007C627E"/>
    <w:rsid w:val="007C6900"/>
    <w:rsid w:val="007C6B04"/>
    <w:rsid w:val="007C6F59"/>
    <w:rsid w:val="007C707A"/>
    <w:rsid w:val="007C786E"/>
    <w:rsid w:val="007D03F9"/>
    <w:rsid w:val="007D08D9"/>
    <w:rsid w:val="007D0D37"/>
    <w:rsid w:val="007D0DF3"/>
    <w:rsid w:val="007D172A"/>
    <w:rsid w:val="007D1FFD"/>
    <w:rsid w:val="007D2160"/>
    <w:rsid w:val="007D2430"/>
    <w:rsid w:val="007D24BF"/>
    <w:rsid w:val="007D273A"/>
    <w:rsid w:val="007D278B"/>
    <w:rsid w:val="007D2B30"/>
    <w:rsid w:val="007D4860"/>
    <w:rsid w:val="007D4E72"/>
    <w:rsid w:val="007D529A"/>
    <w:rsid w:val="007D5C70"/>
    <w:rsid w:val="007D5F4E"/>
    <w:rsid w:val="007D6970"/>
    <w:rsid w:val="007D6C6C"/>
    <w:rsid w:val="007D73F5"/>
    <w:rsid w:val="007E0C4D"/>
    <w:rsid w:val="007E3081"/>
    <w:rsid w:val="007E33F7"/>
    <w:rsid w:val="007E3DE8"/>
    <w:rsid w:val="007E45E0"/>
    <w:rsid w:val="007E4924"/>
    <w:rsid w:val="007E49AE"/>
    <w:rsid w:val="007E4C81"/>
    <w:rsid w:val="007E4DFA"/>
    <w:rsid w:val="007E5712"/>
    <w:rsid w:val="007E5AA3"/>
    <w:rsid w:val="007E5C65"/>
    <w:rsid w:val="007E6A64"/>
    <w:rsid w:val="007E74BB"/>
    <w:rsid w:val="007F0441"/>
    <w:rsid w:val="007F08E1"/>
    <w:rsid w:val="007F142C"/>
    <w:rsid w:val="007F204D"/>
    <w:rsid w:val="007F2FD1"/>
    <w:rsid w:val="007F42B3"/>
    <w:rsid w:val="007F45BE"/>
    <w:rsid w:val="007F4620"/>
    <w:rsid w:val="007F4B0E"/>
    <w:rsid w:val="007F4C67"/>
    <w:rsid w:val="007F52DF"/>
    <w:rsid w:val="007F5D9D"/>
    <w:rsid w:val="007F7175"/>
    <w:rsid w:val="007F71E5"/>
    <w:rsid w:val="007F76FD"/>
    <w:rsid w:val="0080028D"/>
    <w:rsid w:val="00800310"/>
    <w:rsid w:val="008003FF"/>
    <w:rsid w:val="008005C1"/>
    <w:rsid w:val="00800658"/>
    <w:rsid w:val="008018F1"/>
    <w:rsid w:val="00801EB4"/>
    <w:rsid w:val="00802B2C"/>
    <w:rsid w:val="00802B99"/>
    <w:rsid w:val="00803913"/>
    <w:rsid w:val="00804137"/>
    <w:rsid w:val="00804285"/>
    <w:rsid w:val="00804C56"/>
    <w:rsid w:val="0080506B"/>
    <w:rsid w:val="00805230"/>
    <w:rsid w:val="00805370"/>
    <w:rsid w:val="00805916"/>
    <w:rsid w:val="008065B3"/>
    <w:rsid w:val="00806A98"/>
    <w:rsid w:val="00810B43"/>
    <w:rsid w:val="00810B7A"/>
    <w:rsid w:val="00810EEF"/>
    <w:rsid w:val="00813175"/>
    <w:rsid w:val="00813BC7"/>
    <w:rsid w:val="008153D2"/>
    <w:rsid w:val="0081553F"/>
    <w:rsid w:val="008158FA"/>
    <w:rsid w:val="0081594D"/>
    <w:rsid w:val="00815993"/>
    <w:rsid w:val="00815B0D"/>
    <w:rsid w:val="00815B55"/>
    <w:rsid w:val="00815C56"/>
    <w:rsid w:val="00816250"/>
    <w:rsid w:val="0081643D"/>
    <w:rsid w:val="008165D0"/>
    <w:rsid w:val="00816C86"/>
    <w:rsid w:val="00820522"/>
    <w:rsid w:val="00820B42"/>
    <w:rsid w:val="00820FC3"/>
    <w:rsid w:val="00821544"/>
    <w:rsid w:val="008215CB"/>
    <w:rsid w:val="008218A6"/>
    <w:rsid w:val="00821AFD"/>
    <w:rsid w:val="0082272D"/>
    <w:rsid w:val="008227E3"/>
    <w:rsid w:val="008231FD"/>
    <w:rsid w:val="00823B78"/>
    <w:rsid w:val="00824ABE"/>
    <w:rsid w:val="008255BA"/>
    <w:rsid w:val="00825E81"/>
    <w:rsid w:val="008267B8"/>
    <w:rsid w:val="00826E27"/>
    <w:rsid w:val="00826EFD"/>
    <w:rsid w:val="0082742D"/>
    <w:rsid w:val="00827615"/>
    <w:rsid w:val="00830492"/>
    <w:rsid w:val="008304A9"/>
    <w:rsid w:val="008307B5"/>
    <w:rsid w:val="00830ABD"/>
    <w:rsid w:val="00830AED"/>
    <w:rsid w:val="00831613"/>
    <w:rsid w:val="0083233D"/>
    <w:rsid w:val="0083274A"/>
    <w:rsid w:val="00832956"/>
    <w:rsid w:val="00832C00"/>
    <w:rsid w:val="0083362D"/>
    <w:rsid w:val="008338DD"/>
    <w:rsid w:val="00834B74"/>
    <w:rsid w:val="00834DE7"/>
    <w:rsid w:val="008355D8"/>
    <w:rsid w:val="008355E2"/>
    <w:rsid w:val="00835AC1"/>
    <w:rsid w:val="00836B07"/>
    <w:rsid w:val="00837447"/>
    <w:rsid w:val="0084018A"/>
    <w:rsid w:val="00840271"/>
    <w:rsid w:val="00840D14"/>
    <w:rsid w:val="00841383"/>
    <w:rsid w:val="00841435"/>
    <w:rsid w:val="00841694"/>
    <w:rsid w:val="008416EC"/>
    <w:rsid w:val="0084243E"/>
    <w:rsid w:val="0084279E"/>
    <w:rsid w:val="008427F7"/>
    <w:rsid w:val="0084281F"/>
    <w:rsid w:val="008429B9"/>
    <w:rsid w:val="0084344D"/>
    <w:rsid w:val="00843761"/>
    <w:rsid w:val="0084393D"/>
    <w:rsid w:val="00843EAD"/>
    <w:rsid w:val="008446B6"/>
    <w:rsid w:val="00844818"/>
    <w:rsid w:val="0084507D"/>
    <w:rsid w:val="0084540C"/>
    <w:rsid w:val="008469C4"/>
    <w:rsid w:val="00846EE5"/>
    <w:rsid w:val="00850323"/>
    <w:rsid w:val="00850874"/>
    <w:rsid w:val="00850CE9"/>
    <w:rsid w:val="0085199D"/>
    <w:rsid w:val="00851A9D"/>
    <w:rsid w:val="008523F2"/>
    <w:rsid w:val="008537D4"/>
    <w:rsid w:val="00853BE8"/>
    <w:rsid w:val="00855034"/>
    <w:rsid w:val="0085593E"/>
    <w:rsid w:val="00856168"/>
    <w:rsid w:val="0085616B"/>
    <w:rsid w:val="00857114"/>
    <w:rsid w:val="00860254"/>
    <w:rsid w:val="0086039B"/>
    <w:rsid w:val="008608B6"/>
    <w:rsid w:val="00860D36"/>
    <w:rsid w:val="00860F3C"/>
    <w:rsid w:val="00861399"/>
    <w:rsid w:val="00862BBE"/>
    <w:rsid w:val="00864057"/>
    <w:rsid w:val="0086407F"/>
    <w:rsid w:val="0086429B"/>
    <w:rsid w:val="0086440B"/>
    <w:rsid w:val="008647F9"/>
    <w:rsid w:val="00864BF5"/>
    <w:rsid w:val="00864F11"/>
    <w:rsid w:val="00866C49"/>
    <w:rsid w:val="00867212"/>
    <w:rsid w:val="00867DAD"/>
    <w:rsid w:val="00867F8B"/>
    <w:rsid w:val="008702A6"/>
    <w:rsid w:val="008705C5"/>
    <w:rsid w:val="00870D71"/>
    <w:rsid w:val="008711F2"/>
    <w:rsid w:val="008726AF"/>
    <w:rsid w:val="00872768"/>
    <w:rsid w:val="00872D74"/>
    <w:rsid w:val="0087300E"/>
    <w:rsid w:val="00873027"/>
    <w:rsid w:val="0087317C"/>
    <w:rsid w:val="00873B52"/>
    <w:rsid w:val="00873B6A"/>
    <w:rsid w:val="00874155"/>
    <w:rsid w:val="0087498C"/>
    <w:rsid w:val="00874F99"/>
    <w:rsid w:val="00875E33"/>
    <w:rsid w:val="00876282"/>
    <w:rsid w:val="0087684C"/>
    <w:rsid w:val="00876B5F"/>
    <w:rsid w:val="008770BB"/>
    <w:rsid w:val="008778F3"/>
    <w:rsid w:val="00880170"/>
    <w:rsid w:val="008802FC"/>
    <w:rsid w:val="008806F7"/>
    <w:rsid w:val="008808D8"/>
    <w:rsid w:val="0088098D"/>
    <w:rsid w:val="00881A11"/>
    <w:rsid w:val="00881A77"/>
    <w:rsid w:val="00881DDE"/>
    <w:rsid w:val="008820C5"/>
    <w:rsid w:val="00882945"/>
    <w:rsid w:val="00882F28"/>
    <w:rsid w:val="008833FC"/>
    <w:rsid w:val="00883B74"/>
    <w:rsid w:val="00883D71"/>
    <w:rsid w:val="00885520"/>
    <w:rsid w:val="00885A0C"/>
    <w:rsid w:val="00886573"/>
    <w:rsid w:val="008872DC"/>
    <w:rsid w:val="00887585"/>
    <w:rsid w:val="0088764A"/>
    <w:rsid w:val="00887C5F"/>
    <w:rsid w:val="00887FEE"/>
    <w:rsid w:val="008908D8"/>
    <w:rsid w:val="0089158C"/>
    <w:rsid w:val="00891E82"/>
    <w:rsid w:val="00892077"/>
    <w:rsid w:val="008925B9"/>
    <w:rsid w:val="008925E0"/>
    <w:rsid w:val="00892BA5"/>
    <w:rsid w:val="00893537"/>
    <w:rsid w:val="008935AA"/>
    <w:rsid w:val="008938A4"/>
    <w:rsid w:val="00894315"/>
    <w:rsid w:val="00894811"/>
    <w:rsid w:val="0089481B"/>
    <w:rsid w:val="00894A07"/>
    <w:rsid w:val="00894B7F"/>
    <w:rsid w:val="0089584D"/>
    <w:rsid w:val="00895F9B"/>
    <w:rsid w:val="00896A70"/>
    <w:rsid w:val="00897372"/>
    <w:rsid w:val="008975F5"/>
    <w:rsid w:val="00897ACD"/>
    <w:rsid w:val="00897EDE"/>
    <w:rsid w:val="008A0D92"/>
    <w:rsid w:val="008A108A"/>
    <w:rsid w:val="008A13F5"/>
    <w:rsid w:val="008A147A"/>
    <w:rsid w:val="008A1BA3"/>
    <w:rsid w:val="008A2DA3"/>
    <w:rsid w:val="008A40C5"/>
    <w:rsid w:val="008A4E00"/>
    <w:rsid w:val="008A4F9E"/>
    <w:rsid w:val="008A56BD"/>
    <w:rsid w:val="008A5B91"/>
    <w:rsid w:val="008A5FA4"/>
    <w:rsid w:val="008A6619"/>
    <w:rsid w:val="008A6684"/>
    <w:rsid w:val="008A68E3"/>
    <w:rsid w:val="008A6ADE"/>
    <w:rsid w:val="008A6D39"/>
    <w:rsid w:val="008A7591"/>
    <w:rsid w:val="008B09FE"/>
    <w:rsid w:val="008B0AD0"/>
    <w:rsid w:val="008B0B9E"/>
    <w:rsid w:val="008B11E0"/>
    <w:rsid w:val="008B1293"/>
    <w:rsid w:val="008B1B8A"/>
    <w:rsid w:val="008B1C67"/>
    <w:rsid w:val="008B24B8"/>
    <w:rsid w:val="008B29AD"/>
    <w:rsid w:val="008B2F7A"/>
    <w:rsid w:val="008B4011"/>
    <w:rsid w:val="008B4106"/>
    <w:rsid w:val="008B49AF"/>
    <w:rsid w:val="008B6031"/>
    <w:rsid w:val="008B7172"/>
    <w:rsid w:val="008B7263"/>
    <w:rsid w:val="008B75C7"/>
    <w:rsid w:val="008B78D9"/>
    <w:rsid w:val="008C0E05"/>
    <w:rsid w:val="008C0EC4"/>
    <w:rsid w:val="008C19C5"/>
    <w:rsid w:val="008C2331"/>
    <w:rsid w:val="008C2A1D"/>
    <w:rsid w:val="008C2FE9"/>
    <w:rsid w:val="008C3EC4"/>
    <w:rsid w:val="008C3EDF"/>
    <w:rsid w:val="008C4B84"/>
    <w:rsid w:val="008C52C6"/>
    <w:rsid w:val="008C6A51"/>
    <w:rsid w:val="008C6E51"/>
    <w:rsid w:val="008C751F"/>
    <w:rsid w:val="008C7761"/>
    <w:rsid w:val="008D0139"/>
    <w:rsid w:val="008D093E"/>
    <w:rsid w:val="008D138D"/>
    <w:rsid w:val="008D1B58"/>
    <w:rsid w:val="008D2F73"/>
    <w:rsid w:val="008D3DA9"/>
    <w:rsid w:val="008D3E9A"/>
    <w:rsid w:val="008D45FC"/>
    <w:rsid w:val="008D5CBA"/>
    <w:rsid w:val="008D65E5"/>
    <w:rsid w:val="008D68B4"/>
    <w:rsid w:val="008E0B41"/>
    <w:rsid w:val="008E0BCE"/>
    <w:rsid w:val="008E1AD0"/>
    <w:rsid w:val="008E21AE"/>
    <w:rsid w:val="008E2EDB"/>
    <w:rsid w:val="008E2FBD"/>
    <w:rsid w:val="008E311D"/>
    <w:rsid w:val="008E3396"/>
    <w:rsid w:val="008E35EB"/>
    <w:rsid w:val="008E3670"/>
    <w:rsid w:val="008E42AE"/>
    <w:rsid w:val="008E472E"/>
    <w:rsid w:val="008E474D"/>
    <w:rsid w:val="008E4F76"/>
    <w:rsid w:val="008E510F"/>
    <w:rsid w:val="008E56A7"/>
    <w:rsid w:val="008E5A90"/>
    <w:rsid w:val="008E60A5"/>
    <w:rsid w:val="008E681A"/>
    <w:rsid w:val="008E6F8A"/>
    <w:rsid w:val="008E732C"/>
    <w:rsid w:val="008E74CD"/>
    <w:rsid w:val="008E7604"/>
    <w:rsid w:val="008E7647"/>
    <w:rsid w:val="008E777D"/>
    <w:rsid w:val="008F1711"/>
    <w:rsid w:val="008F17A2"/>
    <w:rsid w:val="008F1911"/>
    <w:rsid w:val="008F193C"/>
    <w:rsid w:val="008F1B30"/>
    <w:rsid w:val="008F247F"/>
    <w:rsid w:val="008F347F"/>
    <w:rsid w:val="008F35E3"/>
    <w:rsid w:val="008F5FAD"/>
    <w:rsid w:val="008F6E60"/>
    <w:rsid w:val="008F7329"/>
    <w:rsid w:val="008F76CC"/>
    <w:rsid w:val="00900492"/>
    <w:rsid w:val="00900931"/>
    <w:rsid w:val="00900C66"/>
    <w:rsid w:val="00900DAE"/>
    <w:rsid w:val="009022A2"/>
    <w:rsid w:val="009022DF"/>
    <w:rsid w:val="00902528"/>
    <w:rsid w:val="00903446"/>
    <w:rsid w:val="009036CD"/>
    <w:rsid w:val="009055D4"/>
    <w:rsid w:val="009057E5"/>
    <w:rsid w:val="00906975"/>
    <w:rsid w:val="009069C3"/>
    <w:rsid w:val="009069EE"/>
    <w:rsid w:val="00906A36"/>
    <w:rsid w:val="00906B51"/>
    <w:rsid w:val="009077E7"/>
    <w:rsid w:val="00907EB3"/>
    <w:rsid w:val="0091029F"/>
    <w:rsid w:val="00910948"/>
    <w:rsid w:val="00910AA5"/>
    <w:rsid w:val="00911456"/>
    <w:rsid w:val="009118CD"/>
    <w:rsid w:val="00911AE9"/>
    <w:rsid w:val="00912405"/>
    <w:rsid w:val="009133FC"/>
    <w:rsid w:val="009139F1"/>
    <w:rsid w:val="009143D9"/>
    <w:rsid w:val="009147B3"/>
    <w:rsid w:val="0091712A"/>
    <w:rsid w:val="009171C5"/>
    <w:rsid w:val="00917FFA"/>
    <w:rsid w:val="00920B87"/>
    <w:rsid w:val="00921412"/>
    <w:rsid w:val="009223B2"/>
    <w:rsid w:val="0092267F"/>
    <w:rsid w:val="00922A93"/>
    <w:rsid w:val="00922C9F"/>
    <w:rsid w:val="00922F98"/>
    <w:rsid w:val="00923741"/>
    <w:rsid w:val="00923A7F"/>
    <w:rsid w:val="00924410"/>
    <w:rsid w:val="00924546"/>
    <w:rsid w:val="00925052"/>
    <w:rsid w:val="00925102"/>
    <w:rsid w:val="00926263"/>
    <w:rsid w:val="009267D8"/>
    <w:rsid w:val="0092695C"/>
    <w:rsid w:val="00926BDC"/>
    <w:rsid w:val="00926D50"/>
    <w:rsid w:val="00927974"/>
    <w:rsid w:val="0093033B"/>
    <w:rsid w:val="00931041"/>
    <w:rsid w:val="0093112A"/>
    <w:rsid w:val="0093135B"/>
    <w:rsid w:val="009316BF"/>
    <w:rsid w:val="00931C1E"/>
    <w:rsid w:val="00932759"/>
    <w:rsid w:val="00932D57"/>
    <w:rsid w:val="009334CB"/>
    <w:rsid w:val="0093370E"/>
    <w:rsid w:val="00936195"/>
    <w:rsid w:val="0093685C"/>
    <w:rsid w:val="00936AE4"/>
    <w:rsid w:val="00936CD4"/>
    <w:rsid w:val="0093718D"/>
    <w:rsid w:val="0093747B"/>
    <w:rsid w:val="00937550"/>
    <w:rsid w:val="009379ED"/>
    <w:rsid w:val="00937C9C"/>
    <w:rsid w:val="00940078"/>
    <w:rsid w:val="0094020D"/>
    <w:rsid w:val="009408AC"/>
    <w:rsid w:val="009409DE"/>
    <w:rsid w:val="009409E5"/>
    <w:rsid w:val="009411AA"/>
    <w:rsid w:val="0094137F"/>
    <w:rsid w:val="0094206C"/>
    <w:rsid w:val="0094232B"/>
    <w:rsid w:val="00942CC7"/>
    <w:rsid w:val="00942FA8"/>
    <w:rsid w:val="00943993"/>
    <w:rsid w:val="009440F9"/>
    <w:rsid w:val="00944DCF"/>
    <w:rsid w:val="0094564A"/>
    <w:rsid w:val="00945F5F"/>
    <w:rsid w:val="009466A0"/>
    <w:rsid w:val="0094685F"/>
    <w:rsid w:val="00950242"/>
    <w:rsid w:val="00950AF3"/>
    <w:rsid w:val="009515F5"/>
    <w:rsid w:val="00951CD0"/>
    <w:rsid w:val="00951E86"/>
    <w:rsid w:val="00951F73"/>
    <w:rsid w:val="0095209A"/>
    <w:rsid w:val="00952669"/>
    <w:rsid w:val="00952A9C"/>
    <w:rsid w:val="00952AC3"/>
    <w:rsid w:val="0095316C"/>
    <w:rsid w:val="009532DF"/>
    <w:rsid w:val="00953431"/>
    <w:rsid w:val="009534F1"/>
    <w:rsid w:val="00953A9D"/>
    <w:rsid w:val="00954629"/>
    <w:rsid w:val="009548C1"/>
    <w:rsid w:val="00955096"/>
    <w:rsid w:val="00955D42"/>
    <w:rsid w:val="009571A3"/>
    <w:rsid w:val="00960F8D"/>
    <w:rsid w:val="009614B1"/>
    <w:rsid w:val="0096174A"/>
    <w:rsid w:val="0096340A"/>
    <w:rsid w:val="00963859"/>
    <w:rsid w:val="00964049"/>
    <w:rsid w:val="009657E0"/>
    <w:rsid w:val="0096586E"/>
    <w:rsid w:val="00965ABF"/>
    <w:rsid w:val="00965C88"/>
    <w:rsid w:val="00965E11"/>
    <w:rsid w:val="009664E2"/>
    <w:rsid w:val="00967725"/>
    <w:rsid w:val="00970740"/>
    <w:rsid w:val="00970C52"/>
    <w:rsid w:val="00970C88"/>
    <w:rsid w:val="00972497"/>
    <w:rsid w:val="00973085"/>
    <w:rsid w:val="00974280"/>
    <w:rsid w:val="0097469A"/>
    <w:rsid w:val="00975143"/>
    <w:rsid w:val="00976064"/>
    <w:rsid w:val="00976415"/>
    <w:rsid w:val="00976E33"/>
    <w:rsid w:val="00976F29"/>
    <w:rsid w:val="00976F3C"/>
    <w:rsid w:val="0097761F"/>
    <w:rsid w:val="00980380"/>
    <w:rsid w:val="00980E7B"/>
    <w:rsid w:val="00980FC1"/>
    <w:rsid w:val="00980FD3"/>
    <w:rsid w:val="009813D9"/>
    <w:rsid w:val="009817CA"/>
    <w:rsid w:val="00981D29"/>
    <w:rsid w:val="00981E36"/>
    <w:rsid w:val="00983CC1"/>
    <w:rsid w:val="00983CC6"/>
    <w:rsid w:val="00984903"/>
    <w:rsid w:val="00984C5C"/>
    <w:rsid w:val="00984CDA"/>
    <w:rsid w:val="0098546F"/>
    <w:rsid w:val="00985B25"/>
    <w:rsid w:val="009862CF"/>
    <w:rsid w:val="0098640C"/>
    <w:rsid w:val="00991978"/>
    <w:rsid w:val="0099252A"/>
    <w:rsid w:val="0099271A"/>
    <w:rsid w:val="00993824"/>
    <w:rsid w:val="00993A94"/>
    <w:rsid w:val="0099471E"/>
    <w:rsid w:val="00994C63"/>
    <w:rsid w:val="009957E7"/>
    <w:rsid w:val="00995BA0"/>
    <w:rsid w:val="009965F7"/>
    <w:rsid w:val="00996623"/>
    <w:rsid w:val="0099662F"/>
    <w:rsid w:val="009968D0"/>
    <w:rsid w:val="00997C95"/>
    <w:rsid w:val="00997E34"/>
    <w:rsid w:val="009A01E1"/>
    <w:rsid w:val="009A04D3"/>
    <w:rsid w:val="009A0DDA"/>
    <w:rsid w:val="009A464A"/>
    <w:rsid w:val="009A4E27"/>
    <w:rsid w:val="009A55A8"/>
    <w:rsid w:val="009A5B33"/>
    <w:rsid w:val="009A62F4"/>
    <w:rsid w:val="009A6C67"/>
    <w:rsid w:val="009A7CFE"/>
    <w:rsid w:val="009B065A"/>
    <w:rsid w:val="009B07C3"/>
    <w:rsid w:val="009B08AC"/>
    <w:rsid w:val="009B0D5F"/>
    <w:rsid w:val="009B10C7"/>
    <w:rsid w:val="009B1CF6"/>
    <w:rsid w:val="009B2A93"/>
    <w:rsid w:val="009B352D"/>
    <w:rsid w:val="009B3573"/>
    <w:rsid w:val="009B3B52"/>
    <w:rsid w:val="009B3DBE"/>
    <w:rsid w:val="009B40B2"/>
    <w:rsid w:val="009B48DA"/>
    <w:rsid w:val="009B4FE5"/>
    <w:rsid w:val="009B505B"/>
    <w:rsid w:val="009B6659"/>
    <w:rsid w:val="009B68FD"/>
    <w:rsid w:val="009B7888"/>
    <w:rsid w:val="009B7B76"/>
    <w:rsid w:val="009B7C54"/>
    <w:rsid w:val="009C0B67"/>
    <w:rsid w:val="009C0DCA"/>
    <w:rsid w:val="009C16E3"/>
    <w:rsid w:val="009C1C9C"/>
    <w:rsid w:val="009C2759"/>
    <w:rsid w:val="009C2838"/>
    <w:rsid w:val="009C383B"/>
    <w:rsid w:val="009C3C63"/>
    <w:rsid w:val="009C47F4"/>
    <w:rsid w:val="009C48B3"/>
    <w:rsid w:val="009C4911"/>
    <w:rsid w:val="009C4977"/>
    <w:rsid w:val="009C4A47"/>
    <w:rsid w:val="009C5796"/>
    <w:rsid w:val="009C6442"/>
    <w:rsid w:val="009C6948"/>
    <w:rsid w:val="009C6B72"/>
    <w:rsid w:val="009C6DB1"/>
    <w:rsid w:val="009C7865"/>
    <w:rsid w:val="009C7EFC"/>
    <w:rsid w:val="009D00D8"/>
    <w:rsid w:val="009D1C72"/>
    <w:rsid w:val="009D21A2"/>
    <w:rsid w:val="009D24D4"/>
    <w:rsid w:val="009D27A4"/>
    <w:rsid w:val="009D2ED5"/>
    <w:rsid w:val="009D55DF"/>
    <w:rsid w:val="009D5DDE"/>
    <w:rsid w:val="009D61A5"/>
    <w:rsid w:val="009D66DE"/>
    <w:rsid w:val="009D79B4"/>
    <w:rsid w:val="009D7E26"/>
    <w:rsid w:val="009E042D"/>
    <w:rsid w:val="009E06AB"/>
    <w:rsid w:val="009E0FF2"/>
    <w:rsid w:val="009E1D3E"/>
    <w:rsid w:val="009E1DEB"/>
    <w:rsid w:val="009E2896"/>
    <w:rsid w:val="009E3160"/>
    <w:rsid w:val="009E3982"/>
    <w:rsid w:val="009E3D5A"/>
    <w:rsid w:val="009E547F"/>
    <w:rsid w:val="009E5536"/>
    <w:rsid w:val="009E56BA"/>
    <w:rsid w:val="009E5B96"/>
    <w:rsid w:val="009E6107"/>
    <w:rsid w:val="009E63AF"/>
    <w:rsid w:val="009E65E6"/>
    <w:rsid w:val="009E7008"/>
    <w:rsid w:val="009E7138"/>
    <w:rsid w:val="009E71D3"/>
    <w:rsid w:val="009E769C"/>
    <w:rsid w:val="009F095D"/>
    <w:rsid w:val="009F0E77"/>
    <w:rsid w:val="009F0E8A"/>
    <w:rsid w:val="009F1367"/>
    <w:rsid w:val="009F1410"/>
    <w:rsid w:val="009F2CF8"/>
    <w:rsid w:val="009F2F2A"/>
    <w:rsid w:val="009F3BE9"/>
    <w:rsid w:val="009F3C4F"/>
    <w:rsid w:val="009F46D0"/>
    <w:rsid w:val="009F4F82"/>
    <w:rsid w:val="009F510A"/>
    <w:rsid w:val="009F5119"/>
    <w:rsid w:val="009F58A7"/>
    <w:rsid w:val="009F5C0A"/>
    <w:rsid w:val="009F61D7"/>
    <w:rsid w:val="009F62F0"/>
    <w:rsid w:val="009F73C7"/>
    <w:rsid w:val="009F790B"/>
    <w:rsid w:val="00A0036E"/>
    <w:rsid w:val="00A0095D"/>
    <w:rsid w:val="00A00976"/>
    <w:rsid w:val="00A0098B"/>
    <w:rsid w:val="00A00B1B"/>
    <w:rsid w:val="00A026E0"/>
    <w:rsid w:val="00A02FF4"/>
    <w:rsid w:val="00A033E6"/>
    <w:rsid w:val="00A03CA8"/>
    <w:rsid w:val="00A04241"/>
    <w:rsid w:val="00A04E82"/>
    <w:rsid w:val="00A06168"/>
    <w:rsid w:val="00A0636E"/>
    <w:rsid w:val="00A0682D"/>
    <w:rsid w:val="00A06924"/>
    <w:rsid w:val="00A06BDB"/>
    <w:rsid w:val="00A07C15"/>
    <w:rsid w:val="00A07E0A"/>
    <w:rsid w:val="00A10118"/>
    <w:rsid w:val="00A104A5"/>
    <w:rsid w:val="00A1091A"/>
    <w:rsid w:val="00A11C76"/>
    <w:rsid w:val="00A12893"/>
    <w:rsid w:val="00A12DAE"/>
    <w:rsid w:val="00A138E0"/>
    <w:rsid w:val="00A13E52"/>
    <w:rsid w:val="00A14D04"/>
    <w:rsid w:val="00A14E54"/>
    <w:rsid w:val="00A15766"/>
    <w:rsid w:val="00A158A9"/>
    <w:rsid w:val="00A164D9"/>
    <w:rsid w:val="00A16604"/>
    <w:rsid w:val="00A16B82"/>
    <w:rsid w:val="00A16E61"/>
    <w:rsid w:val="00A20581"/>
    <w:rsid w:val="00A2070E"/>
    <w:rsid w:val="00A21AA4"/>
    <w:rsid w:val="00A21E94"/>
    <w:rsid w:val="00A22C58"/>
    <w:rsid w:val="00A22C6F"/>
    <w:rsid w:val="00A22DC1"/>
    <w:rsid w:val="00A23282"/>
    <w:rsid w:val="00A235A2"/>
    <w:rsid w:val="00A23749"/>
    <w:rsid w:val="00A23B7F"/>
    <w:rsid w:val="00A2423A"/>
    <w:rsid w:val="00A24359"/>
    <w:rsid w:val="00A24594"/>
    <w:rsid w:val="00A24F34"/>
    <w:rsid w:val="00A25D1E"/>
    <w:rsid w:val="00A264E1"/>
    <w:rsid w:val="00A27B3F"/>
    <w:rsid w:val="00A30ED6"/>
    <w:rsid w:val="00A311E1"/>
    <w:rsid w:val="00A31827"/>
    <w:rsid w:val="00A3183D"/>
    <w:rsid w:val="00A3206E"/>
    <w:rsid w:val="00A3230C"/>
    <w:rsid w:val="00A32CC8"/>
    <w:rsid w:val="00A33DAC"/>
    <w:rsid w:val="00A33DEB"/>
    <w:rsid w:val="00A3401E"/>
    <w:rsid w:val="00A3445F"/>
    <w:rsid w:val="00A3507E"/>
    <w:rsid w:val="00A35471"/>
    <w:rsid w:val="00A3588C"/>
    <w:rsid w:val="00A35C4F"/>
    <w:rsid w:val="00A367B3"/>
    <w:rsid w:val="00A36880"/>
    <w:rsid w:val="00A36C44"/>
    <w:rsid w:val="00A36EE9"/>
    <w:rsid w:val="00A40402"/>
    <w:rsid w:val="00A40E64"/>
    <w:rsid w:val="00A4106B"/>
    <w:rsid w:val="00A415C2"/>
    <w:rsid w:val="00A41B4B"/>
    <w:rsid w:val="00A41F79"/>
    <w:rsid w:val="00A42B99"/>
    <w:rsid w:val="00A4304F"/>
    <w:rsid w:val="00A43157"/>
    <w:rsid w:val="00A439DD"/>
    <w:rsid w:val="00A43AC6"/>
    <w:rsid w:val="00A43B1E"/>
    <w:rsid w:val="00A43DBB"/>
    <w:rsid w:val="00A43E94"/>
    <w:rsid w:val="00A444B2"/>
    <w:rsid w:val="00A447F7"/>
    <w:rsid w:val="00A44D01"/>
    <w:rsid w:val="00A44F96"/>
    <w:rsid w:val="00A450F8"/>
    <w:rsid w:val="00A45193"/>
    <w:rsid w:val="00A46B1A"/>
    <w:rsid w:val="00A503F4"/>
    <w:rsid w:val="00A50628"/>
    <w:rsid w:val="00A50ADA"/>
    <w:rsid w:val="00A50B04"/>
    <w:rsid w:val="00A50D30"/>
    <w:rsid w:val="00A514AA"/>
    <w:rsid w:val="00A51B26"/>
    <w:rsid w:val="00A51F48"/>
    <w:rsid w:val="00A5281F"/>
    <w:rsid w:val="00A536F5"/>
    <w:rsid w:val="00A53B60"/>
    <w:rsid w:val="00A53D38"/>
    <w:rsid w:val="00A544D8"/>
    <w:rsid w:val="00A54787"/>
    <w:rsid w:val="00A54976"/>
    <w:rsid w:val="00A549F2"/>
    <w:rsid w:val="00A54BE6"/>
    <w:rsid w:val="00A55C7B"/>
    <w:rsid w:val="00A56355"/>
    <w:rsid w:val="00A57351"/>
    <w:rsid w:val="00A57BF3"/>
    <w:rsid w:val="00A609DC"/>
    <w:rsid w:val="00A60CC6"/>
    <w:rsid w:val="00A61388"/>
    <w:rsid w:val="00A6191A"/>
    <w:rsid w:val="00A61AA8"/>
    <w:rsid w:val="00A61CE3"/>
    <w:rsid w:val="00A622B4"/>
    <w:rsid w:val="00A6246D"/>
    <w:rsid w:val="00A62CF7"/>
    <w:rsid w:val="00A630D2"/>
    <w:rsid w:val="00A6445E"/>
    <w:rsid w:val="00A644BD"/>
    <w:rsid w:val="00A65287"/>
    <w:rsid w:val="00A65845"/>
    <w:rsid w:val="00A6687B"/>
    <w:rsid w:val="00A66AEE"/>
    <w:rsid w:val="00A66F25"/>
    <w:rsid w:val="00A673AB"/>
    <w:rsid w:val="00A67AEE"/>
    <w:rsid w:val="00A70085"/>
    <w:rsid w:val="00A7044D"/>
    <w:rsid w:val="00A70B72"/>
    <w:rsid w:val="00A71AF4"/>
    <w:rsid w:val="00A722EC"/>
    <w:rsid w:val="00A73508"/>
    <w:rsid w:val="00A73E76"/>
    <w:rsid w:val="00A73FAA"/>
    <w:rsid w:val="00A74270"/>
    <w:rsid w:val="00A752BD"/>
    <w:rsid w:val="00A7712E"/>
    <w:rsid w:val="00A77C24"/>
    <w:rsid w:val="00A801C3"/>
    <w:rsid w:val="00A80A0E"/>
    <w:rsid w:val="00A81C33"/>
    <w:rsid w:val="00A81DE9"/>
    <w:rsid w:val="00A83198"/>
    <w:rsid w:val="00A835F5"/>
    <w:rsid w:val="00A836A9"/>
    <w:rsid w:val="00A83A21"/>
    <w:rsid w:val="00A852C4"/>
    <w:rsid w:val="00A8556A"/>
    <w:rsid w:val="00A85BEF"/>
    <w:rsid w:val="00A8603E"/>
    <w:rsid w:val="00A867E6"/>
    <w:rsid w:val="00A87811"/>
    <w:rsid w:val="00A8791C"/>
    <w:rsid w:val="00A87EF0"/>
    <w:rsid w:val="00A90E5C"/>
    <w:rsid w:val="00A91511"/>
    <w:rsid w:val="00A93BA5"/>
    <w:rsid w:val="00A948BF"/>
    <w:rsid w:val="00A94C0D"/>
    <w:rsid w:val="00A9556B"/>
    <w:rsid w:val="00A95F7B"/>
    <w:rsid w:val="00A967D3"/>
    <w:rsid w:val="00A9709B"/>
    <w:rsid w:val="00A971F4"/>
    <w:rsid w:val="00A97A8E"/>
    <w:rsid w:val="00A97AEC"/>
    <w:rsid w:val="00AA0568"/>
    <w:rsid w:val="00AA0BE0"/>
    <w:rsid w:val="00AA0C77"/>
    <w:rsid w:val="00AA1183"/>
    <w:rsid w:val="00AA165D"/>
    <w:rsid w:val="00AA1FF5"/>
    <w:rsid w:val="00AA22CC"/>
    <w:rsid w:val="00AA2D9D"/>
    <w:rsid w:val="00AA3DD7"/>
    <w:rsid w:val="00AA44A1"/>
    <w:rsid w:val="00AA4728"/>
    <w:rsid w:val="00AA4A57"/>
    <w:rsid w:val="00AA50C4"/>
    <w:rsid w:val="00AA5B75"/>
    <w:rsid w:val="00AA5DB3"/>
    <w:rsid w:val="00AA6E31"/>
    <w:rsid w:val="00AA75D4"/>
    <w:rsid w:val="00AA79A1"/>
    <w:rsid w:val="00AA7AFC"/>
    <w:rsid w:val="00AA7B22"/>
    <w:rsid w:val="00AB055F"/>
    <w:rsid w:val="00AB1856"/>
    <w:rsid w:val="00AB232F"/>
    <w:rsid w:val="00AB279A"/>
    <w:rsid w:val="00AB2840"/>
    <w:rsid w:val="00AB290C"/>
    <w:rsid w:val="00AB3785"/>
    <w:rsid w:val="00AB46DA"/>
    <w:rsid w:val="00AB4721"/>
    <w:rsid w:val="00AB4D1E"/>
    <w:rsid w:val="00AB5E14"/>
    <w:rsid w:val="00AB5FF8"/>
    <w:rsid w:val="00AB6091"/>
    <w:rsid w:val="00AB6FF3"/>
    <w:rsid w:val="00AB7618"/>
    <w:rsid w:val="00AC03B1"/>
    <w:rsid w:val="00AC03BE"/>
    <w:rsid w:val="00AC0A86"/>
    <w:rsid w:val="00AC0AD0"/>
    <w:rsid w:val="00AC0C5D"/>
    <w:rsid w:val="00AC1430"/>
    <w:rsid w:val="00AC1DAF"/>
    <w:rsid w:val="00AC210F"/>
    <w:rsid w:val="00AC27D8"/>
    <w:rsid w:val="00AC3A6A"/>
    <w:rsid w:val="00AC3B94"/>
    <w:rsid w:val="00AC46D6"/>
    <w:rsid w:val="00AC4B70"/>
    <w:rsid w:val="00AC5A64"/>
    <w:rsid w:val="00AC5A68"/>
    <w:rsid w:val="00AC6E99"/>
    <w:rsid w:val="00AC6F82"/>
    <w:rsid w:val="00AC739B"/>
    <w:rsid w:val="00AC7C68"/>
    <w:rsid w:val="00AC7E75"/>
    <w:rsid w:val="00AC7FC5"/>
    <w:rsid w:val="00AD0AE8"/>
    <w:rsid w:val="00AD118E"/>
    <w:rsid w:val="00AD2C66"/>
    <w:rsid w:val="00AD2FDD"/>
    <w:rsid w:val="00AD4C80"/>
    <w:rsid w:val="00AD4D9F"/>
    <w:rsid w:val="00AD4FF5"/>
    <w:rsid w:val="00AD566F"/>
    <w:rsid w:val="00AD5C2D"/>
    <w:rsid w:val="00AD6111"/>
    <w:rsid w:val="00AD667F"/>
    <w:rsid w:val="00AD7121"/>
    <w:rsid w:val="00AD7BC4"/>
    <w:rsid w:val="00AD7BD9"/>
    <w:rsid w:val="00AD7DDF"/>
    <w:rsid w:val="00AE07DA"/>
    <w:rsid w:val="00AE087F"/>
    <w:rsid w:val="00AE0CB9"/>
    <w:rsid w:val="00AE10AC"/>
    <w:rsid w:val="00AE1597"/>
    <w:rsid w:val="00AE1A74"/>
    <w:rsid w:val="00AE2077"/>
    <w:rsid w:val="00AE24CE"/>
    <w:rsid w:val="00AE303D"/>
    <w:rsid w:val="00AE3E36"/>
    <w:rsid w:val="00AE49E8"/>
    <w:rsid w:val="00AE4ACB"/>
    <w:rsid w:val="00AE5B84"/>
    <w:rsid w:val="00AE75A4"/>
    <w:rsid w:val="00AE788A"/>
    <w:rsid w:val="00AE7EC6"/>
    <w:rsid w:val="00AF0E9D"/>
    <w:rsid w:val="00AF2034"/>
    <w:rsid w:val="00AF2261"/>
    <w:rsid w:val="00AF2A33"/>
    <w:rsid w:val="00AF2D1E"/>
    <w:rsid w:val="00AF2E9C"/>
    <w:rsid w:val="00AF3ADA"/>
    <w:rsid w:val="00AF3C92"/>
    <w:rsid w:val="00AF4443"/>
    <w:rsid w:val="00AF485C"/>
    <w:rsid w:val="00AF4AEF"/>
    <w:rsid w:val="00AF51FC"/>
    <w:rsid w:val="00AF525D"/>
    <w:rsid w:val="00AF5280"/>
    <w:rsid w:val="00AF5413"/>
    <w:rsid w:val="00AF5B08"/>
    <w:rsid w:val="00AF5F82"/>
    <w:rsid w:val="00AF6CB0"/>
    <w:rsid w:val="00AF6D2F"/>
    <w:rsid w:val="00AF6F2E"/>
    <w:rsid w:val="00AF72B8"/>
    <w:rsid w:val="00AF74F2"/>
    <w:rsid w:val="00AF7B91"/>
    <w:rsid w:val="00B0133D"/>
    <w:rsid w:val="00B02412"/>
    <w:rsid w:val="00B0254A"/>
    <w:rsid w:val="00B02819"/>
    <w:rsid w:val="00B02D63"/>
    <w:rsid w:val="00B02E59"/>
    <w:rsid w:val="00B04704"/>
    <w:rsid w:val="00B04A63"/>
    <w:rsid w:val="00B04E1A"/>
    <w:rsid w:val="00B053FF"/>
    <w:rsid w:val="00B05739"/>
    <w:rsid w:val="00B061AF"/>
    <w:rsid w:val="00B06CF6"/>
    <w:rsid w:val="00B07195"/>
    <w:rsid w:val="00B071D5"/>
    <w:rsid w:val="00B075EC"/>
    <w:rsid w:val="00B078EA"/>
    <w:rsid w:val="00B07FCB"/>
    <w:rsid w:val="00B10719"/>
    <w:rsid w:val="00B107F5"/>
    <w:rsid w:val="00B108A4"/>
    <w:rsid w:val="00B10FEB"/>
    <w:rsid w:val="00B11478"/>
    <w:rsid w:val="00B1317C"/>
    <w:rsid w:val="00B13CD2"/>
    <w:rsid w:val="00B13DD8"/>
    <w:rsid w:val="00B141BB"/>
    <w:rsid w:val="00B146B3"/>
    <w:rsid w:val="00B1477E"/>
    <w:rsid w:val="00B14A10"/>
    <w:rsid w:val="00B15452"/>
    <w:rsid w:val="00B1623A"/>
    <w:rsid w:val="00B16362"/>
    <w:rsid w:val="00B170C9"/>
    <w:rsid w:val="00B171CD"/>
    <w:rsid w:val="00B17A39"/>
    <w:rsid w:val="00B17F46"/>
    <w:rsid w:val="00B201BE"/>
    <w:rsid w:val="00B20635"/>
    <w:rsid w:val="00B20D54"/>
    <w:rsid w:val="00B21935"/>
    <w:rsid w:val="00B21AD0"/>
    <w:rsid w:val="00B21E3A"/>
    <w:rsid w:val="00B21F7F"/>
    <w:rsid w:val="00B24D11"/>
    <w:rsid w:val="00B256BE"/>
    <w:rsid w:val="00B257F9"/>
    <w:rsid w:val="00B25EB9"/>
    <w:rsid w:val="00B275AD"/>
    <w:rsid w:val="00B303A4"/>
    <w:rsid w:val="00B30734"/>
    <w:rsid w:val="00B3078E"/>
    <w:rsid w:val="00B308D1"/>
    <w:rsid w:val="00B309E0"/>
    <w:rsid w:val="00B30A25"/>
    <w:rsid w:val="00B30D95"/>
    <w:rsid w:val="00B3110C"/>
    <w:rsid w:val="00B31509"/>
    <w:rsid w:val="00B31D02"/>
    <w:rsid w:val="00B32005"/>
    <w:rsid w:val="00B325F4"/>
    <w:rsid w:val="00B32E9B"/>
    <w:rsid w:val="00B3321A"/>
    <w:rsid w:val="00B339CD"/>
    <w:rsid w:val="00B341FC"/>
    <w:rsid w:val="00B35095"/>
    <w:rsid w:val="00B358E9"/>
    <w:rsid w:val="00B36451"/>
    <w:rsid w:val="00B36548"/>
    <w:rsid w:val="00B36A9C"/>
    <w:rsid w:val="00B37743"/>
    <w:rsid w:val="00B3775A"/>
    <w:rsid w:val="00B406BE"/>
    <w:rsid w:val="00B41486"/>
    <w:rsid w:val="00B41C8E"/>
    <w:rsid w:val="00B41CE6"/>
    <w:rsid w:val="00B42F44"/>
    <w:rsid w:val="00B43372"/>
    <w:rsid w:val="00B43E2B"/>
    <w:rsid w:val="00B45397"/>
    <w:rsid w:val="00B4592C"/>
    <w:rsid w:val="00B4654D"/>
    <w:rsid w:val="00B4698C"/>
    <w:rsid w:val="00B46B99"/>
    <w:rsid w:val="00B47461"/>
    <w:rsid w:val="00B47626"/>
    <w:rsid w:val="00B476FB"/>
    <w:rsid w:val="00B5102A"/>
    <w:rsid w:val="00B515DF"/>
    <w:rsid w:val="00B523AC"/>
    <w:rsid w:val="00B52605"/>
    <w:rsid w:val="00B52D24"/>
    <w:rsid w:val="00B53631"/>
    <w:rsid w:val="00B53753"/>
    <w:rsid w:val="00B53825"/>
    <w:rsid w:val="00B53A1E"/>
    <w:rsid w:val="00B53BCA"/>
    <w:rsid w:val="00B5430E"/>
    <w:rsid w:val="00B54AE0"/>
    <w:rsid w:val="00B55390"/>
    <w:rsid w:val="00B55C96"/>
    <w:rsid w:val="00B56573"/>
    <w:rsid w:val="00B565CF"/>
    <w:rsid w:val="00B5669A"/>
    <w:rsid w:val="00B5680D"/>
    <w:rsid w:val="00B56FFC"/>
    <w:rsid w:val="00B5774B"/>
    <w:rsid w:val="00B57E95"/>
    <w:rsid w:val="00B6069F"/>
    <w:rsid w:val="00B607DF"/>
    <w:rsid w:val="00B60ACA"/>
    <w:rsid w:val="00B60FA5"/>
    <w:rsid w:val="00B611F5"/>
    <w:rsid w:val="00B620AF"/>
    <w:rsid w:val="00B62223"/>
    <w:rsid w:val="00B62813"/>
    <w:rsid w:val="00B62D29"/>
    <w:rsid w:val="00B647A9"/>
    <w:rsid w:val="00B65225"/>
    <w:rsid w:val="00B65C18"/>
    <w:rsid w:val="00B660E8"/>
    <w:rsid w:val="00B66520"/>
    <w:rsid w:val="00B669AD"/>
    <w:rsid w:val="00B6797B"/>
    <w:rsid w:val="00B67AEE"/>
    <w:rsid w:val="00B70021"/>
    <w:rsid w:val="00B70063"/>
    <w:rsid w:val="00B7028B"/>
    <w:rsid w:val="00B7084C"/>
    <w:rsid w:val="00B7086A"/>
    <w:rsid w:val="00B70AE3"/>
    <w:rsid w:val="00B70F0D"/>
    <w:rsid w:val="00B71780"/>
    <w:rsid w:val="00B71A16"/>
    <w:rsid w:val="00B71B10"/>
    <w:rsid w:val="00B7272F"/>
    <w:rsid w:val="00B72EDB"/>
    <w:rsid w:val="00B7339A"/>
    <w:rsid w:val="00B74E90"/>
    <w:rsid w:val="00B7564E"/>
    <w:rsid w:val="00B75BF2"/>
    <w:rsid w:val="00B76B95"/>
    <w:rsid w:val="00B76BDB"/>
    <w:rsid w:val="00B76C43"/>
    <w:rsid w:val="00B77519"/>
    <w:rsid w:val="00B776FE"/>
    <w:rsid w:val="00B778A7"/>
    <w:rsid w:val="00B80AA4"/>
    <w:rsid w:val="00B817E3"/>
    <w:rsid w:val="00B821CF"/>
    <w:rsid w:val="00B8267C"/>
    <w:rsid w:val="00B82ECD"/>
    <w:rsid w:val="00B8307A"/>
    <w:rsid w:val="00B83807"/>
    <w:rsid w:val="00B848F8"/>
    <w:rsid w:val="00B84A39"/>
    <w:rsid w:val="00B84EBB"/>
    <w:rsid w:val="00B85C69"/>
    <w:rsid w:val="00B85F9C"/>
    <w:rsid w:val="00B86607"/>
    <w:rsid w:val="00B86AA0"/>
    <w:rsid w:val="00B86BB9"/>
    <w:rsid w:val="00B86DDD"/>
    <w:rsid w:val="00B86F7F"/>
    <w:rsid w:val="00B876EC"/>
    <w:rsid w:val="00B904D4"/>
    <w:rsid w:val="00B90F81"/>
    <w:rsid w:val="00B921D7"/>
    <w:rsid w:val="00B922AE"/>
    <w:rsid w:val="00B926AF"/>
    <w:rsid w:val="00B92C76"/>
    <w:rsid w:val="00B93777"/>
    <w:rsid w:val="00B95099"/>
    <w:rsid w:val="00B9582E"/>
    <w:rsid w:val="00B9584E"/>
    <w:rsid w:val="00B96949"/>
    <w:rsid w:val="00B96F00"/>
    <w:rsid w:val="00B9730E"/>
    <w:rsid w:val="00B97319"/>
    <w:rsid w:val="00B97F42"/>
    <w:rsid w:val="00BA0519"/>
    <w:rsid w:val="00BA08C9"/>
    <w:rsid w:val="00BA19CE"/>
    <w:rsid w:val="00BA1CB2"/>
    <w:rsid w:val="00BA1CB9"/>
    <w:rsid w:val="00BA1FA3"/>
    <w:rsid w:val="00BA2432"/>
    <w:rsid w:val="00BA3175"/>
    <w:rsid w:val="00BA395A"/>
    <w:rsid w:val="00BA40B7"/>
    <w:rsid w:val="00BA47B3"/>
    <w:rsid w:val="00BA485B"/>
    <w:rsid w:val="00BA5E0A"/>
    <w:rsid w:val="00BA6DFC"/>
    <w:rsid w:val="00BA6E9D"/>
    <w:rsid w:val="00BA721D"/>
    <w:rsid w:val="00BA78F7"/>
    <w:rsid w:val="00BA7B0E"/>
    <w:rsid w:val="00BA7F41"/>
    <w:rsid w:val="00BB00D2"/>
    <w:rsid w:val="00BB01D5"/>
    <w:rsid w:val="00BB020F"/>
    <w:rsid w:val="00BB06AF"/>
    <w:rsid w:val="00BB0EB9"/>
    <w:rsid w:val="00BB1157"/>
    <w:rsid w:val="00BB1793"/>
    <w:rsid w:val="00BB1C77"/>
    <w:rsid w:val="00BB1EE2"/>
    <w:rsid w:val="00BB2203"/>
    <w:rsid w:val="00BB253B"/>
    <w:rsid w:val="00BB2CAA"/>
    <w:rsid w:val="00BB30EF"/>
    <w:rsid w:val="00BB3C74"/>
    <w:rsid w:val="00BB46AD"/>
    <w:rsid w:val="00BB47C2"/>
    <w:rsid w:val="00BB4BCA"/>
    <w:rsid w:val="00BB572D"/>
    <w:rsid w:val="00BB6493"/>
    <w:rsid w:val="00BB7003"/>
    <w:rsid w:val="00BB7974"/>
    <w:rsid w:val="00BB7B96"/>
    <w:rsid w:val="00BC03CA"/>
    <w:rsid w:val="00BC0709"/>
    <w:rsid w:val="00BC0A06"/>
    <w:rsid w:val="00BC1AE0"/>
    <w:rsid w:val="00BC1F01"/>
    <w:rsid w:val="00BC1F0E"/>
    <w:rsid w:val="00BC2486"/>
    <w:rsid w:val="00BC273A"/>
    <w:rsid w:val="00BC27F2"/>
    <w:rsid w:val="00BC28A4"/>
    <w:rsid w:val="00BC3424"/>
    <w:rsid w:val="00BC3D28"/>
    <w:rsid w:val="00BC4638"/>
    <w:rsid w:val="00BC4902"/>
    <w:rsid w:val="00BC49D8"/>
    <w:rsid w:val="00BC6C2C"/>
    <w:rsid w:val="00BC6C48"/>
    <w:rsid w:val="00BC6F10"/>
    <w:rsid w:val="00BC7189"/>
    <w:rsid w:val="00BC74D7"/>
    <w:rsid w:val="00BD016F"/>
    <w:rsid w:val="00BD0C9F"/>
    <w:rsid w:val="00BD1165"/>
    <w:rsid w:val="00BD1CC0"/>
    <w:rsid w:val="00BD1DD9"/>
    <w:rsid w:val="00BD2570"/>
    <w:rsid w:val="00BD290E"/>
    <w:rsid w:val="00BD2A52"/>
    <w:rsid w:val="00BD2C07"/>
    <w:rsid w:val="00BD39C9"/>
    <w:rsid w:val="00BD3A45"/>
    <w:rsid w:val="00BD4231"/>
    <w:rsid w:val="00BD5064"/>
    <w:rsid w:val="00BD5385"/>
    <w:rsid w:val="00BD5756"/>
    <w:rsid w:val="00BD5DA1"/>
    <w:rsid w:val="00BD64B7"/>
    <w:rsid w:val="00BD70AF"/>
    <w:rsid w:val="00BD726A"/>
    <w:rsid w:val="00BE079A"/>
    <w:rsid w:val="00BE0CF9"/>
    <w:rsid w:val="00BE1888"/>
    <w:rsid w:val="00BE27CC"/>
    <w:rsid w:val="00BE291B"/>
    <w:rsid w:val="00BE2F95"/>
    <w:rsid w:val="00BE34A4"/>
    <w:rsid w:val="00BE4222"/>
    <w:rsid w:val="00BE4C62"/>
    <w:rsid w:val="00BE4F39"/>
    <w:rsid w:val="00BE62D2"/>
    <w:rsid w:val="00BE692F"/>
    <w:rsid w:val="00BE72ED"/>
    <w:rsid w:val="00BF002F"/>
    <w:rsid w:val="00BF0295"/>
    <w:rsid w:val="00BF0845"/>
    <w:rsid w:val="00BF09A4"/>
    <w:rsid w:val="00BF0D3A"/>
    <w:rsid w:val="00BF1028"/>
    <w:rsid w:val="00BF1BFD"/>
    <w:rsid w:val="00BF2097"/>
    <w:rsid w:val="00BF2197"/>
    <w:rsid w:val="00BF24B7"/>
    <w:rsid w:val="00BF270E"/>
    <w:rsid w:val="00BF27E0"/>
    <w:rsid w:val="00BF285D"/>
    <w:rsid w:val="00BF2BFB"/>
    <w:rsid w:val="00BF3113"/>
    <w:rsid w:val="00BF340F"/>
    <w:rsid w:val="00BF37A7"/>
    <w:rsid w:val="00BF3B3A"/>
    <w:rsid w:val="00BF4532"/>
    <w:rsid w:val="00BF4863"/>
    <w:rsid w:val="00BF59A1"/>
    <w:rsid w:val="00BF609D"/>
    <w:rsid w:val="00BF6B58"/>
    <w:rsid w:val="00BF6E54"/>
    <w:rsid w:val="00C003A2"/>
    <w:rsid w:val="00C00839"/>
    <w:rsid w:val="00C00C87"/>
    <w:rsid w:val="00C00D6F"/>
    <w:rsid w:val="00C01477"/>
    <w:rsid w:val="00C015A6"/>
    <w:rsid w:val="00C016D8"/>
    <w:rsid w:val="00C017F8"/>
    <w:rsid w:val="00C026A7"/>
    <w:rsid w:val="00C02974"/>
    <w:rsid w:val="00C03225"/>
    <w:rsid w:val="00C0392B"/>
    <w:rsid w:val="00C04B17"/>
    <w:rsid w:val="00C05375"/>
    <w:rsid w:val="00C062C5"/>
    <w:rsid w:val="00C06984"/>
    <w:rsid w:val="00C07119"/>
    <w:rsid w:val="00C07260"/>
    <w:rsid w:val="00C0750D"/>
    <w:rsid w:val="00C07985"/>
    <w:rsid w:val="00C1011C"/>
    <w:rsid w:val="00C101A5"/>
    <w:rsid w:val="00C101D7"/>
    <w:rsid w:val="00C10527"/>
    <w:rsid w:val="00C1065A"/>
    <w:rsid w:val="00C10A92"/>
    <w:rsid w:val="00C10AF6"/>
    <w:rsid w:val="00C10D85"/>
    <w:rsid w:val="00C11057"/>
    <w:rsid w:val="00C11226"/>
    <w:rsid w:val="00C12974"/>
    <w:rsid w:val="00C12AD0"/>
    <w:rsid w:val="00C12D08"/>
    <w:rsid w:val="00C13D3A"/>
    <w:rsid w:val="00C142C0"/>
    <w:rsid w:val="00C1508A"/>
    <w:rsid w:val="00C1539D"/>
    <w:rsid w:val="00C1604C"/>
    <w:rsid w:val="00C16674"/>
    <w:rsid w:val="00C16891"/>
    <w:rsid w:val="00C16BCC"/>
    <w:rsid w:val="00C174F5"/>
    <w:rsid w:val="00C179A2"/>
    <w:rsid w:val="00C17AC4"/>
    <w:rsid w:val="00C203A0"/>
    <w:rsid w:val="00C20A57"/>
    <w:rsid w:val="00C20D67"/>
    <w:rsid w:val="00C210BA"/>
    <w:rsid w:val="00C21987"/>
    <w:rsid w:val="00C2198E"/>
    <w:rsid w:val="00C21D13"/>
    <w:rsid w:val="00C21FD9"/>
    <w:rsid w:val="00C22557"/>
    <w:rsid w:val="00C24F95"/>
    <w:rsid w:val="00C25011"/>
    <w:rsid w:val="00C25079"/>
    <w:rsid w:val="00C25353"/>
    <w:rsid w:val="00C255D1"/>
    <w:rsid w:val="00C2588B"/>
    <w:rsid w:val="00C25C1D"/>
    <w:rsid w:val="00C260DB"/>
    <w:rsid w:val="00C26C6A"/>
    <w:rsid w:val="00C2702A"/>
    <w:rsid w:val="00C27048"/>
    <w:rsid w:val="00C30A71"/>
    <w:rsid w:val="00C31790"/>
    <w:rsid w:val="00C3232D"/>
    <w:rsid w:val="00C3257C"/>
    <w:rsid w:val="00C32B0F"/>
    <w:rsid w:val="00C3381F"/>
    <w:rsid w:val="00C33FD1"/>
    <w:rsid w:val="00C344F5"/>
    <w:rsid w:val="00C34D50"/>
    <w:rsid w:val="00C35391"/>
    <w:rsid w:val="00C35F5F"/>
    <w:rsid w:val="00C365CF"/>
    <w:rsid w:val="00C37E01"/>
    <w:rsid w:val="00C400B5"/>
    <w:rsid w:val="00C40A44"/>
    <w:rsid w:val="00C40B78"/>
    <w:rsid w:val="00C40CAD"/>
    <w:rsid w:val="00C43115"/>
    <w:rsid w:val="00C431BE"/>
    <w:rsid w:val="00C435FA"/>
    <w:rsid w:val="00C44110"/>
    <w:rsid w:val="00C44CBB"/>
    <w:rsid w:val="00C453AD"/>
    <w:rsid w:val="00C45EB3"/>
    <w:rsid w:val="00C4602D"/>
    <w:rsid w:val="00C471D3"/>
    <w:rsid w:val="00C47324"/>
    <w:rsid w:val="00C47527"/>
    <w:rsid w:val="00C478A8"/>
    <w:rsid w:val="00C5022F"/>
    <w:rsid w:val="00C504CA"/>
    <w:rsid w:val="00C51460"/>
    <w:rsid w:val="00C5351F"/>
    <w:rsid w:val="00C53E40"/>
    <w:rsid w:val="00C5465D"/>
    <w:rsid w:val="00C548C8"/>
    <w:rsid w:val="00C55750"/>
    <w:rsid w:val="00C55AF5"/>
    <w:rsid w:val="00C55CA5"/>
    <w:rsid w:val="00C56EB8"/>
    <w:rsid w:val="00C570A2"/>
    <w:rsid w:val="00C61574"/>
    <w:rsid w:val="00C61BCD"/>
    <w:rsid w:val="00C61DC4"/>
    <w:rsid w:val="00C63873"/>
    <w:rsid w:val="00C63B06"/>
    <w:rsid w:val="00C6410F"/>
    <w:rsid w:val="00C64AC6"/>
    <w:rsid w:val="00C65232"/>
    <w:rsid w:val="00C664BE"/>
    <w:rsid w:val="00C6674B"/>
    <w:rsid w:val="00C67D1F"/>
    <w:rsid w:val="00C67E5D"/>
    <w:rsid w:val="00C702C1"/>
    <w:rsid w:val="00C702D1"/>
    <w:rsid w:val="00C703AD"/>
    <w:rsid w:val="00C70B20"/>
    <w:rsid w:val="00C70C3A"/>
    <w:rsid w:val="00C70E1C"/>
    <w:rsid w:val="00C714F9"/>
    <w:rsid w:val="00C722A1"/>
    <w:rsid w:val="00C72ECF"/>
    <w:rsid w:val="00C72F57"/>
    <w:rsid w:val="00C732E4"/>
    <w:rsid w:val="00C736D9"/>
    <w:rsid w:val="00C737C5"/>
    <w:rsid w:val="00C74B26"/>
    <w:rsid w:val="00C74E37"/>
    <w:rsid w:val="00C757A9"/>
    <w:rsid w:val="00C75850"/>
    <w:rsid w:val="00C76F3F"/>
    <w:rsid w:val="00C8001F"/>
    <w:rsid w:val="00C802AB"/>
    <w:rsid w:val="00C80451"/>
    <w:rsid w:val="00C80AEE"/>
    <w:rsid w:val="00C80CF0"/>
    <w:rsid w:val="00C81351"/>
    <w:rsid w:val="00C81981"/>
    <w:rsid w:val="00C8233D"/>
    <w:rsid w:val="00C82440"/>
    <w:rsid w:val="00C82509"/>
    <w:rsid w:val="00C82713"/>
    <w:rsid w:val="00C831D5"/>
    <w:rsid w:val="00C83B76"/>
    <w:rsid w:val="00C84B22"/>
    <w:rsid w:val="00C84CDC"/>
    <w:rsid w:val="00C8560A"/>
    <w:rsid w:val="00C8596F"/>
    <w:rsid w:val="00C85AD7"/>
    <w:rsid w:val="00C87325"/>
    <w:rsid w:val="00C87407"/>
    <w:rsid w:val="00C8767B"/>
    <w:rsid w:val="00C87CE9"/>
    <w:rsid w:val="00C87DA2"/>
    <w:rsid w:val="00C87F28"/>
    <w:rsid w:val="00C903DA"/>
    <w:rsid w:val="00C903FF"/>
    <w:rsid w:val="00C90714"/>
    <w:rsid w:val="00C915AF"/>
    <w:rsid w:val="00C91A73"/>
    <w:rsid w:val="00C91B3D"/>
    <w:rsid w:val="00C92CA1"/>
    <w:rsid w:val="00C93592"/>
    <w:rsid w:val="00C937C2"/>
    <w:rsid w:val="00C93A3B"/>
    <w:rsid w:val="00C9423F"/>
    <w:rsid w:val="00C94306"/>
    <w:rsid w:val="00C9509D"/>
    <w:rsid w:val="00C95324"/>
    <w:rsid w:val="00C9566C"/>
    <w:rsid w:val="00C958C3"/>
    <w:rsid w:val="00C96026"/>
    <w:rsid w:val="00C9755D"/>
    <w:rsid w:val="00C97F4B"/>
    <w:rsid w:val="00CA065D"/>
    <w:rsid w:val="00CA1072"/>
    <w:rsid w:val="00CA1923"/>
    <w:rsid w:val="00CA2260"/>
    <w:rsid w:val="00CA250A"/>
    <w:rsid w:val="00CA2638"/>
    <w:rsid w:val="00CA30D8"/>
    <w:rsid w:val="00CA34EE"/>
    <w:rsid w:val="00CA36B4"/>
    <w:rsid w:val="00CA37BC"/>
    <w:rsid w:val="00CA3C98"/>
    <w:rsid w:val="00CA3D48"/>
    <w:rsid w:val="00CA40E2"/>
    <w:rsid w:val="00CA42E2"/>
    <w:rsid w:val="00CA522B"/>
    <w:rsid w:val="00CA5D02"/>
    <w:rsid w:val="00CA5EC8"/>
    <w:rsid w:val="00CA63A8"/>
    <w:rsid w:val="00CA67C8"/>
    <w:rsid w:val="00CA6BE4"/>
    <w:rsid w:val="00CA73D8"/>
    <w:rsid w:val="00CA745E"/>
    <w:rsid w:val="00CA7BF6"/>
    <w:rsid w:val="00CB001A"/>
    <w:rsid w:val="00CB00B8"/>
    <w:rsid w:val="00CB0E2A"/>
    <w:rsid w:val="00CB101F"/>
    <w:rsid w:val="00CB168A"/>
    <w:rsid w:val="00CB1717"/>
    <w:rsid w:val="00CB1924"/>
    <w:rsid w:val="00CB1E5F"/>
    <w:rsid w:val="00CB2988"/>
    <w:rsid w:val="00CB29B1"/>
    <w:rsid w:val="00CB2DD0"/>
    <w:rsid w:val="00CB44C3"/>
    <w:rsid w:val="00CB4755"/>
    <w:rsid w:val="00CB480B"/>
    <w:rsid w:val="00CB68FB"/>
    <w:rsid w:val="00CB6FC3"/>
    <w:rsid w:val="00CB7772"/>
    <w:rsid w:val="00CB7777"/>
    <w:rsid w:val="00CB7FC7"/>
    <w:rsid w:val="00CC0112"/>
    <w:rsid w:val="00CC1962"/>
    <w:rsid w:val="00CC1D27"/>
    <w:rsid w:val="00CC1E6D"/>
    <w:rsid w:val="00CC3590"/>
    <w:rsid w:val="00CC3B30"/>
    <w:rsid w:val="00CC4607"/>
    <w:rsid w:val="00CC4855"/>
    <w:rsid w:val="00CC55BE"/>
    <w:rsid w:val="00CC5D7C"/>
    <w:rsid w:val="00CC7BD3"/>
    <w:rsid w:val="00CC7D91"/>
    <w:rsid w:val="00CD07C7"/>
    <w:rsid w:val="00CD0D5A"/>
    <w:rsid w:val="00CD197F"/>
    <w:rsid w:val="00CD1FBA"/>
    <w:rsid w:val="00CD2258"/>
    <w:rsid w:val="00CD23E7"/>
    <w:rsid w:val="00CD2FB3"/>
    <w:rsid w:val="00CD379D"/>
    <w:rsid w:val="00CD3E4D"/>
    <w:rsid w:val="00CD45DD"/>
    <w:rsid w:val="00CD4711"/>
    <w:rsid w:val="00CD4BD8"/>
    <w:rsid w:val="00CD55CC"/>
    <w:rsid w:val="00CD573B"/>
    <w:rsid w:val="00CD5BAD"/>
    <w:rsid w:val="00CD604D"/>
    <w:rsid w:val="00CD625A"/>
    <w:rsid w:val="00CD631F"/>
    <w:rsid w:val="00CD6B64"/>
    <w:rsid w:val="00CD6C75"/>
    <w:rsid w:val="00CD721B"/>
    <w:rsid w:val="00CD7DAB"/>
    <w:rsid w:val="00CE0416"/>
    <w:rsid w:val="00CE05E7"/>
    <w:rsid w:val="00CE09F6"/>
    <w:rsid w:val="00CE10DE"/>
    <w:rsid w:val="00CE12E9"/>
    <w:rsid w:val="00CE1C09"/>
    <w:rsid w:val="00CE1C41"/>
    <w:rsid w:val="00CE213E"/>
    <w:rsid w:val="00CE2153"/>
    <w:rsid w:val="00CE2A2C"/>
    <w:rsid w:val="00CE2E38"/>
    <w:rsid w:val="00CE3331"/>
    <w:rsid w:val="00CE39C1"/>
    <w:rsid w:val="00CE4239"/>
    <w:rsid w:val="00CE4244"/>
    <w:rsid w:val="00CE49E4"/>
    <w:rsid w:val="00CE4C05"/>
    <w:rsid w:val="00CE56EB"/>
    <w:rsid w:val="00CE6352"/>
    <w:rsid w:val="00CE65C4"/>
    <w:rsid w:val="00CF1865"/>
    <w:rsid w:val="00CF2991"/>
    <w:rsid w:val="00CF38DD"/>
    <w:rsid w:val="00CF5902"/>
    <w:rsid w:val="00CF5C08"/>
    <w:rsid w:val="00CF74AA"/>
    <w:rsid w:val="00CF74D4"/>
    <w:rsid w:val="00D007A6"/>
    <w:rsid w:val="00D00A46"/>
    <w:rsid w:val="00D00FB1"/>
    <w:rsid w:val="00D018BC"/>
    <w:rsid w:val="00D01E5B"/>
    <w:rsid w:val="00D02250"/>
    <w:rsid w:val="00D0299D"/>
    <w:rsid w:val="00D042F0"/>
    <w:rsid w:val="00D04C1F"/>
    <w:rsid w:val="00D057A7"/>
    <w:rsid w:val="00D05D65"/>
    <w:rsid w:val="00D06306"/>
    <w:rsid w:val="00D06B5C"/>
    <w:rsid w:val="00D06BAF"/>
    <w:rsid w:val="00D0748E"/>
    <w:rsid w:val="00D10939"/>
    <w:rsid w:val="00D10F6A"/>
    <w:rsid w:val="00D11349"/>
    <w:rsid w:val="00D125A0"/>
    <w:rsid w:val="00D12A55"/>
    <w:rsid w:val="00D148AA"/>
    <w:rsid w:val="00D14A7C"/>
    <w:rsid w:val="00D14B83"/>
    <w:rsid w:val="00D14FFB"/>
    <w:rsid w:val="00D1515B"/>
    <w:rsid w:val="00D15241"/>
    <w:rsid w:val="00D15AA5"/>
    <w:rsid w:val="00D15C25"/>
    <w:rsid w:val="00D1616A"/>
    <w:rsid w:val="00D16C0D"/>
    <w:rsid w:val="00D1772A"/>
    <w:rsid w:val="00D1795A"/>
    <w:rsid w:val="00D17D9F"/>
    <w:rsid w:val="00D17DA4"/>
    <w:rsid w:val="00D17E4E"/>
    <w:rsid w:val="00D210E4"/>
    <w:rsid w:val="00D215CC"/>
    <w:rsid w:val="00D21D86"/>
    <w:rsid w:val="00D2213B"/>
    <w:rsid w:val="00D2423C"/>
    <w:rsid w:val="00D242E8"/>
    <w:rsid w:val="00D2445B"/>
    <w:rsid w:val="00D255D5"/>
    <w:rsid w:val="00D259ED"/>
    <w:rsid w:val="00D2635B"/>
    <w:rsid w:val="00D26771"/>
    <w:rsid w:val="00D27035"/>
    <w:rsid w:val="00D27428"/>
    <w:rsid w:val="00D27454"/>
    <w:rsid w:val="00D27A81"/>
    <w:rsid w:val="00D27B65"/>
    <w:rsid w:val="00D27EFE"/>
    <w:rsid w:val="00D27FFE"/>
    <w:rsid w:val="00D30442"/>
    <w:rsid w:val="00D3057F"/>
    <w:rsid w:val="00D30B67"/>
    <w:rsid w:val="00D31B03"/>
    <w:rsid w:val="00D325E7"/>
    <w:rsid w:val="00D32757"/>
    <w:rsid w:val="00D33081"/>
    <w:rsid w:val="00D339DE"/>
    <w:rsid w:val="00D33E1A"/>
    <w:rsid w:val="00D3618F"/>
    <w:rsid w:val="00D366CA"/>
    <w:rsid w:val="00D37312"/>
    <w:rsid w:val="00D40FBE"/>
    <w:rsid w:val="00D414B7"/>
    <w:rsid w:val="00D41505"/>
    <w:rsid w:val="00D415F1"/>
    <w:rsid w:val="00D43629"/>
    <w:rsid w:val="00D437C2"/>
    <w:rsid w:val="00D43A75"/>
    <w:rsid w:val="00D440BD"/>
    <w:rsid w:val="00D442EC"/>
    <w:rsid w:val="00D445A6"/>
    <w:rsid w:val="00D44664"/>
    <w:rsid w:val="00D4479C"/>
    <w:rsid w:val="00D45511"/>
    <w:rsid w:val="00D458B9"/>
    <w:rsid w:val="00D45B3D"/>
    <w:rsid w:val="00D45B40"/>
    <w:rsid w:val="00D45E44"/>
    <w:rsid w:val="00D46CE2"/>
    <w:rsid w:val="00D46FFD"/>
    <w:rsid w:val="00D47089"/>
    <w:rsid w:val="00D50F43"/>
    <w:rsid w:val="00D51E44"/>
    <w:rsid w:val="00D520F2"/>
    <w:rsid w:val="00D52D3F"/>
    <w:rsid w:val="00D52F51"/>
    <w:rsid w:val="00D54147"/>
    <w:rsid w:val="00D54216"/>
    <w:rsid w:val="00D55671"/>
    <w:rsid w:val="00D55AA5"/>
    <w:rsid w:val="00D564FC"/>
    <w:rsid w:val="00D567EF"/>
    <w:rsid w:val="00D56D74"/>
    <w:rsid w:val="00D57351"/>
    <w:rsid w:val="00D57661"/>
    <w:rsid w:val="00D57973"/>
    <w:rsid w:val="00D57B00"/>
    <w:rsid w:val="00D602AA"/>
    <w:rsid w:val="00D60756"/>
    <w:rsid w:val="00D60A41"/>
    <w:rsid w:val="00D616C8"/>
    <w:rsid w:val="00D6271F"/>
    <w:rsid w:val="00D63108"/>
    <w:rsid w:val="00D63109"/>
    <w:rsid w:val="00D63466"/>
    <w:rsid w:val="00D634F9"/>
    <w:rsid w:val="00D6395F"/>
    <w:rsid w:val="00D65D01"/>
    <w:rsid w:val="00D65D48"/>
    <w:rsid w:val="00D66050"/>
    <w:rsid w:val="00D67236"/>
    <w:rsid w:val="00D67F1A"/>
    <w:rsid w:val="00D7042B"/>
    <w:rsid w:val="00D7048D"/>
    <w:rsid w:val="00D70520"/>
    <w:rsid w:val="00D7098C"/>
    <w:rsid w:val="00D70B6B"/>
    <w:rsid w:val="00D71944"/>
    <w:rsid w:val="00D71B07"/>
    <w:rsid w:val="00D722F0"/>
    <w:rsid w:val="00D72629"/>
    <w:rsid w:val="00D732C5"/>
    <w:rsid w:val="00D74EE2"/>
    <w:rsid w:val="00D752A6"/>
    <w:rsid w:val="00D756E7"/>
    <w:rsid w:val="00D759D1"/>
    <w:rsid w:val="00D760BE"/>
    <w:rsid w:val="00D76453"/>
    <w:rsid w:val="00D76723"/>
    <w:rsid w:val="00D77032"/>
    <w:rsid w:val="00D7720D"/>
    <w:rsid w:val="00D77743"/>
    <w:rsid w:val="00D77933"/>
    <w:rsid w:val="00D77B5E"/>
    <w:rsid w:val="00D80B5C"/>
    <w:rsid w:val="00D80F74"/>
    <w:rsid w:val="00D80FCE"/>
    <w:rsid w:val="00D811B4"/>
    <w:rsid w:val="00D81544"/>
    <w:rsid w:val="00D818B2"/>
    <w:rsid w:val="00D8272A"/>
    <w:rsid w:val="00D82E97"/>
    <w:rsid w:val="00D8348B"/>
    <w:rsid w:val="00D8367C"/>
    <w:rsid w:val="00D8385F"/>
    <w:rsid w:val="00D83C31"/>
    <w:rsid w:val="00D8447E"/>
    <w:rsid w:val="00D850ED"/>
    <w:rsid w:val="00D865A8"/>
    <w:rsid w:val="00D86C5C"/>
    <w:rsid w:val="00D8761B"/>
    <w:rsid w:val="00D8771E"/>
    <w:rsid w:val="00D87824"/>
    <w:rsid w:val="00D906F8"/>
    <w:rsid w:val="00D9128E"/>
    <w:rsid w:val="00D914C7"/>
    <w:rsid w:val="00D915D8"/>
    <w:rsid w:val="00D91CB8"/>
    <w:rsid w:val="00D93898"/>
    <w:rsid w:val="00D93BE9"/>
    <w:rsid w:val="00D95CE1"/>
    <w:rsid w:val="00D9673D"/>
    <w:rsid w:val="00D97321"/>
    <w:rsid w:val="00D97451"/>
    <w:rsid w:val="00D9768E"/>
    <w:rsid w:val="00DA02E4"/>
    <w:rsid w:val="00DA11A4"/>
    <w:rsid w:val="00DA17EC"/>
    <w:rsid w:val="00DA1F4D"/>
    <w:rsid w:val="00DA2338"/>
    <w:rsid w:val="00DA26A6"/>
    <w:rsid w:val="00DA31DC"/>
    <w:rsid w:val="00DA3C22"/>
    <w:rsid w:val="00DA4463"/>
    <w:rsid w:val="00DA455B"/>
    <w:rsid w:val="00DA50BC"/>
    <w:rsid w:val="00DA52FD"/>
    <w:rsid w:val="00DA6052"/>
    <w:rsid w:val="00DA64BC"/>
    <w:rsid w:val="00DA6AF4"/>
    <w:rsid w:val="00DA6B0C"/>
    <w:rsid w:val="00DA6ECC"/>
    <w:rsid w:val="00DA7F27"/>
    <w:rsid w:val="00DB2172"/>
    <w:rsid w:val="00DB2874"/>
    <w:rsid w:val="00DB2F07"/>
    <w:rsid w:val="00DB3059"/>
    <w:rsid w:val="00DB3280"/>
    <w:rsid w:val="00DB421A"/>
    <w:rsid w:val="00DB44B2"/>
    <w:rsid w:val="00DB4FF2"/>
    <w:rsid w:val="00DB6704"/>
    <w:rsid w:val="00DB6773"/>
    <w:rsid w:val="00DB6D9B"/>
    <w:rsid w:val="00DC08D5"/>
    <w:rsid w:val="00DC1B53"/>
    <w:rsid w:val="00DC30F4"/>
    <w:rsid w:val="00DC32B6"/>
    <w:rsid w:val="00DC3471"/>
    <w:rsid w:val="00DC385A"/>
    <w:rsid w:val="00DC525E"/>
    <w:rsid w:val="00DC5B42"/>
    <w:rsid w:val="00DC680D"/>
    <w:rsid w:val="00DC6E05"/>
    <w:rsid w:val="00DC77EB"/>
    <w:rsid w:val="00DC7B7D"/>
    <w:rsid w:val="00DC7C57"/>
    <w:rsid w:val="00DD05AD"/>
    <w:rsid w:val="00DD11B3"/>
    <w:rsid w:val="00DD1686"/>
    <w:rsid w:val="00DD1744"/>
    <w:rsid w:val="00DD1CCD"/>
    <w:rsid w:val="00DD1F4A"/>
    <w:rsid w:val="00DD1F9F"/>
    <w:rsid w:val="00DD2891"/>
    <w:rsid w:val="00DD3316"/>
    <w:rsid w:val="00DD3B19"/>
    <w:rsid w:val="00DD43ED"/>
    <w:rsid w:val="00DD4F71"/>
    <w:rsid w:val="00DD6E30"/>
    <w:rsid w:val="00DD735D"/>
    <w:rsid w:val="00DD751F"/>
    <w:rsid w:val="00DE019E"/>
    <w:rsid w:val="00DE06BA"/>
    <w:rsid w:val="00DE0750"/>
    <w:rsid w:val="00DE1C5C"/>
    <w:rsid w:val="00DE22FA"/>
    <w:rsid w:val="00DE3153"/>
    <w:rsid w:val="00DE397A"/>
    <w:rsid w:val="00DE3F84"/>
    <w:rsid w:val="00DE4041"/>
    <w:rsid w:val="00DE43AE"/>
    <w:rsid w:val="00DE4615"/>
    <w:rsid w:val="00DE53E5"/>
    <w:rsid w:val="00DE5AC3"/>
    <w:rsid w:val="00DE5ECC"/>
    <w:rsid w:val="00DE697A"/>
    <w:rsid w:val="00DE75A7"/>
    <w:rsid w:val="00DE7EE4"/>
    <w:rsid w:val="00DF0B5A"/>
    <w:rsid w:val="00DF0E5B"/>
    <w:rsid w:val="00DF139F"/>
    <w:rsid w:val="00DF1775"/>
    <w:rsid w:val="00DF1BAD"/>
    <w:rsid w:val="00DF23C0"/>
    <w:rsid w:val="00DF362B"/>
    <w:rsid w:val="00DF397B"/>
    <w:rsid w:val="00DF3DBD"/>
    <w:rsid w:val="00DF3EC1"/>
    <w:rsid w:val="00DF3FC3"/>
    <w:rsid w:val="00DF50E2"/>
    <w:rsid w:val="00DF5E60"/>
    <w:rsid w:val="00DF63C0"/>
    <w:rsid w:val="00DF64BF"/>
    <w:rsid w:val="00DF7459"/>
    <w:rsid w:val="00E000DE"/>
    <w:rsid w:val="00E00332"/>
    <w:rsid w:val="00E00A92"/>
    <w:rsid w:val="00E00FAB"/>
    <w:rsid w:val="00E01D4E"/>
    <w:rsid w:val="00E0210A"/>
    <w:rsid w:val="00E0226F"/>
    <w:rsid w:val="00E02DA6"/>
    <w:rsid w:val="00E032EF"/>
    <w:rsid w:val="00E03506"/>
    <w:rsid w:val="00E03E69"/>
    <w:rsid w:val="00E0403D"/>
    <w:rsid w:val="00E04986"/>
    <w:rsid w:val="00E04A9D"/>
    <w:rsid w:val="00E04D73"/>
    <w:rsid w:val="00E051BA"/>
    <w:rsid w:val="00E0596A"/>
    <w:rsid w:val="00E062E4"/>
    <w:rsid w:val="00E0667E"/>
    <w:rsid w:val="00E06D0F"/>
    <w:rsid w:val="00E077AF"/>
    <w:rsid w:val="00E07A51"/>
    <w:rsid w:val="00E07BAD"/>
    <w:rsid w:val="00E1114E"/>
    <w:rsid w:val="00E120EF"/>
    <w:rsid w:val="00E12274"/>
    <w:rsid w:val="00E12F86"/>
    <w:rsid w:val="00E137A5"/>
    <w:rsid w:val="00E137E0"/>
    <w:rsid w:val="00E1414F"/>
    <w:rsid w:val="00E1471B"/>
    <w:rsid w:val="00E14D56"/>
    <w:rsid w:val="00E15861"/>
    <w:rsid w:val="00E15AF2"/>
    <w:rsid w:val="00E15D98"/>
    <w:rsid w:val="00E15F18"/>
    <w:rsid w:val="00E1614B"/>
    <w:rsid w:val="00E16379"/>
    <w:rsid w:val="00E167CF"/>
    <w:rsid w:val="00E16E5F"/>
    <w:rsid w:val="00E17D52"/>
    <w:rsid w:val="00E203D1"/>
    <w:rsid w:val="00E207CD"/>
    <w:rsid w:val="00E20958"/>
    <w:rsid w:val="00E20C11"/>
    <w:rsid w:val="00E212DE"/>
    <w:rsid w:val="00E2184A"/>
    <w:rsid w:val="00E218E9"/>
    <w:rsid w:val="00E2213B"/>
    <w:rsid w:val="00E22C3C"/>
    <w:rsid w:val="00E23AE0"/>
    <w:rsid w:val="00E24164"/>
    <w:rsid w:val="00E241CA"/>
    <w:rsid w:val="00E251BC"/>
    <w:rsid w:val="00E25454"/>
    <w:rsid w:val="00E25D42"/>
    <w:rsid w:val="00E26A84"/>
    <w:rsid w:val="00E26BD3"/>
    <w:rsid w:val="00E2710A"/>
    <w:rsid w:val="00E27C21"/>
    <w:rsid w:val="00E27D25"/>
    <w:rsid w:val="00E3018E"/>
    <w:rsid w:val="00E307D4"/>
    <w:rsid w:val="00E30884"/>
    <w:rsid w:val="00E30A65"/>
    <w:rsid w:val="00E30AD2"/>
    <w:rsid w:val="00E31751"/>
    <w:rsid w:val="00E31C0F"/>
    <w:rsid w:val="00E31E49"/>
    <w:rsid w:val="00E3286B"/>
    <w:rsid w:val="00E32E9E"/>
    <w:rsid w:val="00E33DA8"/>
    <w:rsid w:val="00E34093"/>
    <w:rsid w:val="00E342C0"/>
    <w:rsid w:val="00E3466B"/>
    <w:rsid w:val="00E34DEB"/>
    <w:rsid w:val="00E34DFF"/>
    <w:rsid w:val="00E3507E"/>
    <w:rsid w:val="00E35B74"/>
    <w:rsid w:val="00E36165"/>
    <w:rsid w:val="00E3625C"/>
    <w:rsid w:val="00E36423"/>
    <w:rsid w:val="00E369CD"/>
    <w:rsid w:val="00E36BD7"/>
    <w:rsid w:val="00E412C9"/>
    <w:rsid w:val="00E4150C"/>
    <w:rsid w:val="00E417A8"/>
    <w:rsid w:val="00E41920"/>
    <w:rsid w:val="00E427B6"/>
    <w:rsid w:val="00E42AB1"/>
    <w:rsid w:val="00E42CE3"/>
    <w:rsid w:val="00E42F7F"/>
    <w:rsid w:val="00E4375F"/>
    <w:rsid w:val="00E438D6"/>
    <w:rsid w:val="00E43E5A"/>
    <w:rsid w:val="00E44B3D"/>
    <w:rsid w:val="00E44F8E"/>
    <w:rsid w:val="00E453AA"/>
    <w:rsid w:val="00E46463"/>
    <w:rsid w:val="00E473C0"/>
    <w:rsid w:val="00E513DD"/>
    <w:rsid w:val="00E51C1E"/>
    <w:rsid w:val="00E52044"/>
    <w:rsid w:val="00E5286C"/>
    <w:rsid w:val="00E52D69"/>
    <w:rsid w:val="00E53A0E"/>
    <w:rsid w:val="00E53BE2"/>
    <w:rsid w:val="00E53E78"/>
    <w:rsid w:val="00E542D5"/>
    <w:rsid w:val="00E547CC"/>
    <w:rsid w:val="00E54846"/>
    <w:rsid w:val="00E55277"/>
    <w:rsid w:val="00E5650E"/>
    <w:rsid w:val="00E5661E"/>
    <w:rsid w:val="00E57AE6"/>
    <w:rsid w:val="00E60295"/>
    <w:rsid w:val="00E6034D"/>
    <w:rsid w:val="00E60650"/>
    <w:rsid w:val="00E60B54"/>
    <w:rsid w:val="00E6117C"/>
    <w:rsid w:val="00E6145D"/>
    <w:rsid w:val="00E61685"/>
    <w:rsid w:val="00E6198A"/>
    <w:rsid w:val="00E620CE"/>
    <w:rsid w:val="00E629F8"/>
    <w:rsid w:val="00E63DFE"/>
    <w:rsid w:val="00E64331"/>
    <w:rsid w:val="00E645CA"/>
    <w:rsid w:val="00E64B4D"/>
    <w:rsid w:val="00E66F8D"/>
    <w:rsid w:val="00E67314"/>
    <w:rsid w:val="00E67FDB"/>
    <w:rsid w:val="00E70152"/>
    <w:rsid w:val="00E706BE"/>
    <w:rsid w:val="00E71E34"/>
    <w:rsid w:val="00E7299F"/>
    <w:rsid w:val="00E72D2D"/>
    <w:rsid w:val="00E73168"/>
    <w:rsid w:val="00E736C3"/>
    <w:rsid w:val="00E74641"/>
    <w:rsid w:val="00E747E0"/>
    <w:rsid w:val="00E74F37"/>
    <w:rsid w:val="00E770FC"/>
    <w:rsid w:val="00E775B5"/>
    <w:rsid w:val="00E77958"/>
    <w:rsid w:val="00E77C06"/>
    <w:rsid w:val="00E810C0"/>
    <w:rsid w:val="00E81703"/>
    <w:rsid w:val="00E8178E"/>
    <w:rsid w:val="00E817DC"/>
    <w:rsid w:val="00E81E2A"/>
    <w:rsid w:val="00E824E8"/>
    <w:rsid w:val="00E83545"/>
    <w:rsid w:val="00E83618"/>
    <w:rsid w:val="00E8535A"/>
    <w:rsid w:val="00E8547B"/>
    <w:rsid w:val="00E855F5"/>
    <w:rsid w:val="00E85810"/>
    <w:rsid w:val="00E85814"/>
    <w:rsid w:val="00E8654F"/>
    <w:rsid w:val="00E86C43"/>
    <w:rsid w:val="00E872C5"/>
    <w:rsid w:val="00E87F66"/>
    <w:rsid w:val="00E9114D"/>
    <w:rsid w:val="00E91183"/>
    <w:rsid w:val="00E9127F"/>
    <w:rsid w:val="00E9168F"/>
    <w:rsid w:val="00E92C43"/>
    <w:rsid w:val="00E94166"/>
    <w:rsid w:val="00E94AA8"/>
    <w:rsid w:val="00E957F4"/>
    <w:rsid w:val="00E9598A"/>
    <w:rsid w:val="00E968EB"/>
    <w:rsid w:val="00EA02D2"/>
    <w:rsid w:val="00EA2879"/>
    <w:rsid w:val="00EA340D"/>
    <w:rsid w:val="00EA3A83"/>
    <w:rsid w:val="00EA3EF7"/>
    <w:rsid w:val="00EA4193"/>
    <w:rsid w:val="00EA4426"/>
    <w:rsid w:val="00EA4703"/>
    <w:rsid w:val="00EA4C10"/>
    <w:rsid w:val="00EA4CAC"/>
    <w:rsid w:val="00EA526C"/>
    <w:rsid w:val="00EA5999"/>
    <w:rsid w:val="00EA59E4"/>
    <w:rsid w:val="00EA63B3"/>
    <w:rsid w:val="00EA65F2"/>
    <w:rsid w:val="00EA6877"/>
    <w:rsid w:val="00EA6A80"/>
    <w:rsid w:val="00EA6EE3"/>
    <w:rsid w:val="00EA7666"/>
    <w:rsid w:val="00EB0793"/>
    <w:rsid w:val="00EB0BD3"/>
    <w:rsid w:val="00EB0E92"/>
    <w:rsid w:val="00EB0F3C"/>
    <w:rsid w:val="00EB12AA"/>
    <w:rsid w:val="00EB14C7"/>
    <w:rsid w:val="00EB15A3"/>
    <w:rsid w:val="00EB1EBB"/>
    <w:rsid w:val="00EB1EFB"/>
    <w:rsid w:val="00EB2891"/>
    <w:rsid w:val="00EB2FBE"/>
    <w:rsid w:val="00EB2FDB"/>
    <w:rsid w:val="00EB4C8C"/>
    <w:rsid w:val="00EB4CA2"/>
    <w:rsid w:val="00EB4EF6"/>
    <w:rsid w:val="00EB5E63"/>
    <w:rsid w:val="00EB61CF"/>
    <w:rsid w:val="00EB63AB"/>
    <w:rsid w:val="00EB6BF8"/>
    <w:rsid w:val="00EB6E2B"/>
    <w:rsid w:val="00EB7B49"/>
    <w:rsid w:val="00EC1806"/>
    <w:rsid w:val="00EC1F45"/>
    <w:rsid w:val="00EC2DBA"/>
    <w:rsid w:val="00EC302F"/>
    <w:rsid w:val="00EC3620"/>
    <w:rsid w:val="00EC385F"/>
    <w:rsid w:val="00EC444E"/>
    <w:rsid w:val="00EC5369"/>
    <w:rsid w:val="00EC7253"/>
    <w:rsid w:val="00EC76E1"/>
    <w:rsid w:val="00ED183A"/>
    <w:rsid w:val="00ED3230"/>
    <w:rsid w:val="00ED37FE"/>
    <w:rsid w:val="00ED4016"/>
    <w:rsid w:val="00ED437D"/>
    <w:rsid w:val="00ED452A"/>
    <w:rsid w:val="00ED46BE"/>
    <w:rsid w:val="00ED4996"/>
    <w:rsid w:val="00ED4BF6"/>
    <w:rsid w:val="00ED55E0"/>
    <w:rsid w:val="00ED64C2"/>
    <w:rsid w:val="00ED69FE"/>
    <w:rsid w:val="00ED7D95"/>
    <w:rsid w:val="00ED7ED7"/>
    <w:rsid w:val="00EE08EA"/>
    <w:rsid w:val="00EE09E7"/>
    <w:rsid w:val="00EE11EA"/>
    <w:rsid w:val="00EE250C"/>
    <w:rsid w:val="00EE2C74"/>
    <w:rsid w:val="00EE2EB8"/>
    <w:rsid w:val="00EE3118"/>
    <w:rsid w:val="00EE410F"/>
    <w:rsid w:val="00EE52C1"/>
    <w:rsid w:val="00EE5643"/>
    <w:rsid w:val="00EE5DAF"/>
    <w:rsid w:val="00EE6A96"/>
    <w:rsid w:val="00EE7D0D"/>
    <w:rsid w:val="00EE7EED"/>
    <w:rsid w:val="00EF0CE7"/>
    <w:rsid w:val="00EF136D"/>
    <w:rsid w:val="00EF18C0"/>
    <w:rsid w:val="00EF1AA7"/>
    <w:rsid w:val="00EF2B31"/>
    <w:rsid w:val="00EF382B"/>
    <w:rsid w:val="00EF3B2F"/>
    <w:rsid w:val="00EF3E0E"/>
    <w:rsid w:val="00EF4505"/>
    <w:rsid w:val="00EF48E9"/>
    <w:rsid w:val="00EF4C08"/>
    <w:rsid w:val="00EF544E"/>
    <w:rsid w:val="00EF58A2"/>
    <w:rsid w:val="00EF6A1C"/>
    <w:rsid w:val="00EF6F7F"/>
    <w:rsid w:val="00EF7589"/>
    <w:rsid w:val="00EF79A7"/>
    <w:rsid w:val="00F007D0"/>
    <w:rsid w:val="00F00DAB"/>
    <w:rsid w:val="00F00EDE"/>
    <w:rsid w:val="00F01400"/>
    <w:rsid w:val="00F01671"/>
    <w:rsid w:val="00F0189E"/>
    <w:rsid w:val="00F01FD0"/>
    <w:rsid w:val="00F02C6E"/>
    <w:rsid w:val="00F04B43"/>
    <w:rsid w:val="00F04D56"/>
    <w:rsid w:val="00F04E7D"/>
    <w:rsid w:val="00F058AC"/>
    <w:rsid w:val="00F05A63"/>
    <w:rsid w:val="00F05C46"/>
    <w:rsid w:val="00F05C5E"/>
    <w:rsid w:val="00F062A8"/>
    <w:rsid w:val="00F06FCA"/>
    <w:rsid w:val="00F074F7"/>
    <w:rsid w:val="00F075D7"/>
    <w:rsid w:val="00F076EB"/>
    <w:rsid w:val="00F07D23"/>
    <w:rsid w:val="00F07E9A"/>
    <w:rsid w:val="00F10544"/>
    <w:rsid w:val="00F10B94"/>
    <w:rsid w:val="00F116C2"/>
    <w:rsid w:val="00F1194E"/>
    <w:rsid w:val="00F11F9B"/>
    <w:rsid w:val="00F12C74"/>
    <w:rsid w:val="00F13832"/>
    <w:rsid w:val="00F13A24"/>
    <w:rsid w:val="00F14394"/>
    <w:rsid w:val="00F1459C"/>
    <w:rsid w:val="00F151A7"/>
    <w:rsid w:val="00F1544D"/>
    <w:rsid w:val="00F15CA1"/>
    <w:rsid w:val="00F16B71"/>
    <w:rsid w:val="00F175C6"/>
    <w:rsid w:val="00F21100"/>
    <w:rsid w:val="00F2145D"/>
    <w:rsid w:val="00F21666"/>
    <w:rsid w:val="00F245D1"/>
    <w:rsid w:val="00F257F1"/>
    <w:rsid w:val="00F25802"/>
    <w:rsid w:val="00F25A42"/>
    <w:rsid w:val="00F261CA"/>
    <w:rsid w:val="00F276DD"/>
    <w:rsid w:val="00F30E37"/>
    <w:rsid w:val="00F31DD6"/>
    <w:rsid w:val="00F32D9D"/>
    <w:rsid w:val="00F332D8"/>
    <w:rsid w:val="00F336A0"/>
    <w:rsid w:val="00F33740"/>
    <w:rsid w:val="00F3615A"/>
    <w:rsid w:val="00F363C3"/>
    <w:rsid w:val="00F36820"/>
    <w:rsid w:val="00F37817"/>
    <w:rsid w:val="00F37E6A"/>
    <w:rsid w:val="00F40062"/>
    <w:rsid w:val="00F405B4"/>
    <w:rsid w:val="00F405D9"/>
    <w:rsid w:val="00F40676"/>
    <w:rsid w:val="00F409AF"/>
    <w:rsid w:val="00F40D47"/>
    <w:rsid w:val="00F40DEF"/>
    <w:rsid w:val="00F429D0"/>
    <w:rsid w:val="00F42EC2"/>
    <w:rsid w:val="00F42F5A"/>
    <w:rsid w:val="00F4316A"/>
    <w:rsid w:val="00F437D3"/>
    <w:rsid w:val="00F43FB4"/>
    <w:rsid w:val="00F44E7E"/>
    <w:rsid w:val="00F45146"/>
    <w:rsid w:val="00F45E48"/>
    <w:rsid w:val="00F45FF7"/>
    <w:rsid w:val="00F4641D"/>
    <w:rsid w:val="00F4697F"/>
    <w:rsid w:val="00F47655"/>
    <w:rsid w:val="00F47670"/>
    <w:rsid w:val="00F47CAA"/>
    <w:rsid w:val="00F50035"/>
    <w:rsid w:val="00F507A9"/>
    <w:rsid w:val="00F50856"/>
    <w:rsid w:val="00F511EB"/>
    <w:rsid w:val="00F51634"/>
    <w:rsid w:val="00F51759"/>
    <w:rsid w:val="00F51BAE"/>
    <w:rsid w:val="00F52257"/>
    <w:rsid w:val="00F52667"/>
    <w:rsid w:val="00F53F45"/>
    <w:rsid w:val="00F53FF2"/>
    <w:rsid w:val="00F55B22"/>
    <w:rsid w:val="00F576B6"/>
    <w:rsid w:val="00F60173"/>
    <w:rsid w:val="00F6151C"/>
    <w:rsid w:val="00F62117"/>
    <w:rsid w:val="00F629BD"/>
    <w:rsid w:val="00F6356E"/>
    <w:rsid w:val="00F63807"/>
    <w:rsid w:val="00F638F0"/>
    <w:rsid w:val="00F63B76"/>
    <w:rsid w:val="00F63DBA"/>
    <w:rsid w:val="00F63FD8"/>
    <w:rsid w:val="00F649F2"/>
    <w:rsid w:val="00F65466"/>
    <w:rsid w:val="00F6564F"/>
    <w:rsid w:val="00F65761"/>
    <w:rsid w:val="00F65D71"/>
    <w:rsid w:val="00F6636E"/>
    <w:rsid w:val="00F672CE"/>
    <w:rsid w:val="00F67825"/>
    <w:rsid w:val="00F679F4"/>
    <w:rsid w:val="00F7024B"/>
    <w:rsid w:val="00F70CAE"/>
    <w:rsid w:val="00F70E71"/>
    <w:rsid w:val="00F70E76"/>
    <w:rsid w:val="00F71247"/>
    <w:rsid w:val="00F719FB"/>
    <w:rsid w:val="00F71FFF"/>
    <w:rsid w:val="00F72D89"/>
    <w:rsid w:val="00F73AE2"/>
    <w:rsid w:val="00F74EF3"/>
    <w:rsid w:val="00F75D98"/>
    <w:rsid w:val="00F7620D"/>
    <w:rsid w:val="00F7687B"/>
    <w:rsid w:val="00F76EE3"/>
    <w:rsid w:val="00F776C2"/>
    <w:rsid w:val="00F77A9B"/>
    <w:rsid w:val="00F80042"/>
    <w:rsid w:val="00F80DE2"/>
    <w:rsid w:val="00F81CB4"/>
    <w:rsid w:val="00F82907"/>
    <w:rsid w:val="00F82C76"/>
    <w:rsid w:val="00F830A0"/>
    <w:rsid w:val="00F83539"/>
    <w:rsid w:val="00F83BB4"/>
    <w:rsid w:val="00F844E1"/>
    <w:rsid w:val="00F8491B"/>
    <w:rsid w:val="00F8653B"/>
    <w:rsid w:val="00F8727D"/>
    <w:rsid w:val="00F906CC"/>
    <w:rsid w:val="00F90EE3"/>
    <w:rsid w:val="00F91330"/>
    <w:rsid w:val="00F91B34"/>
    <w:rsid w:val="00F92259"/>
    <w:rsid w:val="00F9231B"/>
    <w:rsid w:val="00F92326"/>
    <w:rsid w:val="00F926A0"/>
    <w:rsid w:val="00F926BF"/>
    <w:rsid w:val="00F93E3F"/>
    <w:rsid w:val="00F94A4A"/>
    <w:rsid w:val="00F94AAD"/>
    <w:rsid w:val="00F9582D"/>
    <w:rsid w:val="00F95B1A"/>
    <w:rsid w:val="00F95BC8"/>
    <w:rsid w:val="00F960E3"/>
    <w:rsid w:val="00F96864"/>
    <w:rsid w:val="00F97511"/>
    <w:rsid w:val="00F9768E"/>
    <w:rsid w:val="00FA166D"/>
    <w:rsid w:val="00FA1D37"/>
    <w:rsid w:val="00FA1F26"/>
    <w:rsid w:val="00FA28B6"/>
    <w:rsid w:val="00FA314C"/>
    <w:rsid w:val="00FA3C1D"/>
    <w:rsid w:val="00FA4412"/>
    <w:rsid w:val="00FA5388"/>
    <w:rsid w:val="00FA6420"/>
    <w:rsid w:val="00FA74BF"/>
    <w:rsid w:val="00FA75D1"/>
    <w:rsid w:val="00FA76DD"/>
    <w:rsid w:val="00FA78C8"/>
    <w:rsid w:val="00FB02F2"/>
    <w:rsid w:val="00FB2169"/>
    <w:rsid w:val="00FB29D9"/>
    <w:rsid w:val="00FB2C1F"/>
    <w:rsid w:val="00FB335A"/>
    <w:rsid w:val="00FB3E2A"/>
    <w:rsid w:val="00FB4183"/>
    <w:rsid w:val="00FB5BBE"/>
    <w:rsid w:val="00FB6100"/>
    <w:rsid w:val="00FC00B1"/>
    <w:rsid w:val="00FC05A3"/>
    <w:rsid w:val="00FC0E29"/>
    <w:rsid w:val="00FC0E42"/>
    <w:rsid w:val="00FC2C49"/>
    <w:rsid w:val="00FC3A62"/>
    <w:rsid w:val="00FC3B40"/>
    <w:rsid w:val="00FC3F05"/>
    <w:rsid w:val="00FC3FA9"/>
    <w:rsid w:val="00FC5652"/>
    <w:rsid w:val="00FC6E46"/>
    <w:rsid w:val="00FC704D"/>
    <w:rsid w:val="00FC71F0"/>
    <w:rsid w:val="00FD0265"/>
    <w:rsid w:val="00FD1120"/>
    <w:rsid w:val="00FD177F"/>
    <w:rsid w:val="00FD1976"/>
    <w:rsid w:val="00FD237C"/>
    <w:rsid w:val="00FD251D"/>
    <w:rsid w:val="00FD3056"/>
    <w:rsid w:val="00FD30D2"/>
    <w:rsid w:val="00FD3369"/>
    <w:rsid w:val="00FD3D91"/>
    <w:rsid w:val="00FD3F33"/>
    <w:rsid w:val="00FD4A18"/>
    <w:rsid w:val="00FD540F"/>
    <w:rsid w:val="00FD5638"/>
    <w:rsid w:val="00FD7551"/>
    <w:rsid w:val="00FD7C34"/>
    <w:rsid w:val="00FD7CD6"/>
    <w:rsid w:val="00FD7E2A"/>
    <w:rsid w:val="00FE00B7"/>
    <w:rsid w:val="00FE0287"/>
    <w:rsid w:val="00FE076D"/>
    <w:rsid w:val="00FE1247"/>
    <w:rsid w:val="00FE2A63"/>
    <w:rsid w:val="00FE2BF2"/>
    <w:rsid w:val="00FE3370"/>
    <w:rsid w:val="00FE3892"/>
    <w:rsid w:val="00FE39FC"/>
    <w:rsid w:val="00FE3AB2"/>
    <w:rsid w:val="00FE4176"/>
    <w:rsid w:val="00FE4474"/>
    <w:rsid w:val="00FE45F7"/>
    <w:rsid w:val="00FE5586"/>
    <w:rsid w:val="00FE5721"/>
    <w:rsid w:val="00FE66CC"/>
    <w:rsid w:val="00FE6D8B"/>
    <w:rsid w:val="00FE6DB3"/>
    <w:rsid w:val="00FE72EE"/>
    <w:rsid w:val="00FE76C8"/>
    <w:rsid w:val="00FE77CC"/>
    <w:rsid w:val="00FE79D7"/>
    <w:rsid w:val="00FF0683"/>
    <w:rsid w:val="00FF1DFD"/>
    <w:rsid w:val="00FF3EE4"/>
    <w:rsid w:val="00FF4058"/>
    <w:rsid w:val="00FF4534"/>
    <w:rsid w:val="00FF4886"/>
    <w:rsid w:val="00FF4CD8"/>
    <w:rsid w:val="00FF53A9"/>
    <w:rsid w:val="00FF5521"/>
    <w:rsid w:val="00FF66E1"/>
    <w:rsid w:val="00FF6BCA"/>
    <w:rsid w:val="00FF78A4"/>
    <w:rsid w:val="00FF7B05"/>
    <w:rsid w:val="0110682D"/>
    <w:rsid w:val="011D5B0B"/>
    <w:rsid w:val="013B5E8F"/>
    <w:rsid w:val="015713C6"/>
    <w:rsid w:val="01574962"/>
    <w:rsid w:val="01730A44"/>
    <w:rsid w:val="019A4593"/>
    <w:rsid w:val="01BD17FD"/>
    <w:rsid w:val="01E3445C"/>
    <w:rsid w:val="01F3365A"/>
    <w:rsid w:val="01FB0577"/>
    <w:rsid w:val="01FD57CA"/>
    <w:rsid w:val="020236B3"/>
    <w:rsid w:val="021603BA"/>
    <w:rsid w:val="027A76EE"/>
    <w:rsid w:val="027E79A5"/>
    <w:rsid w:val="02932388"/>
    <w:rsid w:val="02C4653C"/>
    <w:rsid w:val="02E91610"/>
    <w:rsid w:val="02EB239A"/>
    <w:rsid w:val="02F20C76"/>
    <w:rsid w:val="03007DA3"/>
    <w:rsid w:val="031A2931"/>
    <w:rsid w:val="03231B33"/>
    <w:rsid w:val="032E6420"/>
    <w:rsid w:val="03364348"/>
    <w:rsid w:val="0355706B"/>
    <w:rsid w:val="036F2FCB"/>
    <w:rsid w:val="03921B3D"/>
    <w:rsid w:val="03B057AD"/>
    <w:rsid w:val="03BC344D"/>
    <w:rsid w:val="03FF3E8D"/>
    <w:rsid w:val="04253689"/>
    <w:rsid w:val="04302795"/>
    <w:rsid w:val="04455BB0"/>
    <w:rsid w:val="0478099A"/>
    <w:rsid w:val="047A0BEB"/>
    <w:rsid w:val="047D3224"/>
    <w:rsid w:val="047E2E70"/>
    <w:rsid w:val="04D327C2"/>
    <w:rsid w:val="04F3381E"/>
    <w:rsid w:val="050B0AD1"/>
    <w:rsid w:val="051B73A4"/>
    <w:rsid w:val="05336FFF"/>
    <w:rsid w:val="053C5231"/>
    <w:rsid w:val="05551D4C"/>
    <w:rsid w:val="0593685B"/>
    <w:rsid w:val="059639EC"/>
    <w:rsid w:val="05B55C2C"/>
    <w:rsid w:val="05E7451C"/>
    <w:rsid w:val="064D1371"/>
    <w:rsid w:val="06682372"/>
    <w:rsid w:val="06767EE0"/>
    <w:rsid w:val="067747D3"/>
    <w:rsid w:val="06AE7966"/>
    <w:rsid w:val="06F246FF"/>
    <w:rsid w:val="0708176C"/>
    <w:rsid w:val="07142A68"/>
    <w:rsid w:val="07B06327"/>
    <w:rsid w:val="07DC0503"/>
    <w:rsid w:val="08042C23"/>
    <w:rsid w:val="08152DEA"/>
    <w:rsid w:val="083D71F3"/>
    <w:rsid w:val="08400A92"/>
    <w:rsid w:val="085E0C19"/>
    <w:rsid w:val="086D633F"/>
    <w:rsid w:val="08821CFD"/>
    <w:rsid w:val="08876507"/>
    <w:rsid w:val="08C711B3"/>
    <w:rsid w:val="08EF7504"/>
    <w:rsid w:val="096E5C43"/>
    <w:rsid w:val="09A34265"/>
    <w:rsid w:val="09C51A84"/>
    <w:rsid w:val="09CD27F9"/>
    <w:rsid w:val="09CF6DEE"/>
    <w:rsid w:val="0A176105"/>
    <w:rsid w:val="0A373F08"/>
    <w:rsid w:val="0A4703B1"/>
    <w:rsid w:val="0AA641B6"/>
    <w:rsid w:val="0ADE6740"/>
    <w:rsid w:val="0AF10769"/>
    <w:rsid w:val="0AFF2E86"/>
    <w:rsid w:val="0B1E2BEB"/>
    <w:rsid w:val="0B4B1C27"/>
    <w:rsid w:val="0B525990"/>
    <w:rsid w:val="0B536FB3"/>
    <w:rsid w:val="0B643C31"/>
    <w:rsid w:val="0B7800ED"/>
    <w:rsid w:val="0BDA30C8"/>
    <w:rsid w:val="0C1D56AA"/>
    <w:rsid w:val="0C262DC0"/>
    <w:rsid w:val="0C2F1549"/>
    <w:rsid w:val="0C3E12C4"/>
    <w:rsid w:val="0C465D81"/>
    <w:rsid w:val="0C5C292D"/>
    <w:rsid w:val="0C620B8A"/>
    <w:rsid w:val="0C8312A6"/>
    <w:rsid w:val="0CB711FC"/>
    <w:rsid w:val="0CC74EC1"/>
    <w:rsid w:val="0D0D3412"/>
    <w:rsid w:val="0D201D17"/>
    <w:rsid w:val="0D270407"/>
    <w:rsid w:val="0D330646"/>
    <w:rsid w:val="0D3A01A5"/>
    <w:rsid w:val="0D4436BB"/>
    <w:rsid w:val="0D5A6456"/>
    <w:rsid w:val="0D921D8F"/>
    <w:rsid w:val="0D995034"/>
    <w:rsid w:val="0E367CF9"/>
    <w:rsid w:val="0E793D6B"/>
    <w:rsid w:val="0EE13979"/>
    <w:rsid w:val="0EFF43BA"/>
    <w:rsid w:val="0F073C1A"/>
    <w:rsid w:val="0F1144EF"/>
    <w:rsid w:val="0F17457D"/>
    <w:rsid w:val="0F374C93"/>
    <w:rsid w:val="0F5337A0"/>
    <w:rsid w:val="0F5512C6"/>
    <w:rsid w:val="10305890"/>
    <w:rsid w:val="104355C3"/>
    <w:rsid w:val="105668F7"/>
    <w:rsid w:val="1098143A"/>
    <w:rsid w:val="10B71B0D"/>
    <w:rsid w:val="10BE686E"/>
    <w:rsid w:val="10E62602"/>
    <w:rsid w:val="110412C8"/>
    <w:rsid w:val="111E6800"/>
    <w:rsid w:val="11302D3E"/>
    <w:rsid w:val="11535080"/>
    <w:rsid w:val="11665A0D"/>
    <w:rsid w:val="116A4DD1"/>
    <w:rsid w:val="117C590D"/>
    <w:rsid w:val="11BB0768"/>
    <w:rsid w:val="11D50142"/>
    <w:rsid w:val="12072620"/>
    <w:rsid w:val="120E0865"/>
    <w:rsid w:val="120F5F48"/>
    <w:rsid w:val="1210249A"/>
    <w:rsid w:val="1224325E"/>
    <w:rsid w:val="124900A0"/>
    <w:rsid w:val="129D5317"/>
    <w:rsid w:val="12A06CFD"/>
    <w:rsid w:val="12BA166A"/>
    <w:rsid w:val="12BD7EC0"/>
    <w:rsid w:val="12CC07B6"/>
    <w:rsid w:val="131A4DD8"/>
    <w:rsid w:val="13623FB2"/>
    <w:rsid w:val="13824654"/>
    <w:rsid w:val="13AA475F"/>
    <w:rsid w:val="13C77E03"/>
    <w:rsid w:val="13C956A6"/>
    <w:rsid w:val="13F11A8E"/>
    <w:rsid w:val="14815E72"/>
    <w:rsid w:val="149363ED"/>
    <w:rsid w:val="14977C8B"/>
    <w:rsid w:val="14AE03A7"/>
    <w:rsid w:val="14B1672A"/>
    <w:rsid w:val="151F53CF"/>
    <w:rsid w:val="15346F35"/>
    <w:rsid w:val="155C2C83"/>
    <w:rsid w:val="15924B9F"/>
    <w:rsid w:val="1598015F"/>
    <w:rsid w:val="15E2762C"/>
    <w:rsid w:val="15F629F5"/>
    <w:rsid w:val="16314917"/>
    <w:rsid w:val="164E4CC1"/>
    <w:rsid w:val="16543395"/>
    <w:rsid w:val="165D6CB3"/>
    <w:rsid w:val="16AC3CD5"/>
    <w:rsid w:val="17095ECB"/>
    <w:rsid w:val="172F064F"/>
    <w:rsid w:val="1739327C"/>
    <w:rsid w:val="173F00CD"/>
    <w:rsid w:val="17563E2E"/>
    <w:rsid w:val="1763754F"/>
    <w:rsid w:val="17946704"/>
    <w:rsid w:val="17A0275C"/>
    <w:rsid w:val="17B042F1"/>
    <w:rsid w:val="181635BD"/>
    <w:rsid w:val="182B350C"/>
    <w:rsid w:val="1834431D"/>
    <w:rsid w:val="18604028"/>
    <w:rsid w:val="187271F8"/>
    <w:rsid w:val="187F1162"/>
    <w:rsid w:val="18B35450"/>
    <w:rsid w:val="18D34B81"/>
    <w:rsid w:val="190A7D26"/>
    <w:rsid w:val="19106403"/>
    <w:rsid w:val="191F6C13"/>
    <w:rsid w:val="1947067E"/>
    <w:rsid w:val="196608D3"/>
    <w:rsid w:val="19C94927"/>
    <w:rsid w:val="19D7655B"/>
    <w:rsid w:val="1A085187"/>
    <w:rsid w:val="1A1E4647"/>
    <w:rsid w:val="1A635DE4"/>
    <w:rsid w:val="1A997188"/>
    <w:rsid w:val="1ADD03C2"/>
    <w:rsid w:val="1AE4114C"/>
    <w:rsid w:val="1AED052F"/>
    <w:rsid w:val="1B157B5C"/>
    <w:rsid w:val="1B1A295C"/>
    <w:rsid w:val="1B244243"/>
    <w:rsid w:val="1B7965A1"/>
    <w:rsid w:val="1B866CAC"/>
    <w:rsid w:val="1BA95474"/>
    <w:rsid w:val="1BB76484"/>
    <w:rsid w:val="1BE35EAC"/>
    <w:rsid w:val="1C055E22"/>
    <w:rsid w:val="1C2F4C4D"/>
    <w:rsid w:val="1C4050AC"/>
    <w:rsid w:val="1C890801"/>
    <w:rsid w:val="1CA613B3"/>
    <w:rsid w:val="1CC4027F"/>
    <w:rsid w:val="1CC90EC3"/>
    <w:rsid w:val="1CFE1CD3"/>
    <w:rsid w:val="1D187DD7"/>
    <w:rsid w:val="1D24677C"/>
    <w:rsid w:val="1D4B1F5B"/>
    <w:rsid w:val="1D6A30B7"/>
    <w:rsid w:val="1D864D41"/>
    <w:rsid w:val="1DA344B8"/>
    <w:rsid w:val="1DB870B1"/>
    <w:rsid w:val="1DCF4116"/>
    <w:rsid w:val="1DF714E8"/>
    <w:rsid w:val="1DFC27A3"/>
    <w:rsid w:val="1E307F52"/>
    <w:rsid w:val="1E384097"/>
    <w:rsid w:val="1E5066BA"/>
    <w:rsid w:val="1E854FF8"/>
    <w:rsid w:val="1E9049CE"/>
    <w:rsid w:val="1EC57AEB"/>
    <w:rsid w:val="1EC73863"/>
    <w:rsid w:val="1ED3759B"/>
    <w:rsid w:val="1EF81C6E"/>
    <w:rsid w:val="1EFC175F"/>
    <w:rsid w:val="1F4842E9"/>
    <w:rsid w:val="1F635CD3"/>
    <w:rsid w:val="1FA478ED"/>
    <w:rsid w:val="1FAE25D2"/>
    <w:rsid w:val="200611DF"/>
    <w:rsid w:val="203E6491"/>
    <w:rsid w:val="20BD4F1E"/>
    <w:rsid w:val="20BD77E2"/>
    <w:rsid w:val="20C82596"/>
    <w:rsid w:val="20E701EC"/>
    <w:rsid w:val="20EF2578"/>
    <w:rsid w:val="212740EF"/>
    <w:rsid w:val="212A6A4C"/>
    <w:rsid w:val="219B6E79"/>
    <w:rsid w:val="21A535C2"/>
    <w:rsid w:val="21B52F70"/>
    <w:rsid w:val="21EB044A"/>
    <w:rsid w:val="22356C88"/>
    <w:rsid w:val="223F6BD2"/>
    <w:rsid w:val="22543660"/>
    <w:rsid w:val="22573718"/>
    <w:rsid w:val="227F4BB4"/>
    <w:rsid w:val="2288155B"/>
    <w:rsid w:val="22B9510D"/>
    <w:rsid w:val="22C877B4"/>
    <w:rsid w:val="230010F2"/>
    <w:rsid w:val="23671171"/>
    <w:rsid w:val="237C4C1C"/>
    <w:rsid w:val="23917D56"/>
    <w:rsid w:val="23AB5501"/>
    <w:rsid w:val="23DE793C"/>
    <w:rsid w:val="23E21811"/>
    <w:rsid w:val="24125580"/>
    <w:rsid w:val="242A65FD"/>
    <w:rsid w:val="24340889"/>
    <w:rsid w:val="243B2D68"/>
    <w:rsid w:val="244153BC"/>
    <w:rsid w:val="244F2331"/>
    <w:rsid w:val="247933FD"/>
    <w:rsid w:val="24CF1181"/>
    <w:rsid w:val="24CF6FCD"/>
    <w:rsid w:val="24F75B0E"/>
    <w:rsid w:val="253432D4"/>
    <w:rsid w:val="255676EF"/>
    <w:rsid w:val="25671385"/>
    <w:rsid w:val="25901978"/>
    <w:rsid w:val="25C96113"/>
    <w:rsid w:val="25EA625C"/>
    <w:rsid w:val="269347C3"/>
    <w:rsid w:val="26A5448A"/>
    <w:rsid w:val="26B3151D"/>
    <w:rsid w:val="27421CD9"/>
    <w:rsid w:val="276B56D3"/>
    <w:rsid w:val="27786297"/>
    <w:rsid w:val="27912C60"/>
    <w:rsid w:val="279F2553"/>
    <w:rsid w:val="27CC5A46"/>
    <w:rsid w:val="27CE17BE"/>
    <w:rsid w:val="27D66B0F"/>
    <w:rsid w:val="27E71368"/>
    <w:rsid w:val="280B7F29"/>
    <w:rsid w:val="282B536B"/>
    <w:rsid w:val="286A1166"/>
    <w:rsid w:val="2886498C"/>
    <w:rsid w:val="28930E44"/>
    <w:rsid w:val="289355D4"/>
    <w:rsid w:val="28C521BA"/>
    <w:rsid w:val="293B7D70"/>
    <w:rsid w:val="29453CC8"/>
    <w:rsid w:val="2959155B"/>
    <w:rsid w:val="29695C42"/>
    <w:rsid w:val="2996455E"/>
    <w:rsid w:val="299710B2"/>
    <w:rsid w:val="299F7F14"/>
    <w:rsid w:val="29EB07BD"/>
    <w:rsid w:val="29EC3336"/>
    <w:rsid w:val="2A505BBC"/>
    <w:rsid w:val="2A665123"/>
    <w:rsid w:val="2AC05D36"/>
    <w:rsid w:val="2AE16E96"/>
    <w:rsid w:val="2B01169F"/>
    <w:rsid w:val="2B083FB6"/>
    <w:rsid w:val="2B1D1263"/>
    <w:rsid w:val="2B46582D"/>
    <w:rsid w:val="2B9D1CC1"/>
    <w:rsid w:val="2BD81BC4"/>
    <w:rsid w:val="2C0F23A5"/>
    <w:rsid w:val="2C2E0A7D"/>
    <w:rsid w:val="2C331F7B"/>
    <w:rsid w:val="2C936DAF"/>
    <w:rsid w:val="2C9F7BCD"/>
    <w:rsid w:val="2CB25B52"/>
    <w:rsid w:val="2CC6515A"/>
    <w:rsid w:val="2CF56F07"/>
    <w:rsid w:val="2D084C8A"/>
    <w:rsid w:val="2D1C121E"/>
    <w:rsid w:val="2D4E65FB"/>
    <w:rsid w:val="2D820DFF"/>
    <w:rsid w:val="2DB71C8D"/>
    <w:rsid w:val="2E070A94"/>
    <w:rsid w:val="2E3E788B"/>
    <w:rsid w:val="2E4769EB"/>
    <w:rsid w:val="2E513E10"/>
    <w:rsid w:val="2E571BB2"/>
    <w:rsid w:val="2E7A6874"/>
    <w:rsid w:val="2E8964C8"/>
    <w:rsid w:val="2E8E35A8"/>
    <w:rsid w:val="2EF41BF8"/>
    <w:rsid w:val="2F2F1519"/>
    <w:rsid w:val="2F3E36CD"/>
    <w:rsid w:val="2F566359"/>
    <w:rsid w:val="2F73653C"/>
    <w:rsid w:val="2F786096"/>
    <w:rsid w:val="2F890813"/>
    <w:rsid w:val="2FA00426"/>
    <w:rsid w:val="2FAD795C"/>
    <w:rsid w:val="2FC35981"/>
    <w:rsid w:val="2FC47A5C"/>
    <w:rsid w:val="2FC932A5"/>
    <w:rsid w:val="2FCA31B3"/>
    <w:rsid w:val="302B7C66"/>
    <w:rsid w:val="303045DB"/>
    <w:rsid w:val="30367754"/>
    <w:rsid w:val="303E3CB6"/>
    <w:rsid w:val="303F179A"/>
    <w:rsid w:val="30417FE3"/>
    <w:rsid w:val="307373A7"/>
    <w:rsid w:val="309535F4"/>
    <w:rsid w:val="309B5FD7"/>
    <w:rsid w:val="30AC4955"/>
    <w:rsid w:val="30BD0622"/>
    <w:rsid w:val="30CE3B98"/>
    <w:rsid w:val="30EF1041"/>
    <w:rsid w:val="30F21034"/>
    <w:rsid w:val="311A11AA"/>
    <w:rsid w:val="313A36E5"/>
    <w:rsid w:val="3144195A"/>
    <w:rsid w:val="31576CC8"/>
    <w:rsid w:val="318D2F41"/>
    <w:rsid w:val="31B25CAD"/>
    <w:rsid w:val="320D376A"/>
    <w:rsid w:val="32180206"/>
    <w:rsid w:val="321B2412"/>
    <w:rsid w:val="32715878"/>
    <w:rsid w:val="32734C74"/>
    <w:rsid w:val="32757CBE"/>
    <w:rsid w:val="327F6BB9"/>
    <w:rsid w:val="32802563"/>
    <w:rsid w:val="32910F8A"/>
    <w:rsid w:val="32D95C59"/>
    <w:rsid w:val="32E8188E"/>
    <w:rsid w:val="32F83B93"/>
    <w:rsid w:val="330B38C7"/>
    <w:rsid w:val="334A5D34"/>
    <w:rsid w:val="335A484E"/>
    <w:rsid w:val="335E3471"/>
    <w:rsid w:val="33670B3B"/>
    <w:rsid w:val="337208FD"/>
    <w:rsid w:val="33962A97"/>
    <w:rsid w:val="33B757FC"/>
    <w:rsid w:val="33BF3369"/>
    <w:rsid w:val="33C770DC"/>
    <w:rsid w:val="33F47ECB"/>
    <w:rsid w:val="34270BD4"/>
    <w:rsid w:val="342C58A4"/>
    <w:rsid w:val="343D21A6"/>
    <w:rsid w:val="348C4EDB"/>
    <w:rsid w:val="34FE1A58"/>
    <w:rsid w:val="350A1125"/>
    <w:rsid w:val="351C630A"/>
    <w:rsid w:val="356E27AC"/>
    <w:rsid w:val="35920B41"/>
    <w:rsid w:val="36044383"/>
    <w:rsid w:val="36873BAC"/>
    <w:rsid w:val="368D0EDC"/>
    <w:rsid w:val="368E2312"/>
    <w:rsid w:val="36A93BA4"/>
    <w:rsid w:val="36BD312A"/>
    <w:rsid w:val="36EC7EB3"/>
    <w:rsid w:val="36EF2EE3"/>
    <w:rsid w:val="37145187"/>
    <w:rsid w:val="37277A20"/>
    <w:rsid w:val="372F1B4E"/>
    <w:rsid w:val="373936EB"/>
    <w:rsid w:val="374529EC"/>
    <w:rsid w:val="37607F59"/>
    <w:rsid w:val="376E6B1A"/>
    <w:rsid w:val="379D074A"/>
    <w:rsid w:val="37AA4173"/>
    <w:rsid w:val="37E62B54"/>
    <w:rsid w:val="37EF1A09"/>
    <w:rsid w:val="37F54B45"/>
    <w:rsid w:val="380D00E1"/>
    <w:rsid w:val="381F2A9E"/>
    <w:rsid w:val="38455ACD"/>
    <w:rsid w:val="3854495D"/>
    <w:rsid w:val="3888450E"/>
    <w:rsid w:val="38B36D05"/>
    <w:rsid w:val="38E86458"/>
    <w:rsid w:val="38FF4BB4"/>
    <w:rsid w:val="393022D9"/>
    <w:rsid w:val="395A0F74"/>
    <w:rsid w:val="397F500E"/>
    <w:rsid w:val="39932868"/>
    <w:rsid w:val="39950F74"/>
    <w:rsid w:val="39A01211"/>
    <w:rsid w:val="39B62157"/>
    <w:rsid w:val="3A0177D1"/>
    <w:rsid w:val="3A313DDF"/>
    <w:rsid w:val="3A3A5DC4"/>
    <w:rsid w:val="3A3D3AC0"/>
    <w:rsid w:val="3A9B0889"/>
    <w:rsid w:val="3AC23204"/>
    <w:rsid w:val="3B31262C"/>
    <w:rsid w:val="3B4A184C"/>
    <w:rsid w:val="3B9A7EDD"/>
    <w:rsid w:val="3BD31D36"/>
    <w:rsid w:val="3C186ADD"/>
    <w:rsid w:val="3C452FAA"/>
    <w:rsid w:val="3C88659C"/>
    <w:rsid w:val="3CAF5C0A"/>
    <w:rsid w:val="3CC17618"/>
    <w:rsid w:val="3CD80BD7"/>
    <w:rsid w:val="3CFF21A4"/>
    <w:rsid w:val="3D3377A0"/>
    <w:rsid w:val="3D337994"/>
    <w:rsid w:val="3D3D6D72"/>
    <w:rsid w:val="3D565BA3"/>
    <w:rsid w:val="3D6F2940"/>
    <w:rsid w:val="3D974FB8"/>
    <w:rsid w:val="3DBA1FEE"/>
    <w:rsid w:val="3E1B14D0"/>
    <w:rsid w:val="3E3E0636"/>
    <w:rsid w:val="3E3F6B1A"/>
    <w:rsid w:val="3E49293D"/>
    <w:rsid w:val="3E93012D"/>
    <w:rsid w:val="3EBE277C"/>
    <w:rsid w:val="3ECF4A76"/>
    <w:rsid w:val="3ED214CB"/>
    <w:rsid w:val="3EED4015"/>
    <w:rsid w:val="3EF45B64"/>
    <w:rsid w:val="3EFC0AC5"/>
    <w:rsid w:val="3F21368E"/>
    <w:rsid w:val="3F626F64"/>
    <w:rsid w:val="3F6A15F1"/>
    <w:rsid w:val="3F9B24F2"/>
    <w:rsid w:val="3FD848B3"/>
    <w:rsid w:val="3FDE44E0"/>
    <w:rsid w:val="3FFD4626"/>
    <w:rsid w:val="404E573A"/>
    <w:rsid w:val="40534AFF"/>
    <w:rsid w:val="406D5B3B"/>
    <w:rsid w:val="40727482"/>
    <w:rsid w:val="407B60F0"/>
    <w:rsid w:val="4088784E"/>
    <w:rsid w:val="40980BF5"/>
    <w:rsid w:val="40C81049"/>
    <w:rsid w:val="4102165B"/>
    <w:rsid w:val="41745D19"/>
    <w:rsid w:val="41815F9D"/>
    <w:rsid w:val="41911D83"/>
    <w:rsid w:val="41AE6491"/>
    <w:rsid w:val="41E87DF7"/>
    <w:rsid w:val="41F2325A"/>
    <w:rsid w:val="41F93484"/>
    <w:rsid w:val="41FE06F6"/>
    <w:rsid w:val="423A5F76"/>
    <w:rsid w:val="424A253E"/>
    <w:rsid w:val="42611755"/>
    <w:rsid w:val="42877C53"/>
    <w:rsid w:val="4289012F"/>
    <w:rsid w:val="42A17DA3"/>
    <w:rsid w:val="42B17231"/>
    <w:rsid w:val="42BD2013"/>
    <w:rsid w:val="432B4907"/>
    <w:rsid w:val="433F1E8C"/>
    <w:rsid w:val="434729F6"/>
    <w:rsid w:val="435968D0"/>
    <w:rsid w:val="43803CDB"/>
    <w:rsid w:val="439E2535"/>
    <w:rsid w:val="43B228DE"/>
    <w:rsid w:val="43BD5855"/>
    <w:rsid w:val="444A06A6"/>
    <w:rsid w:val="455722BD"/>
    <w:rsid w:val="4577303D"/>
    <w:rsid w:val="45B67F11"/>
    <w:rsid w:val="45C04D0F"/>
    <w:rsid w:val="45D9381D"/>
    <w:rsid w:val="460A5E8F"/>
    <w:rsid w:val="469B54A8"/>
    <w:rsid w:val="46B5206F"/>
    <w:rsid w:val="46B863B2"/>
    <w:rsid w:val="46E841F3"/>
    <w:rsid w:val="47017063"/>
    <w:rsid w:val="47066CD8"/>
    <w:rsid w:val="471F0C84"/>
    <w:rsid w:val="474451A1"/>
    <w:rsid w:val="47C85DD2"/>
    <w:rsid w:val="47CD68E0"/>
    <w:rsid w:val="483141ED"/>
    <w:rsid w:val="48831CF9"/>
    <w:rsid w:val="4893018E"/>
    <w:rsid w:val="48BC3770"/>
    <w:rsid w:val="48C22822"/>
    <w:rsid w:val="48F21359"/>
    <w:rsid w:val="492E674B"/>
    <w:rsid w:val="49330055"/>
    <w:rsid w:val="49474179"/>
    <w:rsid w:val="49535B70"/>
    <w:rsid w:val="495F4514"/>
    <w:rsid w:val="496A7603"/>
    <w:rsid w:val="49A2498B"/>
    <w:rsid w:val="49ED624D"/>
    <w:rsid w:val="49ED6F18"/>
    <w:rsid w:val="49EF7646"/>
    <w:rsid w:val="4A073E3C"/>
    <w:rsid w:val="4A0A1027"/>
    <w:rsid w:val="4A383145"/>
    <w:rsid w:val="4A4537A6"/>
    <w:rsid w:val="4A5A450B"/>
    <w:rsid w:val="4A677FE9"/>
    <w:rsid w:val="4A6F69D9"/>
    <w:rsid w:val="4A924726"/>
    <w:rsid w:val="4ADF4022"/>
    <w:rsid w:val="4AF51C48"/>
    <w:rsid w:val="4B06086B"/>
    <w:rsid w:val="4B116D90"/>
    <w:rsid w:val="4B181965"/>
    <w:rsid w:val="4B242B20"/>
    <w:rsid w:val="4B644823"/>
    <w:rsid w:val="4B7C190E"/>
    <w:rsid w:val="4BD034A7"/>
    <w:rsid w:val="4BF70A34"/>
    <w:rsid w:val="4C1867E8"/>
    <w:rsid w:val="4C3752D5"/>
    <w:rsid w:val="4C4317B4"/>
    <w:rsid w:val="4C435948"/>
    <w:rsid w:val="4C4B0D80"/>
    <w:rsid w:val="4C5973D7"/>
    <w:rsid w:val="4C627CDE"/>
    <w:rsid w:val="4C6A56AA"/>
    <w:rsid w:val="4C7121C6"/>
    <w:rsid w:val="4C746529"/>
    <w:rsid w:val="4C785F1B"/>
    <w:rsid w:val="4C9A25E8"/>
    <w:rsid w:val="4C9E6FD7"/>
    <w:rsid w:val="4CB25DEA"/>
    <w:rsid w:val="4D3D691B"/>
    <w:rsid w:val="4D782049"/>
    <w:rsid w:val="4E255E4C"/>
    <w:rsid w:val="4E2F6BAB"/>
    <w:rsid w:val="4E447D35"/>
    <w:rsid w:val="4E4D2D2D"/>
    <w:rsid w:val="4EA13A5C"/>
    <w:rsid w:val="4EEA0919"/>
    <w:rsid w:val="4F2955FF"/>
    <w:rsid w:val="4F5057E1"/>
    <w:rsid w:val="4F5166AD"/>
    <w:rsid w:val="4F594BD8"/>
    <w:rsid w:val="4F7702AD"/>
    <w:rsid w:val="4F7D53B8"/>
    <w:rsid w:val="4F7E0512"/>
    <w:rsid w:val="4FA62E9D"/>
    <w:rsid w:val="4FB503DB"/>
    <w:rsid w:val="4FD25A40"/>
    <w:rsid w:val="50352A1E"/>
    <w:rsid w:val="503D3A8F"/>
    <w:rsid w:val="50B82942"/>
    <w:rsid w:val="50B87AF1"/>
    <w:rsid w:val="50F80BA4"/>
    <w:rsid w:val="5108493A"/>
    <w:rsid w:val="5152445F"/>
    <w:rsid w:val="515B4225"/>
    <w:rsid w:val="51E602FA"/>
    <w:rsid w:val="51E657D3"/>
    <w:rsid w:val="52491C87"/>
    <w:rsid w:val="52676617"/>
    <w:rsid w:val="528818DA"/>
    <w:rsid w:val="52B7342E"/>
    <w:rsid w:val="52BB0686"/>
    <w:rsid w:val="52BB6CD7"/>
    <w:rsid w:val="52C0754D"/>
    <w:rsid w:val="530602B8"/>
    <w:rsid w:val="53176E12"/>
    <w:rsid w:val="532F3457"/>
    <w:rsid w:val="5346652B"/>
    <w:rsid w:val="53554FC2"/>
    <w:rsid w:val="5362532D"/>
    <w:rsid w:val="53744075"/>
    <w:rsid w:val="53A57FA5"/>
    <w:rsid w:val="53AB7AD4"/>
    <w:rsid w:val="53F02939"/>
    <w:rsid w:val="540E1011"/>
    <w:rsid w:val="54224ABC"/>
    <w:rsid w:val="54430CDC"/>
    <w:rsid w:val="54810649"/>
    <w:rsid w:val="548B5A69"/>
    <w:rsid w:val="548D0188"/>
    <w:rsid w:val="54A12C0A"/>
    <w:rsid w:val="554F368F"/>
    <w:rsid w:val="55805699"/>
    <w:rsid w:val="558C4F69"/>
    <w:rsid w:val="558E2347"/>
    <w:rsid w:val="55A47105"/>
    <w:rsid w:val="55D9793E"/>
    <w:rsid w:val="55E026A2"/>
    <w:rsid w:val="55E276DA"/>
    <w:rsid w:val="560A3DB7"/>
    <w:rsid w:val="561227A5"/>
    <w:rsid w:val="56747E5C"/>
    <w:rsid w:val="56766650"/>
    <w:rsid w:val="568F467F"/>
    <w:rsid w:val="56A45213"/>
    <w:rsid w:val="56B97667"/>
    <w:rsid w:val="56C1236A"/>
    <w:rsid w:val="5708799A"/>
    <w:rsid w:val="57617841"/>
    <w:rsid w:val="576C3E45"/>
    <w:rsid w:val="57CC4FA3"/>
    <w:rsid w:val="57E10458"/>
    <w:rsid w:val="57FB9B67"/>
    <w:rsid w:val="585C3C2E"/>
    <w:rsid w:val="58A12453"/>
    <w:rsid w:val="58C93A68"/>
    <w:rsid w:val="590E7F53"/>
    <w:rsid w:val="59253085"/>
    <w:rsid w:val="594352B9"/>
    <w:rsid w:val="594C104E"/>
    <w:rsid w:val="594F43C0"/>
    <w:rsid w:val="595030DD"/>
    <w:rsid w:val="59CD7B31"/>
    <w:rsid w:val="5A04713E"/>
    <w:rsid w:val="5A403EEE"/>
    <w:rsid w:val="5A413125"/>
    <w:rsid w:val="5A4C5139"/>
    <w:rsid w:val="5AD07020"/>
    <w:rsid w:val="5AEE5423"/>
    <w:rsid w:val="5B1C2E57"/>
    <w:rsid w:val="5B2D16C7"/>
    <w:rsid w:val="5B4D4778"/>
    <w:rsid w:val="5B667984"/>
    <w:rsid w:val="5BA279E2"/>
    <w:rsid w:val="5BAE68A6"/>
    <w:rsid w:val="5BEB0156"/>
    <w:rsid w:val="5C34503D"/>
    <w:rsid w:val="5C3636FE"/>
    <w:rsid w:val="5C645C72"/>
    <w:rsid w:val="5C9A78E6"/>
    <w:rsid w:val="5CB00EB7"/>
    <w:rsid w:val="5CE55301"/>
    <w:rsid w:val="5CFE1BA3"/>
    <w:rsid w:val="5CFF619C"/>
    <w:rsid w:val="5D0F4874"/>
    <w:rsid w:val="5D281E8C"/>
    <w:rsid w:val="5D296EBB"/>
    <w:rsid w:val="5D2B6790"/>
    <w:rsid w:val="5D324D98"/>
    <w:rsid w:val="5D3C5F7F"/>
    <w:rsid w:val="5D72616D"/>
    <w:rsid w:val="5D7C6FEB"/>
    <w:rsid w:val="5DD931C1"/>
    <w:rsid w:val="5DFC0FC1"/>
    <w:rsid w:val="5E111619"/>
    <w:rsid w:val="5E47584B"/>
    <w:rsid w:val="5E5D0BCB"/>
    <w:rsid w:val="5EA110E0"/>
    <w:rsid w:val="5EC11B31"/>
    <w:rsid w:val="5ED725C3"/>
    <w:rsid w:val="5EF0415E"/>
    <w:rsid w:val="5EFF7ED4"/>
    <w:rsid w:val="5F1E7D96"/>
    <w:rsid w:val="5F87304F"/>
    <w:rsid w:val="5F90523A"/>
    <w:rsid w:val="5FA171DD"/>
    <w:rsid w:val="5FCC56BC"/>
    <w:rsid w:val="5FDA5AA2"/>
    <w:rsid w:val="60082DB8"/>
    <w:rsid w:val="60215E60"/>
    <w:rsid w:val="614F1B17"/>
    <w:rsid w:val="616044A2"/>
    <w:rsid w:val="618D5C6B"/>
    <w:rsid w:val="61C8265E"/>
    <w:rsid w:val="61D04001"/>
    <w:rsid w:val="61EC024E"/>
    <w:rsid w:val="62286FA5"/>
    <w:rsid w:val="62652587"/>
    <w:rsid w:val="62652744"/>
    <w:rsid w:val="62EA0E9B"/>
    <w:rsid w:val="62EB414C"/>
    <w:rsid w:val="63091321"/>
    <w:rsid w:val="630E5994"/>
    <w:rsid w:val="63267B8A"/>
    <w:rsid w:val="632950E8"/>
    <w:rsid w:val="634C0410"/>
    <w:rsid w:val="63770981"/>
    <w:rsid w:val="63910BEC"/>
    <w:rsid w:val="639654CB"/>
    <w:rsid w:val="63F25DF1"/>
    <w:rsid w:val="63FE3A6A"/>
    <w:rsid w:val="64012174"/>
    <w:rsid w:val="64191A38"/>
    <w:rsid w:val="644A511E"/>
    <w:rsid w:val="64550596"/>
    <w:rsid w:val="64711BB5"/>
    <w:rsid w:val="64715C24"/>
    <w:rsid w:val="64B3521B"/>
    <w:rsid w:val="64C153AE"/>
    <w:rsid w:val="64E94F4F"/>
    <w:rsid w:val="652266CA"/>
    <w:rsid w:val="6527620B"/>
    <w:rsid w:val="652A608B"/>
    <w:rsid w:val="653B5B5C"/>
    <w:rsid w:val="654C1062"/>
    <w:rsid w:val="6569367B"/>
    <w:rsid w:val="658E1A22"/>
    <w:rsid w:val="65DA71AD"/>
    <w:rsid w:val="66195168"/>
    <w:rsid w:val="66576847"/>
    <w:rsid w:val="66676269"/>
    <w:rsid w:val="666F7620"/>
    <w:rsid w:val="667C1E0A"/>
    <w:rsid w:val="6693422C"/>
    <w:rsid w:val="66934BCC"/>
    <w:rsid w:val="66A1310A"/>
    <w:rsid w:val="66AB26EF"/>
    <w:rsid w:val="673F0005"/>
    <w:rsid w:val="678A77B5"/>
    <w:rsid w:val="67AB6E4B"/>
    <w:rsid w:val="67AC7271"/>
    <w:rsid w:val="67E23563"/>
    <w:rsid w:val="67F0485E"/>
    <w:rsid w:val="68531926"/>
    <w:rsid w:val="687078B0"/>
    <w:rsid w:val="68715F0B"/>
    <w:rsid w:val="68E372C8"/>
    <w:rsid w:val="691622F6"/>
    <w:rsid w:val="6980106E"/>
    <w:rsid w:val="69817DBD"/>
    <w:rsid w:val="69D27DBE"/>
    <w:rsid w:val="6A1D56B2"/>
    <w:rsid w:val="6A29758A"/>
    <w:rsid w:val="6A317405"/>
    <w:rsid w:val="6A3B4237"/>
    <w:rsid w:val="6A4A51B2"/>
    <w:rsid w:val="6A701C86"/>
    <w:rsid w:val="6A7618A7"/>
    <w:rsid w:val="6A771185"/>
    <w:rsid w:val="6AB204F0"/>
    <w:rsid w:val="6AD2401F"/>
    <w:rsid w:val="6AD36287"/>
    <w:rsid w:val="6ADF18A4"/>
    <w:rsid w:val="6ADF5B82"/>
    <w:rsid w:val="6B08141A"/>
    <w:rsid w:val="6B1E5B86"/>
    <w:rsid w:val="6B280A88"/>
    <w:rsid w:val="6B443C1E"/>
    <w:rsid w:val="6B480E55"/>
    <w:rsid w:val="6B5C337A"/>
    <w:rsid w:val="6B71426E"/>
    <w:rsid w:val="6BAD388A"/>
    <w:rsid w:val="6C1331CB"/>
    <w:rsid w:val="6C3E0BDF"/>
    <w:rsid w:val="6C640B82"/>
    <w:rsid w:val="6C6A090B"/>
    <w:rsid w:val="6C884E83"/>
    <w:rsid w:val="6C8B0FF9"/>
    <w:rsid w:val="6CAE0071"/>
    <w:rsid w:val="6CF7C9D9"/>
    <w:rsid w:val="6D24654F"/>
    <w:rsid w:val="6D3011F6"/>
    <w:rsid w:val="6D524368"/>
    <w:rsid w:val="6D605470"/>
    <w:rsid w:val="6DD8453C"/>
    <w:rsid w:val="6E6D6BF9"/>
    <w:rsid w:val="6E7F693B"/>
    <w:rsid w:val="6EA81F3E"/>
    <w:rsid w:val="6EFE3D04"/>
    <w:rsid w:val="6F2319BD"/>
    <w:rsid w:val="6F5E3219"/>
    <w:rsid w:val="6F6F567F"/>
    <w:rsid w:val="6F793E34"/>
    <w:rsid w:val="6F926779"/>
    <w:rsid w:val="6F937D76"/>
    <w:rsid w:val="6FBE2549"/>
    <w:rsid w:val="6FCC795E"/>
    <w:rsid w:val="6FDB225A"/>
    <w:rsid w:val="6FE17402"/>
    <w:rsid w:val="70082960"/>
    <w:rsid w:val="700F3BC5"/>
    <w:rsid w:val="701C7B88"/>
    <w:rsid w:val="70293003"/>
    <w:rsid w:val="70324291"/>
    <w:rsid w:val="7075351C"/>
    <w:rsid w:val="708B5A25"/>
    <w:rsid w:val="70AE6645"/>
    <w:rsid w:val="70B40E69"/>
    <w:rsid w:val="70D365F6"/>
    <w:rsid w:val="711B1D67"/>
    <w:rsid w:val="717128D0"/>
    <w:rsid w:val="719F3C88"/>
    <w:rsid w:val="71A861A9"/>
    <w:rsid w:val="722D28F1"/>
    <w:rsid w:val="72357A4A"/>
    <w:rsid w:val="72380E7F"/>
    <w:rsid w:val="723E4F1D"/>
    <w:rsid w:val="724E6D50"/>
    <w:rsid w:val="72516841"/>
    <w:rsid w:val="726D18BD"/>
    <w:rsid w:val="72904076"/>
    <w:rsid w:val="729606F7"/>
    <w:rsid w:val="72B45759"/>
    <w:rsid w:val="72B61F5C"/>
    <w:rsid w:val="72BA3919"/>
    <w:rsid w:val="72BF7C4E"/>
    <w:rsid w:val="733B34E6"/>
    <w:rsid w:val="733C304D"/>
    <w:rsid w:val="735C01E9"/>
    <w:rsid w:val="737E421E"/>
    <w:rsid w:val="738F3759"/>
    <w:rsid w:val="73AE54E6"/>
    <w:rsid w:val="73C66DBA"/>
    <w:rsid w:val="73F25E01"/>
    <w:rsid w:val="73F6144E"/>
    <w:rsid w:val="73FC5591"/>
    <w:rsid w:val="73FE4A33"/>
    <w:rsid w:val="74116287"/>
    <w:rsid w:val="743B1046"/>
    <w:rsid w:val="74742967"/>
    <w:rsid w:val="74AF42D7"/>
    <w:rsid w:val="74C67651"/>
    <w:rsid w:val="74D3178F"/>
    <w:rsid w:val="74DD408E"/>
    <w:rsid w:val="750F4CFD"/>
    <w:rsid w:val="7538447B"/>
    <w:rsid w:val="756C3F8D"/>
    <w:rsid w:val="75766BDE"/>
    <w:rsid w:val="75BA294F"/>
    <w:rsid w:val="75C630A2"/>
    <w:rsid w:val="75D84535"/>
    <w:rsid w:val="75E772CA"/>
    <w:rsid w:val="75FB53BC"/>
    <w:rsid w:val="7620086F"/>
    <w:rsid w:val="76210E85"/>
    <w:rsid w:val="762C5DCF"/>
    <w:rsid w:val="76386A94"/>
    <w:rsid w:val="76CA0970"/>
    <w:rsid w:val="76D17F50"/>
    <w:rsid w:val="772C460D"/>
    <w:rsid w:val="7738674E"/>
    <w:rsid w:val="77445EF3"/>
    <w:rsid w:val="774D3A7A"/>
    <w:rsid w:val="775672CA"/>
    <w:rsid w:val="776B5CAF"/>
    <w:rsid w:val="776C7274"/>
    <w:rsid w:val="77716BAC"/>
    <w:rsid w:val="77846D70"/>
    <w:rsid w:val="77905715"/>
    <w:rsid w:val="77A81F4B"/>
    <w:rsid w:val="77B9518B"/>
    <w:rsid w:val="77F333DF"/>
    <w:rsid w:val="78096238"/>
    <w:rsid w:val="781727E9"/>
    <w:rsid w:val="78454752"/>
    <w:rsid w:val="787B0EF3"/>
    <w:rsid w:val="78A0609E"/>
    <w:rsid w:val="78B32E0F"/>
    <w:rsid w:val="78CA4C57"/>
    <w:rsid w:val="78D2000E"/>
    <w:rsid w:val="78E275A1"/>
    <w:rsid w:val="78E71F2D"/>
    <w:rsid w:val="7931117A"/>
    <w:rsid w:val="79537A42"/>
    <w:rsid w:val="79543791"/>
    <w:rsid w:val="79607C42"/>
    <w:rsid w:val="797B5FBE"/>
    <w:rsid w:val="79AC25AE"/>
    <w:rsid w:val="79B25CA9"/>
    <w:rsid w:val="79B45BE2"/>
    <w:rsid w:val="79BF2EB6"/>
    <w:rsid w:val="79F65ECE"/>
    <w:rsid w:val="7A034FA5"/>
    <w:rsid w:val="7A301431"/>
    <w:rsid w:val="7A3D6696"/>
    <w:rsid w:val="7A6A3DEE"/>
    <w:rsid w:val="7A6E7E99"/>
    <w:rsid w:val="7AAD67F4"/>
    <w:rsid w:val="7AAE2C70"/>
    <w:rsid w:val="7B0C533F"/>
    <w:rsid w:val="7B2A7187"/>
    <w:rsid w:val="7B494559"/>
    <w:rsid w:val="7BB27382"/>
    <w:rsid w:val="7BB80E37"/>
    <w:rsid w:val="7BBD2507"/>
    <w:rsid w:val="7BC92B34"/>
    <w:rsid w:val="7C2F300F"/>
    <w:rsid w:val="7C4F3DF1"/>
    <w:rsid w:val="7C5C3C9A"/>
    <w:rsid w:val="7C704660"/>
    <w:rsid w:val="7C77695E"/>
    <w:rsid w:val="7CBC0456"/>
    <w:rsid w:val="7D0A657F"/>
    <w:rsid w:val="7D3C6B5C"/>
    <w:rsid w:val="7D4C6A28"/>
    <w:rsid w:val="7D7521C8"/>
    <w:rsid w:val="7D912F29"/>
    <w:rsid w:val="7DA4016C"/>
    <w:rsid w:val="7DA55C93"/>
    <w:rsid w:val="7DAE2D99"/>
    <w:rsid w:val="7DEE3196"/>
    <w:rsid w:val="7E0E6C5F"/>
    <w:rsid w:val="7E2E3EDA"/>
    <w:rsid w:val="7E90519C"/>
    <w:rsid w:val="7E991353"/>
    <w:rsid w:val="7EDD4152"/>
    <w:rsid w:val="7EDD741B"/>
    <w:rsid w:val="7EFC7B34"/>
    <w:rsid w:val="7EFF5F38"/>
    <w:rsid w:val="7F3D4789"/>
    <w:rsid w:val="7F703639"/>
    <w:rsid w:val="7FAA7590"/>
    <w:rsid w:val="7FB977D4"/>
    <w:rsid w:val="7FF6152A"/>
    <w:rsid w:val="BA7D0404"/>
    <w:rsid w:val="BBFF993E"/>
    <w:rsid w:val="BFFD8BFF"/>
    <w:rsid w:val="EFFDE0D6"/>
    <w:rsid w:val="F6FFE2AA"/>
    <w:rsid w:val="F86EA8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86"/>
    <w:qFormat/>
    <w:uiPriority w:val="9"/>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70"/>
    <w:qFormat/>
    <w:uiPriority w:val="0"/>
    <w:pPr>
      <w:keepNext/>
      <w:keepLines/>
      <w:spacing w:before="240" w:after="64" w:line="320" w:lineRule="auto"/>
      <w:outlineLvl w:val="5"/>
    </w:pPr>
    <w:rPr>
      <w:rFonts w:ascii="Cambria" w:hAnsi="Cambria"/>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9">
    <w:name w:val="Normal Indent"/>
    <w:basedOn w:val="1"/>
    <w:next w:val="1"/>
    <w:link w:val="57"/>
    <w:qFormat/>
    <w:uiPriority w:val="0"/>
    <w:pPr>
      <w:spacing w:line="300" w:lineRule="auto"/>
      <w:ind w:firstLine="420"/>
    </w:pPr>
  </w:style>
  <w:style w:type="paragraph" w:styleId="10">
    <w:name w:val="annotation text"/>
    <w:basedOn w:val="1"/>
    <w:link w:val="53"/>
    <w:qFormat/>
    <w:uiPriority w:val="0"/>
    <w:pPr>
      <w:jc w:val="left"/>
    </w:pPr>
    <w:rPr>
      <w:szCs w:val="24"/>
    </w:rPr>
  </w:style>
  <w:style w:type="paragraph" w:styleId="11">
    <w:name w:val="Body Text"/>
    <w:basedOn w:val="1"/>
    <w:next w:val="12"/>
    <w:link w:val="54"/>
    <w:qFormat/>
    <w:uiPriority w:val="1"/>
    <w:pPr>
      <w:spacing w:after="120"/>
    </w:pPr>
    <w:rPr>
      <w:rFonts w:eastAsia="??"/>
      <w:sz w:val="28"/>
      <w:szCs w:val="28"/>
    </w:rPr>
  </w:style>
  <w:style w:type="paragraph" w:styleId="12">
    <w:name w:val="Body Text First Indent"/>
    <w:basedOn w:val="11"/>
    <w:next w:val="1"/>
    <w:link w:val="140"/>
    <w:qFormat/>
    <w:uiPriority w:val="0"/>
    <w:pPr>
      <w:ind w:firstLine="420" w:firstLineChars="100"/>
    </w:pPr>
    <w:rPr>
      <w:rFonts w:eastAsia="宋体"/>
      <w:sz w:val="21"/>
      <w:szCs w:val="20"/>
    </w:rPr>
  </w:style>
  <w:style w:type="paragraph" w:styleId="13">
    <w:name w:val="Body Text Indent"/>
    <w:basedOn w:val="1"/>
    <w:next w:val="1"/>
    <w:link w:val="52"/>
    <w:qFormat/>
    <w:uiPriority w:val="0"/>
    <w:pPr>
      <w:spacing w:after="120"/>
      <w:ind w:left="420" w:leftChars="200"/>
    </w:pPr>
  </w:style>
  <w:style w:type="paragraph" w:styleId="14">
    <w:name w:val="List 2"/>
    <w:basedOn w:val="1"/>
    <w:qFormat/>
    <w:uiPriority w:val="0"/>
    <w:pPr>
      <w:ind w:left="100" w:leftChars="200" w:hanging="200" w:hangingChars="200"/>
    </w:pPr>
    <w:rPr>
      <w:sz w:val="28"/>
    </w:rPr>
  </w:style>
  <w:style w:type="paragraph" w:styleId="15">
    <w:name w:val="Plain Text"/>
    <w:basedOn w:val="1"/>
    <w:next w:val="11"/>
    <w:link w:val="65"/>
    <w:qFormat/>
    <w:uiPriority w:val="0"/>
    <w:rPr>
      <w:rFonts w:ascii="宋体" w:hAnsi="Courier New" w:eastAsia="仿宋_GB2312"/>
      <w:sz w:val="30"/>
    </w:rPr>
  </w:style>
  <w:style w:type="paragraph" w:styleId="16">
    <w:name w:val="List Number 4"/>
    <w:basedOn w:val="1"/>
    <w:qFormat/>
    <w:uiPriority w:val="0"/>
    <w:pPr>
      <w:numPr>
        <w:ilvl w:val="0"/>
        <w:numId w:val="1"/>
      </w:numPr>
      <w:contextualSpacing/>
    </w:pPr>
  </w:style>
  <w:style w:type="paragraph" w:styleId="17">
    <w:name w:val="Date"/>
    <w:basedOn w:val="1"/>
    <w:next w:val="1"/>
    <w:link w:val="79"/>
    <w:qFormat/>
    <w:uiPriority w:val="0"/>
    <w:pPr>
      <w:ind w:left="2500" w:leftChars="2500" w:firstLine="720" w:firstLineChars="200"/>
    </w:pPr>
    <w:rPr>
      <w:rFonts w:eastAsia="楷体_GB2312"/>
      <w:sz w:val="32"/>
    </w:rPr>
  </w:style>
  <w:style w:type="paragraph" w:styleId="18">
    <w:name w:val="Body Text Indent 2"/>
    <w:basedOn w:val="1"/>
    <w:link w:val="59"/>
    <w:qFormat/>
    <w:uiPriority w:val="0"/>
    <w:pPr>
      <w:spacing w:line="500" w:lineRule="exact"/>
      <w:ind w:left="105" w:firstLine="465" w:firstLineChars="166"/>
    </w:pPr>
    <w:rPr>
      <w:sz w:val="28"/>
    </w:rPr>
  </w:style>
  <w:style w:type="paragraph" w:styleId="19">
    <w:name w:val="Balloon Text"/>
    <w:basedOn w:val="1"/>
    <w:link w:val="41"/>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toc 6"/>
    <w:basedOn w:val="1"/>
    <w:next w:val="1"/>
    <w:unhideWhenUsed/>
    <w:qFormat/>
    <w:uiPriority w:val="39"/>
    <w:pPr>
      <w:ind w:left="2100" w:leftChars="1000"/>
    </w:pPr>
  </w:style>
  <w:style w:type="paragraph" w:styleId="24">
    <w:name w:val="Body Text Indent 3"/>
    <w:basedOn w:val="1"/>
    <w:link w:val="73"/>
    <w:qFormat/>
    <w:uiPriority w:val="0"/>
    <w:pPr>
      <w:spacing w:after="120"/>
      <w:ind w:left="420" w:leftChars="200"/>
    </w:pPr>
    <w:rPr>
      <w:sz w:val="16"/>
      <w:szCs w:val="16"/>
    </w:rPr>
  </w:style>
  <w:style w:type="paragraph" w:styleId="25">
    <w:name w:val="toc 2"/>
    <w:basedOn w:val="1"/>
    <w:next w:val="1"/>
    <w:qFormat/>
    <w:uiPriority w:val="1"/>
    <w:pPr>
      <w:spacing w:before="133"/>
      <w:ind w:left="118"/>
      <w:jc w:val="left"/>
    </w:pPr>
    <w:rPr>
      <w:rFonts w:ascii="宋体" w:hAnsi="宋体"/>
      <w:kern w:val="0"/>
      <w:sz w:val="24"/>
      <w:szCs w:val="24"/>
      <w:lang w:eastAsia="en-US"/>
    </w:rPr>
  </w:style>
  <w:style w:type="paragraph" w:styleId="26">
    <w:name w:val="Normal (Web)"/>
    <w:basedOn w:val="1"/>
    <w:link w:val="149"/>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76"/>
    <w:qFormat/>
    <w:uiPriority w:val="0"/>
    <w:pPr>
      <w:jc w:val="center"/>
    </w:pPr>
    <w:rPr>
      <w:rFonts w:ascii="Calibri" w:hAnsi="Calibri"/>
      <w:sz w:val="30"/>
      <w:szCs w:val="30"/>
    </w:rPr>
  </w:style>
  <w:style w:type="paragraph" w:styleId="28">
    <w:name w:val="annotation subject"/>
    <w:basedOn w:val="10"/>
    <w:next w:val="10"/>
    <w:link w:val="50"/>
    <w:qFormat/>
    <w:uiPriority w:val="0"/>
    <w:rPr>
      <w:b/>
      <w:bCs/>
    </w:rPr>
  </w:style>
  <w:style w:type="paragraph" w:styleId="29">
    <w:name w:val="Body Text First Indent 2"/>
    <w:basedOn w:val="13"/>
    <w:link w:val="141"/>
    <w:qFormat/>
    <w:uiPriority w:val="0"/>
    <w:pPr>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Emphasis"/>
    <w:qFormat/>
    <w:uiPriority w:val="20"/>
    <w:rPr>
      <w:i/>
      <w:iCs/>
    </w:rPr>
  </w:style>
  <w:style w:type="character" w:styleId="36">
    <w:name w:val="Hyperlink"/>
    <w:qFormat/>
    <w:uiPriority w:val="0"/>
    <w:rPr>
      <w:color w:val="000000"/>
      <w:sz w:val="18"/>
      <w:szCs w:val="18"/>
      <w:u w:val="none"/>
    </w:rPr>
  </w:style>
  <w:style w:type="character" w:styleId="37">
    <w:name w:val="annotation reference"/>
    <w:qFormat/>
    <w:uiPriority w:val="0"/>
    <w:rPr>
      <w:sz w:val="21"/>
      <w:szCs w:val="21"/>
    </w:rPr>
  </w:style>
  <w:style w:type="paragraph" w:customStyle="1" w:styleId="38">
    <w:name w:val="文章正文"/>
    <w:basedOn w:val="1"/>
    <w:next w:val="1"/>
    <w:qFormat/>
    <w:uiPriority w:val="0"/>
    <w:pPr>
      <w:spacing w:line="360" w:lineRule="auto"/>
      <w:ind w:firstLine="200" w:firstLineChars="200"/>
    </w:pPr>
    <w:rPr>
      <w:kern w:val="0"/>
      <w:sz w:val="24"/>
    </w:rPr>
  </w:style>
  <w:style w:type="paragraph" w:customStyle="1" w:styleId="39">
    <w:name w:val="表格文字"/>
    <w:basedOn w:val="15"/>
    <w:next w:val="11"/>
    <w:qFormat/>
    <w:uiPriority w:val="0"/>
    <w:pPr>
      <w:widowControl/>
      <w:spacing w:before="25" w:after="25" w:line="300" w:lineRule="auto"/>
      <w:jc w:val="left"/>
    </w:pPr>
    <w:rPr>
      <w:rFonts w:ascii="Times" w:hAnsi="Times"/>
      <w:spacing w:val="10"/>
      <w:kern w:val="0"/>
      <w:sz w:val="24"/>
    </w:rPr>
  </w:style>
  <w:style w:type="paragraph" w:customStyle="1" w:styleId="40">
    <w:name w:val="_Style 3"/>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41">
    <w:name w:val="批注框文本 Char"/>
    <w:link w:val="19"/>
    <w:qFormat/>
    <w:uiPriority w:val="99"/>
    <w:rPr>
      <w:kern w:val="2"/>
      <w:sz w:val="18"/>
      <w:szCs w:val="18"/>
    </w:rPr>
  </w:style>
  <w:style w:type="character" w:customStyle="1" w:styleId="42">
    <w:name w:val="页脚 Char"/>
    <w:link w:val="20"/>
    <w:qFormat/>
    <w:uiPriority w:val="99"/>
    <w:rPr>
      <w:kern w:val="2"/>
      <w:sz w:val="18"/>
      <w:szCs w:val="18"/>
    </w:rPr>
  </w:style>
  <w:style w:type="character" w:customStyle="1" w:styleId="43">
    <w:name w:val="纯文本 字符"/>
    <w:unhideWhenUsed/>
    <w:qFormat/>
    <w:uiPriority w:val="0"/>
    <w:rPr>
      <w:rFonts w:hint="eastAsia" w:ascii="宋体" w:hAnsi="Courier New" w:eastAsia="仿宋_GB2312"/>
      <w:kern w:val="2"/>
      <w:sz w:val="30"/>
      <w:lang w:val="en-US" w:eastAsia="zh-CN"/>
    </w:rPr>
  </w:style>
  <w:style w:type="character" w:customStyle="1" w:styleId="44">
    <w:name w:val="页眉 Char"/>
    <w:link w:val="21"/>
    <w:qFormat/>
    <w:uiPriority w:val="99"/>
    <w:rPr>
      <w:kern w:val="2"/>
      <w:sz w:val="18"/>
      <w:szCs w:val="18"/>
    </w:rPr>
  </w:style>
  <w:style w:type="character" w:customStyle="1" w:styleId="45">
    <w:name w:val="标题 4 字符1"/>
    <w:qFormat/>
    <w:uiPriority w:val="0"/>
    <w:rPr>
      <w:rFonts w:ascii="Arial" w:hAnsi="Arial"/>
      <w:b/>
      <w:bCs/>
      <w:kern w:val="2"/>
      <w:sz w:val="24"/>
      <w:szCs w:val="28"/>
    </w:rPr>
  </w:style>
  <w:style w:type="character" w:customStyle="1" w:styleId="46">
    <w:name w:val="访问过的超链接1"/>
    <w:qFormat/>
    <w:uiPriority w:val="0"/>
    <w:rPr>
      <w:color w:val="000000"/>
      <w:sz w:val="18"/>
      <w:szCs w:val="18"/>
      <w:u w:val="none"/>
    </w:rPr>
  </w:style>
  <w:style w:type="character" w:customStyle="1" w:styleId="47">
    <w:name w:val="列表段落 字符"/>
    <w:link w:val="48"/>
    <w:qFormat/>
    <w:locked/>
    <w:uiPriority w:val="34"/>
    <w:rPr>
      <w:rFonts w:eastAsia="??"/>
      <w:sz w:val="24"/>
      <w:szCs w:val="24"/>
    </w:rPr>
  </w:style>
  <w:style w:type="paragraph" w:customStyle="1" w:styleId="48">
    <w:name w:val="列表段落1"/>
    <w:basedOn w:val="1"/>
    <w:link w:val="47"/>
    <w:qFormat/>
    <w:uiPriority w:val="34"/>
    <w:pPr>
      <w:autoSpaceDE w:val="0"/>
      <w:autoSpaceDN w:val="0"/>
      <w:adjustRightInd w:val="0"/>
      <w:ind w:firstLine="200" w:firstLineChars="200"/>
      <w:jc w:val="left"/>
    </w:pPr>
    <w:rPr>
      <w:rFonts w:eastAsia="??"/>
      <w:kern w:val="0"/>
      <w:sz w:val="24"/>
      <w:szCs w:val="24"/>
    </w:rPr>
  </w:style>
  <w:style w:type="character" w:customStyle="1" w:styleId="49">
    <w:name w:val="标题 1 Char Char"/>
    <w:qFormat/>
    <w:uiPriority w:val="0"/>
    <w:rPr>
      <w:rFonts w:eastAsia="宋体"/>
      <w:b/>
      <w:spacing w:val="-2"/>
      <w:sz w:val="24"/>
      <w:lang w:val="en-US" w:eastAsia="zh-CN"/>
    </w:rPr>
  </w:style>
  <w:style w:type="character" w:customStyle="1" w:styleId="50">
    <w:name w:val="批注主题 Char"/>
    <w:link w:val="28"/>
    <w:qFormat/>
    <w:uiPriority w:val="0"/>
    <w:rPr>
      <w:b/>
      <w:bCs/>
      <w:kern w:val="2"/>
      <w:sz w:val="21"/>
      <w:szCs w:val="24"/>
    </w:rPr>
  </w:style>
  <w:style w:type="character" w:customStyle="1" w:styleId="51">
    <w:name w:val="标题 5 Char"/>
    <w:link w:val="6"/>
    <w:semiHidden/>
    <w:qFormat/>
    <w:uiPriority w:val="0"/>
    <w:rPr>
      <w:b/>
      <w:bCs/>
      <w:kern w:val="2"/>
      <w:sz w:val="28"/>
      <w:szCs w:val="28"/>
    </w:rPr>
  </w:style>
  <w:style w:type="character" w:customStyle="1" w:styleId="52">
    <w:name w:val="正文文本缩进 Char"/>
    <w:link w:val="13"/>
    <w:qFormat/>
    <w:uiPriority w:val="0"/>
    <w:rPr>
      <w:kern w:val="2"/>
      <w:sz w:val="21"/>
    </w:rPr>
  </w:style>
  <w:style w:type="character" w:customStyle="1" w:styleId="53">
    <w:name w:val="批注文字 Char"/>
    <w:link w:val="10"/>
    <w:qFormat/>
    <w:uiPriority w:val="0"/>
    <w:rPr>
      <w:kern w:val="2"/>
      <w:sz w:val="21"/>
      <w:szCs w:val="24"/>
    </w:rPr>
  </w:style>
  <w:style w:type="character" w:customStyle="1" w:styleId="54">
    <w:name w:val="正文文本 Char"/>
    <w:link w:val="11"/>
    <w:qFormat/>
    <w:uiPriority w:val="1"/>
    <w:rPr>
      <w:rFonts w:eastAsia="??"/>
      <w:kern w:val="2"/>
      <w:sz w:val="28"/>
      <w:szCs w:val="28"/>
      <w:lang w:val="en-US" w:eastAsia="zh-CN" w:bidi="ar-SA"/>
    </w:rPr>
  </w:style>
  <w:style w:type="character" w:customStyle="1" w:styleId="55">
    <w:name w:val="newyxline1"/>
    <w:qFormat/>
    <w:uiPriority w:val="0"/>
    <w:rPr>
      <w:rFonts w:hint="default"/>
      <w:color w:val="000000"/>
      <w:sz w:val="18"/>
      <w:szCs w:val="18"/>
      <w:u w:val="none"/>
    </w:rPr>
  </w:style>
  <w:style w:type="character" w:customStyle="1" w:styleId="56">
    <w:name w:val="font21"/>
    <w:qFormat/>
    <w:uiPriority w:val="0"/>
    <w:rPr>
      <w:rFonts w:hint="eastAsia" w:ascii="宋体" w:hAnsi="宋体" w:eastAsia="宋体" w:cs="宋体"/>
      <w:color w:val="000000"/>
      <w:sz w:val="18"/>
      <w:szCs w:val="18"/>
      <w:u w:val="none"/>
    </w:rPr>
  </w:style>
  <w:style w:type="character" w:customStyle="1" w:styleId="57">
    <w:name w:val="正文缩进 Char1"/>
    <w:link w:val="9"/>
    <w:qFormat/>
    <w:uiPriority w:val="0"/>
    <w:rPr>
      <w:kern w:val="2"/>
      <w:sz w:val="21"/>
    </w:rPr>
  </w:style>
  <w:style w:type="character" w:customStyle="1" w:styleId="58">
    <w:name w:val="标题 1 Char"/>
    <w:link w:val="2"/>
    <w:qFormat/>
    <w:uiPriority w:val="1"/>
    <w:rPr>
      <w:b/>
      <w:bCs/>
      <w:kern w:val="44"/>
      <w:sz w:val="44"/>
      <w:szCs w:val="44"/>
    </w:rPr>
  </w:style>
  <w:style w:type="character" w:customStyle="1" w:styleId="59">
    <w:name w:val="正文文本缩进 2 Char"/>
    <w:link w:val="18"/>
    <w:qFormat/>
    <w:uiPriority w:val="0"/>
    <w:rPr>
      <w:kern w:val="2"/>
      <w:sz w:val="28"/>
    </w:rPr>
  </w:style>
  <w:style w:type="character" w:customStyle="1" w:styleId="60">
    <w:name w:val="apple-style-span"/>
    <w:qFormat/>
    <w:uiPriority w:val="0"/>
    <w:rPr>
      <w:rFonts w:ascii="Tahoma" w:hAnsi="Tahoma"/>
      <w:sz w:val="24"/>
      <w:szCs w:val="20"/>
    </w:rPr>
  </w:style>
  <w:style w:type="character" w:customStyle="1" w:styleId="61">
    <w:name w:val="正文文本首行缩进 2 字符"/>
    <w:basedOn w:val="52"/>
    <w:link w:val="62"/>
    <w:qFormat/>
    <w:uiPriority w:val="0"/>
    <w:rPr>
      <w:kern w:val="2"/>
      <w:sz w:val="21"/>
    </w:rPr>
  </w:style>
  <w:style w:type="paragraph" w:customStyle="1" w:styleId="62">
    <w:name w:val="正文文本首行缩进 21"/>
    <w:basedOn w:val="13"/>
    <w:link w:val="61"/>
    <w:qFormat/>
    <w:uiPriority w:val="0"/>
    <w:pPr>
      <w:ind w:firstLine="420" w:firstLineChars="200"/>
    </w:pPr>
  </w:style>
  <w:style w:type="character" w:customStyle="1" w:styleId="63">
    <w:name w:val="正文缩进 Char"/>
    <w:link w:val="64"/>
    <w:qFormat/>
    <w:uiPriority w:val="0"/>
    <w:rPr>
      <w:rFonts w:ascii="Calibri" w:hAnsi="Calibri"/>
      <w:kern w:val="2"/>
      <w:sz w:val="21"/>
      <w:szCs w:val="22"/>
    </w:rPr>
  </w:style>
  <w:style w:type="paragraph" w:customStyle="1" w:styleId="64">
    <w:name w:val="正文缩进1"/>
    <w:basedOn w:val="1"/>
    <w:link w:val="63"/>
    <w:qFormat/>
    <w:uiPriority w:val="0"/>
    <w:pPr>
      <w:ind w:firstLine="420" w:firstLineChars="200"/>
    </w:pPr>
    <w:rPr>
      <w:rFonts w:ascii="Calibri" w:hAnsi="Calibri"/>
      <w:szCs w:val="22"/>
    </w:rPr>
  </w:style>
  <w:style w:type="character" w:customStyle="1" w:styleId="65">
    <w:name w:val="纯文本 Char"/>
    <w:link w:val="15"/>
    <w:qFormat/>
    <w:uiPriority w:val="0"/>
    <w:rPr>
      <w:rFonts w:ascii="宋体" w:hAnsi="Courier New" w:eastAsia="仿宋_GB2312"/>
      <w:kern w:val="2"/>
      <w:sz w:val="30"/>
      <w:lang w:val="en-US" w:eastAsia="zh-CN" w:bidi="ar-SA"/>
    </w:rPr>
  </w:style>
  <w:style w:type="character" w:customStyle="1" w:styleId="66">
    <w:name w:val="font11"/>
    <w:qFormat/>
    <w:uiPriority w:val="0"/>
    <w:rPr>
      <w:rFonts w:hint="default" w:ascii="Times New Roman" w:hAnsi="Times New Roman" w:cs="Times New Roman"/>
      <w:color w:val="000000"/>
      <w:sz w:val="18"/>
      <w:szCs w:val="18"/>
      <w:u w:val="none"/>
    </w:rPr>
  </w:style>
  <w:style w:type="character" w:customStyle="1" w:styleId="67">
    <w:name w:val="font31"/>
    <w:qFormat/>
    <w:uiPriority w:val="0"/>
    <w:rPr>
      <w:rFonts w:hint="default" w:ascii="仿宋" w:hAnsi="仿宋" w:eastAsia="仿宋" w:cs="仿宋"/>
      <w:color w:val="000000"/>
      <w:sz w:val="18"/>
      <w:szCs w:val="18"/>
      <w:u w:val="none"/>
      <w:vertAlign w:val="superscript"/>
    </w:rPr>
  </w:style>
  <w:style w:type="character" w:customStyle="1" w:styleId="68">
    <w:name w:val="font41"/>
    <w:qFormat/>
    <w:uiPriority w:val="0"/>
    <w:rPr>
      <w:rFonts w:hint="eastAsia" w:ascii="宋体" w:hAnsi="宋体" w:eastAsia="宋体" w:cs="宋体"/>
      <w:b/>
      <w:color w:val="000000"/>
      <w:sz w:val="18"/>
      <w:szCs w:val="18"/>
      <w:u w:val="none"/>
    </w:rPr>
  </w:style>
  <w:style w:type="character" w:customStyle="1" w:styleId="69">
    <w:name w:val="标题 4 Char"/>
    <w:link w:val="5"/>
    <w:semiHidden/>
    <w:qFormat/>
    <w:uiPriority w:val="0"/>
    <w:rPr>
      <w:rFonts w:ascii="Cambria" w:hAnsi="Cambria" w:eastAsia="宋体" w:cs="Times New Roman"/>
      <w:b/>
      <w:bCs/>
      <w:kern w:val="2"/>
      <w:sz w:val="28"/>
      <w:szCs w:val="28"/>
    </w:rPr>
  </w:style>
  <w:style w:type="character" w:customStyle="1" w:styleId="70">
    <w:name w:val="标题 6 Char"/>
    <w:link w:val="7"/>
    <w:semiHidden/>
    <w:qFormat/>
    <w:uiPriority w:val="0"/>
    <w:rPr>
      <w:rFonts w:ascii="Cambria" w:hAnsi="Cambria" w:eastAsia="宋体" w:cs="Times New Roman"/>
      <w:b/>
      <w:bCs/>
      <w:kern w:val="2"/>
      <w:sz w:val="24"/>
      <w:szCs w:val="24"/>
    </w:rPr>
  </w:style>
  <w:style w:type="character" w:customStyle="1" w:styleId="71">
    <w:name w:val="证 Char"/>
    <w:link w:val="72"/>
    <w:qFormat/>
    <w:uiPriority w:val="0"/>
    <w:rPr>
      <w:rFonts w:ascii="宋体" w:hAnsi="宋体"/>
      <w:kern w:val="2"/>
      <w:sz w:val="24"/>
      <w:szCs w:val="24"/>
    </w:rPr>
  </w:style>
  <w:style w:type="paragraph" w:customStyle="1" w:styleId="72">
    <w:name w:val="证"/>
    <w:basedOn w:val="1"/>
    <w:link w:val="71"/>
    <w:qFormat/>
    <w:uiPriority w:val="0"/>
    <w:pPr>
      <w:spacing w:line="360" w:lineRule="auto"/>
      <w:ind w:firstLine="480" w:firstLineChars="200"/>
    </w:pPr>
    <w:rPr>
      <w:rFonts w:ascii="宋体" w:hAnsi="宋体"/>
      <w:sz w:val="24"/>
      <w:szCs w:val="24"/>
    </w:rPr>
  </w:style>
  <w:style w:type="character" w:customStyle="1" w:styleId="73">
    <w:name w:val="正文文本缩进 3 Char"/>
    <w:link w:val="24"/>
    <w:qFormat/>
    <w:uiPriority w:val="0"/>
    <w:rPr>
      <w:kern w:val="2"/>
      <w:sz w:val="16"/>
      <w:szCs w:val="16"/>
    </w:rPr>
  </w:style>
  <w:style w:type="character" w:customStyle="1" w:styleId="74">
    <w:name w:val="样式 +标题3 + 仿宋_GB2312 Char Char"/>
    <w:link w:val="75"/>
    <w:qFormat/>
    <w:locked/>
    <w:uiPriority w:val="0"/>
    <w:rPr>
      <w:rFonts w:ascii="仿宋_GB2312" w:hAnsi="仿宋_GB2312" w:eastAsia="仿宋_GB2312"/>
      <w:b/>
      <w:bCs/>
      <w:kern w:val="2"/>
      <w:sz w:val="24"/>
      <w:szCs w:val="24"/>
    </w:rPr>
  </w:style>
  <w:style w:type="paragraph" w:customStyle="1" w:styleId="75">
    <w:name w:val="样式 +标题3 + 仿宋_GB2312 Char"/>
    <w:basedOn w:val="1"/>
    <w:link w:val="74"/>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6">
    <w:name w:val="标题 Char"/>
    <w:link w:val="27"/>
    <w:qFormat/>
    <w:uiPriority w:val="0"/>
    <w:rPr>
      <w:rFonts w:ascii="Calibri" w:hAnsi="Calibri"/>
      <w:kern w:val="2"/>
      <w:sz w:val="30"/>
      <w:szCs w:val="30"/>
    </w:rPr>
  </w:style>
  <w:style w:type="character" w:customStyle="1" w:styleId="77">
    <w:name w:val="表内 Char"/>
    <w:link w:val="78"/>
    <w:qFormat/>
    <w:uiPriority w:val="0"/>
    <w:rPr>
      <w:rFonts w:ascii="宋体" w:hAnsi="宋体"/>
      <w:kern w:val="2"/>
      <w:sz w:val="18"/>
      <w:szCs w:val="18"/>
    </w:rPr>
  </w:style>
  <w:style w:type="paragraph" w:customStyle="1" w:styleId="78">
    <w:name w:val="表内"/>
    <w:basedOn w:val="1"/>
    <w:link w:val="77"/>
    <w:qFormat/>
    <w:uiPriority w:val="0"/>
    <w:rPr>
      <w:rFonts w:ascii="宋体" w:hAnsi="宋体"/>
      <w:sz w:val="18"/>
      <w:szCs w:val="18"/>
    </w:rPr>
  </w:style>
  <w:style w:type="character" w:customStyle="1" w:styleId="79">
    <w:name w:val="日期 Char"/>
    <w:link w:val="17"/>
    <w:qFormat/>
    <w:uiPriority w:val="0"/>
    <w:rPr>
      <w:rFonts w:eastAsia="楷体_GB2312"/>
      <w:kern w:val="2"/>
      <w:sz w:val="32"/>
    </w:rPr>
  </w:style>
  <w:style w:type="character" w:customStyle="1" w:styleId="80">
    <w:name w:val="Char Char7"/>
    <w:qFormat/>
    <w:uiPriority w:val="0"/>
    <w:rPr>
      <w:rFonts w:ascii="??" w:hAnsi="??" w:eastAsia="??" w:cs="宋体"/>
      <w:kern w:val="2"/>
      <w:sz w:val="24"/>
      <w:szCs w:val="28"/>
    </w:rPr>
  </w:style>
  <w:style w:type="character" w:customStyle="1" w:styleId="81">
    <w:name w:val="标题 2 Char"/>
    <w:link w:val="3"/>
    <w:qFormat/>
    <w:uiPriority w:val="0"/>
    <w:rPr>
      <w:rFonts w:ascii="Arial" w:hAnsi="Arial" w:eastAsia="??"/>
      <w:b/>
      <w:kern w:val="2"/>
      <w:sz w:val="32"/>
      <w:szCs w:val="28"/>
      <w:lang w:val="en-US" w:eastAsia="zh-CN" w:bidi="ar-SA"/>
    </w:rPr>
  </w:style>
  <w:style w:type="character" w:customStyle="1" w:styleId="82">
    <w:name w:val="无间隔 Char"/>
    <w:link w:val="83"/>
    <w:qFormat/>
    <w:uiPriority w:val="0"/>
    <w:rPr>
      <w:rFonts w:ascii="Calibri" w:hAnsi="Calibri"/>
    </w:rPr>
  </w:style>
  <w:style w:type="paragraph" w:styleId="83">
    <w:name w:val="No Spacing"/>
    <w:basedOn w:val="1"/>
    <w:link w:val="82"/>
    <w:qFormat/>
    <w:uiPriority w:val="0"/>
    <w:pPr>
      <w:widowControl/>
      <w:jc w:val="left"/>
    </w:pPr>
    <w:rPr>
      <w:rFonts w:ascii="Calibri" w:hAnsi="Calibri"/>
      <w:kern w:val="0"/>
      <w:sz w:val="20"/>
    </w:rPr>
  </w:style>
  <w:style w:type="character" w:customStyle="1" w:styleId="84">
    <w:name w:val="标题 2 Char_0_0"/>
    <w:link w:val="85"/>
    <w:qFormat/>
    <w:uiPriority w:val="0"/>
    <w:rPr>
      <w:rFonts w:ascii="Cambria" w:hAnsi="Cambria"/>
      <w:b/>
      <w:bCs/>
      <w:sz w:val="32"/>
      <w:szCs w:val="32"/>
    </w:rPr>
  </w:style>
  <w:style w:type="paragraph" w:customStyle="1" w:styleId="85">
    <w:name w:val="标题 2_0_0"/>
    <w:basedOn w:val="1"/>
    <w:next w:val="1"/>
    <w:link w:val="84"/>
    <w:unhideWhenUsed/>
    <w:qFormat/>
    <w:uiPriority w:val="0"/>
    <w:pPr>
      <w:keepNext/>
      <w:keepLines/>
      <w:spacing w:before="260" w:after="260" w:line="415" w:lineRule="auto"/>
      <w:outlineLvl w:val="1"/>
    </w:pPr>
    <w:rPr>
      <w:rFonts w:ascii="Cambria" w:hAnsi="Cambria"/>
      <w:b/>
      <w:bCs/>
      <w:kern w:val="0"/>
      <w:sz w:val="32"/>
      <w:szCs w:val="32"/>
    </w:rPr>
  </w:style>
  <w:style w:type="character" w:customStyle="1" w:styleId="86">
    <w:name w:val="标题 3 Char"/>
    <w:link w:val="4"/>
    <w:semiHidden/>
    <w:qFormat/>
    <w:uiPriority w:val="9"/>
    <w:rPr>
      <w:b/>
      <w:bCs/>
      <w:kern w:val="2"/>
      <w:sz w:val="32"/>
      <w:szCs w:val="32"/>
    </w:rPr>
  </w:style>
  <w:style w:type="character" w:customStyle="1" w:styleId="87">
    <w:name w:val="表格非标题文字 Char"/>
    <w:link w:val="88"/>
    <w:qFormat/>
    <w:locked/>
    <w:uiPriority w:val="0"/>
    <w:rPr>
      <w:rFonts w:ascii="Futura Bk" w:hAnsi="Futura Bk"/>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9">
    <w:name w:val="目录 31"/>
    <w:basedOn w:val="1"/>
    <w:qFormat/>
    <w:uiPriority w:val="1"/>
    <w:pPr>
      <w:spacing w:before="135"/>
      <w:ind w:left="538"/>
      <w:jc w:val="left"/>
    </w:pPr>
    <w:rPr>
      <w:rFonts w:ascii="宋体" w:hAnsi="宋体"/>
      <w:kern w:val="0"/>
      <w:sz w:val="24"/>
      <w:szCs w:val="24"/>
      <w:lang w:eastAsia="en-US"/>
    </w:rPr>
  </w:style>
  <w:style w:type="paragraph" w:customStyle="1" w:styleId="90">
    <w:name w:val="目录 51"/>
    <w:basedOn w:val="1"/>
    <w:qFormat/>
    <w:uiPriority w:val="1"/>
    <w:pPr>
      <w:spacing w:before="133"/>
      <w:ind w:left="1378"/>
      <w:jc w:val="left"/>
    </w:pPr>
    <w:rPr>
      <w:rFonts w:ascii="宋体" w:hAnsi="宋体"/>
      <w:kern w:val="0"/>
      <w:sz w:val="24"/>
      <w:szCs w:val="24"/>
      <w:lang w:eastAsia="en-US"/>
    </w:rPr>
  </w:style>
  <w:style w:type="paragraph" w:customStyle="1" w:styleId="91">
    <w:name w:val="目录 41"/>
    <w:basedOn w:val="1"/>
    <w:qFormat/>
    <w:uiPriority w:val="1"/>
    <w:pPr>
      <w:spacing w:before="133"/>
      <w:ind w:left="958"/>
      <w:jc w:val="left"/>
    </w:pPr>
    <w:rPr>
      <w:rFonts w:ascii="宋体" w:hAnsi="宋体"/>
      <w:kern w:val="0"/>
      <w:sz w:val="24"/>
      <w:szCs w:val="24"/>
      <w:lang w:eastAsia="en-US"/>
    </w:rPr>
  </w:style>
  <w:style w:type="paragraph" w:customStyle="1" w:styleId="92">
    <w:name w:val="目录 11"/>
    <w:basedOn w:val="1"/>
    <w:qFormat/>
    <w:uiPriority w:val="1"/>
    <w:pPr>
      <w:spacing w:before="134"/>
      <w:jc w:val="left"/>
    </w:pPr>
    <w:rPr>
      <w:rFonts w:ascii="宋体" w:hAnsi="宋体"/>
      <w:kern w:val="0"/>
      <w:sz w:val="24"/>
      <w:szCs w:val="24"/>
      <w:lang w:eastAsia="en-US"/>
    </w:rPr>
  </w:style>
  <w:style w:type="paragraph" w:customStyle="1" w:styleId="93">
    <w:name w:val="目录 21"/>
    <w:basedOn w:val="1"/>
    <w:qFormat/>
    <w:uiPriority w:val="1"/>
    <w:pPr>
      <w:spacing w:before="133"/>
      <w:ind w:left="118"/>
      <w:jc w:val="left"/>
    </w:pPr>
    <w:rPr>
      <w:rFonts w:ascii="宋体" w:hAnsi="宋体"/>
      <w:kern w:val="0"/>
      <w:sz w:val="24"/>
      <w:szCs w:val="24"/>
      <w:lang w:eastAsia="en-US"/>
    </w:rPr>
  </w:style>
  <w:style w:type="paragraph" w:customStyle="1" w:styleId="94">
    <w:name w:val="列出段落1"/>
    <w:basedOn w:val="1"/>
    <w:qFormat/>
    <w:uiPriority w:val="0"/>
    <w:pPr>
      <w:spacing w:line="360" w:lineRule="auto"/>
      <w:ind w:firstLine="420" w:firstLineChars="200"/>
    </w:pPr>
    <w:rPr>
      <w:szCs w:val="21"/>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8">
    <w:name w:val="p0"/>
    <w:basedOn w:val="1"/>
    <w:qFormat/>
    <w:uiPriority w:val="99"/>
    <w:pPr>
      <w:widowControl/>
    </w:pPr>
    <w:rPr>
      <w:kern w:val="0"/>
      <w:szCs w:val="21"/>
    </w:rPr>
  </w:style>
  <w:style w:type="paragraph" w:customStyle="1" w:styleId="99">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2"/>
    <w:basedOn w:val="1"/>
    <w:qFormat/>
    <w:uiPriority w:val="34"/>
    <w:pPr>
      <w:spacing w:line="360" w:lineRule="auto"/>
      <w:ind w:firstLine="420" w:firstLineChars="200"/>
    </w:pPr>
    <w:rPr>
      <w:szCs w:val="21"/>
    </w:rPr>
  </w:style>
  <w:style w:type="paragraph" w:customStyle="1" w:styleId="101">
    <w:name w:val="文档正文"/>
    <w:basedOn w:val="1"/>
    <w:qFormat/>
    <w:uiPriority w:val="0"/>
    <w:rPr>
      <w:rFonts w:ascii="宋体" w:hAnsi="宋体" w:cs="Arial"/>
      <w:bCs/>
      <w:szCs w:val="21"/>
    </w:rPr>
  </w:style>
  <w:style w:type="paragraph" w:customStyle="1" w:styleId="10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Table Paragraph"/>
    <w:basedOn w:val="1"/>
    <w:qFormat/>
    <w:uiPriority w:val="1"/>
    <w:pPr>
      <w:jc w:val="left"/>
    </w:pPr>
    <w:rPr>
      <w:rFonts w:ascii="Calibri" w:hAnsi="Calibri"/>
      <w:kern w:val="0"/>
      <w:sz w:val="22"/>
      <w:szCs w:val="22"/>
      <w:lang w:eastAsia="en-US"/>
    </w:rPr>
  </w:style>
  <w:style w:type="paragraph" w:customStyle="1" w:styleId="10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har"/>
    <w:basedOn w:val="1"/>
    <w:qFormat/>
    <w:uiPriority w:val="0"/>
    <w:rPr>
      <w:szCs w:val="24"/>
    </w:rPr>
  </w:style>
  <w:style w:type="paragraph" w:customStyle="1" w:styleId="10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默认段落字体 Para Char Char Char Char Char Char Char Char Char1 Char Char Char Char"/>
    <w:basedOn w:val="1"/>
    <w:qFormat/>
    <w:uiPriority w:val="0"/>
    <w:rPr>
      <w:rFonts w:ascii="Tahoma" w:hAnsi="Tahoma"/>
      <w:sz w:val="24"/>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3">
    <w:name w:val="p16"/>
    <w:basedOn w:val="1"/>
    <w:qFormat/>
    <w:uiPriority w:val="0"/>
    <w:pPr>
      <w:widowControl/>
    </w:pPr>
    <w:rPr>
      <w:rFonts w:ascii="宋体" w:hAnsi="宋体" w:cs="宋体"/>
      <w:kern w:val="0"/>
      <w:sz w:val="30"/>
      <w:szCs w:val="30"/>
    </w:rPr>
  </w:style>
  <w:style w:type="paragraph" w:customStyle="1" w:styleId="114">
    <w:name w:val="纯文本21"/>
    <w:basedOn w:val="1"/>
    <w:qFormat/>
    <w:uiPriority w:val="0"/>
    <w:pPr>
      <w:spacing w:beforeLines="50" w:afterLines="50" w:line="400" w:lineRule="exact"/>
    </w:pPr>
    <w:rPr>
      <w:rFonts w:ascii="宋体" w:hAnsi="Courier New"/>
      <w:szCs w:val="21"/>
    </w:rPr>
  </w:style>
  <w:style w:type="paragraph" w:customStyle="1" w:styleId="115">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6">
    <w:name w:val="p15"/>
    <w:basedOn w:val="1"/>
    <w:qFormat/>
    <w:uiPriority w:val="0"/>
    <w:pPr>
      <w:widowControl/>
      <w:spacing w:before="75" w:after="75"/>
      <w:jc w:val="left"/>
    </w:pPr>
    <w:rPr>
      <w:rFonts w:ascii="宋体" w:hAnsi="宋体" w:cs="宋体"/>
      <w:kern w:val="0"/>
      <w:sz w:val="24"/>
      <w:szCs w:val="24"/>
    </w:rPr>
  </w:style>
  <w:style w:type="paragraph" w:customStyle="1" w:styleId="11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8">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1">
    <w:name w:val="Default"/>
    <w:next w:val="1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3">
    <w:name w:val="正文文本缩进11"/>
    <w:basedOn w:val="1"/>
    <w:qFormat/>
    <w:uiPriority w:val="0"/>
    <w:pPr>
      <w:spacing w:line="200" w:lineRule="exact"/>
      <w:ind w:firstLine="301"/>
    </w:pPr>
    <w:rPr>
      <w:rFonts w:ascii="Calibri" w:hAnsi="Calibri"/>
    </w:rPr>
  </w:style>
  <w:style w:type="paragraph" w:customStyle="1" w:styleId="124">
    <w:name w:val="无间隔1"/>
    <w:qFormat/>
    <w:uiPriority w:val="0"/>
    <w:rPr>
      <w:rFonts w:ascii="Times New Roman" w:hAnsi="Times New Roman" w:eastAsia="宋体" w:cs="Times New Roman"/>
      <w:sz w:val="22"/>
      <w:szCs w:val="22"/>
      <w:lang w:val="en-US" w:eastAsia="zh-CN" w:bidi="ar-SA"/>
    </w:rPr>
  </w:style>
  <w:style w:type="paragraph" w:customStyle="1" w:styleId="125">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6">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7">
    <w:name w:val="正文样式"/>
    <w:basedOn w:val="1"/>
    <w:qFormat/>
    <w:uiPriority w:val="0"/>
    <w:pPr>
      <w:spacing w:beforeLines="50" w:line="312" w:lineRule="auto"/>
      <w:ind w:firstLine="200" w:firstLineChars="200"/>
    </w:pPr>
    <w:rPr>
      <w:rFonts w:ascii="Calibri" w:hAnsi="Calibri"/>
      <w:sz w:val="24"/>
      <w:szCs w:val="24"/>
    </w:rPr>
  </w:style>
  <w:style w:type="table" w:customStyle="1" w:styleId="128">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
    <w:basedOn w:val="3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1">
    <w:name w:val="正文首行缩进 Char1"/>
    <w:qFormat/>
    <w:uiPriority w:val="0"/>
    <w:rPr>
      <w:rFonts w:eastAsia="仿宋_GB2312"/>
      <w:kern w:val="2"/>
      <w:sz w:val="28"/>
      <w:szCs w:val="24"/>
    </w:rPr>
  </w:style>
  <w:style w:type="character" w:customStyle="1" w:styleId="132">
    <w:name w:val="纯文本 字符1"/>
    <w:qFormat/>
    <w:uiPriority w:val="0"/>
    <w:rPr>
      <w:rFonts w:ascii="宋体" w:hAnsi="Courier New" w:eastAsia="仿宋_GB2312"/>
      <w:kern w:val="2"/>
      <w:sz w:val="30"/>
      <w:lang w:val="en-US" w:eastAsia="zh-CN" w:bidi="ar-SA"/>
    </w:rPr>
  </w:style>
  <w:style w:type="character" w:customStyle="1" w:styleId="133">
    <w:name w:val="纯文本 Char1"/>
    <w:basedOn w:val="32"/>
    <w:qFormat/>
    <w:locked/>
    <w:uiPriority w:val="0"/>
    <w:rPr>
      <w:rFonts w:ascii="宋体" w:hAnsi="Courier New" w:eastAsia="仿宋_GB2312" w:cs="Times New Roman"/>
      <w:sz w:val="30"/>
      <w:szCs w:val="24"/>
    </w:rPr>
  </w:style>
  <w:style w:type="paragraph" w:styleId="134">
    <w:name w:val="List Paragraph"/>
    <w:basedOn w:val="1"/>
    <w:unhideWhenUsed/>
    <w:qFormat/>
    <w:uiPriority w:val="99"/>
    <w:pPr>
      <w:ind w:firstLine="420" w:firstLineChars="200"/>
    </w:pPr>
  </w:style>
  <w:style w:type="character" w:customStyle="1" w:styleId="135">
    <w:name w:val="无"/>
    <w:qFormat/>
    <w:uiPriority w:val="99"/>
  </w:style>
  <w:style w:type="character" w:customStyle="1" w:styleId="136">
    <w:name w:val="正文文本 字符"/>
    <w:qFormat/>
    <w:uiPriority w:val="0"/>
    <w:rPr>
      <w:rFonts w:eastAsia="??"/>
      <w:kern w:val="2"/>
      <w:sz w:val="28"/>
      <w:szCs w:val="28"/>
      <w:lang w:val="en-US" w:eastAsia="zh-CN" w:bidi="ar-SA"/>
    </w:rPr>
  </w:style>
  <w:style w:type="character" w:customStyle="1" w:styleId="137">
    <w:name w:val="批注文字 Char1"/>
    <w:qFormat/>
    <w:uiPriority w:val="0"/>
    <w:rPr>
      <w:rFonts w:ascii="Times New Roman" w:hAnsi="Times New Roman" w:eastAsia="宋体" w:cs="Times New Roman"/>
      <w:szCs w:val="24"/>
    </w:rPr>
  </w:style>
  <w:style w:type="character" w:customStyle="1" w:styleId="138">
    <w:name w:val="表格文本 Char"/>
    <w:link w:val="139"/>
    <w:qFormat/>
    <w:locked/>
    <w:uiPriority w:val="0"/>
    <w:rPr>
      <w:color w:val="000000"/>
      <w:sz w:val="24"/>
      <w:szCs w:val="21"/>
    </w:rPr>
  </w:style>
  <w:style w:type="paragraph" w:customStyle="1" w:styleId="139">
    <w:name w:val="表格文本"/>
    <w:basedOn w:val="1"/>
    <w:next w:val="1"/>
    <w:link w:val="138"/>
    <w:qFormat/>
    <w:uiPriority w:val="0"/>
    <w:pPr>
      <w:adjustRightInd w:val="0"/>
      <w:snapToGrid w:val="0"/>
      <w:jc w:val="center"/>
    </w:pPr>
    <w:rPr>
      <w:color w:val="000000"/>
      <w:kern w:val="0"/>
      <w:sz w:val="24"/>
      <w:szCs w:val="21"/>
    </w:rPr>
  </w:style>
  <w:style w:type="character" w:customStyle="1" w:styleId="140">
    <w:name w:val="正文首行缩进 Char"/>
    <w:basedOn w:val="54"/>
    <w:link w:val="12"/>
    <w:qFormat/>
    <w:uiPriority w:val="0"/>
    <w:rPr>
      <w:rFonts w:eastAsia="??"/>
      <w:kern w:val="2"/>
      <w:sz w:val="21"/>
      <w:szCs w:val="28"/>
      <w:lang w:val="en-US" w:eastAsia="zh-CN" w:bidi="ar-SA"/>
    </w:rPr>
  </w:style>
  <w:style w:type="character" w:customStyle="1" w:styleId="141">
    <w:name w:val="正文首行缩进 2 Char"/>
    <w:basedOn w:val="52"/>
    <w:link w:val="29"/>
    <w:qFormat/>
    <w:uiPriority w:val="0"/>
    <w:rPr>
      <w:kern w:val="2"/>
      <w:sz w:val="21"/>
    </w:rPr>
  </w:style>
  <w:style w:type="paragraph" w:customStyle="1" w:styleId="142">
    <w:name w:val="正文段"/>
    <w:basedOn w:val="1"/>
    <w:qFormat/>
    <w:uiPriority w:val="0"/>
    <w:pPr>
      <w:widowControl/>
      <w:snapToGrid w:val="0"/>
      <w:spacing w:afterLines="50"/>
      <w:ind w:firstLine="200" w:firstLineChars="200"/>
    </w:pPr>
    <w:rPr>
      <w:kern w:val="0"/>
      <w:sz w:val="24"/>
    </w:rPr>
  </w:style>
  <w:style w:type="character" w:customStyle="1" w:styleId="143">
    <w:name w:val="正文首行缩进2字符 Char Char"/>
    <w:link w:val="144"/>
    <w:qFormat/>
    <w:uiPriority w:val="0"/>
    <w:rPr>
      <w:sz w:val="24"/>
    </w:rPr>
  </w:style>
  <w:style w:type="paragraph" w:customStyle="1" w:styleId="144">
    <w:name w:val="正文首行缩进2字符"/>
    <w:basedOn w:val="1"/>
    <w:link w:val="143"/>
    <w:qFormat/>
    <w:uiPriority w:val="0"/>
    <w:pPr>
      <w:spacing w:line="360" w:lineRule="auto"/>
      <w:ind w:firstLine="200" w:firstLineChars="200"/>
    </w:pPr>
    <w:rPr>
      <w:kern w:val="0"/>
      <w:sz w:val="24"/>
    </w:rPr>
  </w:style>
  <w:style w:type="paragraph" w:customStyle="1" w:styleId="145">
    <w:name w:val="列表段落11"/>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46">
    <w:name w:val="正文文本首行缩进 211"/>
    <w:basedOn w:val="13"/>
    <w:qFormat/>
    <w:uiPriority w:val="0"/>
    <w:pPr>
      <w:ind w:firstLine="420" w:firstLineChars="200"/>
    </w:pPr>
  </w:style>
  <w:style w:type="paragraph" w:customStyle="1" w:styleId="147">
    <w:name w:val="正文2"/>
    <w:basedOn w:val="1"/>
    <w:qFormat/>
    <w:uiPriority w:val="0"/>
    <w:pPr>
      <w:ind w:firstLine="200" w:firstLineChars="200"/>
    </w:pPr>
    <w:rPr>
      <w:rFonts w:ascii="Calibri" w:hAnsi="Calibri" w:eastAsia="华文仿宋"/>
      <w:kern w:val="0"/>
      <w:sz w:val="28"/>
    </w:rPr>
  </w:style>
  <w:style w:type="character" w:customStyle="1" w:styleId="148">
    <w:name w:val="标题 Char1"/>
    <w:qFormat/>
    <w:uiPriority w:val="0"/>
    <w:rPr>
      <w:rFonts w:ascii="Calibri" w:hAnsi="Calibri"/>
      <w:kern w:val="2"/>
      <w:sz w:val="30"/>
      <w:szCs w:val="30"/>
    </w:rPr>
  </w:style>
  <w:style w:type="character" w:customStyle="1" w:styleId="149">
    <w:name w:val="普通(网站) Char"/>
    <w:link w:val="26"/>
    <w:qFormat/>
    <w:locked/>
    <w:uiPriority w:val="0"/>
    <w:rPr>
      <w:rFonts w:ascii="宋体" w:hAnsi="宋体" w:cs="宋体"/>
      <w:sz w:val="24"/>
      <w:szCs w:val="24"/>
    </w:rPr>
  </w:style>
  <w:style w:type="character" w:customStyle="1" w:styleId="150">
    <w:name w:val="纯文本 Char2"/>
    <w:qFormat/>
    <w:uiPriority w:val="99"/>
    <w:rPr>
      <w:rFonts w:ascii="宋体" w:hAnsi="Courier New" w:eastAsia="仿宋_GB2312"/>
      <w:kern w:val="2"/>
      <w:sz w:val="30"/>
      <w:lang w:val="en-US" w:eastAsia="zh-CN" w:bidi="ar-SA"/>
    </w:rPr>
  </w:style>
  <w:style w:type="paragraph" w:customStyle="1" w:styleId="151">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53">
    <w:name w:val="招标-标题1"/>
    <w:basedOn w:val="1"/>
    <w:qFormat/>
    <w:uiPriority w:val="0"/>
    <w:pPr>
      <w:spacing w:line="300" w:lineRule="auto"/>
      <w:ind w:left="560"/>
    </w:pPr>
    <w:rPr>
      <w:b/>
      <w:bCs/>
    </w:rPr>
  </w:style>
  <w:style w:type="paragraph" w:customStyle="1" w:styleId="154">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55">
    <w:name w:val="正文首行缩进 21"/>
    <w:basedOn w:val="15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0"/>
    <w:pPr>
      <w:spacing w:line="200" w:lineRule="exact"/>
      <w:ind w:firstLine="301"/>
    </w:pPr>
    <w:rPr>
      <w:rFonts w:ascii="宋体" w:hAnsi="Courier New"/>
      <w:spacing w:val="-4"/>
      <w:kern w:val="0"/>
      <w:sz w:val="18"/>
    </w:rPr>
  </w:style>
  <w:style w:type="paragraph" w:customStyle="1" w:styleId="157">
    <w:name w:val="Body Text Indent1"/>
    <w:basedOn w:val="1"/>
    <w:qFormat/>
    <w:uiPriority w:val="99"/>
    <w:pPr>
      <w:spacing w:line="200" w:lineRule="exact"/>
      <w:ind w:firstLine="301"/>
    </w:pPr>
    <w:rPr>
      <w:rFonts w:ascii="宋体" w:hAnsi="Courier New"/>
      <w:spacing w:val="-4"/>
      <w:kern w:val="0"/>
      <w:sz w:val="18"/>
    </w:rPr>
  </w:style>
  <w:style w:type="paragraph" w:customStyle="1" w:styleId="158">
    <w:name w:val="列表 21"/>
    <w:basedOn w:val="1"/>
    <w:qFormat/>
    <w:uiPriority w:val="0"/>
    <w:pPr>
      <w:ind w:left="200" w:leftChars="200" w:hanging="200" w:hangingChars="200"/>
    </w:pPr>
    <w:rPr>
      <w:sz w:val="28"/>
      <w:szCs w:val="20"/>
    </w:rPr>
  </w:style>
  <w:style w:type="paragraph" w:customStyle="1" w:styleId="159">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160">
    <w:name w:val="正文文本缩进2"/>
    <w:basedOn w:val="1"/>
    <w:qFormat/>
    <w:uiPriority w:val="0"/>
    <w:pPr>
      <w:spacing w:line="200" w:lineRule="exact"/>
      <w:ind w:firstLine="301"/>
    </w:pPr>
    <w:rPr>
      <w:rFonts w:ascii="宋体" w:hAnsi="Courier New"/>
      <w:spacing w:val="-4"/>
      <w:kern w:val="0"/>
      <w:sz w:val="18"/>
    </w:rPr>
  </w:style>
  <w:style w:type="paragraph" w:customStyle="1" w:styleId="161">
    <w:name w:val="纯文本5"/>
    <w:basedOn w:val="1"/>
    <w:qFormat/>
    <w:uiPriority w:val="0"/>
    <w:rPr>
      <w:rFonts w:ascii="宋体" w:hAnsi="Courier New" w:eastAsia="仿宋_GB2312"/>
      <w:sz w:val="30"/>
    </w:rPr>
  </w:style>
  <w:style w:type="paragraph" w:customStyle="1" w:styleId="162">
    <w:name w:val="批注框文本1"/>
    <w:basedOn w:val="1"/>
    <w:qFormat/>
    <w:uiPriority w:val="0"/>
    <w:rPr>
      <w:rFonts w:ascii="Calibri" w:hAnsi="Calibri"/>
      <w:sz w:val="18"/>
      <w:szCs w:val="18"/>
    </w:rPr>
  </w:style>
  <w:style w:type="paragraph" w:customStyle="1" w:styleId="163">
    <w:name w:val="纯文本3"/>
    <w:basedOn w:val="1"/>
    <w:qFormat/>
    <w:uiPriority w:val="0"/>
    <w:pPr>
      <w:adjustRightInd w:val="0"/>
      <w:textAlignment w:val="baseline"/>
    </w:pPr>
    <w:rPr>
      <w:rFonts w:ascii="宋体" w:hAnsi="Courier New" w:eastAsia="楷体_GB2312"/>
      <w:sz w:val="26"/>
      <w:szCs w:val="20"/>
    </w:rPr>
  </w:style>
  <w:style w:type="paragraph" w:customStyle="1" w:styleId="164">
    <w:name w:val="普通(网站)_0"/>
    <w:basedOn w:val="16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2_0"/>
    <w:qFormat/>
    <w:uiPriority w:val="0"/>
    <w:pPr>
      <w:widowControl w:val="0"/>
      <w:jc w:val="both"/>
    </w:pPr>
    <w:rPr>
      <w:rFonts w:ascii="Times New Roman" w:hAnsi="Times New Roman" w:eastAsia="Times New Roman" w:cs="Times New Roman"/>
      <w:kern w:val="2"/>
      <w:sz w:val="21"/>
      <w:szCs w:val="24"/>
    </w:rPr>
  </w:style>
  <w:style w:type="paragraph" w:customStyle="1" w:styleId="167">
    <w:name w:val="正文_1_2"/>
    <w:qFormat/>
    <w:uiPriority w:val="0"/>
    <w:pPr>
      <w:widowControl w:val="0"/>
      <w:jc w:val="both"/>
    </w:pPr>
    <w:rPr>
      <w:rFonts w:ascii="Calibri" w:hAnsi="Calibri" w:eastAsia="宋体" w:cs="宋体"/>
      <w:kern w:val="2"/>
      <w:sz w:val="21"/>
      <w:szCs w:val="21"/>
    </w:rPr>
  </w:style>
  <w:style w:type="paragraph" w:customStyle="1" w:styleId="168">
    <w:name w:val="正文_0_0_1"/>
    <w:qFormat/>
    <w:uiPriority w:val="39"/>
    <w:pPr>
      <w:widowControl w:val="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106</Pages>
  <Words>68031</Words>
  <Characters>70921</Characters>
  <Lines>147</Lines>
  <Paragraphs>624</Paragraphs>
  <TotalTime>3</TotalTime>
  <ScaleCrop>false</ScaleCrop>
  <LinksUpToDate>false</LinksUpToDate>
  <CharactersWithSpaces>71462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2023-11-28T01:45:00Z</dcterms:created>
  <dc:creator>Administrator</dc:creator>
  <cp:lastModifiedBy>柠檬头小迪</cp:lastModifiedBy>
  <cp:lastPrinted>2025-02-20T02:28:00Z</cp:lastPrinted>
  <dcterms:modified xsi:type="dcterms:W3CDTF">2025-06-19T09:42:08Z</dcterms:modified>
  <dc:title>面上水利项目质量抽查2019年项目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E2DCB66AE02843478F2D068FB9EEB689_13</vt:lpwstr>
  </property>
  <property fmtid="{D5CDD505-2E9C-101B-9397-08002B2CF9AE}" pid="4" name="KSOTemplateDocerSaveRecord">
    <vt:lpwstr>eyJoZGlkIjoiYzhiYjZjYjRlM2RkNTBkMTU2ZDU2OWIzMTFkNGM4N2EiLCJ1c2VySWQiOiI3ODEwNDU5NTcifQ==</vt:lpwstr>
  </property>
</Properties>
</file>